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A351F" w14:textId="3097D72F" w:rsidR="008A0C77" w:rsidRPr="00CB7D43" w:rsidRDefault="00CB7D43" w:rsidP="0038389F">
      <w:pPr>
        <w:spacing w:before="800" w:after="480"/>
        <w:rPr>
          <w:b/>
          <w:bCs/>
          <w:sz w:val="28"/>
          <w:szCs w:val="28"/>
        </w:rPr>
      </w:pPr>
      <w:r w:rsidRPr="00CB7D43">
        <w:rPr>
          <w:b/>
          <w:bCs/>
          <w:sz w:val="28"/>
          <w:szCs w:val="28"/>
        </w:rPr>
        <w:t xml:space="preserve">A </w:t>
      </w:r>
      <w:r w:rsidR="00F8049A">
        <w:rPr>
          <w:b/>
          <w:bCs/>
          <w:sz w:val="28"/>
          <w:szCs w:val="28"/>
        </w:rPr>
        <w:t xml:space="preserve">comparative </w:t>
      </w:r>
      <w:r w:rsidRPr="00CB7D43">
        <w:rPr>
          <w:b/>
          <w:bCs/>
          <w:sz w:val="28"/>
          <w:szCs w:val="28"/>
        </w:rPr>
        <w:t xml:space="preserve">study of </w:t>
      </w:r>
      <w:r w:rsidR="00F8049A">
        <w:rPr>
          <w:b/>
          <w:bCs/>
          <w:sz w:val="28"/>
          <w:szCs w:val="28"/>
        </w:rPr>
        <w:t xml:space="preserve">different </w:t>
      </w:r>
      <w:r w:rsidRPr="00CB7D43">
        <w:rPr>
          <w:b/>
          <w:bCs/>
          <w:sz w:val="28"/>
          <w:szCs w:val="28"/>
        </w:rPr>
        <w:t>biocementation implementation methods for embankment foundation soil</w:t>
      </w:r>
    </w:p>
    <w:p w14:paraId="5794C771" w14:textId="2F2BFFF4" w:rsidR="002C3D69" w:rsidRPr="00CB7D43" w:rsidRDefault="00CB7D43" w:rsidP="00CB7D43">
      <w:pPr>
        <w:ind w:left="-540" w:firstLine="540"/>
        <w:jc w:val="center"/>
        <w:rPr>
          <w:rFonts w:cs="Arial"/>
          <w:spacing w:val="-7"/>
          <w:szCs w:val="20"/>
        </w:rPr>
      </w:pPr>
      <w:bookmarkStart w:id="0" w:name="_Hlk67854885"/>
      <w:r w:rsidRPr="00CB7D43">
        <w:rPr>
          <w:rFonts w:cs="Arial"/>
          <w:spacing w:val="-7"/>
          <w:szCs w:val="20"/>
        </w:rPr>
        <w:t>M.U. Safdar</w:t>
      </w:r>
      <w:r w:rsidRPr="00CB7D43">
        <w:rPr>
          <w:rFonts w:cs="Arial"/>
          <w:spacing w:val="-7"/>
          <w:szCs w:val="20"/>
          <w:vertAlign w:val="superscript"/>
        </w:rPr>
        <w:t>1</w:t>
      </w:r>
      <w:r w:rsidRPr="00CB7D43">
        <w:rPr>
          <w:rFonts w:cs="Arial"/>
          <w:spacing w:val="-7"/>
          <w:szCs w:val="20"/>
        </w:rPr>
        <w:t>, M. Mavroulidou</w:t>
      </w:r>
      <w:r w:rsidRPr="00CB7D43">
        <w:rPr>
          <w:rFonts w:cs="Arial"/>
          <w:spacing w:val="-7"/>
          <w:szCs w:val="20"/>
          <w:vertAlign w:val="superscript"/>
        </w:rPr>
        <w:t>1*</w:t>
      </w:r>
      <w:r w:rsidRPr="00CB7D43">
        <w:rPr>
          <w:rFonts w:cs="Arial"/>
          <w:spacing w:val="-7"/>
          <w:szCs w:val="20"/>
        </w:rPr>
        <w:t>, M.J. Gunn</w:t>
      </w:r>
      <w:r w:rsidRPr="00CB7D43">
        <w:rPr>
          <w:rFonts w:cs="Arial"/>
          <w:spacing w:val="-7"/>
          <w:szCs w:val="20"/>
          <w:vertAlign w:val="superscript"/>
        </w:rPr>
        <w:t>1</w:t>
      </w:r>
      <w:r w:rsidRPr="00CB7D43">
        <w:rPr>
          <w:rFonts w:cs="Arial"/>
          <w:spacing w:val="-7"/>
          <w:szCs w:val="20"/>
        </w:rPr>
        <w:t>, D. Purchase</w:t>
      </w:r>
      <w:r w:rsidRPr="00CB7D43">
        <w:rPr>
          <w:rFonts w:cs="Arial"/>
          <w:spacing w:val="-7"/>
          <w:szCs w:val="20"/>
          <w:vertAlign w:val="superscript"/>
        </w:rPr>
        <w:t>2</w:t>
      </w:r>
      <w:r w:rsidRPr="00CB7D43">
        <w:rPr>
          <w:rFonts w:cs="Arial"/>
          <w:spacing w:val="-7"/>
          <w:szCs w:val="20"/>
        </w:rPr>
        <w:t>, I. Payne</w:t>
      </w:r>
      <w:r w:rsidRPr="00CB7D43">
        <w:rPr>
          <w:rFonts w:cs="Arial"/>
          <w:spacing w:val="-7"/>
          <w:szCs w:val="20"/>
          <w:vertAlign w:val="superscript"/>
        </w:rPr>
        <w:t>3</w:t>
      </w:r>
      <w:r w:rsidRPr="00CB7D43">
        <w:rPr>
          <w:rFonts w:cs="Arial"/>
          <w:spacing w:val="-7"/>
          <w:szCs w:val="20"/>
        </w:rPr>
        <w:t>, J. Garelick</w:t>
      </w:r>
      <w:r w:rsidRPr="00CB7D43">
        <w:rPr>
          <w:rFonts w:cs="Arial"/>
          <w:spacing w:val="-7"/>
          <w:szCs w:val="20"/>
          <w:vertAlign w:val="superscript"/>
        </w:rPr>
        <w:t>3</w:t>
      </w:r>
      <w:r w:rsidRPr="00CB7D43">
        <w:rPr>
          <w:rFonts w:cs="Arial"/>
          <w:spacing w:val="-7"/>
          <w:szCs w:val="20"/>
        </w:rPr>
        <w:t xml:space="preserve"> </w:t>
      </w:r>
    </w:p>
    <w:bookmarkEnd w:id="0"/>
    <w:p w14:paraId="349E895C" w14:textId="47D1D4BF" w:rsidR="00CB7D43" w:rsidRPr="00CB7D43" w:rsidRDefault="00CB7D43" w:rsidP="00CB7D43">
      <w:pPr>
        <w:spacing w:before="160" w:after="40"/>
        <w:rPr>
          <w:i/>
          <w:lang w:val="en-US"/>
        </w:rPr>
      </w:pPr>
      <w:r w:rsidRPr="00CB7D43">
        <w:rPr>
          <w:i/>
          <w:iCs/>
          <w:vertAlign w:val="superscript"/>
          <w:lang w:val="en-US"/>
        </w:rPr>
        <w:t>1</w:t>
      </w:r>
      <w:r w:rsidRPr="00CB7D43">
        <w:rPr>
          <w:i/>
          <w:iCs/>
          <w:lang w:val="en-US"/>
        </w:rPr>
        <w:t xml:space="preserve">London South Bank University, UK, </w:t>
      </w:r>
    </w:p>
    <w:p w14:paraId="2F6BC0FF" w14:textId="340F4965" w:rsidR="00CB7D43" w:rsidRPr="00CB7D43" w:rsidRDefault="00CB7D43" w:rsidP="00CB7D43">
      <w:pPr>
        <w:spacing w:before="20" w:after="20"/>
        <w:rPr>
          <w:lang w:val="en-US"/>
        </w:rPr>
      </w:pPr>
      <w:r w:rsidRPr="00CB7D43">
        <w:rPr>
          <w:lang w:val="en-US"/>
        </w:rPr>
        <w:t xml:space="preserve">mavroum@lsbu.ac.uk (corresponding author) </w:t>
      </w:r>
    </w:p>
    <w:p w14:paraId="77CD1C92" w14:textId="53D7CD1A" w:rsidR="00CB7A29" w:rsidRPr="00CB7D43" w:rsidRDefault="00CB7A29" w:rsidP="003201AB">
      <w:pPr>
        <w:spacing w:before="20" w:after="20"/>
        <w:rPr>
          <w:lang w:val="en-US"/>
        </w:rPr>
      </w:pPr>
    </w:p>
    <w:p w14:paraId="5923742B" w14:textId="71831523" w:rsidR="00CB7D43" w:rsidRPr="00CB7D43" w:rsidRDefault="00CB7A29" w:rsidP="00CB7D43">
      <w:pPr>
        <w:spacing w:before="160" w:after="40"/>
        <w:rPr>
          <w:i/>
          <w:lang w:val="en-US"/>
        </w:rPr>
      </w:pPr>
      <w:r w:rsidRPr="00CB7A29">
        <w:rPr>
          <w:i/>
          <w:vertAlign w:val="superscript"/>
        </w:rPr>
        <w:t>2</w:t>
      </w:r>
      <w:r w:rsidR="00CB7D43" w:rsidRPr="00CB7D43">
        <w:rPr>
          <w:i/>
          <w:lang w:val="en-US"/>
        </w:rPr>
        <w:t>School of Natural Sciences, Faculty of Science and Technology, Middlesex University, UK</w:t>
      </w:r>
    </w:p>
    <w:p w14:paraId="402C6E43" w14:textId="050F8FF2" w:rsidR="00CB7D43" w:rsidRDefault="00CB7D43" w:rsidP="00CB7D43">
      <w:pPr>
        <w:spacing w:before="160" w:after="40"/>
        <w:rPr>
          <w:i/>
          <w:lang w:val="en-US"/>
        </w:rPr>
      </w:pPr>
      <w:r w:rsidRPr="00CB7D43">
        <w:rPr>
          <w:i/>
          <w:vertAlign w:val="superscript"/>
          <w:lang w:val="en-US"/>
        </w:rPr>
        <w:t>3</w:t>
      </w:r>
      <w:r w:rsidRPr="00CB7D43">
        <w:rPr>
          <w:i/>
          <w:lang w:val="en-US"/>
        </w:rPr>
        <w:t xml:space="preserve">Network Rail, UK </w:t>
      </w:r>
    </w:p>
    <w:p w14:paraId="4111F195" w14:textId="77777777" w:rsidR="00CB7D43" w:rsidRPr="00CB7D43" w:rsidRDefault="00CB7D43" w:rsidP="00CB7D43">
      <w:pPr>
        <w:spacing w:before="160" w:after="40"/>
        <w:rPr>
          <w:i/>
          <w:lang w:val="en-US"/>
        </w:rPr>
      </w:pPr>
    </w:p>
    <w:p w14:paraId="156BDA14" w14:textId="0819B5A9" w:rsidR="00DE52C9" w:rsidRPr="00235F1F" w:rsidRDefault="00CB7A29" w:rsidP="00CB7D43">
      <w:pPr>
        <w:spacing w:before="160" w:after="40"/>
        <w:rPr>
          <w:lang w:val="en-US"/>
        </w:rPr>
      </w:pPr>
      <w:r w:rsidRPr="00CB7A29">
        <w:t xml:space="preserve">ABSTRACT: </w:t>
      </w:r>
      <w:r w:rsidR="00CB7D43">
        <w:t xml:space="preserve">In the context of sustainable ground engineering practices, biocementation </w:t>
      </w:r>
      <w:r w:rsidR="00CB7D43" w:rsidRPr="00CB7D43">
        <w:t xml:space="preserve">has recently attracted the </w:t>
      </w:r>
      <w:r w:rsidR="00307D32">
        <w:t xml:space="preserve">vivid </w:t>
      </w:r>
      <w:r w:rsidR="00CB7D43" w:rsidRPr="00CB7D43">
        <w:t xml:space="preserve">interest of researchers worldwide. </w:t>
      </w:r>
      <w:r w:rsidR="00307D32">
        <w:t>The technique</w:t>
      </w:r>
      <w:r w:rsidR="00CB7D43" w:rsidRPr="00CB7D43">
        <w:t xml:space="preserve"> utilises the natural biological process of </w:t>
      </w:r>
      <w:proofErr w:type="spellStart"/>
      <w:r w:rsidR="00CB7D43" w:rsidRPr="00CB7D43">
        <w:t>biomineralisation</w:t>
      </w:r>
      <w:proofErr w:type="spellEnd"/>
      <w:r w:rsidR="00CB7D43" w:rsidRPr="00CB7D43">
        <w:t xml:space="preserve"> (the biological production of minerals through the metabolic processes of different types of microorganisms/ plants) as a soil stabilisation method. The technique </w:t>
      </w:r>
      <w:r w:rsidR="00A26EAB">
        <w:t>has the potential</w:t>
      </w:r>
      <w:r w:rsidR="00CB7D43" w:rsidRPr="00CB7D43">
        <w:t xml:space="preserve"> to be environmentally superior to other common </w:t>
      </w:r>
      <w:r w:rsidR="00A26EAB">
        <w:t xml:space="preserve">chemical </w:t>
      </w:r>
      <w:r w:rsidR="00CB7D43" w:rsidRPr="00CB7D43">
        <w:t>soil stabilisers</w:t>
      </w:r>
      <w:r w:rsidR="00B77CFA">
        <w:t>.</w:t>
      </w:r>
      <w:r w:rsidR="00A26EAB">
        <w:t xml:space="preserve"> </w:t>
      </w:r>
      <w:r w:rsidR="00CB7D43">
        <w:t>Th</w:t>
      </w:r>
      <w:r w:rsidR="00B77CFA">
        <w:t>is</w:t>
      </w:r>
      <w:r w:rsidR="00CB7D43">
        <w:t xml:space="preserve"> </w:t>
      </w:r>
      <w:r w:rsidR="00235F1F">
        <w:t>study</w:t>
      </w:r>
      <w:r w:rsidR="00CB7D43">
        <w:t xml:space="preserve"> </w:t>
      </w:r>
      <w:r w:rsidR="00235F1F">
        <w:t xml:space="preserve">uses indigenous </w:t>
      </w:r>
      <w:proofErr w:type="spellStart"/>
      <w:r w:rsidR="00235F1F">
        <w:t>ureolytic</w:t>
      </w:r>
      <w:proofErr w:type="spellEnd"/>
      <w:r w:rsidR="00235F1F">
        <w:t xml:space="preserve"> micro-organisms to </w:t>
      </w:r>
      <w:proofErr w:type="spellStart"/>
      <w:r w:rsidR="00235F1F">
        <w:t>biocement</w:t>
      </w:r>
      <w:proofErr w:type="spellEnd"/>
      <w:r w:rsidR="00235F1F">
        <w:t xml:space="preserve"> an organic soil from the UK railway network. The paper focuses on the comparative i</w:t>
      </w:r>
      <w:r w:rsidR="00CB7D43">
        <w:t>nvestigat</w:t>
      </w:r>
      <w:r w:rsidR="00235F1F">
        <w:t>ion of</w:t>
      </w:r>
      <w:r w:rsidR="00CB7D43">
        <w:t xml:space="preserve"> different methods of implementation of biocementation treatments</w:t>
      </w:r>
      <w:r w:rsidR="00235F1F">
        <w:t>. N</w:t>
      </w:r>
      <w:r w:rsidR="00A26EAB">
        <w:t>amely</w:t>
      </w:r>
      <w:r w:rsidR="00235F1F">
        <w:t>,</w:t>
      </w:r>
      <w:r w:rsidR="00A26EAB">
        <w:t xml:space="preserve"> mixing of all treatments, pressure injection and electrokinetic injection. </w:t>
      </w:r>
      <w:r w:rsidR="00A26EAB" w:rsidRPr="00A26EAB">
        <w:rPr>
          <w:lang w:val="en-US"/>
        </w:rPr>
        <w:t xml:space="preserve">The success of the techniques is discussed in terms of a) Unconfined compressive strength (UCS); b) </w:t>
      </w:r>
      <w:r w:rsidR="00A26EAB">
        <w:rPr>
          <w:lang w:val="en-US"/>
        </w:rPr>
        <w:t xml:space="preserve">calcium carbonate </w:t>
      </w:r>
      <w:r w:rsidR="00A26EAB" w:rsidRPr="00A26EAB">
        <w:rPr>
          <w:lang w:val="en-US"/>
        </w:rPr>
        <w:t>precipitation and c) compressibility and consolidation characteristics.</w:t>
      </w:r>
      <w:r w:rsidR="00A26EAB">
        <w:rPr>
          <w:lang w:val="en-US"/>
        </w:rPr>
        <w:t xml:space="preserve"> It is shown that electrokinetic treatment is overall more successful as it led to higher strengths</w:t>
      </w:r>
      <w:r w:rsidR="00235F1F">
        <w:rPr>
          <w:lang w:val="en-US"/>
        </w:rPr>
        <w:t xml:space="preserve"> and CaCO</w:t>
      </w:r>
      <w:r w:rsidR="00235F1F" w:rsidRPr="00235F1F">
        <w:rPr>
          <w:vertAlign w:val="subscript"/>
          <w:lang w:val="en-US"/>
        </w:rPr>
        <w:t>3</w:t>
      </w:r>
      <w:r w:rsidR="00235F1F">
        <w:rPr>
          <w:lang w:val="en-US"/>
        </w:rPr>
        <w:t xml:space="preserve"> contents, as well as</w:t>
      </w:r>
      <w:r w:rsidR="00A26EAB">
        <w:rPr>
          <w:lang w:val="en-US"/>
        </w:rPr>
        <w:t xml:space="preserve"> </w:t>
      </w:r>
      <w:r w:rsidR="0094497C">
        <w:rPr>
          <w:lang w:val="en-US"/>
        </w:rPr>
        <w:t>higher stiffness</w:t>
      </w:r>
      <w:r w:rsidR="00235F1F">
        <w:rPr>
          <w:lang w:val="en-US"/>
        </w:rPr>
        <w:t xml:space="preserve"> of the treated soil. It also shows promise for a successful implementation of the treatments under existing infrastructure.</w:t>
      </w:r>
    </w:p>
    <w:p w14:paraId="6599E03E" w14:textId="1F8B2E16" w:rsidR="00CB7A29" w:rsidRPr="00826900" w:rsidRDefault="00CB7A29" w:rsidP="00826900">
      <w:pPr>
        <w:spacing w:before="480"/>
        <w:rPr>
          <w:i/>
        </w:rPr>
      </w:pPr>
      <w:r w:rsidRPr="00CB7A29">
        <w:rPr>
          <w:i/>
        </w:rPr>
        <w:t xml:space="preserve">Keywords: </w:t>
      </w:r>
      <w:r w:rsidR="00235F1F">
        <w:rPr>
          <w:i/>
        </w:rPr>
        <w:t>biocementation</w:t>
      </w:r>
      <w:r w:rsidRPr="00CB7A29">
        <w:rPr>
          <w:i/>
        </w:rPr>
        <w:t xml:space="preserve">, </w:t>
      </w:r>
      <w:r w:rsidR="00235F1F">
        <w:rPr>
          <w:i/>
        </w:rPr>
        <w:t>mixing</w:t>
      </w:r>
      <w:r w:rsidRPr="00CB7A29">
        <w:rPr>
          <w:i/>
        </w:rPr>
        <w:t>,</w:t>
      </w:r>
      <w:r w:rsidR="00235F1F">
        <w:rPr>
          <w:i/>
        </w:rPr>
        <w:t xml:space="preserve"> </w:t>
      </w:r>
      <w:proofErr w:type="spellStart"/>
      <w:r w:rsidR="00235F1F">
        <w:rPr>
          <w:i/>
        </w:rPr>
        <w:t>electrokinetics</w:t>
      </w:r>
      <w:proofErr w:type="spellEnd"/>
      <w:r w:rsidR="00235F1F">
        <w:rPr>
          <w:i/>
        </w:rPr>
        <w:t>, pressure injection</w:t>
      </w:r>
    </w:p>
    <w:p w14:paraId="5B3CA674" w14:textId="3973BB3D" w:rsidR="00DE52C9" w:rsidRPr="00BD471A" w:rsidRDefault="00CB7A29" w:rsidP="00CF0787">
      <w:pPr>
        <w:pStyle w:val="Heading1"/>
      </w:pPr>
      <w:r w:rsidRPr="00BD471A">
        <w:t>Introduction</w:t>
      </w:r>
      <w:r w:rsidR="002C3D69" w:rsidRPr="00BD471A">
        <w:t xml:space="preserve"> </w:t>
      </w:r>
    </w:p>
    <w:p w14:paraId="14A5EF77" w14:textId="242AE1D7" w:rsidR="00CB7D43" w:rsidRPr="00CB7D43" w:rsidRDefault="00CB7D43" w:rsidP="00CB7D43">
      <w:pPr>
        <w:rPr>
          <w:lang w:val="en-US"/>
        </w:rPr>
      </w:pPr>
      <w:r w:rsidRPr="00CB7D43">
        <w:rPr>
          <w:lang w:val="en-US"/>
        </w:rPr>
        <w:t xml:space="preserve">Due to </w:t>
      </w:r>
      <w:r w:rsidRPr="00CB7D43">
        <w:t>the growing urbanisation and</w:t>
      </w:r>
      <w:r w:rsidRPr="00CB7D43">
        <w:rPr>
          <w:lang w:val="en-US"/>
        </w:rPr>
        <w:t xml:space="preserve"> the scarcity of urban space, </w:t>
      </w:r>
      <w:r w:rsidRPr="00CB7D43">
        <w:t xml:space="preserve">new infrastructure </w:t>
      </w:r>
      <w:r w:rsidRPr="00CB7D43">
        <w:rPr>
          <w:lang w:val="en-US"/>
        </w:rPr>
        <w:t xml:space="preserve">works in </w:t>
      </w:r>
      <w:r w:rsidRPr="00B0741E">
        <w:t>urbanised</w:t>
      </w:r>
      <w:r w:rsidRPr="00CB7D43">
        <w:rPr>
          <w:lang w:val="en-US"/>
        </w:rPr>
        <w:t xml:space="preserve"> areas will be increasingly constructed on inferior ground </w:t>
      </w:r>
      <w:r w:rsidR="00496EF4" w:rsidRPr="00CB7D43">
        <w:rPr>
          <w:lang w:val="en-US"/>
        </w:rPr>
        <w:t>i.e.,</w:t>
      </w:r>
      <w:r w:rsidRPr="00CB7D43">
        <w:rPr>
          <w:lang w:val="en-US"/>
        </w:rPr>
        <w:t xml:space="preserve"> weak natural or man-made geomaterials (e.g. in waste disposal sites) with increased hazards and impacts of catastrophic failures. Existing infrastructure facilities will also need to be upgraded to meet future needs and changing environmental loads due to climate change. These include ageing transport earthworks in many European countries suffering from serviceability problems and requiring costly maintenance/remediation. Current policies require infrastructure to be provided in an economical and environmentally responsible manner (reducing material use, embedded carbon and other impacts on the natural environment and ecosystems). Improving rather than replacing and landfilling inferior ground or geomaterials (including wastes) for civil infrastructure uses, will thus become critically important in future engineering practice towards low-carbon, sustainable solutions. In line with this, an emerging ground improvement technique, </w:t>
      </w:r>
      <w:bookmarkStart w:id="1" w:name="_Hlk67841575"/>
      <w:r w:rsidRPr="00CB7D43">
        <w:rPr>
          <w:lang w:val="en-US"/>
        </w:rPr>
        <w:t xml:space="preserve">which has recently attracted the interest of researchers worldwide, is soil </w:t>
      </w:r>
      <w:r w:rsidRPr="00B0741E">
        <w:t>biocementation</w:t>
      </w:r>
      <w:r w:rsidRPr="00CB7D43">
        <w:rPr>
          <w:lang w:val="en-US"/>
        </w:rPr>
        <w:t xml:space="preserve">. It </w:t>
      </w:r>
      <w:r w:rsidRPr="00B0741E">
        <w:t>utilises</w:t>
      </w:r>
      <w:r w:rsidRPr="00CB7D43">
        <w:rPr>
          <w:lang w:val="en-US"/>
        </w:rPr>
        <w:t xml:space="preserve"> the natural biological process of biomineralisation (the biological production of minerals through the metabolic processes of different types of microorganisms/ plants) as a soil stabilisation method. The technique was claimed to be environmentally superior to conventional grouts or other common soil stabilisers </w:t>
      </w:r>
      <w:r w:rsidR="00496EF4" w:rsidRPr="00CB7D43">
        <w:rPr>
          <w:lang w:val="en-US"/>
        </w:rPr>
        <w:t>e.g.,</w:t>
      </w:r>
      <w:r w:rsidRPr="00CB7D43">
        <w:rPr>
          <w:lang w:val="en-US"/>
        </w:rPr>
        <w:t xml:space="preserve"> cement or lime (linked to high CO</w:t>
      </w:r>
      <w:r w:rsidRPr="00CB7D43">
        <w:rPr>
          <w:vertAlign w:val="subscript"/>
          <w:lang w:val="en-US"/>
        </w:rPr>
        <w:t>2</w:t>
      </w:r>
      <w:r w:rsidRPr="00CB7D43">
        <w:rPr>
          <w:lang w:val="en-US"/>
        </w:rPr>
        <w:t xml:space="preserve"> emissions) and potentially more sustainable overall, </w:t>
      </w:r>
      <w:bookmarkEnd w:id="1"/>
      <w:r w:rsidRPr="00CB7D43">
        <w:rPr>
          <w:lang w:val="en-US"/>
        </w:rPr>
        <w:t xml:space="preserve">since the non-pathogenic micro-organisms used are natural, readily available and renewable (DeJong </w:t>
      </w:r>
      <w:r w:rsidRPr="00CB7D43">
        <w:rPr>
          <w:lang w:val="en-US"/>
        </w:rPr>
        <w:lastRenderedPageBreak/>
        <w:t>et al, 2013). A major challenge however is finding suitable ways to implement treatments under existing infrastructure, as pressure injection can often lead to non-uniform mineral precipitation.</w:t>
      </w:r>
    </w:p>
    <w:p w14:paraId="40CA9A9D" w14:textId="4ED55981" w:rsidR="00DE52C9" w:rsidRPr="00CB7D43" w:rsidRDefault="00CB7D43" w:rsidP="00846904">
      <w:pPr>
        <w:rPr>
          <w:lang w:val="en-US"/>
        </w:rPr>
      </w:pPr>
      <w:r w:rsidRPr="00CB7D43">
        <w:rPr>
          <w:lang w:val="en-US"/>
        </w:rPr>
        <w:t>Recent work funded by Network Rail, proved biocementation of a problematic organic foundation soil of UK railway embankments</w:t>
      </w:r>
      <w:r w:rsidR="00F9258E">
        <w:rPr>
          <w:lang w:val="en-US"/>
        </w:rPr>
        <w:t xml:space="preserve"> (causing severe settlements)</w:t>
      </w:r>
      <w:r w:rsidRPr="00CB7D43">
        <w:rPr>
          <w:lang w:val="en-US"/>
        </w:rPr>
        <w:t xml:space="preserve">, using </w:t>
      </w:r>
      <w:r w:rsidRPr="00CB7D43">
        <w:t xml:space="preserve">non-pathogenic, indigenous </w:t>
      </w:r>
      <w:proofErr w:type="spellStart"/>
      <w:r w:rsidRPr="00CB7D43">
        <w:t>ureolytic</w:t>
      </w:r>
      <w:proofErr w:type="spellEnd"/>
      <w:r w:rsidRPr="00CB7D43">
        <w:t xml:space="preserve"> bacteria extracted from the </w:t>
      </w:r>
      <w:r w:rsidRPr="00CB7D43">
        <w:rPr>
          <w:i/>
        </w:rPr>
        <w:t>in situ</w:t>
      </w:r>
      <w:r w:rsidRPr="00CB7D43">
        <w:t xml:space="preserve"> soil (Mavroulidou et al, 2019; Safdar et al, 2020</w:t>
      </w:r>
      <w:r>
        <w:t>a,b</w:t>
      </w:r>
      <w:r w:rsidRPr="00CB7D43">
        <w:t xml:space="preserve">). This paper focuses on the effect of different treatment implementation techniques in successfully </w:t>
      </w:r>
      <w:proofErr w:type="spellStart"/>
      <w:r w:rsidRPr="00CB7D43">
        <w:t>biocementing</w:t>
      </w:r>
      <w:proofErr w:type="spellEnd"/>
      <w:r w:rsidRPr="00CB7D43">
        <w:t xml:space="preserve"> the soil</w:t>
      </w:r>
      <w:r w:rsidRPr="00CB7D43">
        <w:rPr>
          <w:lang w:val="en-US"/>
        </w:rPr>
        <w:t>.</w:t>
      </w:r>
      <w:r>
        <w:rPr>
          <w:lang w:val="en-US"/>
        </w:rPr>
        <w:t xml:space="preserve"> </w:t>
      </w:r>
      <w:bookmarkStart w:id="2" w:name="_Hlk67842173"/>
      <w:r>
        <w:rPr>
          <w:lang w:val="en-US"/>
        </w:rPr>
        <w:t>The success of the techniques is discussed in terms of a) Unconfined compressive strength (UCS); b) CaCO</w:t>
      </w:r>
      <w:r w:rsidRPr="00A26EAB">
        <w:rPr>
          <w:vertAlign w:val="subscript"/>
          <w:lang w:val="en-US"/>
        </w:rPr>
        <w:t>3</w:t>
      </w:r>
      <w:r>
        <w:rPr>
          <w:lang w:val="en-US"/>
        </w:rPr>
        <w:t xml:space="preserve"> precipitation and c) compressibility characteristics.</w:t>
      </w:r>
      <w:bookmarkEnd w:id="2"/>
    </w:p>
    <w:p w14:paraId="379A5725" w14:textId="1573AD91" w:rsidR="00DE52C9" w:rsidRPr="00B2690C" w:rsidRDefault="00727BE4" w:rsidP="00CF0787">
      <w:pPr>
        <w:pStyle w:val="Heading1"/>
      </w:pPr>
      <w:r>
        <w:t>Materials and methods</w:t>
      </w:r>
    </w:p>
    <w:p w14:paraId="11A06222" w14:textId="6DC13063" w:rsidR="00E84B07" w:rsidRPr="00E84B07" w:rsidRDefault="00775B0A" w:rsidP="00E84B07">
      <w:pPr>
        <w:numPr>
          <w:ilvl w:val="1"/>
          <w:numId w:val="1"/>
        </w:numPr>
        <w:rPr>
          <w:b/>
          <w:bCs/>
          <w:iCs/>
          <w:sz w:val="22"/>
          <w:lang w:val="en-US"/>
        </w:rPr>
      </w:pPr>
      <w:r>
        <w:rPr>
          <w:b/>
          <w:bCs/>
          <w:iCs/>
          <w:sz w:val="22"/>
          <w:lang w:val="en-US"/>
        </w:rPr>
        <w:t>Soil type and treatments</w:t>
      </w:r>
    </w:p>
    <w:p w14:paraId="04F0B416" w14:textId="729A69B6" w:rsidR="00E84B07" w:rsidRDefault="00235F1F" w:rsidP="006E5DAA">
      <w:r w:rsidRPr="00235F1F">
        <w:t xml:space="preserve">The soil used in </w:t>
      </w:r>
      <w:r w:rsidRPr="00235F1F">
        <w:rPr>
          <w:lang w:val="is-IS"/>
        </w:rPr>
        <w:t>this study came</w:t>
      </w:r>
      <w:r w:rsidRPr="00235F1F">
        <w:t xml:space="preserve"> </w:t>
      </w:r>
      <w:r w:rsidRPr="00235F1F">
        <w:rPr>
          <w:lang w:val="is-IS"/>
        </w:rPr>
        <w:t>from two boreholes at an East Anglian railway site</w:t>
      </w:r>
      <w:r w:rsidR="008C2A43">
        <w:rPr>
          <w:lang w:val="is-IS"/>
        </w:rPr>
        <w:t xml:space="preserve"> in the UK</w:t>
      </w:r>
      <w:r w:rsidRPr="00235F1F">
        <w:t xml:space="preserve">. It was </w:t>
      </w:r>
      <w:r w:rsidRPr="00235F1F">
        <w:rPr>
          <w:lang w:val="en-US"/>
        </w:rPr>
        <w:t>dark grayish brown</w:t>
      </w:r>
      <w:r w:rsidRPr="00235F1F">
        <w:t>, had a 50.8% organic matter content, 55.5% natural water content</w:t>
      </w:r>
      <w:r w:rsidRPr="00235F1F">
        <w:rPr>
          <w:lang w:val="is-IS"/>
        </w:rPr>
        <w:t xml:space="preserve"> (consistent with a humified/decomposed organic soil)</w:t>
      </w:r>
      <w:r w:rsidRPr="00235F1F">
        <w:t xml:space="preserve">, </w:t>
      </w:r>
      <w:r w:rsidR="004A214B">
        <w:t xml:space="preserve">a </w:t>
      </w:r>
      <w:r w:rsidRPr="00235F1F">
        <w:t xml:space="preserve">quasi-neutral pH (7.15) and Liquid Limit and Plastic Limit of 101% and 63% respectively. </w:t>
      </w:r>
      <w:r w:rsidRPr="00235F1F">
        <w:rPr>
          <w:lang w:val="is-IS"/>
        </w:rPr>
        <w:t xml:space="preserve">The soil was identified as amorphous peat. </w:t>
      </w:r>
      <w:r>
        <w:rPr>
          <w:lang w:val="is-IS"/>
        </w:rPr>
        <w:t>Details on the physico-chemical soil characteristics can be found in Safdar et al, (2000a)</w:t>
      </w:r>
      <w:r w:rsidR="008C2A43">
        <w:rPr>
          <w:lang w:val="is-IS"/>
        </w:rPr>
        <w:t xml:space="preserve">. </w:t>
      </w:r>
      <w:r w:rsidRPr="00235F1F">
        <w:rPr>
          <w:lang w:val="is-IS"/>
        </w:rPr>
        <w:t xml:space="preserve">Following a microbiological study </w:t>
      </w:r>
      <w:r>
        <w:rPr>
          <w:lang w:val="is-IS"/>
        </w:rPr>
        <w:t xml:space="preserve">described in detail in </w:t>
      </w:r>
      <w:r w:rsidRPr="00235F1F">
        <w:rPr>
          <w:lang w:val="is-IS"/>
        </w:rPr>
        <w:t>Safdar et al</w:t>
      </w:r>
      <w:r>
        <w:rPr>
          <w:lang w:val="is-IS"/>
        </w:rPr>
        <w:t>.</w:t>
      </w:r>
      <w:r w:rsidRPr="00235F1F">
        <w:rPr>
          <w:lang w:val="is-IS"/>
        </w:rPr>
        <w:t xml:space="preserve"> </w:t>
      </w:r>
      <w:r>
        <w:rPr>
          <w:lang w:val="is-IS"/>
        </w:rPr>
        <w:t>(</w:t>
      </w:r>
      <w:r w:rsidRPr="00235F1F">
        <w:rPr>
          <w:lang w:val="is-IS"/>
        </w:rPr>
        <w:t>2020</w:t>
      </w:r>
      <w:r>
        <w:rPr>
          <w:lang w:val="is-IS"/>
        </w:rPr>
        <w:t>a,b</w:t>
      </w:r>
      <w:r w:rsidRPr="00235F1F">
        <w:rPr>
          <w:lang w:val="is-IS"/>
        </w:rPr>
        <w:t>) four ureolytic indigenous strains were identified as possible candidates for biocementation of the soil</w:t>
      </w:r>
      <w:r w:rsidR="004A214B">
        <w:rPr>
          <w:lang w:val="is-IS"/>
        </w:rPr>
        <w:t xml:space="preserve"> (</w:t>
      </w:r>
      <w:r w:rsidRPr="00235F1F">
        <w:rPr>
          <w:lang w:val="is-IS"/>
        </w:rPr>
        <w:t xml:space="preserve">through microbially induced </w:t>
      </w:r>
      <w:r w:rsidR="004A214B">
        <w:rPr>
          <w:lang w:val="is-IS"/>
        </w:rPr>
        <w:t>CaCO</w:t>
      </w:r>
      <w:r w:rsidR="004A214B" w:rsidRPr="004A214B">
        <w:rPr>
          <w:vertAlign w:val="subscript"/>
          <w:lang w:val="is-IS"/>
        </w:rPr>
        <w:t>3</w:t>
      </w:r>
      <w:r w:rsidRPr="00235F1F">
        <w:rPr>
          <w:lang w:val="is-IS"/>
        </w:rPr>
        <w:t xml:space="preserve"> precipitation</w:t>
      </w:r>
      <w:r w:rsidR="004A214B">
        <w:rPr>
          <w:lang w:val="is-IS"/>
        </w:rPr>
        <w:t>)</w:t>
      </w:r>
      <w:r>
        <w:rPr>
          <w:lang w:val="is-IS"/>
        </w:rPr>
        <w:t>.</w:t>
      </w:r>
      <w:r w:rsidR="00F8049A">
        <w:rPr>
          <w:lang w:val="is-IS"/>
        </w:rPr>
        <w:t xml:space="preserve"> These were </w:t>
      </w:r>
      <w:r w:rsidR="00F8049A" w:rsidRPr="00F8049A">
        <w:rPr>
          <w:i/>
        </w:rPr>
        <w:t xml:space="preserve">Bacillus licheniformis, </w:t>
      </w:r>
      <w:proofErr w:type="spellStart"/>
      <w:r w:rsidR="00F8049A" w:rsidRPr="00F8049A">
        <w:rPr>
          <w:i/>
        </w:rPr>
        <w:t>Rhodococcus</w:t>
      </w:r>
      <w:proofErr w:type="spellEnd"/>
      <w:r w:rsidR="00F8049A" w:rsidRPr="00F8049A">
        <w:rPr>
          <w:i/>
        </w:rPr>
        <w:t xml:space="preserve"> </w:t>
      </w:r>
      <w:proofErr w:type="spellStart"/>
      <w:r w:rsidR="00F8049A" w:rsidRPr="00F8049A">
        <w:rPr>
          <w:i/>
        </w:rPr>
        <w:t>erythropolis</w:t>
      </w:r>
      <w:proofErr w:type="spellEnd"/>
      <w:r w:rsidR="00F8049A" w:rsidRPr="00F8049A">
        <w:rPr>
          <w:i/>
        </w:rPr>
        <w:t xml:space="preserve">, Micrococcus luteus, and </w:t>
      </w:r>
      <w:proofErr w:type="spellStart"/>
      <w:r w:rsidR="00F8049A" w:rsidRPr="00F8049A">
        <w:rPr>
          <w:i/>
        </w:rPr>
        <w:t>Lysinibacillus</w:t>
      </w:r>
      <w:proofErr w:type="spellEnd"/>
      <w:r w:rsidR="00F8049A" w:rsidRPr="00F8049A">
        <w:rPr>
          <w:i/>
        </w:rPr>
        <w:t xml:space="preserve"> fusiformis</w:t>
      </w:r>
      <w:r w:rsidR="006E5DAA">
        <w:rPr>
          <w:i/>
        </w:rPr>
        <w:t>,</w:t>
      </w:r>
      <w:r w:rsidR="006E5DAA" w:rsidRPr="006E5DAA">
        <w:t xml:space="preserve"> </w:t>
      </w:r>
      <w:r w:rsidR="006E5DAA" w:rsidRPr="006E5DAA">
        <w:rPr>
          <w:iCs/>
        </w:rPr>
        <w:t>all of  biosafety level (BSL) 1 i.e., not known to consistently cause disease in healthy adults, and of minimal potential hazard to laboratory workers and the environment (U.S. Department of Health and Human Services (CDC/NIH, 2007</w:t>
      </w:r>
      <w:r w:rsidR="004A214B">
        <w:rPr>
          <w:iCs/>
        </w:rPr>
        <w:t>)</w:t>
      </w:r>
      <w:r w:rsidR="006E5DAA" w:rsidRPr="006E5DAA">
        <w:rPr>
          <w:iCs/>
        </w:rPr>
        <w:t>)</w:t>
      </w:r>
      <w:r w:rsidR="00F8049A" w:rsidRPr="006E5DAA">
        <w:rPr>
          <w:iCs/>
        </w:rPr>
        <w:t>.</w:t>
      </w:r>
      <w:r w:rsidR="00F8049A">
        <w:rPr>
          <w:lang w:val="is-IS"/>
        </w:rPr>
        <w:t xml:space="preserve"> </w:t>
      </w:r>
      <w:r w:rsidR="00E84B07" w:rsidRPr="00E84B07">
        <w:t>For the hydromechanical property testing, all the test strains were cultivated at pH 7 under aerobic batch conditions in a sterile culture medium of Nutrient Broth (</w:t>
      </w:r>
      <w:proofErr w:type="spellStart"/>
      <w:r w:rsidR="00E84B07" w:rsidRPr="00E84B07">
        <w:t>Oxoid</w:t>
      </w:r>
      <w:proofErr w:type="spellEnd"/>
      <w:r w:rsidR="00E84B07" w:rsidRPr="00E84B07">
        <w:t xml:space="preserve">, UK) </w:t>
      </w:r>
      <w:r w:rsidR="00DC1AB7" w:rsidRPr="00DC1AB7">
        <w:rPr>
          <w:lang w:val="en-US"/>
        </w:rPr>
        <w:t>consisting of 5 g/l</w:t>
      </w:r>
      <w:r w:rsidR="00DC1AB7">
        <w:rPr>
          <w:lang w:val="en-US"/>
        </w:rPr>
        <w:t xml:space="preserve"> </w:t>
      </w:r>
      <w:r w:rsidR="00DC1AB7" w:rsidRPr="00DC1AB7">
        <w:rPr>
          <w:lang w:val="en-US"/>
        </w:rPr>
        <w:t>peptone, 5 g/l sodium chloride, 2 g/l yeast extract and 1 g/l</w:t>
      </w:r>
      <w:r w:rsidR="00DC1AB7">
        <w:rPr>
          <w:lang w:val="en-US"/>
        </w:rPr>
        <w:t xml:space="preserve"> </w:t>
      </w:r>
      <w:r w:rsidR="00DC1AB7" w:rsidRPr="00DC1AB7">
        <w:rPr>
          <w:lang w:val="en-US"/>
        </w:rPr>
        <w:t xml:space="preserve">beef extract. Incubation was performed </w:t>
      </w:r>
      <w:r w:rsidR="00E84B07" w:rsidRPr="00E84B07">
        <w:t xml:space="preserve">in a shaking incubator at 200 rpm and 37 °C. The strains were grown to an early stationary phase i.e., Optical Density (OD): OD600 ranging from 0.5-0.7 (measured using a Pharmacia LKB </w:t>
      </w:r>
      <w:proofErr w:type="spellStart"/>
      <w:r w:rsidR="00E84B07" w:rsidRPr="00E84B07">
        <w:t>Novaspec</w:t>
      </w:r>
      <w:proofErr w:type="spellEnd"/>
      <w:r w:rsidR="00E84B07" w:rsidRPr="00E84B07">
        <w:t xml:space="preserve"> II spectrophotometer of 325-900 nm Wavelength Range)</w:t>
      </w:r>
      <w:r w:rsidR="00E84B07">
        <w:t>. T</w:t>
      </w:r>
      <w:r w:rsidR="00E84B07" w:rsidRPr="00E84B07">
        <w:t>hey were then harvested by centrifuging at 8000g for 10 minutes to achieve the final concentration of approximately 1x10</w:t>
      </w:r>
      <w:r w:rsidR="00E84B07" w:rsidRPr="00E84B07">
        <w:rPr>
          <w:vertAlign w:val="superscript"/>
        </w:rPr>
        <w:t>8</w:t>
      </w:r>
      <w:r w:rsidR="00E84B07" w:rsidRPr="00E84B07">
        <w:t xml:space="preserve"> </w:t>
      </w:r>
      <w:proofErr w:type="spellStart"/>
      <w:r w:rsidR="00E84B07" w:rsidRPr="00E84B07">
        <w:t>cfu</w:t>
      </w:r>
      <w:proofErr w:type="spellEnd"/>
      <w:r w:rsidR="00E84B07" w:rsidRPr="00E84B07">
        <w:t>/mL (optical density 3.3</w:t>
      </w:r>
      <w:r w:rsidR="004F4BCA">
        <w:t>).</w:t>
      </w:r>
    </w:p>
    <w:p w14:paraId="28D6712A" w14:textId="77777777" w:rsidR="004A214B" w:rsidRDefault="004A214B" w:rsidP="006E5DAA"/>
    <w:p w14:paraId="4527B616" w14:textId="046F0332" w:rsidR="00ED26BA" w:rsidRPr="00E84B07" w:rsidRDefault="00015CBB" w:rsidP="00E84B07">
      <w:pPr>
        <w:rPr>
          <w:lang w:val="en-US"/>
        </w:rPr>
      </w:pPr>
      <w:r>
        <w:rPr>
          <w:lang w:val="en-US"/>
        </w:rPr>
        <w:t xml:space="preserve">The cementing reagents used </w:t>
      </w:r>
      <w:r w:rsidR="001A760C">
        <w:rPr>
          <w:lang w:val="en-US"/>
        </w:rPr>
        <w:t xml:space="preserve">in this study </w:t>
      </w:r>
      <w:r>
        <w:rPr>
          <w:lang w:val="en-US"/>
        </w:rPr>
        <w:t>were e</w:t>
      </w:r>
      <w:r w:rsidR="00ED26BA">
        <w:rPr>
          <w:lang w:val="en-US"/>
        </w:rPr>
        <w:t xml:space="preserve">quimolar </w:t>
      </w:r>
      <w:r w:rsidR="001A760C">
        <w:rPr>
          <w:lang w:val="en-US"/>
        </w:rPr>
        <w:t xml:space="preserve">(1M) </w:t>
      </w:r>
      <w:r w:rsidR="00ED26BA" w:rsidRPr="00ED26BA">
        <w:t>concentrations of urea and calcium chloride mixed</w:t>
      </w:r>
      <w:r w:rsidR="004A214B">
        <w:t xml:space="preserve"> together in one solution</w:t>
      </w:r>
      <w:r w:rsidR="00ED26BA" w:rsidRPr="00ED26BA">
        <w:t>.</w:t>
      </w:r>
      <w:r w:rsidR="009B19B9" w:rsidRPr="009B19B9">
        <w:rPr>
          <w:lang w:val="en-US"/>
        </w:rPr>
        <w:t xml:space="preserve"> </w:t>
      </w:r>
      <w:bookmarkStart w:id="3" w:name="_Hlk67854503"/>
      <w:r w:rsidR="001A760C">
        <w:rPr>
          <w:lang w:val="en-US"/>
        </w:rPr>
        <w:t>Different</w:t>
      </w:r>
      <w:r w:rsidR="00444FCE">
        <w:rPr>
          <w:lang w:val="en-US"/>
        </w:rPr>
        <w:t xml:space="preserve"> </w:t>
      </w:r>
      <w:r w:rsidR="001A760C">
        <w:rPr>
          <w:lang w:val="en-US"/>
        </w:rPr>
        <w:t xml:space="preserve">equimolar </w:t>
      </w:r>
      <w:r w:rsidR="00444FCE">
        <w:rPr>
          <w:lang w:val="en-US"/>
        </w:rPr>
        <w:t xml:space="preserve">concentrations were </w:t>
      </w:r>
      <w:r w:rsidR="001A760C">
        <w:rPr>
          <w:lang w:val="en-US"/>
        </w:rPr>
        <w:t xml:space="preserve">also </w:t>
      </w:r>
      <w:r w:rsidR="00444FCE">
        <w:rPr>
          <w:lang w:val="en-US"/>
        </w:rPr>
        <w:t xml:space="preserve">considered in a parametric study described in Mavroulidou et al, </w:t>
      </w:r>
      <w:r w:rsidR="00315648">
        <w:rPr>
          <w:lang w:val="en-US"/>
        </w:rPr>
        <w:t xml:space="preserve">(2019) and </w:t>
      </w:r>
      <w:r w:rsidR="00444FCE">
        <w:rPr>
          <w:lang w:val="en-US"/>
        </w:rPr>
        <w:t>Safdar et al (2020</w:t>
      </w:r>
      <w:r w:rsidR="00315648">
        <w:rPr>
          <w:lang w:val="en-US"/>
        </w:rPr>
        <w:t>a</w:t>
      </w:r>
      <w:r w:rsidR="00444FCE">
        <w:rPr>
          <w:lang w:val="en-US"/>
        </w:rPr>
        <w:t xml:space="preserve">). </w:t>
      </w:r>
      <w:r w:rsidR="009B19B9" w:rsidRPr="00E84B07">
        <w:rPr>
          <w:lang w:val="en-US"/>
        </w:rPr>
        <w:t xml:space="preserve">Cementation reagent </w:t>
      </w:r>
      <w:r w:rsidR="009B19B9">
        <w:rPr>
          <w:lang w:val="en-US"/>
        </w:rPr>
        <w:t xml:space="preserve">solutions (or in the case of control samples, nutrient </w:t>
      </w:r>
      <w:proofErr w:type="spellStart"/>
      <w:r w:rsidR="009B19B9">
        <w:rPr>
          <w:lang w:val="en-US"/>
        </w:rPr>
        <w:t>solution</w:t>
      </w:r>
      <w:r w:rsidR="004A214B">
        <w:rPr>
          <w:lang w:val="en-US"/>
        </w:rPr>
        <w:t>+bacteria</w:t>
      </w:r>
      <w:proofErr w:type="spellEnd"/>
      <w:r w:rsidR="00213FCD">
        <w:rPr>
          <w:lang w:val="en-US"/>
        </w:rPr>
        <w:t xml:space="preserve"> without cementing reagents</w:t>
      </w:r>
      <w:r w:rsidR="009B19B9">
        <w:rPr>
          <w:lang w:val="en-US"/>
        </w:rPr>
        <w:t xml:space="preserve">) </w:t>
      </w:r>
      <w:r w:rsidR="009B19B9" w:rsidRPr="00E84B07">
        <w:rPr>
          <w:lang w:val="en-US"/>
        </w:rPr>
        <w:t xml:space="preserve">15 % by weight of the </w:t>
      </w:r>
      <w:r w:rsidR="00213FCD">
        <w:rPr>
          <w:lang w:val="en-US"/>
        </w:rPr>
        <w:t xml:space="preserve">dry </w:t>
      </w:r>
      <w:r w:rsidR="009B19B9" w:rsidRPr="00E84B07">
        <w:rPr>
          <w:lang w:val="en-US"/>
        </w:rPr>
        <w:t xml:space="preserve">soil </w:t>
      </w:r>
      <w:r w:rsidR="00213FCD">
        <w:rPr>
          <w:lang w:val="en-US"/>
        </w:rPr>
        <w:t>mass</w:t>
      </w:r>
      <w:r w:rsidR="009B19B9" w:rsidRPr="00E84B07">
        <w:rPr>
          <w:lang w:val="en-US"/>
        </w:rPr>
        <w:t xml:space="preserve"> w</w:t>
      </w:r>
      <w:r w:rsidR="004A214B">
        <w:rPr>
          <w:lang w:val="en-US"/>
        </w:rPr>
        <w:t>ere</w:t>
      </w:r>
      <w:r w:rsidR="009B19B9" w:rsidRPr="00E84B07">
        <w:rPr>
          <w:lang w:val="en-US"/>
        </w:rPr>
        <w:t xml:space="preserve"> then added into the soil</w:t>
      </w:r>
      <w:r w:rsidR="009A06AE">
        <w:rPr>
          <w:lang w:val="en-US"/>
        </w:rPr>
        <w:t xml:space="preserve"> for all implementation techniques. S</w:t>
      </w:r>
      <w:r w:rsidR="009B19B9" w:rsidRPr="00E84B07">
        <w:rPr>
          <w:lang w:val="en-US"/>
        </w:rPr>
        <w:t xml:space="preserve">amples were </w:t>
      </w:r>
      <w:r w:rsidR="00213FCD">
        <w:rPr>
          <w:lang w:val="en-US"/>
        </w:rPr>
        <w:t xml:space="preserve">then </w:t>
      </w:r>
      <w:r w:rsidR="009B19B9" w:rsidRPr="00E84B07">
        <w:rPr>
          <w:lang w:val="en-US"/>
        </w:rPr>
        <w:t>compact</w:t>
      </w:r>
      <w:r w:rsidR="00213FCD">
        <w:rPr>
          <w:lang w:val="en-US"/>
        </w:rPr>
        <w:t>ed statically</w:t>
      </w:r>
      <w:r w:rsidR="009B19B9" w:rsidRPr="00E84B07">
        <w:rPr>
          <w:lang w:val="en-US"/>
        </w:rPr>
        <w:t xml:space="preserve"> </w:t>
      </w:r>
      <w:r w:rsidR="00213FCD" w:rsidRPr="00E84B07">
        <w:rPr>
          <w:lang w:val="en-US"/>
        </w:rPr>
        <w:t>to the original field dry density of 0.</w:t>
      </w:r>
      <w:r w:rsidR="00213FCD">
        <w:rPr>
          <w:lang w:val="en-US"/>
        </w:rPr>
        <w:t>919</w:t>
      </w:r>
      <w:r w:rsidR="00213FCD" w:rsidRPr="00E84B07">
        <w:rPr>
          <w:lang w:val="en-US"/>
        </w:rPr>
        <w:t xml:space="preserve"> g/cm</w:t>
      </w:r>
      <w:r w:rsidR="00213FCD" w:rsidRPr="00E84B07">
        <w:rPr>
          <w:vertAlign w:val="superscript"/>
          <w:lang w:val="en-US"/>
        </w:rPr>
        <w:t>3</w:t>
      </w:r>
      <w:r w:rsidR="00213FCD">
        <w:rPr>
          <w:lang w:val="en-US"/>
        </w:rPr>
        <w:t>, a</w:t>
      </w:r>
      <w:r w:rsidR="009B19B9" w:rsidRPr="00E84B07">
        <w:rPr>
          <w:lang w:val="en-US"/>
        </w:rPr>
        <w:t xml:space="preserve">t a rate of 1mm/min. The samples were wrapped </w:t>
      </w:r>
      <w:r w:rsidR="004A214B">
        <w:rPr>
          <w:lang w:val="en-US"/>
        </w:rPr>
        <w:t>in</w:t>
      </w:r>
      <w:r w:rsidR="009B19B9" w:rsidRPr="00E84B07">
        <w:rPr>
          <w:lang w:val="en-US"/>
        </w:rPr>
        <w:t xml:space="preserve"> cling film and were tested after </w:t>
      </w:r>
      <w:r w:rsidR="00213FCD">
        <w:rPr>
          <w:lang w:val="en-US"/>
        </w:rPr>
        <w:t xml:space="preserve">constant moisture </w:t>
      </w:r>
      <w:r w:rsidR="009B19B9" w:rsidRPr="00E84B07">
        <w:rPr>
          <w:lang w:val="en-US"/>
        </w:rPr>
        <w:t>curing.</w:t>
      </w:r>
      <w:bookmarkEnd w:id="3"/>
    </w:p>
    <w:p w14:paraId="092DBE79" w14:textId="3AF0E5EC" w:rsidR="00E84B07" w:rsidRPr="00E84B07" w:rsidRDefault="00E84B07" w:rsidP="00235F1F"/>
    <w:p w14:paraId="7C2AEA53" w14:textId="6A0262C4" w:rsidR="00E84B07" w:rsidRPr="00E84B07" w:rsidRDefault="00E84B07" w:rsidP="00E84B07">
      <w:pPr>
        <w:numPr>
          <w:ilvl w:val="1"/>
          <w:numId w:val="1"/>
        </w:numPr>
        <w:rPr>
          <w:b/>
          <w:bCs/>
          <w:iCs/>
          <w:sz w:val="22"/>
          <w:lang w:val="en-US"/>
        </w:rPr>
      </w:pPr>
      <w:bookmarkStart w:id="4" w:name="_Hlk67853060"/>
      <w:r w:rsidRPr="00E84B07">
        <w:rPr>
          <w:b/>
          <w:bCs/>
          <w:iCs/>
          <w:sz w:val="22"/>
          <w:lang w:val="en-US"/>
        </w:rPr>
        <w:t xml:space="preserve">Implementation methods </w:t>
      </w:r>
    </w:p>
    <w:bookmarkEnd w:id="4"/>
    <w:p w14:paraId="0AA5506C" w14:textId="73187E47" w:rsidR="0094497C" w:rsidRDefault="00E84B07" w:rsidP="00E84B07">
      <w:pPr>
        <w:rPr>
          <w:lang w:val="en-US"/>
        </w:rPr>
      </w:pPr>
      <w:r w:rsidRPr="00235F1F">
        <w:t>Five different treatment implementation methods were used, i.e.</w:t>
      </w:r>
      <w:r w:rsidR="004A214B">
        <w:t>,</w:t>
      </w:r>
      <w:r w:rsidRPr="00235F1F">
        <w:t xml:space="preserve"> </w:t>
      </w:r>
      <w:proofErr w:type="spellStart"/>
      <w:r w:rsidRPr="00235F1F">
        <w:t>biostimulation</w:t>
      </w:r>
      <w:proofErr w:type="spellEnd"/>
      <w:r w:rsidRPr="00235F1F">
        <w:t xml:space="preserve"> (with nutrients </w:t>
      </w:r>
      <w:r w:rsidR="004A214B" w:rsidRPr="00235F1F">
        <w:t>to stimulate native micro-organism growth</w:t>
      </w:r>
      <w:r w:rsidR="004A214B">
        <w:t xml:space="preserve"> a</w:t>
      </w:r>
      <w:r w:rsidR="00C540A5">
        <w:t>nd cementing reagent</w:t>
      </w:r>
      <w:r w:rsidR="00F9258E">
        <w:t xml:space="preserve"> </w:t>
      </w:r>
      <w:r w:rsidRPr="00235F1F">
        <w:t>added in</w:t>
      </w:r>
      <w:r w:rsidR="004A214B">
        <w:t>to</w:t>
      </w:r>
      <w:r w:rsidRPr="00235F1F">
        <w:t xml:space="preserve"> the soil) and four bioaugmentation methods (i.e. supplying precultured microorganisms into the soil to enhance favourable microorganism populations). These were (a) mixing </w:t>
      </w:r>
      <w:r w:rsidR="00213FCD">
        <w:t xml:space="preserve">with the soil </w:t>
      </w:r>
      <w:r w:rsidRPr="00235F1F">
        <w:t xml:space="preserve">both the </w:t>
      </w:r>
      <w:proofErr w:type="spellStart"/>
      <w:r w:rsidRPr="00235F1F">
        <w:t>nutrients+bacteria</w:t>
      </w:r>
      <w:proofErr w:type="spellEnd"/>
      <w:r w:rsidRPr="00235F1F">
        <w:t xml:space="preserve"> solution and the cementing agent solution (urea and calcium chloride); (b) implementation of cementing solution through a </w:t>
      </w:r>
      <w:r w:rsidRPr="00235F1F">
        <w:rPr>
          <w:lang w:val="en-US"/>
        </w:rPr>
        <w:t xml:space="preserve">flow column under light pressure (nutrients+bacteria were premixed in the soil); (c) Electrokinetic (EK) injection of cementing agents with nutrients+bacteria premixed in the soil; (d) full treatment injected </w:t>
      </w:r>
      <w:r w:rsidR="00C540A5">
        <w:rPr>
          <w:lang w:val="en-US"/>
        </w:rPr>
        <w:t>by EK</w:t>
      </w:r>
      <w:r w:rsidRPr="00235F1F">
        <w:rPr>
          <w:lang w:val="en-US"/>
        </w:rPr>
        <w:t xml:space="preserve"> (i.e.</w:t>
      </w:r>
      <w:r w:rsidR="00F26B6F">
        <w:rPr>
          <w:lang w:val="en-US"/>
        </w:rPr>
        <w:t>,</w:t>
      </w:r>
      <w:r w:rsidRPr="00235F1F">
        <w:rPr>
          <w:lang w:val="en-US"/>
        </w:rPr>
        <w:t xml:space="preserve"> nutrients+bacteria and cementing agents). Bacteria were initially premixed to prove biocementation for this soil, circumventing bacteria delivery complications</w:t>
      </w:r>
      <w:r w:rsidR="00F9258E">
        <w:rPr>
          <w:lang w:val="en-US"/>
        </w:rPr>
        <w:t xml:space="preserve"> and ensuring better uniformity of treatments</w:t>
      </w:r>
      <w:r w:rsidRPr="00235F1F">
        <w:rPr>
          <w:lang w:val="en-US"/>
        </w:rPr>
        <w:t xml:space="preserve">. Mixing is however unfeasible </w:t>
      </w:r>
      <w:r>
        <w:rPr>
          <w:lang w:val="en-US"/>
        </w:rPr>
        <w:t xml:space="preserve">under existing </w:t>
      </w:r>
      <w:r w:rsidR="00F9258E">
        <w:rPr>
          <w:lang w:val="en-US"/>
        </w:rPr>
        <w:t>embankments</w:t>
      </w:r>
      <w:r>
        <w:rPr>
          <w:lang w:val="en-US"/>
        </w:rPr>
        <w:t xml:space="preserve"> unless </w:t>
      </w:r>
      <w:r w:rsidR="00315648">
        <w:rPr>
          <w:lang w:val="en-US"/>
        </w:rPr>
        <w:t xml:space="preserve">deep </w:t>
      </w:r>
      <w:r>
        <w:rPr>
          <w:lang w:val="en-US"/>
        </w:rPr>
        <w:t>mixing is used with especially designed augers to fit within the rails.</w:t>
      </w:r>
    </w:p>
    <w:p w14:paraId="1ED84BFA" w14:textId="77777777" w:rsidR="0094497C" w:rsidRDefault="0094497C">
      <w:pPr>
        <w:spacing w:after="0" w:line="240" w:lineRule="auto"/>
        <w:jc w:val="left"/>
        <w:rPr>
          <w:lang w:val="en-US"/>
        </w:rPr>
      </w:pPr>
      <w:r>
        <w:rPr>
          <w:lang w:val="en-US"/>
        </w:rPr>
        <w:br w:type="page"/>
      </w:r>
    </w:p>
    <w:p w14:paraId="09C85DBE" w14:textId="472621D1" w:rsidR="00E84B07" w:rsidRPr="00E84B07" w:rsidRDefault="00E84B07" w:rsidP="00E84B07">
      <w:pPr>
        <w:numPr>
          <w:ilvl w:val="2"/>
          <w:numId w:val="1"/>
        </w:numPr>
        <w:rPr>
          <w:b/>
          <w:bCs/>
          <w:iCs/>
        </w:rPr>
      </w:pPr>
      <w:r w:rsidRPr="00E84B07">
        <w:rPr>
          <w:b/>
          <w:bCs/>
          <w:iCs/>
          <w:szCs w:val="20"/>
          <w:lang w:val="en-US"/>
        </w:rPr>
        <w:lastRenderedPageBreak/>
        <w:t>Mixing Method</w:t>
      </w:r>
    </w:p>
    <w:p w14:paraId="1B9D99F9" w14:textId="4512EABA" w:rsidR="009F4CD0" w:rsidRDefault="00F26B6F" w:rsidP="00E84B07">
      <w:pPr>
        <w:rPr>
          <w:lang w:val="en-US"/>
        </w:rPr>
      </w:pPr>
      <w:r>
        <w:rPr>
          <w:lang w:val="en-US"/>
        </w:rPr>
        <w:t>During implementation by mixing, t</w:t>
      </w:r>
      <w:r w:rsidR="00E84B07" w:rsidRPr="00E84B07">
        <w:rPr>
          <w:lang w:val="en-US"/>
        </w:rPr>
        <w:t xml:space="preserve">he soil was mixed with each culture medium containing the urease-producing bacteria, having </w:t>
      </w:r>
      <w:r>
        <w:rPr>
          <w:lang w:val="en-US"/>
        </w:rPr>
        <w:t xml:space="preserve">a </w:t>
      </w:r>
      <w:r w:rsidR="00E84B07" w:rsidRPr="00E84B07">
        <w:rPr>
          <w:lang w:val="en-US"/>
        </w:rPr>
        <w:t>concentration of 1 x 10</w:t>
      </w:r>
      <w:r w:rsidR="00E84B07" w:rsidRPr="00E84B07">
        <w:rPr>
          <w:vertAlign w:val="superscript"/>
          <w:lang w:val="en-US"/>
        </w:rPr>
        <w:t>8</w:t>
      </w:r>
      <w:r w:rsidR="00E84B07" w:rsidRPr="00E84B07">
        <w:rPr>
          <w:lang w:val="en-US"/>
        </w:rPr>
        <w:t xml:space="preserve"> cfu/mL. After thorough mixing with bacteria</w:t>
      </w:r>
      <w:r w:rsidR="00213FCD">
        <w:rPr>
          <w:lang w:val="en-US"/>
        </w:rPr>
        <w:t>,</w:t>
      </w:r>
      <w:r w:rsidR="00E84B07" w:rsidRPr="00E84B07">
        <w:rPr>
          <w:lang w:val="en-US"/>
        </w:rPr>
        <w:t xml:space="preserve"> the samples were kept in air</w:t>
      </w:r>
      <w:r w:rsidR="00E84B07">
        <w:rPr>
          <w:lang w:val="en-US"/>
        </w:rPr>
        <w:t>-</w:t>
      </w:r>
      <w:r w:rsidR="00E84B07" w:rsidRPr="00E84B07">
        <w:rPr>
          <w:lang w:val="en-US"/>
        </w:rPr>
        <w:t>tight container</w:t>
      </w:r>
      <w:r w:rsidR="00E84B07">
        <w:rPr>
          <w:lang w:val="en-US"/>
        </w:rPr>
        <w:t>s</w:t>
      </w:r>
      <w:r w:rsidR="00E84B07" w:rsidRPr="00E84B07">
        <w:rPr>
          <w:lang w:val="en-US"/>
        </w:rPr>
        <w:t xml:space="preserve"> for 24 hours to attain homogeneity of the microorganisms throughout the specimen.</w:t>
      </w:r>
      <w:r w:rsidR="009B19B9" w:rsidRPr="009B19B9">
        <w:rPr>
          <w:lang w:val="en-US"/>
        </w:rPr>
        <w:t xml:space="preserve"> Cementation reagent solutions 15 % by weight of the soil sample (made with equimolar concentrations of urea and calcium chloride prepared in Nutrient Broth) w</w:t>
      </w:r>
      <w:r w:rsidR="00213FCD">
        <w:rPr>
          <w:lang w:val="en-US"/>
        </w:rPr>
        <w:t>ere</w:t>
      </w:r>
      <w:r w:rsidR="009B19B9" w:rsidRPr="009B19B9">
        <w:rPr>
          <w:lang w:val="en-US"/>
        </w:rPr>
        <w:t xml:space="preserve"> then added into the soil. The cementation reagent was added and mixed thoroughly in three equal portions i.e., each 24 hours, and the samples were again kept in </w:t>
      </w:r>
      <w:r w:rsidR="00213FCD">
        <w:rPr>
          <w:lang w:val="en-US"/>
        </w:rPr>
        <w:t xml:space="preserve">an </w:t>
      </w:r>
      <w:r w:rsidR="009B19B9" w:rsidRPr="009B19B9">
        <w:rPr>
          <w:lang w:val="en-US"/>
        </w:rPr>
        <w:t>air-tight container for treatment for 7 days (starting from the mixing of microorganisms)</w:t>
      </w:r>
      <w:r w:rsidR="004043B1">
        <w:rPr>
          <w:lang w:val="en-US"/>
        </w:rPr>
        <w:t xml:space="preserve">; then </w:t>
      </w:r>
      <w:r w:rsidR="009B19B9" w:rsidRPr="009B19B9">
        <w:rPr>
          <w:lang w:val="en-US"/>
        </w:rPr>
        <w:t xml:space="preserve">standard UCS </w:t>
      </w:r>
      <w:r w:rsidR="004043B1">
        <w:rPr>
          <w:lang w:val="en-US"/>
        </w:rPr>
        <w:t xml:space="preserve">specimens </w:t>
      </w:r>
      <w:r w:rsidR="003438F2">
        <w:rPr>
          <w:lang w:val="en-US"/>
        </w:rPr>
        <w:t xml:space="preserve">(of </w:t>
      </w:r>
      <w:r w:rsidR="004043B1" w:rsidRPr="004043B1">
        <w:t>50 mm diameter and 1</w:t>
      </w:r>
      <w:r w:rsidR="004043B1">
        <w:t>0</w:t>
      </w:r>
      <w:r w:rsidR="004043B1" w:rsidRPr="004043B1">
        <w:t xml:space="preserve">0 mm </w:t>
      </w:r>
      <w:r w:rsidR="004043B1">
        <w:t>height</w:t>
      </w:r>
      <w:r w:rsidR="003438F2">
        <w:t>)</w:t>
      </w:r>
      <w:r w:rsidR="004043B1">
        <w:rPr>
          <w:lang w:val="en-US"/>
        </w:rPr>
        <w:t xml:space="preserve"> </w:t>
      </w:r>
      <w:r w:rsidR="009B19B9" w:rsidRPr="009B19B9">
        <w:rPr>
          <w:lang w:val="en-US"/>
        </w:rPr>
        <w:t xml:space="preserve">were </w:t>
      </w:r>
      <w:r w:rsidR="004043B1">
        <w:rPr>
          <w:lang w:val="en-US"/>
        </w:rPr>
        <w:t>prepared;</w:t>
      </w:r>
      <w:r w:rsidR="003438F2">
        <w:rPr>
          <w:lang w:val="en-US"/>
        </w:rPr>
        <w:t xml:space="preserve"> before testing</w:t>
      </w:r>
      <w:r w:rsidR="00213FCD">
        <w:rPr>
          <w:lang w:val="en-US"/>
        </w:rPr>
        <w:t>,</w:t>
      </w:r>
      <w:r w:rsidR="004043B1">
        <w:rPr>
          <w:lang w:val="en-US"/>
        </w:rPr>
        <w:t xml:space="preserve"> they were </w:t>
      </w:r>
      <w:r w:rsidR="003438F2">
        <w:rPr>
          <w:lang w:val="en-US"/>
        </w:rPr>
        <w:t xml:space="preserve">wrapped in cling film and left to cure </w:t>
      </w:r>
      <w:r w:rsidR="00213FCD">
        <w:rPr>
          <w:lang w:val="en-US"/>
        </w:rPr>
        <w:t xml:space="preserve">at constant moisture </w:t>
      </w:r>
      <w:r w:rsidR="004043B1">
        <w:rPr>
          <w:lang w:val="en-US"/>
        </w:rPr>
        <w:t xml:space="preserve">in a humidity and temperature-controlled cabinet </w:t>
      </w:r>
      <w:r w:rsidR="003438F2">
        <w:rPr>
          <w:lang w:val="en-US"/>
        </w:rPr>
        <w:t>for</w:t>
      </w:r>
      <w:r w:rsidR="009B19B9" w:rsidRPr="009B19B9">
        <w:rPr>
          <w:lang w:val="en-US"/>
        </w:rPr>
        <w:t xml:space="preserve"> 2 days.</w:t>
      </w:r>
    </w:p>
    <w:p w14:paraId="01C3CCCC" w14:textId="77777777" w:rsidR="00213FCD" w:rsidRDefault="00213FCD" w:rsidP="00E84B07">
      <w:pPr>
        <w:rPr>
          <w:lang w:val="en-US"/>
        </w:rPr>
      </w:pPr>
    </w:p>
    <w:p w14:paraId="28232A35" w14:textId="63A5400D" w:rsidR="009F4CD0" w:rsidRPr="009F4CD0" w:rsidRDefault="009F4CD0" w:rsidP="009F4CD0">
      <w:pPr>
        <w:pStyle w:val="Heading3"/>
        <w:rPr>
          <w:color w:val="auto"/>
          <w:lang w:val="en-US"/>
        </w:rPr>
      </w:pPr>
      <w:r w:rsidRPr="009F4CD0">
        <w:rPr>
          <w:color w:val="auto"/>
          <w:lang w:val="en-US"/>
        </w:rPr>
        <w:t>Pressure flow</w:t>
      </w:r>
      <w:r w:rsidR="00213FCD">
        <w:rPr>
          <w:color w:val="auto"/>
          <w:lang w:val="en-US"/>
        </w:rPr>
        <w:t xml:space="preserve"> </w:t>
      </w:r>
    </w:p>
    <w:p w14:paraId="1D202537" w14:textId="40A59D96" w:rsidR="009F4CD0" w:rsidRPr="009F4CD0" w:rsidRDefault="00C27443" w:rsidP="00E84B07">
      <w:r w:rsidRPr="00C27443">
        <w:t xml:space="preserve">The apparatus used consisted of a Plexiglas cylindrical mould </w:t>
      </w:r>
      <w:bookmarkStart w:id="5" w:name="_Hlk68025811"/>
      <w:r w:rsidRPr="00C27443">
        <w:t>(50 mm in diameter and 170 mm in length)</w:t>
      </w:r>
      <w:bookmarkEnd w:id="5"/>
      <w:r w:rsidRPr="00C27443">
        <w:t>, a hydraulic pump, a compression frame and an effluent collector (</w:t>
      </w:r>
      <w:r>
        <w:t>see Safdar et al, 2020a</w:t>
      </w:r>
      <w:r w:rsidRPr="00C27443">
        <w:t xml:space="preserve">). </w:t>
      </w:r>
      <w:r w:rsidR="00906827">
        <w:t>A</w:t>
      </w:r>
      <w:r w:rsidRPr="00C27443">
        <w:t xml:space="preserve">queous solution of Nutrient Broth </w:t>
      </w:r>
      <w:r w:rsidR="00906827">
        <w:t>with bacteria</w:t>
      </w:r>
      <w:r w:rsidRPr="00C27443">
        <w:t xml:space="preserve"> of a total of 15 % by mass of soil was then supplied for all </w:t>
      </w:r>
      <w:r w:rsidR="00906827">
        <w:t xml:space="preserve">soil </w:t>
      </w:r>
      <w:r w:rsidRPr="00C27443">
        <w:t xml:space="preserve">samples.  The soil was covered </w:t>
      </w:r>
      <w:r w:rsidR="00883AF6">
        <w:t xml:space="preserve">in </w:t>
      </w:r>
      <w:r w:rsidRPr="00C27443">
        <w:t>air</w:t>
      </w:r>
      <w:r w:rsidR="00883AF6">
        <w:t>-</w:t>
      </w:r>
      <w:r w:rsidRPr="00C27443">
        <w:t xml:space="preserve">tight seal and left for 48-72 hours to attain homogeneity. </w:t>
      </w:r>
      <w:r w:rsidR="00025B4F">
        <w:t>The</w:t>
      </w:r>
      <w:r w:rsidR="00906827">
        <w:t>n statically compacted UCS</w:t>
      </w:r>
      <w:r w:rsidR="00025B4F">
        <w:t xml:space="preserve"> </w:t>
      </w:r>
      <w:r w:rsidR="00906827">
        <w:t>specimens were made and</w:t>
      </w:r>
      <w:r w:rsidRPr="00C27443">
        <w:t xml:space="preserve"> transferred into the Plexiglas mould, where they were sandwiched between the two layers of perforated disks and filter papers (to avoid turbulent inflow and clogging at the inlet and outlet) and were mounted tightly onto the compression frame. The mould inlet was connected to the outlet of the pump. The cementing reagent solution was supplied into the specimen at a constant flow pressure of 150 kPa (</w:t>
      </w:r>
      <w:r w:rsidR="00883AF6">
        <w:t>the selection of the pressure is explained in Safdar et al, 2020a</w:t>
      </w:r>
      <w:r w:rsidRPr="00C27443">
        <w:t>) and at room temperature (22-27</w:t>
      </w:r>
      <w:r w:rsidRPr="00883AF6">
        <w:rPr>
          <w:vertAlign w:val="superscript"/>
        </w:rPr>
        <w:t>o</w:t>
      </w:r>
      <w:r w:rsidRPr="00C27443">
        <w:t xml:space="preserve">C) during 3 days; this was followed by </w:t>
      </w:r>
      <w:r w:rsidR="00883AF6">
        <w:t>7 days of</w:t>
      </w:r>
      <w:r w:rsidRPr="00C27443">
        <w:t xml:space="preserve"> curing.</w:t>
      </w:r>
    </w:p>
    <w:p w14:paraId="1760441B" w14:textId="3B73874C" w:rsidR="00E52056" w:rsidRPr="00E52056" w:rsidRDefault="00E52056" w:rsidP="00E52056">
      <w:pPr>
        <w:pStyle w:val="Heading3"/>
        <w:rPr>
          <w:color w:val="auto"/>
          <w:lang w:val="en-US"/>
        </w:rPr>
      </w:pPr>
      <w:r>
        <w:rPr>
          <w:color w:val="auto"/>
          <w:lang w:val="en-US"/>
        </w:rPr>
        <w:t>Electrokinetic</w:t>
      </w:r>
      <w:r w:rsidR="00DA074F" w:rsidRPr="00DA074F">
        <w:rPr>
          <w:color w:val="auto"/>
          <w:lang w:val="en-US"/>
        </w:rPr>
        <w:t xml:space="preserve"> </w:t>
      </w:r>
      <w:r>
        <w:rPr>
          <w:color w:val="auto"/>
          <w:lang w:val="en-US"/>
        </w:rPr>
        <w:t>Implementation</w:t>
      </w:r>
      <w:bookmarkStart w:id="6" w:name="_Hlk68023148"/>
    </w:p>
    <w:p w14:paraId="1A99C6D5" w14:textId="5CD79812" w:rsidR="00E84B07" w:rsidRPr="001C2522" w:rsidRDefault="006A1DD2" w:rsidP="006A1DD2">
      <w:r w:rsidRPr="006A1DD2">
        <w:t>For the EK method, a tank of 10 mm thick nonconductive acrylic ‘</w:t>
      </w:r>
      <w:proofErr w:type="spellStart"/>
      <w:r w:rsidRPr="006A1DD2">
        <w:t>Perpex</w:t>
      </w:r>
      <w:proofErr w:type="spellEnd"/>
      <w:r w:rsidRPr="006A1DD2">
        <w:t xml:space="preserve">’ sheet with internal dimensions 210 mm length x 160 mm width x 140 mm depth was used. A purpose-built sample extractor internal layer was incorporated to prevent sample disturbance during extraction at the end of the test. </w:t>
      </w:r>
      <w:r>
        <w:t xml:space="preserve">The description of the </w:t>
      </w:r>
      <w:r w:rsidR="004F4BCA">
        <w:t>EK</w:t>
      </w:r>
      <w:r>
        <w:t xml:space="preserve"> cell can be found in Safdar et al. (2020a)</w:t>
      </w:r>
      <w:r w:rsidR="002D5648">
        <w:t>.</w:t>
      </w:r>
      <w:r w:rsidR="002D5648" w:rsidRPr="002D5648">
        <w:rPr>
          <w:rFonts w:ascii="Times" w:eastAsia="Times New Roman" w:hAnsi="Times" w:cs="New York"/>
          <w:szCs w:val="20"/>
          <w:lang w:eastAsia="ar-SA"/>
        </w:rPr>
        <w:t xml:space="preserve"> </w:t>
      </w:r>
      <w:r w:rsidR="002D5648" w:rsidRPr="002D5648">
        <w:t xml:space="preserve">The dimensions of the cell allowed for extraction of duplicate UCS specimens </w:t>
      </w:r>
      <w:bookmarkStart w:id="7" w:name="_Hlk68023456"/>
      <w:r w:rsidR="002D5648" w:rsidRPr="002D5648">
        <w:t>(50 mm diameter and 100 mm height cylinders)</w:t>
      </w:r>
      <w:bookmarkEnd w:id="7"/>
      <w:r w:rsidR="002D5648" w:rsidRPr="002D5648">
        <w:t xml:space="preserve"> from three different locations in the soil sample: namely from the areas next to the two electrolyte chambers and from the middle of the sample</w:t>
      </w:r>
      <w:r>
        <w:t>.</w:t>
      </w:r>
      <w:r w:rsidRPr="006A1DD2">
        <w:rPr>
          <w:rFonts w:ascii="Times" w:eastAsia="Times New Roman" w:hAnsi="Times" w:cs="New York"/>
          <w:szCs w:val="20"/>
          <w:lang w:eastAsia="ar-SA"/>
        </w:rPr>
        <w:t xml:space="preserve"> </w:t>
      </w:r>
      <w:r w:rsidRPr="006A1DD2">
        <w:t xml:space="preserve">The soil sample was </w:t>
      </w:r>
      <w:r w:rsidR="00DF1195">
        <w:t xml:space="preserve">statically </w:t>
      </w:r>
      <w:r w:rsidRPr="006A1DD2">
        <w:t xml:space="preserve">compacted in the EK tank </w:t>
      </w:r>
      <w:r w:rsidR="00DF1195" w:rsidRPr="006A1DD2">
        <w:t xml:space="preserve">in five equal layers to </w:t>
      </w:r>
      <w:r w:rsidR="00DF1195">
        <w:t>its in situ</w:t>
      </w:r>
      <w:r w:rsidR="00DF1195" w:rsidRPr="006A1DD2">
        <w:t xml:space="preserve"> dry density of 0.919 g/cm</w:t>
      </w:r>
      <w:r w:rsidR="00DF1195" w:rsidRPr="006A1DD2">
        <w:rPr>
          <w:vertAlign w:val="superscript"/>
        </w:rPr>
        <w:t>3</w:t>
      </w:r>
      <w:r w:rsidR="00DF1195" w:rsidRPr="006A1DD2">
        <w:t xml:space="preserve"> </w:t>
      </w:r>
      <w:r w:rsidRPr="006A1DD2">
        <w:t>using a hydraulic compression frame</w:t>
      </w:r>
      <w:r w:rsidR="00DF1195">
        <w:t>.</w:t>
      </w:r>
      <w:r w:rsidRPr="006A1DD2">
        <w:t xml:space="preserve"> </w:t>
      </w:r>
      <w:r w:rsidR="00906827">
        <w:t xml:space="preserve">Bacteria were implemented either </w:t>
      </w:r>
      <w:r w:rsidR="00386C23">
        <w:t xml:space="preserve">(a) </w:t>
      </w:r>
      <w:r w:rsidR="00906827">
        <w:t xml:space="preserve">by </w:t>
      </w:r>
      <w:r w:rsidR="004F4BCA">
        <w:t>EK</w:t>
      </w:r>
      <w:r w:rsidR="00906827">
        <w:t xml:space="preserve"> injection together with the cementation solutions or </w:t>
      </w:r>
      <w:r w:rsidR="00386C23">
        <w:t xml:space="preserve">(b) </w:t>
      </w:r>
      <w:r w:rsidR="00906827">
        <w:t>were p</w:t>
      </w:r>
      <w:r w:rsidR="00906827" w:rsidRPr="001C2522">
        <w:t>re-mi</w:t>
      </w:r>
      <w:r w:rsidR="00906827">
        <w:t>xed thoroughly</w:t>
      </w:r>
      <w:r w:rsidR="00906827" w:rsidRPr="001C2522">
        <w:rPr>
          <w:lang w:val="en-US"/>
        </w:rPr>
        <w:t xml:space="preserve"> </w:t>
      </w:r>
      <w:r w:rsidR="00906827">
        <w:rPr>
          <w:lang w:val="en-US"/>
        </w:rPr>
        <w:t xml:space="preserve">with the </w:t>
      </w:r>
      <w:r w:rsidR="00906827" w:rsidRPr="001C2522">
        <w:rPr>
          <w:lang w:val="en-US"/>
        </w:rPr>
        <w:t>soil</w:t>
      </w:r>
      <w:r w:rsidR="004F4BCA">
        <w:rPr>
          <w:lang w:val="en-US"/>
        </w:rPr>
        <w:t>;</w:t>
      </w:r>
      <w:r w:rsidR="00906827">
        <w:rPr>
          <w:lang w:val="en-US"/>
        </w:rPr>
        <w:t xml:space="preserve"> </w:t>
      </w:r>
      <w:r w:rsidR="00906827" w:rsidRPr="001C2522">
        <w:rPr>
          <w:lang w:val="en-US"/>
        </w:rPr>
        <w:t xml:space="preserve">then </w:t>
      </w:r>
      <w:r w:rsidR="00906827">
        <w:rPr>
          <w:lang w:val="en-US"/>
        </w:rPr>
        <w:t xml:space="preserve">the soil-bacteria mix was </w:t>
      </w:r>
      <w:r w:rsidR="00906827" w:rsidRPr="001C2522">
        <w:rPr>
          <w:lang w:val="en-US"/>
        </w:rPr>
        <w:t>covered with air</w:t>
      </w:r>
      <w:r w:rsidR="00906827">
        <w:rPr>
          <w:lang w:val="en-US"/>
        </w:rPr>
        <w:t>-</w:t>
      </w:r>
      <w:r w:rsidR="00906827" w:rsidRPr="001C2522">
        <w:rPr>
          <w:lang w:val="en-US"/>
        </w:rPr>
        <w:t xml:space="preserve">tight seal and left for 48-72 hours to attain homogeneity of treatments throughout the </w:t>
      </w:r>
      <w:r w:rsidR="00906827">
        <w:rPr>
          <w:lang w:val="en-US"/>
        </w:rPr>
        <w:t>sample</w:t>
      </w:r>
      <w:r w:rsidR="004F4BCA">
        <w:rPr>
          <w:lang w:val="en-US"/>
        </w:rPr>
        <w:t xml:space="preserve"> and th</w:t>
      </w:r>
      <w:r w:rsidR="00906827" w:rsidRPr="001C2522">
        <w:rPr>
          <w:lang w:val="en-US"/>
        </w:rPr>
        <w:t xml:space="preserve">e </w:t>
      </w:r>
      <w:r w:rsidR="00906827" w:rsidRPr="001C2522">
        <w:t xml:space="preserve">cementing reagents were </w:t>
      </w:r>
      <w:r w:rsidR="004F4BCA">
        <w:t>then injected by EK</w:t>
      </w:r>
      <w:r w:rsidR="00906827" w:rsidRPr="001C2522">
        <w:t xml:space="preserve">. </w:t>
      </w:r>
      <w:r w:rsidR="00906827">
        <w:t xml:space="preserve">Premixing was mainly used to assess </w:t>
      </w:r>
      <w:r w:rsidR="00906827" w:rsidRPr="001C2522">
        <w:t>the feasibility of the technique</w:t>
      </w:r>
      <w:r w:rsidR="00906827">
        <w:t xml:space="preserve">, circumventing </w:t>
      </w:r>
      <w:r w:rsidR="00906827" w:rsidRPr="001C2522">
        <w:t xml:space="preserve">complications linked to the bacteria transport and </w:t>
      </w:r>
      <w:r w:rsidR="00906827">
        <w:t xml:space="preserve">uniformity of bacteria </w:t>
      </w:r>
      <w:r w:rsidR="00906827" w:rsidRPr="001C2522">
        <w:t>distribution in the sample.</w:t>
      </w:r>
      <w:r w:rsidR="00906827">
        <w:t xml:space="preserve"> However, a </w:t>
      </w:r>
      <w:r w:rsidR="004F4BCA">
        <w:t xml:space="preserve">more </w:t>
      </w:r>
      <w:r w:rsidR="00906827">
        <w:t xml:space="preserve">realistic field implementation scenario would </w:t>
      </w:r>
      <w:r w:rsidR="00B30F7A">
        <w:t>use EK</w:t>
      </w:r>
      <w:r w:rsidR="00906827" w:rsidRPr="001C2522">
        <w:t xml:space="preserve"> injection </w:t>
      </w:r>
      <w:r w:rsidR="00B30F7A">
        <w:t xml:space="preserve">for </w:t>
      </w:r>
      <w:r w:rsidR="004F4BCA">
        <w:t>all</w:t>
      </w:r>
      <w:r w:rsidR="00906827" w:rsidRPr="001C2522">
        <w:t xml:space="preserve"> treatment</w:t>
      </w:r>
      <w:r w:rsidR="004F4BCA">
        <w:t>s</w:t>
      </w:r>
      <w:r w:rsidR="00906827" w:rsidRPr="001C2522">
        <w:t xml:space="preserve">. </w:t>
      </w:r>
      <w:r w:rsidR="004F4BCA">
        <w:t>B</w:t>
      </w:r>
      <w:r w:rsidR="00906827" w:rsidRPr="001C2522">
        <w:t>acteria were cultivated directly in the Nutrient Broth solution to the required 1 x 10</w:t>
      </w:r>
      <w:r w:rsidR="00906827" w:rsidRPr="001C2522">
        <w:rPr>
          <w:vertAlign w:val="superscript"/>
        </w:rPr>
        <w:t>8</w:t>
      </w:r>
      <w:r w:rsidR="00906827" w:rsidRPr="001C2522">
        <w:t xml:space="preserve"> </w:t>
      </w:r>
      <w:proofErr w:type="spellStart"/>
      <w:r w:rsidR="00906827" w:rsidRPr="001C2522">
        <w:t>cfu</w:t>
      </w:r>
      <w:proofErr w:type="spellEnd"/>
      <w:r w:rsidR="00906827" w:rsidRPr="001C2522">
        <w:t>/mL concentration.</w:t>
      </w:r>
      <w:r w:rsidR="00906827">
        <w:t xml:space="preserve"> </w:t>
      </w:r>
      <w:r w:rsidRPr="006A1DD2">
        <w:t>A voltage gradient of 0.4 V/cm was maintained throughout the tests as recommended in the literature to prevent potential harm to the bacteria</w:t>
      </w:r>
      <w:r>
        <w:t xml:space="preserve"> (</w:t>
      </w:r>
      <w:r w:rsidR="002D5648" w:rsidRPr="002D5648">
        <w:t>Mizuno &amp; Hori, 1988; Hassan et al., 2016).</w:t>
      </w:r>
      <w:r w:rsidRPr="006A1DD2">
        <w:t xml:space="preserve"> Periodic polarity reversal was applied every 24 h, which is recommended for a better uniformity of the treatment but also prevent</w:t>
      </w:r>
      <w:r w:rsidR="00386C23">
        <w:t>s</w:t>
      </w:r>
      <w:r w:rsidRPr="006A1DD2">
        <w:t xml:space="preserve"> high pH gradients that could be harmful to the bacteria</w:t>
      </w:r>
      <w:r>
        <w:t xml:space="preserve"> (</w:t>
      </w:r>
      <w:r w:rsidR="002D5648">
        <w:t>Mena et al. 2016</w:t>
      </w:r>
      <w:r>
        <w:t>)</w:t>
      </w:r>
      <w:r w:rsidRPr="006A1DD2">
        <w:t>.</w:t>
      </w:r>
      <w:r>
        <w:t xml:space="preserve"> </w:t>
      </w:r>
      <w:r w:rsidRPr="006A1DD2">
        <w:t>The nutrient broth solution and the cementing reagents were supplied all in one single solution (divided equally in the two electrolyte compartments i.e.</w:t>
      </w:r>
      <w:r w:rsidR="00EC1ADA">
        <w:t xml:space="preserve"> </w:t>
      </w:r>
      <w:r w:rsidRPr="006A1DD2">
        <w:t xml:space="preserve">7.5% per dry soil mass per compartment). The EK treatment lasted for two weeks, (i.e. 7 days per </w:t>
      </w:r>
      <w:r w:rsidRPr="0094497C">
        <w:t>electrode polarity), followed by one additional day of curing, which is a typical field treatment length (</w:t>
      </w:r>
      <w:r w:rsidR="002D5648" w:rsidRPr="0094497C">
        <w:t>Mena et al. 2016</w:t>
      </w:r>
      <w:r w:rsidRPr="0094497C">
        <w:t>). At the end of the tests, specimens for unconfined compressive strength (UCS)</w:t>
      </w:r>
      <w:r w:rsidR="002776D4">
        <w:t xml:space="preserve"> and</w:t>
      </w:r>
      <w:r w:rsidRPr="0094497C">
        <w:t xml:space="preserve"> oedometer tests were cut from the respective samples.</w:t>
      </w:r>
    </w:p>
    <w:bookmarkEnd w:id="6"/>
    <w:p w14:paraId="2FFC9285" w14:textId="08AD615E" w:rsidR="002C3D69" w:rsidRPr="00B2690C" w:rsidRDefault="00F26B6F" w:rsidP="00CF0787">
      <w:pPr>
        <w:pStyle w:val="Heading1"/>
      </w:pPr>
      <w:r>
        <w:t>Results</w:t>
      </w:r>
    </w:p>
    <w:p w14:paraId="06A44C1A" w14:textId="3B3414C8" w:rsidR="00C305C7" w:rsidRDefault="00883C7A" w:rsidP="00C305C7">
      <w:r>
        <w:t>F</w:t>
      </w:r>
      <w:r w:rsidRPr="00F26B6F">
        <w:t xml:space="preserve">igure 1 </w:t>
      </w:r>
      <w:r>
        <w:t>(a) and (b) shows comparative results of the first set of studies</w:t>
      </w:r>
      <w:r w:rsidR="001630F5">
        <w:t xml:space="preserve"> (average values of triplicate specimens)</w:t>
      </w:r>
      <w:r>
        <w:t>, using mixing and pressure flow injection of the treatments for the four monocultures</w:t>
      </w:r>
      <w:r w:rsidR="001A760C">
        <w:t xml:space="preserve">, </w:t>
      </w:r>
      <w:r w:rsidR="001A760C">
        <w:lastRenderedPageBreak/>
        <w:t xml:space="preserve">supplied at a concentration </w:t>
      </w:r>
      <w:bookmarkStart w:id="8" w:name="_Hlk68114916"/>
      <w:r w:rsidR="001A760C">
        <w:t xml:space="preserve">of </w:t>
      </w:r>
      <w:r w:rsidR="00B51EB8" w:rsidRPr="00B51EB8">
        <w:t>1x10</w:t>
      </w:r>
      <w:r w:rsidR="00B51EB8" w:rsidRPr="00B51EB8">
        <w:rPr>
          <w:vertAlign w:val="superscript"/>
        </w:rPr>
        <w:t>8</w:t>
      </w:r>
      <w:r w:rsidR="00B51EB8" w:rsidRPr="00B51EB8">
        <w:t xml:space="preserve"> </w:t>
      </w:r>
      <w:proofErr w:type="spellStart"/>
      <w:r w:rsidR="00B51EB8" w:rsidRPr="00B51EB8">
        <w:t>cfu</w:t>
      </w:r>
      <w:proofErr w:type="spellEnd"/>
      <w:r w:rsidR="00B51EB8" w:rsidRPr="00B51EB8">
        <w:t>/</w:t>
      </w:r>
      <w:proofErr w:type="spellStart"/>
      <w:r w:rsidR="00B51EB8" w:rsidRPr="00B51EB8">
        <w:t>mL</w:t>
      </w:r>
      <w:bookmarkEnd w:id="8"/>
      <w:r>
        <w:t>.</w:t>
      </w:r>
      <w:proofErr w:type="spellEnd"/>
      <w:r>
        <w:t xml:space="preserve"> It can be seen that</w:t>
      </w:r>
      <w:r w:rsidR="002C5160">
        <w:t>,</w:t>
      </w:r>
      <w:r>
        <w:t xml:space="preserve"> </w:t>
      </w:r>
      <w:r w:rsidR="001A760C">
        <w:t>based on the strengths achieved and the CaCO</w:t>
      </w:r>
      <w:r w:rsidR="001A760C" w:rsidRPr="001A760C">
        <w:rPr>
          <w:vertAlign w:val="subscript"/>
        </w:rPr>
        <w:t>3</w:t>
      </w:r>
      <w:r w:rsidR="001A760C">
        <w:t xml:space="preserve"> contents</w:t>
      </w:r>
      <w:r w:rsidR="002C5160">
        <w:t>,</w:t>
      </w:r>
      <w:r w:rsidR="001A760C">
        <w:t xml:space="preserve"> </w:t>
      </w:r>
      <w:r>
        <w:t>mixing did not achieve biocementation</w:t>
      </w:r>
      <w:r w:rsidR="002C5160">
        <w:t>,</w:t>
      </w:r>
      <w:r>
        <w:t xml:space="preserve"> although a slight increase in the </w:t>
      </w:r>
      <w:bookmarkStart w:id="9" w:name="_Hlk68027593"/>
      <w:r>
        <w:t>CaCO</w:t>
      </w:r>
      <w:r w:rsidRPr="00883C7A">
        <w:rPr>
          <w:vertAlign w:val="subscript"/>
        </w:rPr>
        <w:t>3</w:t>
      </w:r>
      <w:r>
        <w:t xml:space="preserve"> content </w:t>
      </w:r>
      <w:bookmarkEnd w:id="9"/>
      <w:r>
        <w:t xml:space="preserve">compared to the native soil was observed; on the other hand, similar </w:t>
      </w:r>
      <w:r w:rsidRPr="00883C7A">
        <w:t>CaCO</w:t>
      </w:r>
      <w:r w:rsidRPr="00883C7A">
        <w:rPr>
          <w:vertAlign w:val="subscript"/>
        </w:rPr>
        <w:t>3</w:t>
      </w:r>
      <w:r w:rsidRPr="00883C7A">
        <w:t xml:space="preserve"> content</w:t>
      </w:r>
      <w:r>
        <w:t xml:space="preserve">s were observed in the control specimens (nutrients+ bacteria cells) </w:t>
      </w:r>
      <w:r w:rsidR="00744D21">
        <w:t xml:space="preserve">and for this reason, the </w:t>
      </w:r>
      <w:r w:rsidR="001A760C">
        <w:t>possibility</w:t>
      </w:r>
      <w:r w:rsidR="00744D21">
        <w:t xml:space="preserve"> that late compaction could have broken biocementation bonds seems un</w:t>
      </w:r>
      <w:r w:rsidR="001A760C">
        <w:t xml:space="preserve">likely. </w:t>
      </w:r>
      <w:proofErr w:type="spellStart"/>
      <w:r w:rsidR="00C305C7">
        <w:t>Almajed</w:t>
      </w:r>
      <w:proofErr w:type="spellEnd"/>
      <w:r w:rsidR="00C305C7">
        <w:t xml:space="preserve"> (2017) observed the same for long curing periods a</w:t>
      </w:r>
      <w:r w:rsidR="002C5160">
        <w:t xml:space="preserve">nd </w:t>
      </w:r>
      <w:r w:rsidR="00C305C7" w:rsidRPr="00C305C7">
        <w:t>samples treated by enzymatically induced calcite precipitation</w:t>
      </w:r>
      <w:r w:rsidR="002C5160">
        <w:t>,</w:t>
      </w:r>
      <w:r w:rsidR="00C305C7" w:rsidRPr="00C305C7">
        <w:t xml:space="preserve"> and attributed this to a loss of enzymatic activity due to ammonia by-product</w:t>
      </w:r>
      <w:r w:rsidR="00C305C7">
        <w:t xml:space="preserve">. </w:t>
      </w:r>
      <w:r w:rsidR="001630F5">
        <w:t>The lack of success of mixing was surprising</w:t>
      </w:r>
      <w:r w:rsidR="002C5160">
        <w:t>,</w:t>
      </w:r>
      <w:r w:rsidR="001630F5">
        <w:t xml:space="preserve"> as it was expected that it would enable more uniform treatments. </w:t>
      </w:r>
      <w:r w:rsidR="00C305C7">
        <w:t xml:space="preserve">A change in protocol </w:t>
      </w:r>
      <w:r w:rsidR="00C11A42">
        <w:t>and</w:t>
      </w:r>
      <w:r w:rsidR="00C305C7">
        <w:t xml:space="preserve"> shorter mellowing periods could be tried</w:t>
      </w:r>
      <w:r w:rsidR="001630F5">
        <w:t>; on the other hand, mixing would not be useful for existing infrastructure and for this reason its study was temporarily suspended, to focus on more successful treatments. Unlike mixing, pressure flow column was successful in increasing the strength and CaCO</w:t>
      </w:r>
      <w:r w:rsidR="001630F5" w:rsidRPr="002C5160">
        <w:rPr>
          <w:vertAlign w:val="subscript"/>
        </w:rPr>
        <w:t>3</w:t>
      </w:r>
      <w:r w:rsidR="001630F5">
        <w:t xml:space="preserve"> contents of the soil for all monocultures compared to their respective control specimens (</w:t>
      </w:r>
      <w:proofErr w:type="spellStart"/>
      <w:r w:rsidR="001630F5">
        <w:t>nutrients+monoculture</w:t>
      </w:r>
      <w:proofErr w:type="spellEnd"/>
      <w:r w:rsidR="001630F5">
        <w:t xml:space="preserve">). It is interesting that the </w:t>
      </w:r>
      <w:proofErr w:type="spellStart"/>
      <w:r w:rsidR="001630F5">
        <w:t>nutrient+</w:t>
      </w:r>
      <w:r w:rsidR="001630F5" w:rsidRPr="00B0741E">
        <w:rPr>
          <w:i/>
          <w:iCs/>
        </w:rPr>
        <w:t>L.fusiformis</w:t>
      </w:r>
      <w:proofErr w:type="spellEnd"/>
      <w:r w:rsidR="001630F5">
        <w:t xml:space="preserve"> control specimens had strengths as high as </w:t>
      </w:r>
      <w:proofErr w:type="spellStart"/>
      <w:r w:rsidR="001630F5">
        <w:t>biocemented</w:t>
      </w:r>
      <w:proofErr w:type="spellEnd"/>
      <w:r w:rsidR="001630F5">
        <w:t xml:space="preserve"> specimens; on the other hand</w:t>
      </w:r>
      <w:r w:rsidR="00B0741E">
        <w:t>,</w:t>
      </w:r>
      <w:r w:rsidR="001630F5">
        <w:t xml:space="preserve"> their CaCO</w:t>
      </w:r>
      <w:r w:rsidR="001630F5" w:rsidRPr="001630F5">
        <w:rPr>
          <w:vertAlign w:val="subscript"/>
        </w:rPr>
        <w:t>3</w:t>
      </w:r>
      <w:r w:rsidR="001630F5">
        <w:t xml:space="preserve"> content was low and does not concur with </w:t>
      </w:r>
      <w:proofErr w:type="spellStart"/>
      <w:r w:rsidR="001630F5">
        <w:t>biocmentation</w:t>
      </w:r>
      <w:proofErr w:type="spellEnd"/>
      <w:r w:rsidR="001630F5">
        <w:t xml:space="preserve"> (which would not have been expected due to the lack of cementing reagents). Conversely</w:t>
      </w:r>
      <w:r w:rsidR="00D860C6">
        <w:t>,</w:t>
      </w:r>
      <w:r w:rsidR="001630F5">
        <w:t xml:space="preserve"> all specimens with full treatments (incl. cementing reagents) do show an increase in the Ca</w:t>
      </w:r>
      <w:r w:rsidR="006E0FAF">
        <w:t>C</w:t>
      </w:r>
      <w:r w:rsidR="001630F5">
        <w:t>O</w:t>
      </w:r>
      <w:r w:rsidR="001630F5" w:rsidRPr="006E0FAF">
        <w:rPr>
          <w:vertAlign w:val="subscript"/>
        </w:rPr>
        <w:t>3</w:t>
      </w:r>
      <w:r w:rsidR="001630F5">
        <w:t xml:space="preserve"> content pointing at biocementation, with the least well performing strain being </w:t>
      </w:r>
      <w:r w:rsidR="006E0FAF" w:rsidRPr="00AE7F4A">
        <w:rPr>
          <w:i/>
          <w:iCs/>
        </w:rPr>
        <w:t xml:space="preserve">R. </w:t>
      </w:r>
      <w:proofErr w:type="spellStart"/>
      <w:r w:rsidR="006E0FAF" w:rsidRPr="00AE7F4A">
        <w:rPr>
          <w:i/>
          <w:iCs/>
        </w:rPr>
        <w:t>erythropolis</w:t>
      </w:r>
      <w:proofErr w:type="spellEnd"/>
      <w:r w:rsidR="006E0FAF">
        <w:t>. The other monocultures showed similar results for the 1M concentration of cementing agent. However</w:t>
      </w:r>
      <w:r w:rsidR="00DD30F0">
        <w:t>,</w:t>
      </w:r>
      <w:r w:rsidR="006E0FAF">
        <w:t xml:space="preserve"> using equimolar concentrations of lower molarity </w:t>
      </w:r>
      <w:bookmarkStart w:id="10" w:name="_Hlk68030337"/>
      <w:r w:rsidR="006E0FAF" w:rsidRPr="00AE7F4A">
        <w:rPr>
          <w:i/>
          <w:iCs/>
        </w:rPr>
        <w:t>B. licheniformis</w:t>
      </w:r>
      <w:r w:rsidR="006E0FAF">
        <w:t xml:space="preserve"> </w:t>
      </w:r>
      <w:bookmarkEnd w:id="10"/>
      <w:r w:rsidR="006E0FAF">
        <w:t>was found to give better results</w:t>
      </w:r>
      <w:r w:rsidR="003A3867">
        <w:t xml:space="preserve"> (see e.g. Fig. 4)</w:t>
      </w:r>
      <w:r w:rsidR="006E0FAF">
        <w:t xml:space="preserve">, with the second best </w:t>
      </w:r>
      <w:r w:rsidR="00AE7F4A">
        <w:t xml:space="preserve">strengths </w:t>
      </w:r>
      <w:r w:rsidR="00D860C6">
        <w:t xml:space="preserve">(in our parametric study) </w:t>
      </w:r>
      <w:r w:rsidR="00AE7F4A">
        <w:t>achieved by</w:t>
      </w:r>
      <w:r w:rsidR="006E0FAF">
        <w:t xml:space="preserve"> </w:t>
      </w:r>
      <w:r w:rsidR="006E0FAF" w:rsidRPr="00AE7F4A">
        <w:rPr>
          <w:i/>
          <w:iCs/>
        </w:rPr>
        <w:t>L. fusiformis</w:t>
      </w:r>
      <w:r w:rsidR="006E0FAF">
        <w:t>.</w:t>
      </w:r>
      <w:r w:rsidR="00AE7F4A" w:rsidRPr="00AE7F4A">
        <w:t xml:space="preserve"> </w:t>
      </w:r>
      <w:r w:rsidR="00DD30F0">
        <w:t xml:space="preserve">Both </w:t>
      </w:r>
      <w:r w:rsidR="00DD30F0" w:rsidRPr="00DD30F0">
        <w:rPr>
          <w:i/>
          <w:iCs/>
        </w:rPr>
        <w:t>B. licheniformis</w:t>
      </w:r>
      <w:r w:rsidR="00DD30F0" w:rsidRPr="00DD30F0">
        <w:t xml:space="preserve"> </w:t>
      </w:r>
      <w:r w:rsidR="00DD30F0">
        <w:t xml:space="preserve">and </w:t>
      </w:r>
      <w:r w:rsidR="00DD30F0" w:rsidRPr="00DD30F0">
        <w:rPr>
          <w:i/>
          <w:iCs/>
        </w:rPr>
        <w:t>L. fusiformis</w:t>
      </w:r>
      <w:r w:rsidR="00DD30F0">
        <w:t xml:space="preserve">, have </w:t>
      </w:r>
      <w:r w:rsidR="00DD30F0" w:rsidRPr="00DD30F0">
        <w:t>elongated cell</w:t>
      </w:r>
      <w:r w:rsidR="00DD30F0">
        <w:t>s</w:t>
      </w:r>
      <w:r w:rsidR="00DD30F0" w:rsidRPr="00DD30F0">
        <w:t xml:space="preserve"> mak</w:t>
      </w:r>
      <w:r w:rsidR="00DD30F0">
        <w:t>ing</w:t>
      </w:r>
      <w:r w:rsidR="00DD30F0" w:rsidRPr="00DD30F0">
        <w:t xml:space="preserve"> it </w:t>
      </w:r>
      <w:r w:rsidR="00DD30F0">
        <w:t xml:space="preserve">more </w:t>
      </w:r>
      <w:r w:rsidR="00DD30F0" w:rsidRPr="00DD30F0">
        <w:t>difficult to flush out during pressure or EK injection</w:t>
      </w:r>
      <w:r w:rsidR="00DD30F0">
        <w:t xml:space="preserve">, therefore were initially selected as more preferred compared to </w:t>
      </w:r>
      <w:r w:rsidR="00DD30F0" w:rsidRPr="00DD30F0">
        <w:rPr>
          <w:i/>
          <w:iCs/>
        </w:rPr>
        <w:t>M. luteus</w:t>
      </w:r>
      <w:r w:rsidR="00DD30F0">
        <w:t>.</w:t>
      </w:r>
      <w:r w:rsidR="00DD30F0" w:rsidRPr="007F6B99">
        <w:t xml:space="preserve"> </w:t>
      </w:r>
      <w:r w:rsidR="00AE7F4A" w:rsidRPr="007F6B99">
        <w:t xml:space="preserve">Figure </w:t>
      </w:r>
      <w:r w:rsidR="00AE7F4A">
        <w:t>2</w:t>
      </w:r>
      <w:r w:rsidR="00AE7F4A" w:rsidRPr="007F6B99">
        <w:t xml:space="preserve"> (a) and (b) shows respectively indicative SEM-EDS results from </w:t>
      </w:r>
      <w:r w:rsidR="00AE7F4A">
        <w:t xml:space="preserve">pressure flow column tests with </w:t>
      </w:r>
      <w:r w:rsidR="00AE7F4A" w:rsidRPr="007F6B99">
        <w:rPr>
          <w:i/>
        </w:rPr>
        <w:t>B</w:t>
      </w:r>
      <w:r w:rsidR="00AE7F4A">
        <w:rPr>
          <w:i/>
        </w:rPr>
        <w:t xml:space="preserve">. </w:t>
      </w:r>
      <w:r w:rsidR="00AE7F4A" w:rsidRPr="007F6B99">
        <w:rPr>
          <w:i/>
        </w:rPr>
        <w:t>licheniformis</w:t>
      </w:r>
      <w:r w:rsidR="00AE7F4A" w:rsidRPr="007F6B99">
        <w:t xml:space="preserve">, </w:t>
      </w:r>
      <w:r w:rsidR="00AE7F4A" w:rsidRPr="007F6B99">
        <w:rPr>
          <w:i/>
        </w:rPr>
        <w:t>L</w:t>
      </w:r>
      <w:r w:rsidR="00AE7F4A">
        <w:rPr>
          <w:i/>
        </w:rPr>
        <w:t xml:space="preserve">. </w:t>
      </w:r>
      <w:r w:rsidR="00AE7F4A" w:rsidRPr="007F6B99">
        <w:rPr>
          <w:i/>
        </w:rPr>
        <w:t>fusiformis</w:t>
      </w:r>
      <w:r w:rsidR="00AE7F4A" w:rsidRPr="007F6B99">
        <w:t>; well distributed precipitation products have formed on the particles; indicative EDS spectra from sites on the samples show clear Ca and C peaks</w:t>
      </w:r>
      <w:r w:rsidR="00532F9B">
        <w:t>,</w:t>
      </w:r>
      <w:r w:rsidR="00AE7F4A" w:rsidRPr="007F6B99">
        <w:t xml:space="preserve"> concurring to CaCO</w:t>
      </w:r>
      <w:r w:rsidR="00AE7F4A" w:rsidRPr="007F6B99">
        <w:rPr>
          <w:vertAlign w:val="subscript"/>
        </w:rPr>
        <w:t>3</w:t>
      </w:r>
      <w:r w:rsidR="00AE7F4A" w:rsidRPr="007F6B99">
        <w:t xml:space="preserve"> precipitation.</w:t>
      </w:r>
    </w:p>
    <w:p w14:paraId="26280BC2" w14:textId="77777777" w:rsidR="00D860C6" w:rsidRPr="00C305C7" w:rsidRDefault="00D860C6" w:rsidP="00C305C7">
      <w:pPr>
        <w:rPr>
          <w:b/>
        </w:rPr>
      </w:pPr>
    </w:p>
    <w:p w14:paraId="4C511F9A" w14:textId="4AC02826" w:rsidR="00883C7A" w:rsidRDefault="00DD30F0" w:rsidP="007F6B99">
      <w:r>
        <w:rPr>
          <w:iCs/>
        </w:rPr>
        <w:t xml:space="preserve">Due to </w:t>
      </w:r>
      <w:r w:rsidR="00D860C6">
        <w:rPr>
          <w:iCs/>
        </w:rPr>
        <w:t xml:space="preserve">a </w:t>
      </w:r>
      <w:r>
        <w:rPr>
          <w:iCs/>
        </w:rPr>
        <w:t xml:space="preserve">lack of sufficient sample from the same location one strain was used for further studies. </w:t>
      </w:r>
      <w:r w:rsidRPr="00DD30F0">
        <w:rPr>
          <w:i/>
        </w:rPr>
        <w:t>Bacillus licheniformis</w:t>
      </w:r>
      <w:r w:rsidRPr="00DD30F0">
        <w:t xml:space="preserve"> was</w:t>
      </w:r>
      <w:r>
        <w:t xml:space="preserve"> chosen</w:t>
      </w:r>
      <w:r w:rsidRPr="00DD30F0">
        <w:t xml:space="preserve"> because: (a</w:t>
      </w:r>
      <w:r>
        <w:t>) it</w:t>
      </w:r>
      <w:r w:rsidRPr="00DD30F0">
        <w:t xml:space="preserve"> is widespread in nature and is found in abundance in natural soils; (b) it is motile (using its flagellum) and relatively small (of about 1 </w:t>
      </w:r>
      <w:proofErr w:type="spellStart"/>
      <w:r w:rsidRPr="00DD30F0">
        <w:t>μm</w:t>
      </w:r>
      <w:proofErr w:type="spellEnd"/>
      <w:r w:rsidRPr="00DD30F0">
        <w:t xml:space="preserve"> diameter) which facilitates its motility through smaller pore throats; (</w:t>
      </w:r>
      <w:r>
        <w:t>c</w:t>
      </w:r>
      <w:r w:rsidRPr="00DD30F0">
        <w:t>) it is reported to be facultative anaerobic (e.g. Clements et al, 2002) so it can survive in environmental conditions of reduced oxygen supply; (</w:t>
      </w:r>
      <w:r>
        <w:t>d</w:t>
      </w:r>
      <w:r w:rsidRPr="00DD30F0">
        <w:t>) it is a spore generating bacterium</w:t>
      </w:r>
      <w:r>
        <w:t>, therefore</w:t>
      </w:r>
      <w:r w:rsidRPr="00DD30F0">
        <w:t xml:space="preserve"> potential</w:t>
      </w:r>
      <w:r>
        <w:t>ly appropriate for</w:t>
      </w:r>
      <w:r w:rsidRPr="00DD30F0">
        <w:t xml:space="preserve"> self-healing </w:t>
      </w:r>
      <w:r>
        <w:t>of the treatments</w:t>
      </w:r>
      <w:r w:rsidRPr="00DD30F0">
        <w:t>.</w:t>
      </w:r>
      <w:r w:rsidR="001A760C">
        <w:t xml:space="preserve"> </w:t>
      </w:r>
    </w:p>
    <w:p w14:paraId="48D117EA" w14:textId="77777777" w:rsidR="00D860C6" w:rsidRDefault="00D860C6" w:rsidP="007F6B99"/>
    <w:p w14:paraId="3F3223DF" w14:textId="2B7930DC" w:rsidR="00601548" w:rsidRPr="00601548" w:rsidRDefault="00F26B6F" w:rsidP="00F26B6F">
      <w:r>
        <w:t>F</w:t>
      </w:r>
      <w:r w:rsidRPr="00F26B6F">
        <w:t xml:space="preserve">igure </w:t>
      </w:r>
      <w:r w:rsidR="00601548">
        <w:t>3</w:t>
      </w:r>
      <w:r w:rsidRPr="00F26B6F">
        <w:t xml:space="preserve"> </w:t>
      </w:r>
      <w:r>
        <w:t xml:space="preserve">shows indicative UCS results of </w:t>
      </w:r>
      <w:proofErr w:type="spellStart"/>
      <w:r w:rsidR="006E4E6E" w:rsidRPr="006E4E6E">
        <w:t>of</w:t>
      </w:r>
      <w:proofErr w:type="spellEnd"/>
      <w:r w:rsidR="006E4E6E" w:rsidRPr="006E4E6E">
        <w:t xml:space="preserve"> 1x10</w:t>
      </w:r>
      <w:r w:rsidR="006E4E6E" w:rsidRPr="006E4E6E">
        <w:rPr>
          <w:vertAlign w:val="superscript"/>
        </w:rPr>
        <w:t>8</w:t>
      </w:r>
      <w:r w:rsidR="006E4E6E" w:rsidRPr="006E4E6E">
        <w:t xml:space="preserve"> </w:t>
      </w:r>
      <w:proofErr w:type="spellStart"/>
      <w:r w:rsidR="006E4E6E" w:rsidRPr="006E4E6E">
        <w:t>cfu</w:t>
      </w:r>
      <w:proofErr w:type="spellEnd"/>
      <w:r w:rsidR="006E4E6E" w:rsidRPr="006E4E6E">
        <w:t>/mL</w:t>
      </w:r>
      <w:r w:rsidR="006E4E6E" w:rsidRPr="006E4E6E">
        <w:rPr>
          <w:i/>
          <w:iCs/>
        </w:rPr>
        <w:t xml:space="preserve"> </w:t>
      </w:r>
      <w:r w:rsidRPr="00F26B6F">
        <w:rPr>
          <w:i/>
          <w:iCs/>
        </w:rPr>
        <w:t>B. licheniformis</w:t>
      </w:r>
      <w:r>
        <w:t xml:space="preserve"> specimens with 85% degree of saturation treated with </w:t>
      </w:r>
      <w:r w:rsidR="006E4E6E">
        <w:t xml:space="preserve">equimolar (1M) reagent solution and </w:t>
      </w:r>
      <w:r>
        <w:t>different methods. I</w:t>
      </w:r>
      <w:r w:rsidRPr="00F26B6F">
        <w:t>t can be seen that EK injection (with polarity reversal) was the most successful implementation method</w:t>
      </w:r>
      <w:r w:rsidR="00601548">
        <w:t>, superior to the pressure injection</w:t>
      </w:r>
      <w:r w:rsidRPr="00F26B6F">
        <w:t xml:space="preserve">; the </w:t>
      </w:r>
      <w:r w:rsidR="00601548">
        <w:t xml:space="preserve">EK </w:t>
      </w:r>
      <w:r w:rsidRPr="00F26B6F">
        <w:t xml:space="preserve">method was </w:t>
      </w:r>
      <w:r w:rsidR="006E4E6E">
        <w:t>studied</w:t>
      </w:r>
      <w:r w:rsidRPr="00F26B6F">
        <w:t xml:space="preserve"> for degrees of saturation S</w:t>
      </w:r>
      <w:r w:rsidRPr="00F26B6F">
        <w:rPr>
          <w:vertAlign w:val="subscript"/>
        </w:rPr>
        <w:t>r</w:t>
      </w:r>
      <w:r w:rsidRPr="00F26B6F">
        <w:t>=</w:t>
      </w:r>
      <w:r w:rsidR="006E4E6E">
        <w:t>7</w:t>
      </w:r>
      <w:r w:rsidRPr="00F26B6F">
        <w:t>5-95% with the latter giving the best results (not shown here for brevity). Implementation in wetter periods of the year would therefore be recommended for better success of the treatment. Consistently, the highest CaCO</w:t>
      </w:r>
      <w:r w:rsidRPr="00F26B6F">
        <w:rPr>
          <w:vertAlign w:val="subscript"/>
        </w:rPr>
        <w:t>3</w:t>
      </w:r>
      <w:r w:rsidRPr="00F26B6F">
        <w:t xml:space="preserve"> contents in the soil (not shown here) were detected for the EK method. Pressure flow </w:t>
      </w:r>
      <w:r w:rsidR="00962C6E">
        <w:t>led</w:t>
      </w:r>
      <w:r w:rsidRPr="00F26B6F">
        <w:t xml:space="preserve"> to strength improvement (and increased CaCO</w:t>
      </w:r>
      <w:r w:rsidRPr="00F26B6F">
        <w:rPr>
          <w:vertAlign w:val="subscript"/>
        </w:rPr>
        <w:t>3</w:t>
      </w:r>
      <w:r w:rsidRPr="00F26B6F">
        <w:t xml:space="preserve"> contents) but to a lesser extent than EK, whilst </w:t>
      </w:r>
      <w:proofErr w:type="spellStart"/>
      <w:r w:rsidR="00962C6E">
        <w:t>biostimulation</w:t>
      </w:r>
      <w:proofErr w:type="spellEnd"/>
      <w:r w:rsidR="00962C6E">
        <w:t xml:space="preserve"> by pressure injection and implementation of full treatments by </w:t>
      </w:r>
      <w:r w:rsidRPr="00F26B6F">
        <w:t>mixing w</w:t>
      </w:r>
      <w:r w:rsidR="00962C6E">
        <w:t>ere</w:t>
      </w:r>
      <w:r w:rsidRPr="00F26B6F">
        <w:t xml:space="preserve"> not successful. There was obviously a combined effect of biocementation and </w:t>
      </w:r>
      <w:r w:rsidR="00601548">
        <w:t>EK</w:t>
      </w:r>
      <w:r w:rsidRPr="00F26B6F">
        <w:t xml:space="preserve"> (which is an improvement method </w:t>
      </w:r>
      <w:r w:rsidRPr="00B537F4">
        <w:rPr>
          <w:i/>
          <w:iCs/>
        </w:rPr>
        <w:t>per se</w:t>
      </w:r>
      <w:r w:rsidRPr="00F26B6F">
        <w:t>) as EK control samples (not shown here</w:t>
      </w:r>
      <w:r w:rsidR="00B537F4">
        <w:t xml:space="preserve"> for brevity</w:t>
      </w:r>
      <w:r w:rsidRPr="00F26B6F">
        <w:t>) had higher strengths than the respective pressure flow ones; however</w:t>
      </w:r>
      <w:r w:rsidR="00B0741E">
        <w:t>,</w:t>
      </w:r>
      <w:r w:rsidRPr="00F26B6F">
        <w:t xml:space="preserve"> CaCO</w:t>
      </w:r>
      <w:r w:rsidRPr="00F26B6F">
        <w:rPr>
          <w:vertAlign w:val="subscript"/>
        </w:rPr>
        <w:t>3</w:t>
      </w:r>
      <w:r w:rsidRPr="00F26B6F">
        <w:t xml:space="preserve"> contents and increased strengths </w:t>
      </w:r>
      <w:r w:rsidR="00962C6E">
        <w:t>(</w:t>
      </w:r>
      <w:r w:rsidRPr="00F26B6F">
        <w:t>compared to EK control</w:t>
      </w:r>
      <w:r w:rsidR="00962C6E">
        <w:t>)</w:t>
      </w:r>
      <w:r w:rsidRPr="00F26B6F">
        <w:t xml:space="preserve"> when bacteria were used in the EK tests, </w:t>
      </w:r>
      <w:r w:rsidR="00962C6E">
        <w:t>concur with the conclusion</w:t>
      </w:r>
      <w:r w:rsidRPr="00F26B6F">
        <w:t xml:space="preserve"> that the strength increase was due to biocementation. Whilst treatment non-uniformity (when bacteria were injected rather than premixed) still needs to be </w:t>
      </w:r>
      <w:r w:rsidR="00962C6E">
        <w:t>addressed</w:t>
      </w:r>
      <w:r w:rsidRPr="00F26B6F">
        <w:t>, there is promise that EK could be a viable technique for treating</w:t>
      </w:r>
      <w:r w:rsidR="004B785E">
        <w:t xml:space="preserve"> </w:t>
      </w:r>
      <w:r w:rsidRPr="00F26B6F">
        <w:t>soil under existing infrastructure.</w:t>
      </w:r>
      <w:r w:rsidR="007F6B99" w:rsidRPr="007F6B99">
        <w:rPr>
          <w:rFonts w:eastAsia="Times New Roman" w:cs="Arial"/>
          <w:szCs w:val="20"/>
          <w:lang w:eastAsia="en-GB"/>
        </w:rPr>
        <w:t xml:space="preserve"> </w:t>
      </w:r>
      <w:r w:rsidR="00601548">
        <w:rPr>
          <w:rFonts w:eastAsia="Times New Roman" w:cs="Arial"/>
          <w:szCs w:val="20"/>
          <w:lang w:eastAsia="en-GB"/>
        </w:rPr>
        <w:t xml:space="preserve">The comparatively higher success of the </w:t>
      </w:r>
      <w:r w:rsidR="003A3867">
        <w:rPr>
          <w:rFonts w:eastAsia="Times New Roman" w:cs="Arial"/>
          <w:szCs w:val="20"/>
          <w:lang w:eastAsia="en-GB"/>
        </w:rPr>
        <w:t xml:space="preserve">EK method in </w:t>
      </w:r>
      <w:proofErr w:type="spellStart"/>
      <w:r w:rsidR="003A3867">
        <w:rPr>
          <w:rFonts w:eastAsia="Times New Roman" w:cs="Arial"/>
          <w:szCs w:val="20"/>
          <w:lang w:eastAsia="en-GB"/>
        </w:rPr>
        <w:t>biocementing</w:t>
      </w:r>
      <w:proofErr w:type="spellEnd"/>
      <w:r w:rsidR="003A3867">
        <w:rPr>
          <w:rFonts w:eastAsia="Times New Roman" w:cs="Arial"/>
          <w:szCs w:val="20"/>
          <w:lang w:eastAsia="en-GB"/>
        </w:rPr>
        <w:t xml:space="preserve"> the sample can also be testified by the indicative stress-strain behaviour plots in Fig. 4. Even with the best performing pressure flow column treatment concentration (0.75M reagent</w:t>
      </w:r>
      <w:r w:rsidR="00B507F0">
        <w:rPr>
          <w:rFonts w:eastAsia="Times New Roman" w:cs="Arial"/>
          <w:szCs w:val="20"/>
          <w:lang w:eastAsia="en-GB"/>
        </w:rPr>
        <w:t xml:space="preserve"> solution</w:t>
      </w:r>
      <w:r w:rsidR="003A3867">
        <w:rPr>
          <w:rFonts w:eastAsia="Times New Roman" w:cs="Arial"/>
          <w:szCs w:val="20"/>
          <w:lang w:eastAsia="en-GB"/>
        </w:rPr>
        <w:t xml:space="preserve">), against 1M reagent solution for the EK (which had a </w:t>
      </w:r>
      <w:r w:rsidR="00B507F0">
        <w:rPr>
          <w:rFonts w:eastAsia="Times New Roman" w:cs="Arial"/>
          <w:szCs w:val="20"/>
          <w:lang w:eastAsia="en-GB"/>
        </w:rPr>
        <w:t>rather</w:t>
      </w:r>
      <w:r w:rsidR="003A3867">
        <w:rPr>
          <w:rFonts w:eastAsia="Times New Roman" w:cs="Arial"/>
          <w:szCs w:val="20"/>
          <w:lang w:eastAsia="en-GB"/>
        </w:rPr>
        <w:t xml:space="preserve"> mode</w:t>
      </w:r>
      <w:r w:rsidR="00B507F0">
        <w:rPr>
          <w:rFonts w:eastAsia="Times New Roman" w:cs="Arial"/>
          <w:szCs w:val="20"/>
          <w:lang w:eastAsia="en-GB"/>
        </w:rPr>
        <w:t>st</w:t>
      </w:r>
      <w:r w:rsidR="003A3867">
        <w:rPr>
          <w:rFonts w:eastAsia="Times New Roman" w:cs="Arial"/>
          <w:szCs w:val="20"/>
          <w:lang w:eastAsia="en-GB"/>
        </w:rPr>
        <w:t xml:space="preserve"> performance for </w:t>
      </w:r>
      <w:r w:rsidR="00B507F0">
        <w:rPr>
          <w:rFonts w:eastAsia="Times New Roman" w:cs="Arial"/>
          <w:szCs w:val="20"/>
          <w:lang w:eastAsia="en-GB"/>
        </w:rPr>
        <w:t xml:space="preserve">the </w:t>
      </w:r>
      <w:proofErr w:type="spellStart"/>
      <w:r w:rsidR="003A3867" w:rsidRPr="00B0741E">
        <w:rPr>
          <w:rFonts w:eastAsia="Times New Roman" w:cs="Arial"/>
          <w:i/>
          <w:iCs/>
          <w:szCs w:val="20"/>
          <w:lang w:eastAsia="en-GB"/>
        </w:rPr>
        <w:t>B.licheniformis</w:t>
      </w:r>
      <w:proofErr w:type="spellEnd"/>
      <w:r w:rsidR="003A3867">
        <w:rPr>
          <w:rFonts w:eastAsia="Times New Roman" w:cs="Arial"/>
          <w:szCs w:val="20"/>
          <w:lang w:eastAsia="en-GB"/>
        </w:rPr>
        <w:t xml:space="preserve"> pressure flow column treatment</w:t>
      </w:r>
      <w:r w:rsidR="00B507F0">
        <w:rPr>
          <w:rFonts w:eastAsia="Times New Roman" w:cs="Arial"/>
          <w:szCs w:val="20"/>
          <w:lang w:eastAsia="en-GB"/>
        </w:rPr>
        <w:t>, as shown in Fig. 1 and 3</w:t>
      </w:r>
      <w:r w:rsidR="003A3867">
        <w:rPr>
          <w:rFonts w:eastAsia="Times New Roman" w:cs="Arial"/>
          <w:szCs w:val="20"/>
          <w:lang w:eastAsia="en-GB"/>
        </w:rPr>
        <w:t xml:space="preserve">) the EK curves show a </w:t>
      </w:r>
      <w:r w:rsidR="00B507F0">
        <w:rPr>
          <w:rFonts w:eastAsia="Times New Roman" w:cs="Arial"/>
          <w:szCs w:val="20"/>
          <w:lang w:eastAsia="en-GB"/>
        </w:rPr>
        <w:t>more</w:t>
      </w:r>
      <w:r w:rsidR="003A3867">
        <w:rPr>
          <w:rFonts w:eastAsia="Times New Roman" w:cs="Arial"/>
          <w:szCs w:val="20"/>
          <w:lang w:eastAsia="en-GB"/>
        </w:rPr>
        <w:t xml:space="preserve"> brittle response </w:t>
      </w:r>
      <w:r w:rsidR="00B507F0">
        <w:rPr>
          <w:rFonts w:eastAsia="Times New Roman" w:cs="Arial"/>
          <w:szCs w:val="20"/>
          <w:lang w:eastAsia="en-GB"/>
        </w:rPr>
        <w:t>-and a slight increase in stiffness-</w:t>
      </w:r>
      <w:r w:rsidR="004B785E">
        <w:rPr>
          <w:rFonts w:eastAsia="Times New Roman" w:cs="Arial"/>
          <w:szCs w:val="20"/>
          <w:lang w:eastAsia="en-GB"/>
        </w:rPr>
        <w:t>,</w:t>
      </w:r>
      <w:r w:rsidR="00B507F0">
        <w:rPr>
          <w:rFonts w:eastAsia="Times New Roman" w:cs="Arial"/>
          <w:szCs w:val="20"/>
          <w:lang w:eastAsia="en-GB"/>
        </w:rPr>
        <w:t xml:space="preserve"> which is consistent with the higher degree of cementation of the EK sample.</w:t>
      </w:r>
      <w:r w:rsidR="00C74DEF">
        <w:rPr>
          <w:rFonts w:eastAsia="Times New Roman" w:cs="Arial"/>
          <w:szCs w:val="20"/>
          <w:lang w:eastAsia="en-GB"/>
        </w:rPr>
        <w:t xml:space="preserve"> This is also consistent (with one exception) with the indicative oedometer results in Table 1 showing coefficient of volume compressibility m</w:t>
      </w:r>
      <w:r w:rsidR="00C74DEF" w:rsidRPr="004B785E">
        <w:rPr>
          <w:rFonts w:eastAsia="Times New Roman" w:cs="Arial"/>
          <w:szCs w:val="20"/>
          <w:vertAlign w:val="subscript"/>
          <w:lang w:eastAsia="en-GB"/>
        </w:rPr>
        <w:t>v</w:t>
      </w:r>
      <w:r w:rsidR="00C74DEF">
        <w:rPr>
          <w:rFonts w:eastAsia="Times New Roman" w:cs="Arial"/>
          <w:szCs w:val="20"/>
          <w:lang w:eastAsia="en-GB"/>
        </w:rPr>
        <w:t xml:space="preserve"> values; both </w:t>
      </w:r>
      <w:r w:rsidR="004B785E">
        <w:rPr>
          <w:rFonts w:eastAsia="Times New Roman" w:cs="Arial"/>
          <w:szCs w:val="20"/>
          <w:lang w:eastAsia="en-GB"/>
        </w:rPr>
        <w:t xml:space="preserve">EK and pressure flow led to </w:t>
      </w:r>
      <w:r w:rsidR="00C74DEF">
        <w:rPr>
          <w:rFonts w:eastAsia="Times New Roman" w:cs="Arial"/>
          <w:szCs w:val="20"/>
          <w:lang w:eastAsia="en-GB"/>
        </w:rPr>
        <w:t>a reduction in the compressibility of the treated specimens compared to the untreated specimen.</w:t>
      </w:r>
    </w:p>
    <w:p w14:paraId="33D9152D" w14:textId="6E841258" w:rsidR="000C776F" w:rsidRDefault="004B785E" w:rsidP="00F26B6F">
      <w:pPr>
        <w:rPr>
          <w:lang w:val="en-US"/>
        </w:rPr>
      </w:pPr>
      <w:r w:rsidRPr="004B785E">
        <w:rPr>
          <w:noProof/>
          <w:lang w:val="en-US"/>
        </w:rPr>
        <w:lastRenderedPageBreak/>
        <w:drawing>
          <wp:inline distT="0" distB="0" distL="0" distR="0" wp14:anchorId="5BC0BCF1" wp14:editId="6A76F486">
            <wp:extent cx="5759450" cy="2070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2070100"/>
                    </a:xfrm>
                    <a:prstGeom prst="rect">
                      <a:avLst/>
                    </a:prstGeom>
                  </pic:spPr>
                </pic:pic>
              </a:graphicData>
            </a:graphic>
          </wp:inline>
        </w:drawing>
      </w:r>
    </w:p>
    <w:p w14:paraId="0F5DA90A" w14:textId="4C6F9951" w:rsidR="009C12D0" w:rsidRDefault="004B785E" w:rsidP="00F26B6F">
      <w:pPr>
        <w:rPr>
          <w:lang w:val="en-US"/>
        </w:rPr>
      </w:pPr>
      <w:r w:rsidRPr="004B785E">
        <w:rPr>
          <w:noProof/>
          <w:lang w:val="en-US"/>
        </w:rPr>
        <w:drawing>
          <wp:inline distT="0" distB="0" distL="0" distR="0" wp14:anchorId="7059A166" wp14:editId="68B804C0">
            <wp:extent cx="5759450" cy="21278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127885"/>
                    </a:xfrm>
                    <a:prstGeom prst="rect">
                      <a:avLst/>
                    </a:prstGeom>
                  </pic:spPr>
                </pic:pic>
              </a:graphicData>
            </a:graphic>
          </wp:inline>
        </w:drawing>
      </w:r>
    </w:p>
    <w:p w14:paraId="5350D91A" w14:textId="3A8C4973" w:rsidR="00B333EB" w:rsidRDefault="00B333EB" w:rsidP="00B333EB">
      <w:pPr>
        <w:pStyle w:val="FigureCaption"/>
      </w:pPr>
      <w:r w:rsidRPr="00FB4CEF">
        <w:t xml:space="preserve">Figure 1. </w:t>
      </w:r>
      <w:r>
        <w:t>Preliminary testing results with four monocultures</w:t>
      </w:r>
      <w:r w:rsidR="00CB3434">
        <w:t>: (a) UCS results; (b) CaCO</w:t>
      </w:r>
      <w:r w:rsidR="00CB3434" w:rsidRPr="00CB3434">
        <w:rPr>
          <w:vertAlign w:val="subscript"/>
        </w:rPr>
        <w:t>3</w:t>
      </w:r>
      <w:r w:rsidR="00CB3434">
        <w:t xml:space="preserve"> measurements</w:t>
      </w:r>
    </w:p>
    <w:p w14:paraId="32EA84AA" w14:textId="16E8944B" w:rsidR="00424E7E" w:rsidRDefault="00424E7E" w:rsidP="00424E7E">
      <w:pPr>
        <w:jc w:val="center"/>
        <w:rPr>
          <w:lang w:eastAsia="de-CH"/>
        </w:rPr>
      </w:pPr>
      <w:r>
        <w:rPr>
          <w:noProof/>
        </w:rPr>
        <w:drawing>
          <wp:inline distT="0" distB="0" distL="0" distR="0" wp14:anchorId="3F7966F7" wp14:editId="1E58D982">
            <wp:extent cx="3657600" cy="4065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0076" cy="4090281"/>
                    </a:xfrm>
                    <a:prstGeom prst="rect">
                      <a:avLst/>
                    </a:prstGeom>
                    <a:noFill/>
                    <a:ln>
                      <a:noFill/>
                    </a:ln>
                  </pic:spPr>
                </pic:pic>
              </a:graphicData>
            </a:graphic>
          </wp:inline>
        </w:drawing>
      </w:r>
    </w:p>
    <w:p w14:paraId="51A5DF7D" w14:textId="1853D27B" w:rsidR="00424E7E" w:rsidRDefault="00424E7E" w:rsidP="00424E7E">
      <w:pPr>
        <w:pStyle w:val="FigureCaption"/>
        <w:jc w:val="both"/>
      </w:pPr>
      <w:r w:rsidRPr="00FB4CEF">
        <w:t xml:space="preserve">Figure </w:t>
      </w:r>
      <w:r>
        <w:t>2</w:t>
      </w:r>
      <w:r w:rsidRPr="00FB4CEF">
        <w:t xml:space="preserve">. </w:t>
      </w:r>
      <w:r>
        <w:t>Indicative SEM-ED</w:t>
      </w:r>
      <w:r w:rsidR="007F6B99">
        <w:t>S</w:t>
      </w:r>
      <w:r>
        <w:t xml:space="preserve"> results for two monocultures: (a) </w:t>
      </w:r>
      <w:r w:rsidRPr="00362514">
        <w:rPr>
          <w:i/>
          <w:iCs/>
        </w:rPr>
        <w:t>B. licheniformis</w:t>
      </w:r>
      <w:r>
        <w:t xml:space="preserve">;(b) </w:t>
      </w:r>
      <w:r w:rsidRPr="00362514">
        <w:rPr>
          <w:i/>
          <w:iCs/>
        </w:rPr>
        <w:t>L.fusiformis</w:t>
      </w:r>
      <w:r>
        <w:t xml:space="preserve"> </w:t>
      </w:r>
    </w:p>
    <w:p w14:paraId="16EB609E" w14:textId="76F4751B" w:rsidR="00F26B6F" w:rsidRDefault="00D0528E" w:rsidP="00F26B6F">
      <w:pPr>
        <w:pStyle w:val="Figure"/>
      </w:pPr>
      <w:r w:rsidRPr="00D0528E">
        <w:lastRenderedPageBreak/>
        <w:drawing>
          <wp:inline distT="0" distB="0" distL="0" distR="0" wp14:anchorId="1B3D8EBD" wp14:editId="2A3C9D0B">
            <wp:extent cx="5759450" cy="20504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050415"/>
                    </a:xfrm>
                    <a:prstGeom prst="rect">
                      <a:avLst/>
                    </a:prstGeom>
                  </pic:spPr>
                </pic:pic>
              </a:graphicData>
            </a:graphic>
          </wp:inline>
        </w:drawing>
      </w:r>
    </w:p>
    <w:p w14:paraId="2FEDE329" w14:textId="1A0B2680" w:rsidR="00E518D3" w:rsidRPr="00FB4CEF" w:rsidRDefault="00811C5C" w:rsidP="00F26B6F">
      <w:pPr>
        <w:pStyle w:val="Figure"/>
      </w:pPr>
      <w:r w:rsidRPr="00811C5C">
        <w:drawing>
          <wp:inline distT="0" distB="0" distL="0" distR="0" wp14:anchorId="38D0CD20" wp14:editId="7828D256">
            <wp:extent cx="5759450" cy="2142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2142490"/>
                    </a:xfrm>
                    <a:prstGeom prst="rect">
                      <a:avLst/>
                    </a:prstGeom>
                  </pic:spPr>
                </pic:pic>
              </a:graphicData>
            </a:graphic>
          </wp:inline>
        </w:drawing>
      </w:r>
    </w:p>
    <w:p w14:paraId="5EE65BC6" w14:textId="7C340D41" w:rsidR="00F26B6F" w:rsidRDefault="00F26B6F" w:rsidP="00F26B6F">
      <w:pPr>
        <w:pStyle w:val="FigureCaption"/>
      </w:pPr>
      <w:r w:rsidRPr="00FB4CEF">
        <w:t xml:space="preserve">Figure </w:t>
      </w:r>
      <w:r w:rsidR="00424E7E">
        <w:t>3</w:t>
      </w:r>
      <w:r w:rsidRPr="00FB4CEF">
        <w:t xml:space="preserve">. </w:t>
      </w:r>
      <w:r w:rsidR="00B333EB">
        <w:t>Comparative</w:t>
      </w:r>
      <w:r>
        <w:t xml:space="preserve"> results</w:t>
      </w:r>
      <w:r w:rsidR="00B333EB">
        <w:t xml:space="preserve"> for all methods using the selected monoculture (</w:t>
      </w:r>
      <w:r w:rsidR="00B333EB" w:rsidRPr="00D22C04">
        <w:rPr>
          <w:i/>
          <w:iCs/>
        </w:rPr>
        <w:t>B. licheniformis</w:t>
      </w:r>
      <w:r w:rsidR="00B333EB">
        <w:t>)</w:t>
      </w:r>
      <w:r w:rsidR="00B537F4">
        <w:t>:</w:t>
      </w:r>
      <w:r w:rsidR="00B537F4" w:rsidRPr="00B537F4">
        <w:t xml:space="preserve"> </w:t>
      </w:r>
      <w:r w:rsidR="00B537F4">
        <w:t>(a) UCS results; (b) CaCO</w:t>
      </w:r>
      <w:r w:rsidR="00B537F4" w:rsidRPr="00CB3434">
        <w:rPr>
          <w:vertAlign w:val="subscript"/>
        </w:rPr>
        <w:t>3</w:t>
      </w:r>
      <w:r w:rsidR="00B537F4">
        <w:t xml:space="preserve"> measurements</w:t>
      </w:r>
      <w:r w:rsidR="00B333EB">
        <w:t xml:space="preserve"> </w:t>
      </w:r>
    </w:p>
    <w:p w14:paraId="0A06FD34" w14:textId="6EF4C290" w:rsidR="005C5225" w:rsidRDefault="00B507F0" w:rsidP="005C5225">
      <w:pPr>
        <w:jc w:val="center"/>
        <w:rPr>
          <w:lang w:eastAsia="de-CH"/>
        </w:rPr>
      </w:pPr>
      <w:r w:rsidRPr="00B507F0">
        <w:rPr>
          <w:noProof/>
          <w:lang w:eastAsia="de-CH"/>
        </w:rPr>
        <w:drawing>
          <wp:inline distT="0" distB="0" distL="0" distR="0" wp14:anchorId="3ED90D51" wp14:editId="1EF6E381">
            <wp:extent cx="3827655" cy="2711449"/>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0867" cy="2734976"/>
                    </a:xfrm>
                    <a:prstGeom prst="rect">
                      <a:avLst/>
                    </a:prstGeom>
                  </pic:spPr>
                </pic:pic>
              </a:graphicData>
            </a:graphic>
          </wp:inline>
        </w:drawing>
      </w:r>
    </w:p>
    <w:p w14:paraId="1C6D9915" w14:textId="3D90F5A9" w:rsidR="005C5225" w:rsidRDefault="005C5225" w:rsidP="005C5225">
      <w:pPr>
        <w:pStyle w:val="FigureCaption"/>
      </w:pPr>
      <w:r w:rsidRPr="00FB4CEF">
        <w:t xml:space="preserve">Figure </w:t>
      </w:r>
      <w:r w:rsidR="00424E7E">
        <w:t>4</w:t>
      </w:r>
      <w:r w:rsidRPr="00FB4CEF">
        <w:t xml:space="preserve">. </w:t>
      </w:r>
      <w:r>
        <w:t>Comparative stress-strain behaviour for the selected monoculture (</w:t>
      </w:r>
      <w:r w:rsidRPr="00362514">
        <w:rPr>
          <w:i/>
          <w:iCs/>
        </w:rPr>
        <w:t>B. licheniformis</w:t>
      </w:r>
      <w:r>
        <w:t xml:space="preserve">) </w:t>
      </w:r>
    </w:p>
    <w:p w14:paraId="016E0D24" w14:textId="77777777" w:rsidR="005C5225" w:rsidRPr="005C5225" w:rsidRDefault="005C5225" w:rsidP="005C5225">
      <w:pPr>
        <w:jc w:val="center"/>
        <w:rPr>
          <w:lang w:eastAsia="de-CH"/>
        </w:rPr>
      </w:pPr>
    </w:p>
    <w:p w14:paraId="2B61481F" w14:textId="7D6E914C" w:rsidR="00CC5FB2" w:rsidRDefault="00CC5FB2" w:rsidP="00CC5FB2">
      <w:pPr>
        <w:rPr>
          <w:lang w:eastAsia="de-CH"/>
        </w:rPr>
      </w:pPr>
    </w:p>
    <w:p w14:paraId="0A749699" w14:textId="306494B4" w:rsidR="00CC5FB2" w:rsidRDefault="00CC5FB2" w:rsidP="00CC5FB2">
      <w:pPr>
        <w:rPr>
          <w:lang w:eastAsia="de-CH"/>
        </w:rPr>
      </w:pPr>
    </w:p>
    <w:p w14:paraId="1DA98ADE" w14:textId="20396E21" w:rsidR="00CC5FB2" w:rsidRDefault="00CC5FB2" w:rsidP="00CC5FB2">
      <w:pPr>
        <w:rPr>
          <w:lang w:eastAsia="de-CH"/>
        </w:rPr>
      </w:pPr>
    </w:p>
    <w:p w14:paraId="1C0A5054" w14:textId="251D016D" w:rsidR="00D75AFE" w:rsidRPr="00FB4CEF" w:rsidRDefault="00D75AFE" w:rsidP="00D75AFE">
      <w:pPr>
        <w:pStyle w:val="TableCaption"/>
      </w:pPr>
      <w:r w:rsidRPr="00FB4CEF">
        <w:lastRenderedPageBreak/>
        <w:t xml:space="preserve">Table 1. </w:t>
      </w:r>
      <w:r w:rsidR="00C74DEF">
        <w:t>Indicative comparative results of coefficient of volume compressibility</w:t>
      </w:r>
      <w:r w:rsidR="00A03BBA">
        <w:t>, m</w:t>
      </w:r>
      <w:r w:rsidR="00A03BBA" w:rsidRPr="00A03BBA">
        <w:rPr>
          <w:vertAlign w:val="subscript"/>
        </w:rPr>
        <w:t>v</w:t>
      </w:r>
    </w:p>
    <w:tbl>
      <w:tblPr>
        <w:tblW w:w="7258" w:type="dxa"/>
        <w:jc w:val="center"/>
        <w:tblBorders>
          <w:top w:val="single" w:sz="4" w:space="0" w:color="auto"/>
          <w:bottom w:val="single" w:sz="4" w:space="0" w:color="auto"/>
        </w:tblBorders>
        <w:tblLook w:val="04A0" w:firstRow="1" w:lastRow="0" w:firstColumn="1" w:lastColumn="0" w:noHBand="0" w:noVBand="1"/>
      </w:tblPr>
      <w:tblGrid>
        <w:gridCol w:w="1830"/>
        <w:gridCol w:w="1822"/>
        <w:gridCol w:w="1809"/>
        <w:gridCol w:w="1797"/>
      </w:tblGrid>
      <w:tr w:rsidR="00AE2ADB" w:rsidRPr="00FB4CEF" w14:paraId="5556568B" w14:textId="77777777" w:rsidTr="00AE2ADB">
        <w:trPr>
          <w:jc w:val="center"/>
        </w:trPr>
        <w:tc>
          <w:tcPr>
            <w:tcW w:w="1830" w:type="dxa"/>
            <w:tcBorders>
              <w:top w:val="single" w:sz="4" w:space="0" w:color="auto"/>
              <w:bottom w:val="single" w:sz="4" w:space="0" w:color="auto"/>
            </w:tcBorders>
            <w:shd w:val="clear" w:color="auto" w:fill="auto"/>
            <w:vAlign w:val="center"/>
          </w:tcPr>
          <w:p w14:paraId="52B870EB" w14:textId="5AD723B5" w:rsidR="00AE2ADB" w:rsidRPr="00FB4CEF" w:rsidRDefault="00AE2ADB" w:rsidP="00B530BB">
            <w:pPr>
              <w:pStyle w:val="TableText"/>
            </w:pPr>
            <w:r>
              <w:t>Effective stress range (kPa)</w:t>
            </w:r>
          </w:p>
        </w:tc>
        <w:tc>
          <w:tcPr>
            <w:tcW w:w="1822" w:type="dxa"/>
            <w:tcBorders>
              <w:top w:val="single" w:sz="4" w:space="0" w:color="auto"/>
              <w:bottom w:val="single" w:sz="4" w:space="0" w:color="auto"/>
            </w:tcBorders>
            <w:shd w:val="clear" w:color="auto" w:fill="auto"/>
            <w:vAlign w:val="center"/>
          </w:tcPr>
          <w:p w14:paraId="08D0CF60" w14:textId="09EB8E10" w:rsidR="00AE2ADB" w:rsidRPr="00FB4CEF" w:rsidRDefault="00AE2ADB" w:rsidP="00B530BB">
            <w:pPr>
              <w:pStyle w:val="TableText"/>
            </w:pPr>
            <w:r>
              <w:t>Untreated</w:t>
            </w:r>
          </w:p>
          <w:p w14:paraId="4DB04DD9" w14:textId="11606373" w:rsidR="00AE2ADB" w:rsidRPr="00FB4CEF" w:rsidRDefault="00AE2ADB" w:rsidP="00B530BB">
            <w:pPr>
              <w:pStyle w:val="TableText"/>
            </w:pPr>
            <w:r w:rsidRPr="00FB4CEF">
              <w:t>(</w:t>
            </w:r>
            <w:r>
              <w:t>m</w:t>
            </w:r>
            <w:r w:rsidRPr="00C74DEF">
              <w:rPr>
                <w:vertAlign w:val="superscript"/>
              </w:rPr>
              <w:t>2</w:t>
            </w:r>
            <w:r>
              <w:t>/</w:t>
            </w:r>
            <w:proofErr w:type="spellStart"/>
            <w:r>
              <w:t>kN</w:t>
            </w:r>
            <w:proofErr w:type="spellEnd"/>
            <w:r w:rsidRPr="00FB4CEF">
              <w:t>)</w:t>
            </w:r>
          </w:p>
        </w:tc>
        <w:tc>
          <w:tcPr>
            <w:tcW w:w="1809" w:type="dxa"/>
            <w:tcBorders>
              <w:top w:val="single" w:sz="4" w:space="0" w:color="auto"/>
              <w:bottom w:val="single" w:sz="4" w:space="0" w:color="auto"/>
            </w:tcBorders>
            <w:shd w:val="clear" w:color="auto" w:fill="auto"/>
            <w:vAlign w:val="center"/>
          </w:tcPr>
          <w:p w14:paraId="7FA74B9B" w14:textId="2459DF5A" w:rsidR="00AE2ADB" w:rsidRPr="00FB4CEF" w:rsidRDefault="00AE2ADB" w:rsidP="00B530BB">
            <w:pPr>
              <w:pStyle w:val="TableText"/>
            </w:pPr>
            <w:r>
              <w:t xml:space="preserve">Pressure injection </w:t>
            </w:r>
          </w:p>
          <w:p w14:paraId="500C67FA" w14:textId="621A84CD" w:rsidR="00AE2ADB" w:rsidRPr="00FB4CEF" w:rsidRDefault="00AE2ADB" w:rsidP="00B530BB">
            <w:pPr>
              <w:pStyle w:val="TableText"/>
            </w:pPr>
            <w:r w:rsidRPr="00FB4CEF">
              <w:t>(</w:t>
            </w:r>
            <w:r>
              <w:t>m</w:t>
            </w:r>
            <w:r w:rsidRPr="00C74DEF">
              <w:rPr>
                <w:vertAlign w:val="superscript"/>
              </w:rPr>
              <w:t>2</w:t>
            </w:r>
            <w:r>
              <w:t>/</w:t>
            </w:r>
            <w:proofErr w:type="spellStart"/>
            <w:r>
              <w:t>kN</w:t>
            </w:r>
            <w:proofErr w:type="spellEnd"/>
            <w:r w:rsidRPr="00FB4CEF">
              <w:t>)</w:t>
            </w:r>
          </w:p>
        </w:tc>
        <w:tc>
          <w:tcPr>
            <w:tcW w:w="1797" w:type="dxa"/>
            <w:tcBorders>
              <w:top w:val="single" w:sz="4" w:space="0" w:color="auto"/>
              <w:bottom w:val="single" w:sz="4" w:space="0" w:color="auto"/>
            </w:tcBorders>
            <w:shd w:val="clear" w:color="auto" w:fill="auto"/>
            <w:vAlign w:val="center"/>
          </w:tcPr>
          <w:p w14:paraId="2695B26F" w14:textId="77777777" w:rsidR="00AE2ADB" w:rsidRDefault="00AE2ADB" w:rsidP="00B530BB">
            <w:pPr>
              <w:pStyle w:val="TableText"/>
            </w:pPr>
            <w:r>
              <w:t xml:space="preserve">EK </w:t>
            </w:r>
          </w:p>
          <w:p w14:paraId="50B8C12F" w14:textId="1C19CBC9" w:rsidR="00AE2ADB" w:rsidRPr="00FB4CEF" w:rsidRDefault="00AE2ADB" w:rsidP="00B530BB">
            <w:pPr>
              <w:pStyle w:val="TableText"/>
            </w:pPr>
            <w:r w:rsidRPr="00FB4CEF">
              <w:t>(</w:t>
            </w:r>
            <w:r>
              <w:t>m</w:t>
            </w:r>
            <w:r w:rsidRPr="00C74DEF">
              <w:rPr>
                <w:vertAlign w:val="superscript"/>
              </w:rPr>
              <w:t>2</w:t>
            </w:r>
            <w:r>
              <w:t>/</w:t>
            </w:r>
            <w:proofErr w:type="spellStart"/>
            <w:r>
              <w:t>kN</w:t>
            </w:r>
            <w:proofErr w:type="spellEnd"/>
            <w:r w:rsidRPr="00FB4CEF">
              <w:t>)</w:t>
            </w:r>
          </w:p>
        </w:tc>
      </w:tr>
      <w:tr w:rsidR="00AE2ADB" w:rsidRPr="00FB4CEF" w14:paraId="14CAB72A" w14:textId="77777777" w:rsidTr="00C74DEF">
        <w:trPr>
          <w:jc w:val="center"/>
        </w:trPr>
        <w:tc>
          <w:tcPr>
            <w:tcW w:w="1830" w:type="dxa"/>
            <w:tcBorders>
              <w:top w:val="single" w:sz="4" w:space="0" w:color="auto"/>
            </w:tcBorders>
            <w:shd w:val="clear" w:color="auto" w:fill="auto"/>
            <w:vAlign w:val="center"/>
          </w:tcPr>
          <w:p w14:paraId="30B12A52" w14:textId="0CF39753" w:rsidR="00AE2ADB" w:rsidRPr="00FB4CEF" w:rsidRDefault="00AE2ADB" w:rsidP="00AE2ADB">
            <w:pPr>
              <w:pStyle w:val="TableText"/>
            </w:pPr>
            <w:r>
              <w:t xml:space="preserve">0-25 </w:t>
            </w:r>
          </w:p>
        </w:tc>
        <w:tc>
          <w:tcPr>
            <w:tcW w:w="1822" w:type="dxa"/>
            <w:tcBorders>
              <w:top w:val="nil"/>
              <w:left w:val="nil"/>
              <w:bottom w:val="nil"/>
              <w:right w:val="nil"/>
            </w:tcBorders>
            <w:shd w:val="clear" w:color="auto" w:fill="auto"/>
            <w:vAlign w:val="bottom"/>
          </w:tcPr>
          <w:p w14:paraId="17B14629" w14:textId="74A60776" w:rsidR="00AE2ADB" w:rsidRPr="00FB4CEF" w:rsidRDefault="00AE2ADB" w:rsidP="00AE2ADB">
            <w:pPr>
              <w:pStyle w:val="TableText"/>
            </w:pPr>
            <w:r>
              <w:rPr>
                <w:rFonts w:ascii="Calibri" w:hAnsi="Calibri" w:cs="Calibri"/>
                <w:color w:val="000000"/>
                <w:sz w:val="22"/>
                <w:szCs w:val="22"/>
              </w:rPr>
              <w:t>0.0009</w:t>
            </w:r>
          </w:p>
        </w:tc>
        <w:tc>
          <w:tcPr>
            <w:tcW w:w="1809" w:type="dxa"/>
            <w:tcBorders>
              <w:top w:val="nil"/>
              <w:left w:val="nil"/>
              <w:bottom w:val="nil"/>
              <w:right w:val="nil"/>
            </w:tcBorders>
            <w:shd w:val="clear" w:color="auto" w:fill="auto"/>
            <w:vAlign w:val="bottom"/>
          </w:tcPr>
          <w:p w14:paraId="06DD597B" w14:textId="39536544" w:rsidR="00AE2ADB" w:rsidRPr="00FB4CEF" w:rsidRDefault="00AE2ADB" w:rsidP="00AE2ADB">
            <w:pPr>
              <w:pStyle w:val="TableText"/>
            </w:pPr>
            <w:r>
              <w:rPr>
                <w:rFonts w:ascii="Calibri" w:hAnsi="Calibri" w:cs="Calibri"/>
                <w:color w:val="000000"/>
                <w:sz w:val="22"/>
                <w:szCs w:val="22"/>
              </w:rPr>
              <w:t>0.0006</w:t>
            </w:r>
          </w:p>
        </w:tc>
        <w:tc>
          <w:tcPr>
            <w:tcW w:w="1797" w:type="dxa"/>
            <w:tcBorders>
              <w:top w:val="nil"/>
              <w:left w:val="nil"/>
              <w:bottom w:val="nil"/>
              <w:right w:val="nil"/>
            </w:tcBorders>
            <w:shd w:val="clear" w:color="auto" w:fill="auto"/>
            <w:vAlign w:val="bottom"/>
          </w:tcPr>
          <w:p w14:paraId="74BE7B34" w14:textId="725C14B3" w:rsidR="00AE2ADB" w:rsidRPr="00FB4CEF" w:rsidRDefault="00AE2ADB" w:rsidP="00AE2ADB">
            <w:pPr>
              <w:pStyle w:val="TableText"/>
            </w:pPr>
            <w:r>
              <w:rPr>
                <w:rFonts w:ascii="Calibri" w:hAnsi="Calibri" w:cs="Calibri"/>
                <w:color w:val="000000"/>
                <w:sz w:val="22"/>
                <w:szCs w:val="22"/>
              </w:rPr>
              <w:t>0.0005</w:t>
            </w:r>
          </w:p>
        </w:tc>
      </w:tr>
      <w:tr w:rsidR="00AE2ADB" w:rsidRPr="00FB4CEF" w14:paraId="3D8048F4" w14:textId="77777777" w:rsidTr="00C74DEF">
        <w:trPr>
          <w:jc w:val="center"/>
        </w:trPr>
        <w:tc>
          <w:tcPr>
            <w:tcW w:w="1830" w:type="dxa"/>
            <w:shd w:val="clear" w:color="auto" w:fill="auto"/>
            <w:vAlign w:val="center"/>
          </w:tcPr>
          <w:p w14:paraId="26667940" w14:textId="17EA7C6D" w:rsidR="00AE2ADB" w:rsidRPr="00FB4CEF" w:rsidRDefault="00AE2ADB" w:rsidP="00AE2ADB">
            <w:pPr>
              <w:pStyle w:val="TableText"/>
            </w:pPr>
            <w:r>
              <w:t>25-50</w:t>
            </w:r>
          </w:p>
        </w:tc>
        <w:tc>
          <w:tcPr>
            <w:tcW w:w="1822" w:type="dxa"/>
            <w:tcBorders>
              <w:top w:val="nil"/>
              <w:left w:val="nil"/>
              <w:bottom w:val="nil"/>
              <w:right w:val="nil"/>
            </w:tcBorders>
            <w:shd w:val="clear" w:color="auto" w:fill="auto"/>
            <w:vAlign w:val="bottom"/>
          </w:tcPr>
          <w:p w14:paraId="44465215" w14:textId="7FA0B421" w:rsidR="00AE2ADB" w:rsidRPr="00FB4CEF" w:rsidRDefault="00AE2ADB" w:rsidP="00AE2ADB">
            <w:pPr>
              <w:pStyle w:val="TableText"/>
            </w:pPr>
            <w:r>
              <w:rPr>
                <w:rFonts w:ascii="Calibri" w:hAnsi="Calibri" w:cs="Calibri"/>
                <w:color w:val="000000"/>
                <w:sz w:val="22"/>
                <w:szCs w:val="22"/>
              </w:rPr>
              <w:t>0.0005</w:t>
            </w:r>
          </w:p>
        </w:tc>
        <w:tc>
          <w:tcPr>
            <w:tcW w:w="1809" w:type="dxa"/>
            <w:tcBorders>
              <w:top w:val="nil"/>
              <w:left w:val="nil"/>
              <w:bottom w:val="nil"/>
              <w:right w:val="nil"/>
            </w:tcBorders>
            <w:shd w:val="clear" w:color="auto" w:fill="auto"/>
            <w:vAlign w:val="bottom"/>
          </w:tcPr>
          <w:p w14:paraId="58C7D48E" w14:textId="06407884" w:rsidR="00AE2ADB" w:rsidRPr="00FB4CEF" w:rsidRDefault="00AE2ADB" w:rsidP="00AE2ADB">
            <w:pPr>
              <w:pStyle w:val="TableText"/>
            </w:pPr>
            <w:r>
              <w:rPr>
                <w:rFonts w:ascii="Calibri" w:hAnsi="Calibri" w:cs="Calibri"/>
                <w:color w:val="000000"/>
                <w:sz w:val="22"/>
                <w:szCs w:val="22"/>
              </w:rPr>
              <w:t>0.0002</w:t>
            </w:r>
          </w:p>
        </w:tc>
        <w:tc>
          <w:tcPr>
            <w:tcW w:w="1797" w:type="dxa"/>
            <w:tcBorders>
              <w:top w:val="nil"/>
              <w:left w:val="nil"/>
              <w:bottom w:val="nil"/>
              <w:right w:val="nil"/>
            </w:tcBorders>
            <w:shd w:val="clear" w:color="auto" w:fill="auto"/>
            <w:vAlign w:val="bottom"/>
          </w:tcPr>
          <w:p w14:paraId="05323F21" w14:textId="5193126F" w:rsidR="00AE2ADB" w:rsidRPr="00FB4CEF" w:rsidRDefault="00AE2ADB" w:rsidP="00AE2ADB">
            <w:pPr>
              <w:pStyle w:val="TableText"/>
            </w:pPr>
            <w:r>
              <w:rPr>
                <w:rFonts w:ascii="Calibri" w:hAnsi="Calibri" w:cs="Calibri"/>
                <w:color w:val="000000"/>
                <w:sz w:val="22"/>
                <w:szCs w:val="22"/>
              </w:rPr>
              <w:t>0.0003</w:t>
            </w:r>
          </w:p>
        </w:tc>
      </w:tr>
      <w:tr w:rsidR="00AE2ADB" w:rsidRPr="00FB4CEF" w14:paraId="597168CE" w14:textId="77777777" w:rsidTr="00C74DEF">
        <w:trPr>
          <w:jc w:val="center"/>
        </w:trPr>
        <w:tc>
          <w:tcPr>
            <w:tcW w:w="1830" w:type="dxa"/>
            <w:shd w:val="clear" w:color="auto" w:fill="auto"/>
            <w:vAlign w:val="center"/>
          </w:tcPr>
          <w:p w14:paraId="163AA62A" w14:textId="0A790288" w:rsidR="00AE2ADB" w:rsidRPr="00FB4CEF" w:rsidRDefault="00AE2ADB" w:rsidP="00AE2ADB">
            <w:pPr>
              <w:pStyle w:val="TableText"/>
            </w:pPr>
            <w:r>
              <w:t>50-100</w:t>
            </w:r>
          </w:p>
        </w:tc>
        <w:tc>
          <w:tcPr>
            <w:tcW w:w="1822" w:type="dxa"/>
            <w:tcBorders>
              <w:top w:val="nil"/>
              <w:left w:val="nil"/>
              <w:bottom w:val="nil"/>
              <w:right w:val="nil"/>
            </w:tcBorders>
            <w:shd w:val="clear" w:color="auto" w:fill="auto"/>
            <w:vAlign w:val="bottom"/>
          </w:tcPr>
          <w:p w14:paraId="63056742" w14:textId="23547824" w:rsidR="00AE2ADB" w:rsidRPr="00FB4CEF" w:rsidRDefault="00AE2ADB" w:rsidP="00AE2ADB">
            <w:pPr>
              <w:pStyle w:val="TableText"/>
            </w:pPr>
            <w:r>
              <w:rPr>
                <w:rFonts w:ascii="Calibri" w:hAnsi="Calibri" w:cs="Calibri"/>
                <w:color w:val="000000"/>
                <w:sz w:val="22"/>
                <w:szCs w:val="22"/>
              </w:rPr>
              <w:t>0.000</w:t>
            </w:r>
            <w:r w:rsidR="00C74DEF">
              <w:rPr>
                <w:rFonts w:ascii="Calibri" w:hAnsi="Calibri" w:cs="Calibri"/>
                <w:color w:val="000000"/>
                <w:sz w:val="22"/>
                <w:szCs w:val="22"/>
              </w:rPr>
              <w:t>4</w:t>
            </w:r>
          </w:p>
        </w:tc>
        <w:tc>
          <w:tcPr>
            <w:tcW w:w="1809" w:type="dxa"/>
            <w:tcBorders>
              <w:top w:val="nil"/>
              <w:left w:val="nil"/>
              <w:bottom w:val="nil"/>
              <w:right w:val="nil"/>
            </w:tcBorders>
            <w:shd w:val="clear" w:color="auto" w:fill="auto"/>
            <w:vAlign w:val="bottom"/>
          </w:tcPr>
          <w:p w14:paraId="61572C30" w14:textId="3EED7607" w:rsidR="00AE2ADB" w:rsidRPr="00FB4CEF" w:rsidRDefault="00AE2ADB" w:rsidP="00AE2ADB">
            <w:pPr>
              <w:pStyle w:val="TableText"/>
            </w:pPr>
            <w:r>
              <w:rPr>
                <w:rFonts w:ascii="Calibri" w:hAnsi="Calibri" w:cs="Calibri"/>
                <w:color w:val="000000"/>
                <w:sz w:val="22"/>
                <w:szCs w:val="22"/>
              </w:rPr>
              <w:t>0.0003</w:t>
            </w:r>
          </w:p>
        </w:tc>
        <w:tc>
          <w:tcPr>
            <w:tcW w:w="1797" w:type="dxa"/>
            <w:tcBorders>
              <w:top w:val="nil"/>
              <w:left w:val="nil"/>
              <w:bottom w:val="nil"/>
              <w:right w:val="nil"/>
            </w:tcBorders>
            <w:shd w:val="clear" w:color="auto" w:fill="auto"/>
            <w:vAlign w:val="bottom"/>
          </w:tcPr>
          <w:p w14:paraId="684705C7" w14:textId="437F6264" w:rsidR="00AE2ADB" w:rsidRPr="00FB4CEF" w:rsidRDefault="00AE2ADB" w:rsidP="00AE2ADB">
            <w:pPr>
              <w:pStyle w:val="TableText"/>
            </w:pPr>
            <w:r>
              <w:rPr>
                <w:rFonts w:ascii="Calibri" w:hAnsi="Calibri" w:cs="Calibri"/>
                <w:color w:val="000000"/>
                <w:sz w:val="22"/>
                <w:szCs w:val="22"/>
              </w:rPr>
              <w:t>0.0003</w:t>
            </w:r>
          </w:p>
        </w:tc>
      </w:tr>
      <w:tr w:rsidR="00AE2ADB" w:rsidRPr="00FB4CEF" w14:paraId="581B892B" w14:textId="77777777" w:rsidTr="00C74DEF">
        <w:trPr>
          <w:jc w:val="center"/>
        </w:trPr>
        <w:tc>
          <w:tcPr>
            <w:tcW w:w="1830" w:type="dxa"/>
            <w:shd w:val="clear" w:color="auto" w:fill="auto"/>
            <w:vAlign w:val="center"/>
          </w:tcPr>
          <w:p w14:paraId="2D939C53" w14:textId="1745CEE3" w:rsidR="00AE2ADB" w:rsidRPr="00FB4CEF" w:rsidRDefault="00AE2ADB" w:rsidP="00AE2ADB">
            <w:pPr>
              <w:pStyle w:val="TableText"/>
            </w:pPr>
            <w:r>
              <w:t>100-200</w:t>
            </w:r>
          </w:p>
        </w:tc>
        <w:tc>
          <w:tcPr>
            <w:tcW w:w="1822" w:type="dxa"/>
            <w:tcBorders>
              <w:top w:val="nil"/>
              <w:left w:val="nil"/>
              <w:bottom w:val="nil"/>
              <w:right w:val="nil"/>
            </w:tcBorders>
            <w:shd w:val="clear" w:color="auto" w:fill="auto"/>
            <w:vAlign w:val="bottom"/>
          </w:tcPr>
          <w:p w14:paraId="12E0E835" w14:textId="45861F5D" w:rsidR="00AE2ADB" w:rsidRPr="00FB4CEF" w:rsidRDefault="00AE2ADB" w:rsidP="00AE2ADB">
            <w:pPr>
              <w:pStyle w:val="TableText"/>
            </w:pPr>
            <w:r>
              <w:rPr>
                <w:rFonts w:ascii="Calibri" w:hAnsi="Calibri" w:cs="Calibri"/>
                <w:color w:val="000000"/>
                <w:sz w:val="22"/>
                <w:szCs w:val="22"/>
              </w:rPr>
              <w:t>0.0003</w:t>
            </w:r>
          </w:p>
        </w:tc>
        <w:tc>
          <w:tcPr>
            <w:tcW w:w="1809" w:type="dxa"/>
            <w:tcBorders>
              <w:top w:val="nil"/>
              <w:left w:val="nil"/>
              <w:bottom w:val="nil"/>
              <w:right w:val="nil"/>
            </w:tcBorders>
            <w:shd w:val="clear" w:color="auto" w:fill="auto"/>
            <w:vAlign w:val="bottom"/>
          </w:tcPr>
          <w:p w14:paraId="5938FABD" w14:textId="4FB97B74" w:rsidR="00AE2ADB" w:rsidRPr="00FB4CEF" w:rsidRDefault="00AE2ADB" w:rsidP="00AE2ADB">
            <w:pPr>
              <w:pStyle w:val="TableText"/>
            </w:pPr>
            <w:r>
              <w:rPr>
                <w:rFonts w:ascii="Calibri" w:hAnsi="Calibri" w:cs="Calibri"/>
                <w:color w:val="000000"/>
                <w:sz w:val="22"/>
                <w:szCs w:val="22"/>
              </w:rPr>
              <w:t>0.0002</w:t>
            </w:r>
          </w:p>
        </w:tc>
        <w:tc>
          <w:tcPr>
            <w:tcW w:w="1797" w:type="dxa"/>
            <w:tcBorders>
              <w:top w:val="nil"/>
              <w:left w:val="nil"/>
              <w:bottom w:val="nil"/>
              <w:right w:val="nil"/>
            </w:tcBorders>
            <w:shd w:val="clear" w:color="auto" w:fill="auto"/>
            <w:vAlign w:val="bottom"/>
          </w:tcPr>
          <w:p w14:paraId="79F81B6B" w14:textId="40125F1E" w:rsidR="00AE2ADB" w:rsidRPr="00FB4CEF" w:rsidRDefault="00AE2ADB" w:rsidP="00AE2ADB">
            <w:pPr>
              <w:pStyle w:val="TableText"/>
            </w:pPr>
            <w:r>
              <w:rPr>
                <w:rFonts w:ascii="Calibri" w:hAnsi="Calibri" w:cs="Calibri"/>
                <w:color w:val="000000"/>
                <w:sz w:val="22"/>
                <w:szCs w:val="22"/>
              </w:rPr>
              <w:t>0.0002</w:t>
            </w:r>
          </w:p>
        </w:tc>
      </w:tr>
      <w:tr w:rsidR="00AE2ADB" w:rsidRPr="00FB4CEF" w14:paraId="59C43133" w14:textId="77777777" w:rsidTr="00C74DEF">
        <w:trPr>
          <w:jc w:val="center"/>
        </w:trPr>
        <w:tc>
          <w:tcPr>
            <w:tcW w:w="1830" w:type="dxa"/>
            <w:shd w:val="clear" w:color="auto" w:fill="auto"/>
            <w:vAlign w:val="center"/>
          </w:tcPr>
          <w:p w14:paraId="185050E4" w14:textId="66B5F1FA" w:rsidR="00AE2ADB" w:rsidRPr="00FB4CEF" w:rsidRDefault="00AE2ADB" w:rsidP="00AE2ADB">
            <w:pPr>
              <w:pStyle w:val="TableText"/>
            </w:pPr>
            <w:r>
              <w:t>200-400</w:t>
            </w:r>
          </w:p>
        </w:tc>
        <w:tc>
          <w:tcPr>
            <w:tcW w:w="1822" w:type="dxa"/>
            <w:tcBorders>
              <w:top w:val="nil"/>
              <w:left w:val="nil"/>
              <w:bottom w:val="single" w:sz="4" w:space="0" w:color="auto"/>
              <w:right w:val="nil"/>
            </w:tcBorders>
            <w:shd w:val="clear" w:color="auto" w:fill="auto"/>
            <w:vAlign w:val="bottom"/>
          </w:tcPr>
          <w:p w14:paraId="5C3BE8AF" w14:textId="381A4BB6" w:rsidR="00AE2ADB" w:rsidRPr="00FB4CEF" w:rsidRDefault="00AE2ADB" w:rsidP="00AE2ADB">
            <w:pPr>
              <w:pStyle w:val="TableText"/>
            </w:pPr>
            <w:r>
              <w:rPr>
                <w:rFonts w:ascii="Calibri" w:hAnsi="Calibri" w:cs="Calibri"/>
                <w:color w:val="000000"/>
                <w:sz w:val="22"/>
                <w:szCs w:val="22"/>
              </w:rPr>
              <w:t>0.0003</w:t>
            </w:r>
          </w:p>
        </w:tc>
        <w:tc>
          <w:tcPr>
            <w:tcW w:w="1809" w:type="dxa"/>
            <w:tcBorders>
              <w:top w:val="nil"/>
              <w:left w:val="nil"/>
              <w:bottom w:val="single" w:sz="4" w:space="0" w:color="auto"/>
              <w:right w:val="nil"/>
            </w:tcBorders>
            <w:shd w:val="clear" w:color="auto" w:fill="auto"/>
            <w:vAlign w:val="bottom"/>
          </w:tcPr>
          <w:p w14:paraId="015A61B6" w14:textId="4468E412" w:rsidR="00AE2ADB" w:rsidRPr="00FB4CEF" w:rsidRDefault="00AE2ADB" w:rsidP="00AE2ADB">
            <w:pPr>
              <w:pStyle w:val="TableText"/>
            </w:pPr>
            <w:r>
              <w:rPr>
                <w:rFonts w:ascii="Calibri" w:hAnsi="Calibri" w:cs="Calibri"/>
                <w:color w:val="000000"/>
                <w:sz w:val="22"/>
                <w:szCs w:val="22"/>
              </w:rPr>
              <w:t>0.0002</w:t>
            </w:r>
          </w:p>
        </w:tc>
        <w:tc>
          <w:tcPr>
            <w:tcW w:w="1797" w:type="dxa"/>
            <w:tcBorders>
              <w:top w:val="nil"/>
              <w:left w:val="nil"/>
              <w:bottom w:val="single" w:sz="4" w:space="0" w:color="auto"/>
              <w:right w:val="nil"/>
            </w:tcBorders>
            <w:shd w:val="clear" w:color="auto" w:fill="auto"/>
            <w:vAlign w:val="bottom"/>
          </w:tcPr>
          <w:p w14:paraId="03633852" w14:textId="07026C5F" w:rsidR="00AE2ADB" w:rsidRPr="00FB4CEF" w:rsidRDefault="00AE2ADB" w:rsidP="00AE2ADB">
            <w:pPr>
              <w:pStyle w:val="TableText"/>
            </w:pPr>
            <w:r>
              <w:rPr>
                <w:rFonts w:ascii="Calibri" w:hAnsi="Calibri" w:cs="Calibri"/>
                <w:color w:val="000000"/>
                <w:sz w:val="22"/>
                <w:szCs w:val="22"/>
              </w:rPr>
              <w:t>0.0001</w:t>
            </w:r>
          </w:p>
        </w:tc>
      </w:tr>
    </w:tbl>
    <w:p w14:paraId="2CFBB73D" w14:textId="2A106D17" w:rsidR="00DE52C9" w:rsidRPr="00744959" w:rsidRDefault="00294D33" w:rsidP="005266F6">
      <w:pPr>
        <w:pStyle w:val="Heading1"/>
      </w:pPr>
      <w:r w:rsidRPr="00744959">
        <w:t>Conclusions</w:t>
      </w:r>
    </w:p>
    <w:p w14:paraId="012D4F50" w14:textId="1A1BEB43" w:rsidR="00B530BB" w:rsidRPr="00B530BB" w:rsidRDefault="00B530BB" w:rsidP="00B530BB">
      <w:r>
        <w:t>The paper considered comparatively five different i</w:t>
      </w:r>
      <w:r w:rsidRPr="00B530BB">
        <w:t xml:space="preserve">mplementation </w:t>
      </w:r>
      <w:r>
        <w:t>methods to realise biocementation of an organic soil</w:t>
      </w:r>
      <w:r w:rsidR="00FB1A7D">
        <w:t>;</w:t>
      </w:r>
      <w:r>
        <w:t xml:space="preserve"> namely</w:t>
      </w:r>
      <w:r w:rsidR="00FB1A7D">
        <w:t>,</w:t>
      </w:r>
      <w:r>
        <w:t xml:space="preserve"> four bio-augmentation implementation methods and </w:t>
      </w:r>
      <w:proofErr w:type="spellStart"/>
      <w:r>
        <w:t>biostimulation</w:t>
      </w:r>
      <w:proofErr w:type="spellEnd"/>
      <w:r>
        <w:t xml:space="preserve">. Of these, </w:t>
      </w:r>
      <w:proofErr w:type="spellStart"/>
      <w:r>
        <w:t>electrokinetics</w:t>
      </w:r>
      <w:proofErr w:type="spellEnd"/>
      <w:r>
        <w:t xml:space="preserve"> performed the best producing the </w:t>
      </w:r>
      <w:r w:rsidRPr="00B530BB">
        <w:t xml:space="preserve">highest </w:t>
      </w:r>
      <w:r>
        <w:t>strengths</w:t>
      </w:r>
      <w:r w:rsidR="00FB1A7D">
        <w:t>,</w:t>
      </w:r>
      <w:r>
        <w:t xml:space="preserve"> </w:t>
      </w:r>
      <w:r w:rsidRPr="00B530BB">
        <w:t>CaCO</w:t>
      </w:r>
      <w:r w:rsidRPr="00B530BB">
        <w:rPr>
          <w:vertAlign w:val="subscript"/>
        </w:rPr>
        <w:t>3</w:t>
      </w:r>
      <w:r w:rsidRPr="00B530BB">
        <w:t xml:space="preserve"> contents</w:t>
      </w:r>
      <w:r w:rsidR="00F3443A">
        <w:t xml:space="preserve"> and </w:t>
      </w:r>
      <w:r w:rsidR="00FB1A7D">
        <w:t xml:space="preserve">higher soil </w:t>
      </w:r>
      <w:r w:rsidR="00F3443A">
        <w:t>stiffness</w:t>
      </w:r>
      <w:r w:rsidRPr="00B530BB">
        <w:t xml:space="preserve">. There was obviously a combined effect of biocementation and </w:t>
      </w:r>
      <w:proofErr w:type="spellStart"/>
      <w:r w:rsidRPr="00B530BB">
        <w:t>electrokinetics</w:t>
      </w:r>
      <w:proofErr w:type="spellEnd"/>
      <w:r w:rsidRPr="00B530BB">
        <w:t>; however</w:t>
      </w:r>
      <w:r w:rsidR="00084421">
        <w:t>,</w:t>
      </w:r>
      <w:r w:rsidRPr="00B530BB">
        <w:t xml:space="preserve"> CaCO</w:t>
      </w:r>
      <w:r w:rsidRPr="00B530BB">
        <w:rPr>
          <w:vertAlign w:val="subscript"/>
        </w:rPr>
        <w:t>3</w:t>
      </w:r>
      <w:r w:rsidRPr="00B530BB">
        <w:t xml:space="preserve"> contents and increased strengths compared to EK control when bacteria were used in the EK tests, support the conclusion that the strength increase was due to biocementation. Pressure flow did lead to strength improvement and increased CaCO</w:t>
      </w:r>
      <w:r w:rsidRPr="00B530BB">
        <w:rPr>
          <w:vertAlign w:val="subscript"/>
        </w:rPr>
        <w:t>3</w:t>
      </w:r>
      <w:r w:rsidRPr="00B530BB">
        <w:t xml:space="preserve"> contents but to a lesser extent than EK, whilst mixing </w:t>
      </w:r>
      <w:r>
        <w:t>of the treatments</w:t>
      </w:r>
      <w:r w:rsidR="00FB1A7D">
        <w:t xml:space="preserve"> and </w:t>
      </w:r>
      <w:proofErr w:type="spellStart"/>
      <w:r w:rsidR="00FB1A7D">
        <w:t>biostimulation</w:t>
      </w:r>
      <w:proofErr w:type="spellEnd"/>
      <w:r w:rsidR="00FB1A7D">
        <w:t xml:space="preserve"> by pressure injection were not successful in this instance</w:t>
      </w:r>
      <w:r w:rsidRPr="00B530BB">
        <w:t xml:space="preserve">. </w:t>
      </w:r>
      <w:r w:rsidR="00F3443A">
        <w:t>The latter two techniques will be revisited changing the procedure and treatment protocol; in particular</w:t>
      </w:r>
      <w:r w:rsidR="00FB1A7D">
        <w:t>,</w:t>
      </w:r>
      <w:r w:rsidR="00F3443A">
        <w:t xml:space="preserve"> </w:t>
      </w:r>
      <w:proofErr w:type="spellStart"/>
      <w:r w:rsidR="00F3443A">
        <w:t>biostimulation</w:t>
      </w:r>
      <w:proofErr w:type="spellEnd"/>
      <w:r w:rsidR="00F3443A">
        <w:t xml:space="preserve"> is an interesting technique and will be studied further. </w:t>
      </w:r>
      <w:r w:rsidR="00F3443A" w:rsidRPr="00B530BB">
        <w:t>Whilst treatment non-uniformity (when bacteria were injected rather than premixed) still needs to be addressed, there is promise that EK could be a viable technique for treating foundation soil under existing infrastructure, which is a major challenge for engineers.</w:t>
      </w:r>
    </w:p>
    <w:p w14:paraId="4FB167FD" w14:textId="42486F61" w:rsidR="00620189" w:rsidRPr="00B530BB" w:rsidRDefault="00620189" w:rsidP="00F058A8">
      <w:pPr>
        <w:rPr>
          <w:lang w:val="en-US"/>
        </w:rPr>
      </w:pPr>
    </w:p>
    <w:p w14:paraId="6FF491EB" w14:textId="77777777" w:rsidR="00276891" w:rsidRPr="00AF2323" w:rsidRDefault="00276891" w:rsidP="00276891">
      <w:pPr>
        <w:spacing w:before="480" w:after="200"/>
        <w:rPr>
          <w:b/>
          <w:sz w:val="24"/>
          <w:szCs w:val="24"/>
        </w:rPr>
      </w:pPr>
      <w:r>
        <w:rPr>
          <w:b/>
          <w:sz w:val="24"/>
          <w:szCs w:val="24"/>
        </w:rPr>
        <w:t>Acknowledgements</w:t>
      </w:r>
    </w:p>
    <w:p w14:paraId="6D11A8B1" w14:textId="0F400ACB" w:rsidR="00D75AFE" w:rsidRPr="00282A5F" w:rsidRDefault="00282A5F" w:rsidP="00283DCF">
      <w:r w:rsidRPr="00282A5F">
        <w:t>The authors would like to acknowledge the financial contribution of Network Rail Ltd for this project under research contracts NR-ANG-00164 and ecm_18210_ANG.</w:t>
      </w:r>
    </w:p>
    <w:p w14:paraId="5EE54B68" w14:textId="77777777" w:rsidR="00276891" w:rsidRPr="00294D33" w:rsidRDefault="00276891" w:rsidP="00276891">
      <w:pPr>
        <w:spacing w:before="480" w:after="200"/>
        <w:rPr>
          <w:b/>
          <w:sz w:val="24"/>
          <w:szCs w:val="24"/>
        </w:rPr>
      </w:pPr>
      <w:r>
        <w:rPr>
          <w:b/>
          <w:sz w:val="24"/>
          <w:szCs w:val="24"/>
        </w:rPr>
        <w:t>References</w:t>
      </w:r>
    </w:p>
    <w:p w14:paraId="4ACA3FBA" w14:textId="6AB88AA3" w:rsidR="00C305C7" w:rsidRDefault="00C305C7" w:rsidP="00EF3824">
      <w:pPr>
        <w:pStyle w:val="ReferenceList"/>
      </w:pPr>
      <w:proofErr w:type="spellStart"/>
      <w:r w:rsidRPr="00C305C7">
        <w:t>Almajed</w:t>
      </w:r>
      <w:proofErr w:type="spellEnd"/>
      <w:r w:rsidRPr="00C305C7">
        <w:t xml:space="preserve">, A.A. </w:t>
      </w:r>
      <w:r w:rsidR="00C11A42">
        <w:t>(</w:t>
      </w:r>
      <w:r w:rsidR="00C11A42" w:rsidRPr="00C305C7">
        <w:t>2017</w:t>
      </w:r>
      <w:r w:rsidR="00C11A42">
        <w:t xml:space="preserve">). </w:t>
      </w:r>
      <w:r w:rsidRPr="00C305C7">
        <w:t>Enzyme Induced Carbonate Precipitation (EICP) for Soil Improvement. Ph.D. Thesis, Arizona State University, Tempe, AZ, USA.</w:t>
      </w:r>
    </w:p>
    <w:p w14:paraId="44AB7DF5" w14:textId="2E6D3E01" w:rsidR="006E5DAA" w:rsidRDefault="006E5DAA" w:rsidP="006E5DAA">
      <w:pPr>
        <w:pStyle w:val="ReferenceList"/>
      </w:pPr>
      <w:r>
        <w:t xml:space="preserve">CDC/NIH (U.S. Department of Health and Human Services, </w:t>
      </w:r>
      <w:proofErr w:type="spellStart"/>
      <w:r>
        <w:t>Centers</w:t>
      </w:r>
      <w:proofErr w:type="spellEnd"/>
      <w:r>
        <w:t xml:space="preserve"> for Disease Control and Prevention, &amp; National Institutes of Health) (2007). Biosafety in microbiological and biomedical laboratories, 5th </w:t>
      </w:r>
      <w:proofErr w:type="spellStart"/>
      <w:r>
        <w:t>edn</w:t>
      </w:r>
      <w:proofErr w:type="spellEnd"/>
      <w:r>
        <w:t xml:space="preserve"> (eds L. C. </w:t>
      </w:r>
      <w:proofErr w:type="spellStart"/>
      <w:r>
        <w:t>Chosewood</w:t>
      </w:r>
      <w:proofErr w:type="spellEnd"/>
      <w:r>
        <w:t xml:space="preserve"> and D. E. Wilson). Washington, DC, USA: U.S. Government Printing Office. See www.cdc.gov/od/ohs/biosfty/bmbl5/bmbl5toc.htm (accessed 08/04/2020).</w:t>
      </w:r>
    </w:p>
    <w:p w14:paraId="06E2D5A4" w14:textId="5C588B6C" w:rsidR="00DD30F0" w:rsidRPr="00DD30F0" w:rsidRDefault="00DD30F0" w:rsidP="00DD30F0">
      <w:pPr>
        <w:pStyle w:val="ReferenceList"/>
      </w:pPr>
      <w:r w:rsidRPr="00DD30F0">
        <w:t>Clements</w:t>
      </w:r>
      <w:r>
        <w:t>,</w:t>
      </w:r>
      <w:r w:rsidRPr="00DD30F0">
        <w:t xml:space="preserve"> L</w:t>
      </w:r>
      <w:r>
        <w:t>.</w:t>
      </w:r>
      <w:r w:rsidRPr="00DD30F0">
        <w:t>D</w:t>
      </w:r>
      <w:r>
        <w:t>.</w:t>
      </w:r>
      <w:r w:rsidRPr="00DD30F0">
        <w:t>, Miller B</w:t>
      </w:r>
      <w:r>
        <w:t>.</w:t>
      </w:r>
      <w:r w:rsidRPr="00DD30F0">
        <w:t>S</w:t>
      </w:r>
      <w:r>
        <w:t>.,</w:t>
      </w:r>
      <w:r w:rsidRPr="00DD30F0">
        <w:t xml:space="preserve"> </w:t>
      </w:r>
      <w:proofErr w:type="spellStart"/>
      <w:r w:rsidRPr="00DD30F0">
        <w:t>Streipsa</w:t>
      </w:r>
      <w:proofErr w:type="spellEnd"/>
      <w:r>
        <w:t>,</w:t>
      </w:r>
      <w:r w:rsidRPr="00DD30F0">
        <w:t xml:space="preserve"> U</w:t>
      </w:r>
      <w:r>
        <w:t>.</w:t>
      </w:r>
      <w:r w:rsidRPr="00DD30F0">
        <w:t>N</w:t>
      </w:r>
      <w:r>
        <w:t>.</w:t>
      </w:r>
      <w:r w:rsidRPr="00DD30F0">
        <w:t>(2002)</w:t>
      </w:r>
      <w:r>
        <w:t xml:space="preserve">. </w:t>
      </w:r>
      <w:r w:rsidRPr="00DD30F0">
        <w:t xml:space="preserve">Comparative Growth Analysis of the Facultative Anaerobes Bacillus subtilis, Bacillus licheniformis, and Escherichia coli. Systematic </w:t>
      </w:r>
      <w:r>
        <w:t>&amp;</w:t>
      </w:r>
      <w:r w:rsidRPr="00DD30F0">
        <w:t xml:space="preserve"> Applied Microbiology</w:t>
      </w:r>
      <w:r>
        <w:t>,</w:t>
      </w:r>
      <w:r w:rsidRPr="00DD30F0">
        <w:t xml:space="preserve"> </w:t>
      </w:r>
      <w:r w:rsidRPr="00DD30F0">
        <w:rPr>
          <w:bCs/>
        </w:rPr>
        <w:t>25(2)</w:t>
      </w:r>
      <w:r>
        <w:rPr>
          <w:bCs/>
        </w:rPr>
        <w:t>,</w:t>
      </w:r>
      <w:r w:rsidRPr="00DD30F0">
        <w:t xml:space="preserve"> </w:t>
      </w:r>
      <w:r>
        <w:t xml:space="preserve">pp. </w:t>
      </w:r>
      <w:r w:rsidRPr="00DD30F0">
        <w:t>284-286</w:t>
      </w:r>
    </w:p>
    <w:p w14:paraId="5823695C" w14:textId="0333AB7B" w:rsidR="00EF3824" w:rsidRDefault="00EF3824" w:rsidP="00EF3824">
      <w:pPr>
        <w:pStyle w:val="ReferenceList"/>
        <w:rPr>
          <w:lang w:val="en-US"/>
        </w:rPr>
      </w:pPr>
      <w:proofErr w:type="spellStart"/>
      <w:r w:rsidRPr="00EF3824">
        <w:rPr>
          <w:lang w:val="fr-FR"/>
        </w:rPr>
        <w:t>DeJong</w:t>
      </w:r>
      <w:proofErr w:type="spellEnd"/>
      <w:r w:rsidRPr="00EF3824">
        <w:rPr>
          <w:lang w:val="fr-FR"/>
        </w:rPr>
        <w:t xml:space="preserve"> J. T., </w:t>
      </w:r>
      <w:proofErr w:type="spellStart"/>
      <w:r w:rsidRPr="00EF3824">
        <w:rPr>
          <w:lang w:val="fr-FR"/>
        </w:rPr>
        <w:t>Soga</w:t>
      </w:r>
      <w:proofErr w:type="spellEnd"/>
      <w:r w:rsidRPr="00EF3824">
        <w:rPr>
          <w:lang w:val="fr-FR"/>
        </w:rPr>
        <w:t xml:space="preserve"> K., </w:t>
      </w:r>
      <w:proofErr w:type="spellStart"/>
      <w:r w:rsidRPr="00EF3824">
        <w:rPr>
          <w:lang w:val="fr-FR"/>
        </w:rPr>
        <w:t>Kavazanjian</w:t>
      </w:r>
      <w:proofErr w:type="spellEnd"/>
      <w:r w:rsidRPr="00EF3824">
        <w:rPr>
          <w:lang w:val="fr-FR"/>
        </w:rPr>
        <w:t xml:space="preserve"> E. et al </w:t>
      </w:r>
      <w:r w:rsidR="00B961B1">
        <w:rPr>
          <w:lang w:val="fr-FR"/>
        </w:rPr>
        <w:t>(</w:t>
      </w:r>
      <w:r w:rsidRPr="00EF3824">
        <w:rPr>
          <w:lang w:val="fr-FR"/>
        </w:rPr>
        <w:t>2013</w:t>
      </w:r>
      <w:r w:rsidR="00B961B1">
        <w:rPr>
          <w:lang w:val="fr-FR"/>
        </w:rPr>
        <w:t>)</w:t>
      </w:r>
      <w:r w:rsidRPr="00EF3824">
        <w:rPr>
          <w:lang w:val="fr-FR"/>
        </w:rPr>
        <w:t xml:space="preserve">. </w:t>
      </w:r>
      <w:r w:rsidRPr="00EF3824">
        <w:t xml:space="preserve">Biogeochemical processes and geotechnical applications: progress, opportunities and challenges. </w:t>
      </w:r>
      <w:r w:rsidRPr="00EF3824">
        <w:rPr>
          <w:lang w:val="en-US"/>
        </w:rPr>
        <w:t>Géotechnique</w:t>
      </w:r>
      <w:r w:rsidR="00BB353F">
        <w:rPr>
          <w:lang w:val="en-US"/>
        </w:rPr>
        <w:t>,</w:t>
      </w:r>
      <w:r w:rsidRPr="00EF3824">
        <w:rPr>
          <w:lang w:val="en-US"/>
        </w:rPr>
        <w:t xml:space="preserve"> </w:t>
      </w:r>
      <w:r w:rsidRPr="00B961B1">
        <w:rPr>
          <w:bCs/>
          <w:lang w:val="en-US"/>
        </w:rPr>
        <w:t>63</w:t>
      </w:r>
      <w:r w:rsidRPr="00EF3824">
        <w:rPr>
          <w:lang w:val="en-US"/>
        </w:rPr>
        <w:t>(4),</w:t>
      </w:r>
      <w:r w:rsidR="00E6593E">
        <w:rPr>
          <w:lang w:val="en-US"/>
        </w:rPr>
        <w:t xml:space="preserve"> </w:t>
      </w:r>
      <w:r w:rsidR="00B961B1">
        <w:rPr>
          <w:lang w:val="en-US"/>
        </w:rPr>
        <w:t>pp.</w:t>
      </w:r>
      <w:r w:rsidRPr="00EF3824">
        <w:rPr>
          <w:lang w:val="en-US"/>
        </w:rPr>
        <w:t xml:space="preserve"> 287–301</w:t>
      </w:r>
      <w:r w:rsidR="00E6593E">
        <w:rPr>
          <w:lang w:val="en-US"/>
        </w:rPr>
        <w:t>.</w:t>
      </w:r>
      <w:r w:rsidRPr="00EF3824">
        <w:rPr>
          <w:lang w:val="en-US"/>
        </w:rPr>
        <w:t xml:space="preserve"> </w:t>
      </w:r>
    </w:p>
    <w:p w14:paraId="70463F95" w14:textId="05A32C0B" w:rsidR="00E6593E" w:rsidRPr="00E6593E" w:rsidRDefault="00E6593E" w:rsidP="00EF3824">
      <w:pPr>
        <w:pStyle w:val="ReferenceList"/>
      </w:pPr>
      <w:r w:rsidRPr="00E6593E">
        <w:t xml:space="preserve">Hassan, I., </w:t>
      </w:r>
      <w:proofErr w:type="spellStart"/>
      <w:r w:rsidRPr="00E6593E">
        <w:t>Mohamedelhassan</w:t>
      </w:r>
      <w:proofErr w:type="spellEnd"/>
      <w:r w:rsidRPr="00E6593E">
        <w:t xml:space="preserve">, E., </w:t>
      </w:r>
      <w:proofErr w:type="spellStart"/>
      <w:r w:rsidRPr="00E6593E">
        <w:t>Yanful</w:t>
      </w:r>
      <w:proofErr w:type="spellEnd"/>
      <w:r w:rsidRPr="00E6593E">
        <w:t>, E.K.</w:t>
      </w:r>
      <w:r>
        <w:t xml:space="preserve">, </w:t>
      </w:r>
      <w:r w:rsidRPr="00E6593E">
        <w:t>Yuan, Z.-C. (2016)</w:t>
      </w:r>
      <w:r>
        <w:t>.</w:t>
      </w:r>
      <w:r w:rsidRPr="00E6593E">
        <w:t xml:space="preserve"> A Review Article: Electrokinetic Bioremediation Current Knowledge and New Prospects. </w:t>
      </w:r>
      <w:r w:rsidRPr="00E6593E">
        <w:rPr>
          <w:i/>
          <w:iCs/>
        </w:rPr>
        <w:t>Advances in Microbiology</w:t>
      </w:r>
      <w:r w:rsidRPr="00E6593E">
        <w:t>, 6,</w:t>
      </w:r>
      <w:r>
        <w:t xml:space="preserve"> pp.</w:t>
      </w:r>
      <w:r w:rsidRPr="00E6593E">
        <w:t xml:space="preserve"> 57-72.</w:t>
      </w:r>
      <w:r>
        <w:t xml:space="preserve"> </w:t>
      </w:r>
    </w:p>
    <w:p w14:paraId="618DE542" w14:textId="097EFC0F" w:rsidR="00EF3824" w:rsidRDefault="00EF3824" w:rsidP="00EF3824">
      <w:pPr>
        <w:pStyle w:val="ReferenceList"/>
        <w:rPr>
          <w:lang w:val="en-US"/>
        </w:rPr>
      </w:pPr>
      <w:r w:rsidRPr="00EF3824">
        <w:rPr>
          <w:lang w:val="en-US"/>
        </w:rPr>
        <w:t>Mavroulidou</w:t>
      </w:r>
      <w:r w:rsidR="00BB353F">
        <w:rPr>
          <w:lang w:val="en-US"/>
        </w:rPr>
        <w:t>,</w:t>
      </w:r>
      <w:r w:rsidRPr="00EF3824">
        <w:rPr>
          <w:lang w:val="en-US"/>
        </w:rPr>
        <w:t xml:space="preserve"> M., Safdar</w:t>
      </w:r>
      <w:r w:rsidR="00BB353F">
        <w:rPr>
          <w:lang w:val="en-US"/>
        </w:rPr>
        <w:t>,</w:t>
      </w:r>
      <w:r w:rsidRPr="00EF3824">
        <w:rPr>
          <w:lang w:val="en-US"/>
        </w:rPr>
        <w:t xml:space="preserve"> M</w:t>
      </w:r>
      <w:r w:rsidR="00BB353F">
        <w:rPr>
          <w:lang w:val="en-US"/>
        </w:rPr>
        <w:t>.</w:t>
      </w:r>
      <w:r w:rsidRPr="00EF3824">
        <w:rPr>
          <w:lang w:val="en-US"/>
        </w:rPr>
        <w:t>U</w:t>
      </w:r>
      <w:r w:rsidR="00BB353F">
        <w:rPr>
          <w:lang w:val="en-US"/>
        </w:rPr>
        <w:t>.</w:t>
      </w:r>
      <w:r w:rsidRPr="00EF3824">
        <w:rPr>
          <w:lang w:val="en-US"/>
        </w:rPr>
        <w:t>, Gunn</w:t>
      </w:r>
      <w:r w:rsidR="00BB353F">
        <w:rPr>
          <w:lang w:val="en-US"/>
        </w:rPr>
        <w:t>,</w:t>
      </w:r>
      <w:r w:rsidRPr="00EF3824">
        <w:rPr>
          <w:lang w:val="en-US"/>
        </w:rPr>
        <w:t xml:space="preserve"> M</w:t>
      </w:r>
      <w:r w:rsidR="00BB353F">
        <w:rPr>
          <w:lang w:val="en-US"/>
        </w:rPr>
        <w:t>.</w:t>
      </w:r>
      <w:r w:rsidRPr="00EF3824">
        <w:rPr>
          <w:lang w:val="en-US"/>
        </w:rPr>
        <w:t>J</w:t>
      </w:r>
      <w:r w:rsidR="00BB353F">
        <w:rPr>
          <w:lang w:val="en-US"/>
        </w:rPr>
        <w:t>.</w:t>
      </w:r>
      <w:r w:rsidRPr="00EF3824">
        <w:rPr>
          <w:lang w:val="en-US"/>
        </w:rPr>
        <w:t>, Payne</w:t>
      </w:r>
      <w:r w:rsidR="00BB353F">
        <w:rPr>
          <w:lang w:val="en-US"/>
        </w:rPr>
        <w:t>,</w:t>
      </w:r>
      <w:r w:rsidRPr="00EF3824">
        <w:rPr>
          <w:lang w:val="en-US"/>
        </w:rPr>
        <w:t xml:space="preserve"> I., Garelick</w:t>
      </w:r>
      <w:r w:rsidR="00BB353F">
        <w:rPr>
          <w:lang w:val="en-US"/>
        </w:rPr>
        <w:t>,</w:t>
      </w:r>
      <w:r w:rsidRPr="00EF3824">
        <w:rPr>
          <w:lang w:val="en-US"/>
        </w:rPr>
        <w:t xml:space="preserve"> J., Purchase</w:t>
      </w:r>
      <w:r w:rsidR="00BB353F">
        <w:rPr>
          <w:lang w:val="en-US"/>
        </w:rPr>
        <w:t>,</w:t>
      </w:r>
      <w:r w:rsidRPr="00EF3824">
        <w:rPr>
          <w:lang w:val="en-US"/>
        </w:rPr>
        <w:t xml:space="preserve"> D. </w:t>
      </w:r>
      <w:r w:rsidR="00B961B1">
        <w:rPr>
          <w:lang w:val="en-US"/>
        </w:rPr>
        <w:t>(</w:t>
      </w:r>
      <w:r w:rsidRPr="00EF3824">
        <w:rPr>
          <w:lang w:val="en-US"/>
        </w:rPr>
        <w:t>2019</w:t>
      </w:r>
      <w:r w:rsidR="00B961B1">
        <w:rPr>
          <w:lang w:val="en-US"/>
        </w:rPr>
        <w:t>)</w:t>
      </w:r>
      <w:r w:rsidRPr="00EF3824">
        <w:rPr>
          <w:lang w:val="en-US"/>
        </w:rPr>
        <w:t>. Innovative methods of ground improvement for problematic transport earthwork materials</w:t>
      </w:r>
      <w:r w:rsidR="00BB353F">
        <w:rPr>
          <w:lang w:val="en-US"/>
        </w:rPr>
        <w:t>,</w:t>
      </w:r>
      <w:r w:rsidRPr="00EF3824">
        <w:rPr>
          <w:lang w:val="en-US"/>
        </w:rPr>
        <w:t xml:space="preserve"> 16</w:t>
      </w:r>
      <w:r w:rsidRPr="00EF3824">
        <w:rPr>
          <w:vertAlign w:val="superscript"/>
          <w:lang w:val="en-US"/>
        </w:rPr>
        <w:t>th</w:t>
      </w:r>
      <w:r w:rsidRPr="00EF3824">
        <w:rPr>
          <w:lang w:val="en-US"/>
        </w:rPr>
        <w:t xml:space="preserve"> Int. Conference on Environmental Science and Technology CEST2019, Rhodes 4-7 September 2019 </w:t>
      </w:r>
    </w:p>
    <w:p w14:paraId="3AD71BD4" w14:textId="5D59A1ED" w:rsidR="009E6E34" w:rsidRDefault="009E6E34" w:rsidP="009E6E34">
      <w:pPr>
        <w:pStyle w:val="ReferenceList"/>
        <w:rPr>
          <w:lang w:val="en-US"/>
        </w:rPr>
      </w:pPr>
      <w:r w:rsidRPr="009E6E34">
        <w:lastRenderedPageBreak/>
        <w:t xml:space="preserve">Mena E, </w:t>
      </w:r>
      <w:proofErr w:type="spellStart"/>
      <w:r w:rsidRPr="009E6E34">
        <w:t>Villaseñor</w:t>
      </w:r>
      <w:proofErr w:type="spellEnd"/>
      <w:r w:rsidRPr="009E6E34">
        <w:t xml:space="preserve"> J, </w:t>
      </w:r>
      <w:proofErr w:type="spellStart"/>
      <w:r w:rsidRPr="009E6E34">
        <w:t>Cañizares</w:t>
      </w:r>
      <w:proofErr w:type="spellEnd"/>
      <w:r w:rsidRPr="009E6E34">
        <w:t xml:space="preserve"> P and Rodrigo MA (2016) Effect of electric field on the performance of soil electro-bioremediation with a periodic polarity reversal strategy. Chemosphere</w:t>
      </w:r>
      <w:r>
        <w:t>,</w:t>
      </w:r>
      <w:r w:rsidRPr="009E6E34">
        <w:t xml:space="preserve"> </w:t>
      </w:r>
      <w:r w:rsidRPr="009E6E34">
        <w:rPr>
          <w:bCs/>
        </w:rPr>
        <w:t>146</w:t>
      </w:r>
      <w:r w:rsidR="00A35CCD">
        <w:t>, pp.</w:t>
      </w:r>
      <w:r w:rsidRPr="009E6E34">
        <w:t xml:space="preserve"> 300-307 </w:t>
      </w:r>
    </w:p>
    <w:p w14:paraId="69CA268C" w14:textId="6EBC0C45" w:rsidR="00F0248D" w:rsidRPr="00F0248D" w:rsidRDefault="00F0248D" w:rsidP="00F0248D">
      <w:pPr>
        <w:pStyle w:val="ReferenceList"/>
      </w:pPr>
      <w:r w:rsidRPr="00F0248D">
        <w:t>Mizuno</w:t>
      </w:r>
      <w:r>
        <w:t>,</w:t>
      </w:r>
      <w:r w:rsidRPr="00F0248D">
        <w:t xml:space="preserve"> A</w:t>
      </w:r>
      <w:r>
        <w:t>.,</w:t>
      </w:r>
      <w:r w:rsidRPr="00F0248D">
        <w:t xml:space="preserve"> Hori</w:t>
      </w:r>
      <w:r>
        <w:t>,</w:t>
      </w:r>
      <w:r w:rsidRPr="00F0248D">
        <w:t xml:space="preserve"> Y</w:t>
      </w:r>
      <w:r>
        <w:t>.</w:t>
      </w:r>
      <w:r w:rsidRPr="00F0248D">
        <w:t xml:space="preserve"> (1988)</w:t>
      </w:r>
      <w:r>
        <w:t>.</w:t>
      </w:r>
      <w:r w:rsidRPr="00F0248D">
        <w:t xml:space="preserve"> Destruction of Living Cells by Pulsed High-Voltage Application. </w:t>
      </w:r>
      <w:r w:rsidRPr="00F0248D">
        <w:rPr>
          <w:iCs/>
        </w:rPr>
        <w:t>IEEE Transactions on Industry Applications</w:t>
      </w:r>
      <w:r>
        <w:rPr>
          <w:iCs/>
        </w:rPr>
        <w:t>,</w:t>
      </w:r>
      <w:r w:rsidRPr="00F0248D">
        <w:t xml:space="preserve"> 24,</w:t>
      </w:r>
      <w:r>
        <w:t xml:space="preserve"> pp.</w:t>
      </w:r>
      <w:r w:rsidRPr="00F0248D">
        <w:t xml:space="preserve"> 387-394. http://dx.doi.org/10.1109/28.2886</w:t>
      </w:r>
    </w:p>
    <w:p w14:paraId="1BA0F1F7" w14:textId="433C9349" w:rsidR="00EF3824" w:rsidRPr="00EF3824" w:rsidRDefault="00B961B1" w:rsidP="00B961B1">
      <w:pPr>
        <w:pStyle w:val="ReferenceList"/>
      </w:pPr>
      <w:r>
        <w:t xml:space="preserve">Safdar, M.U., Mavroulidou, M., Gunn, M.J., </w:t>
      </w:r>
      <w:proofErr w:type="spellStart"/>
      <w:r>
        <w:t>Garelick</w:t>
      </w:r>
      <w:proofErr w:type="spellEnd"/>
      <w:r>
        <w:t xml:space="preserve">, J., Payne, I., Purchase, D. (2020a). Innovative methods of ground improvement for railway embankment Peat Fens foundation soil. </w:t>
      </w:r>
      <w:proofErr w:type="spellStart"/>
      <w:r>
        <w:t>G</w:t>
      </w:r>
      <w:r w:rsidR="00E6593E">
        <w:rPr>
          <w:rFonts w:cs="Arial"/>
        </w:rPr>
        <w:t>é</w:t>
      </w:r>
      <w:r>
        <w:t>otechnique</w:t>
      </w:r>
      <w:proofErr w:type="spellEnd"/>
      <w:r>
        <w:t>. https://doi.org/10.1680/jgeot.19.SiP.030.</w:t>
      </w:r>
    </w:p>
    <w:p w14:paraId="566FEECA" w14:textId="26F09529" w:rsidR="005A32DC" w:rsidRPr="005A32DC" w:rsidRDefault="005A32DC" w:rsidP="005A32DC">
      <w:pPr>
        <w:pStyle w:val="ReferenceList"/>
      </w:pPr>
      <w:r w:rsidRPr="005A32DC">
        <w:t>Safdar</w:t>
      </w:r>
      <w:r w:rsidR="00BB353F">
        <w:t>,</w:t>
      </w:r>
      <w:r w:rsidRPr="005A32DC">
        <w:t xml:space="preserve"> M., Mavroulidou</w:t>
      </w:r>
      <w:r w:rsidR="00BB353F">
        <w:t>,</w:t>
      </w:r>
      <w:r w:rsidRPr="005A32DC">
        <w:t xml:space="preserve"> M., Gunn</w:t>
      </w:r>
      <w:r w:rsidR="00BB353F">
        <w:t>,</w:t>
      </w:r>
      <w:r w:rsidRPr="005A32DC">
        <w:t xml:space="preserve"> M</w:t>
      </w:r>
      <w:r w:rsidR="00BB353F">
        <w:t>.</w:t>
      </w:r>
      <w:r w:rsidRPr="005A32DC">
        <w:t>J</w:t>
      </w:r>
      <w:r w:rsidR="00BB353F">
        <w:t>.</w:t>
      </w:r>
      <w:r w:rsidRPr="005A32DC">
        <w:t xml:space="preserve">, </w:t>
      </w:r>
      <w:proofErr w:type="spellStart"/>
      <w:r w:rsidRPr="005A32DC">
        <w:t>Garelick</w:t>
      </w:r>
      <w:proofErr w:type="spellEnd"/>
      <w:r w:rsidR="00BB353F">
        <w:t>,</w:t>
      </w:r>
      <w:r w:rsidRPr="005A32DC">
        <w:t xml:space="preserve"> J., Payne</w:t>
      </w:r>
      <w:r w:rsidR="00BB353F">
        <w:t>,</w:t>
      </w:r>
      <w:r w:rsidRPr="005A32DC">
        <w:t xml:space="preserve"> I., Purchase</w:t>
      </w:r>
      <w:r w:rsidR="00BB353F">
        <w:t>,</w:t>
      </w:r>
      <w:r w:rsidRPr="005A32DC">
        <w:t xml:space="preserve"> D. (2020b)</w:t>
      </w:r>
      <w:r w:rsidR="00BB353F">
        <w:t>.</w:t>
      </w:r>
      <w:r w:rsidRPr="005A32DC">
        <w:t xml:space="preserve"> Biocementation of an organic soil using indigenous </w:t>
      </w:r>
      <w:proofErr w:type="spellStart"/>
      <w:r w:rsidRPr="005A32DC">
        <w:t>ureolytic</w:t>
      </w:r>
      <w:proofErr w:type="spellEnd"/>
      <w:r w:rsidRPr="005A32DC">
        <w:t xml:space="preserve"> bacteria, Proceedings of the </w:t>
      </w:r>
      <w:r w:rsidRPr="005A32DC">
        <w:rPr>
          <w:i/>
        </w:rPr>
        <w:t>6</w:t>
      </w:r>
      <w:r w:rsidRPr="005A32DC">
        <w:rPr>
          <w:i/>
          <w:vertAlign w:val="superscript"/>
        </w:rPr>
        <w:t>th</w:t>
      </w:r>
      <w:r w:rsidRPr="005A32DC">
        <w:rPr>
          <w:i/>
        </w:rPr>
        <w:t xml:space="preserve"> International Symposium on Green Chemistry, Sustainable Development and Circular Economy (Greenchem6)</w:t>
      </w:r>
      <w:r w:rsidRPr="005A32DC">
        <w:t>, Thessaloniki, 20-23 September 2020, ISBN:978-618-5494-13-1</w:t>
      </w:r>
    </w:p>
    <w:p w14:paraId="4E57E013" w14:textId="086F542B" w:rsidR="00D75AFE" w:rsidRPr="00FB4CEF" w:rsidRDefault="00D75AFE" w:rsidP="00D75AFE">
      <w:pPr>
        <w:pStyle w:val="ReferenceList"/>
      </w:pPr>
    </w:p>
    <w:sectPr w:rsidR="00D75AFE" w:rsidRPr="00FB4CEF" w:rsidSect="00F058A8">
      <w:headerReference w:type="default" r:id="rId14"/>
      <w:footerReference w:type="default" r:id="rId15"/>
      <w:headerReference w:type="first" r:id="rId16"/>
      <w:footerReference w:type="first" r:id="rId17"/>
      <w:pgSz w:w="11906" w:h="16838"/>
      <w:pgMar w:top="1418" w:right="1418" w:bottom="1418" w:left="1418"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BE38F" w14:textId="77777777" w:rsidR="00BD2D77" w:rsidRDefault="00BD2D77" w:rsidP="00FE1898">
      <w:pPr>
        <w:spacing w:after="0" w:line="240" w:lineRule="auto"/>
      </w:pPr>
      <w:r>
        <w:separator/>
      </w:r>
    </w:p>
  </w:endnote>
  <w:endnote w:type="continuationSeparator" w:id="0">
    <w:p w14:paraId="5907808C" w14:textId="77777777" w:rsidR="00BD2D77" w:rsidRDefault="00BD2D77" w:rsidP="00FE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94D29" w14:textId="77777777" w:rsidR="00B530BB" w:rsidRDefault="00B530BB" w:rsidP="0028159B">
    <w:pPr>
      <w:pStyle w:val="Footer"/>
    </w:pPr>
    <w:r>
      <w:fldChar w:fldCharType="begin"/>
    </w:r>
    <w:r>
      <w:instrText xml:space="preserve"> PAGE   \* MERGEFORMAT </w:instrText>
    </w:r>
    <w:r>
      <w:fldChar w:fldCharType="separate"/>
    </w:r>
    <w:r>
      <w:rPr>
        <w:noProof/>
      </w:rPr>
      <w:t>- 4 -</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69A6" w14:textId="77777777" w:rsidR="00B530BB" w:rsidRDefault="00B530BB" w:rsidP="00F058A8">
    <w:pPr>
      <w:pStyle w:val="Footer"/>
    </w:pPr>
    <w:r>
      <w:fldChar w:fldCharType="begin"/>
    </w:r>
    <w:r>
      <w:instrText xml:space="preserve"> PAGE   \* MERGEFORMAT </w:instrText>
    </w:r>
    <w:r>
      <w:fldChar w:fldCharType="separate"/>
    </w:r>
    <w:r>
      <w:rPr>
        <w:noProof/>
      </w:rPr>
      <w:t>- 1 -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12029" w14:textId="77777777" w:rsidR="00BD2D77" w:rsidRDefault="00BD2D77" w:rsidP="00FE1898">
      <w:pPr>
        <w:spacing w:after="0" w:line="240" w:lineRule="auto"/>
      </w:pPr>
      <w:r>
        <w:separator/>
      </w:r>
    </w:p>
  </w:footnote>
  <w:footnote w:type="continuationSeparator" w:id="0">
    <w:p w14:paraId="3BDE07D5" w14:textId="77777777" w:rsidR="00BD2D77" w:rsidRDefault="00BD2D77" w:rsidP="00FE1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C563E" w14:textId="21026B63" w:rsidR="00B530BB" w:rsidRDefault="00B530BB">
    <w:pPr>
      <w:pStyle w:val="Header"/>
    </w:pPr>
    <w:r w:rsidRPr="00315648">
      <w:t>Safd</w:t>
    </w:r>
    <w:r>
      <w:t>ar,</w:t>
    </w:r>
    <w:r w:rsidRPr="00315648">
      <w:t xml:space="preserve"> Mavroulidou</w:t>
    </w:r>
    <w:r>
      <w:t xml:space="preserve">, </w:t>
    </w:r>
    <w:r w:rsidRPr="00315648">
      <w:t>Gunn</w:t>
    </w:r>
    <w:r>
      <w:t xml:space="preserve">, </w:t>
    </w:r>
    <w:r w:rsidRPr="00315648">
      <w:t>Purchase</w:t>
    </w:r>
    <w:proofErr w:type="gramStart"/>
    <w:r>
      <w:t xml:space="preserve">, </w:t>
    </w:r>
    <w:r>
      <w:rPr>
        <w:vertAlign w:val="superscript"/>
      </w:rPr>
      <w:t>,</w:t>
    </w:r>
    <w:r w:rsidRPr="00315648">
      <w:t>Payn</w:t>
    </w:r>
    <w:r>
      <w:t>e</w:t>
    </w:r>
    <w:proofErr w:type="gramEnd"/>
    <w:r>
      <w:t xml:space="preserve">, </w:t>
    </w:r>
    <w:proofErr w:type="spellStart"/>
    <w:r>
      <w:t>Garelick</w:t>
    </w:r>
    <w:proofErr w:type="spellEnd"/>
    <w:r>
      <w:t>.</w:t>
    </w:r>
    <w:r>
      <w:tab/>
      <w:t>Proceedings of the 3</w:t>
    </w:r>
    <w:r w:rsidRPr="007B77D3">
      <w:rPr>
        <w:vertAlign w:val="superscript"/>
      </w:rPr>
      <w:t>rd</w:t>
    </w:r>
    <w:r>
      <w:t xml:space="preserve"> European Regional Conference of IAEG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41430" w14:textId="77777777" w:rsidR="00B530BB" w:rsidRPr="00B94269" w:rsidRDefault="00B530BB">
    <w:pPr>
      <w:pStyle w:val="Header"/>
      <w:rPr>
        <w:i/>
      </w:rPr>
    </w:pPr>
    <w:r>
      <w:rPr>
        <w:noProof/>
        <w:lang w:val="el-GR" w:eastAsia="el-GR"/>
      </w:rPr>
      <w:drawing>
        <wp:inline distT="0" distB="0" distL="0" distR="0" wp14:anchorId="572996B0" wp14:editId="7186C4E3">
          <wp:extent cx="1904641" cy="846324"/>
          <wp:effectExtent l="19050" t="0" r="359"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21109" t="28571" r="11975" b="18546"/>
                  <a:stretch>
                    <a:fillRect/>
                  </a:stretch>
                </pic:blipFill>
                <pic:spPr bwMode="auto">
                  <a:xfrm>
                    <a:off x="0" y="0"/>
                    <a:ext cx="1904886" cy="846433"/>
                  </a:xfrm>
                  <a:prstGeom prst="rect">
                    <a:avLst/>
                  </a:prstGeom>
                  <a:noFill/>
                  <a:ln w="9525">
                    <a:noFill/>
                    <a:miter lim="800000"/>
                    <a:headEnd/>
                    <a:tailEnd/>
                  </a:ln>
                </pic:spPr>
              </pic:pic>
            </a:graphicData>
          </a:graphic>
        </wp:inline>
      </w:drawing>
    </w:r>
    <w:r>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C1DE3"/>
    <w:multiLevelType w:val="hybridMultilevel"/>
    <w:tmpl w:val="6EA2D3E2"/>
    <w:lvl w:ilvl="0" w:tplc="0966E522">
      <w:start w:val="1"/>
      <w:numFmt w:val="bullet"/>
      <w:pStyle w:val="BulletPoints"/>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E631C9D"/>
    <w:multiLevelType w:val="hybridMultilevel"/>
    <w:tmpl w:val="94F29530"/>
    <w:lvl w:ilvl="0" w:tplc="DEEC9134">
      <w:start w:val="1"/>
      <w:numFmt w:val="decimal"/>
      <w:pStyle w:val="NumberedList"/>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CB97594"/>
    <w:multiLevelType w:val="hybridMultilevel"/>
    <w:tmpl w:val="12E41BB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45C75D7"/>
    <w:multiLevelType w:val="hybridMultilevel"/>
    <w:tmpl w:val="0C22E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B1E32E1"/>
    <w:multiLevelType w:val="hybridMultilevel"/>
    <w:tmpl w:val="60AC12DA"/>
    <w:lvl w:ilvl="0" w:tplc="68A4DEE4">
      <w:start w:val="1"/>
      <w:numFmt w:val="decimal"/>
      <w:lvlText w:val="%1"/>
      <w:lvlJc w:val="left"/>
      <w:pPr>
        <w:ind w:left="795" w:hanging="43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E697F9B"/>
    <w:multiLevelType w:val="hybridMultilevel"/>
    <w:tmpl w:val="7D906AFA"/>
    <w:lvl w:ilvl="0" w:tplc="9670E6B0">
      <w:start w:val="1"/>
      <w:numFmt w:val="decimal"/>
      <w:pStyle w:val="Heading1EUROENGEO"/>
      <w:lvlText w:val="%1"/>
      <w:lvlJc w:val="left"/>
      <w:pPr>
        <w:ind w:left="720" w:hanging="360"/>
      </w:pPr>
      <w:rPr>
        <w:rFonts w:ascii="Arial" w:hAnsi="Arial" w:hint="default"/>
        <w:b/>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28216F0"/>
    <w:multiLevelType w:val="hybridMultilevel"/>
    <w:tmpl w:val="359AD0DC"/>
    <w:lvl w:ilvl="0" w:tplc="2A0C6266">
      <w:start w:val="1"/>
      <w:numFmt w:val="bullet"/>
      <w:lvlText w:val=""/>
      <w:lvlJc w:val="left"/>
      <w:pPr>
        <w:tabs>
          <w:tab w:val="num" w:pos="1437"/>
        </w:tabs>
        <w:ind w:left="143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3244B0"/>
    <w:multiLevelType w:val="multilevel"/>
    <w:tmpl w:val="0002A8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2"/>
  </w:num>
  <w:num w:numId="3">
    <w:abstractNumId w:val="0"/>
  </w:num>
  <w:num w:numId="4">
    <w:abstractNumId w:val="1"/>
  </w:num>
  <w:num w:numId="5">
    <w:abstractNumId w:val="5"/>
  </w:num>
  <w:num w:numId="6">
    <w:abstractNumId w:val="4"/>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6"/>
  </w:num>
  <w:num w:numId="39">
    <w:abstractNumId w:val="7"/>
  </w:num>
  <w:num w:numId="40">
    <w:abstractNumId w:val="7"/>
  </w:num>
  <w:num w:numId="41">
    <w:abstractNumId w:val="7"/>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628" w:allStyles="0" w:customStyles="0" w:latentStyles="0" w:stylesInUse="1" w:headingStyles="1" w:numberingStyles="0" w:tableStyles="0" w:directFormattingOnRuns="0" w:directFormattingOnParagraphs="1" w:directFormattingOnNumbering="1" w:directFormattingOnTables="0" w:clearFormatting="1" w:top3HeadingStyles="0" w:visibleStyles="0" w:alternateStyleNames="0"/>
  <w:defaultTabStop w:val="43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898"/>
    <w:rsid w:val="00000956"/>
    <w:rsid w:val="0001088C"/>
    <w:rsid w:val="00015CBB"/>
    <w:rsid w:val="00024B7D"/>
    <w:rsid w:val="00025B4F"/>
    <w:rsid w:val="000414E8"/>
    <w:rsid w:val="0004490F"/>
    <w:rsid w:val="00047424"/>
    <w:rsid w:val="000533C3"/>
    <w:rsid w:val="00062CFA"/>
    <w:rsid w:val="00063AB2"/>
    <w:rsid w:val="00084421"/>
    <w:rsid w:val="000A36D9"/>
    <w:rsid w:val="000B557B"/>
    <w:rsid w:val="000C20C1"/>
    <w:rsid w:val="000C3F69"/>
    <w:rsid w:val="000C776F"/>
    <w:rsid w:val="000D59B5"/>
    <w:rsid w:val="000F5BAC"/>
    <w:rsid w:val="001055BF"/>
    <w:rsid w:val="00125CB1"/>
    <w:rsid w:val="001503DB"/>
    <w:rsid w:val="00150CC0"/>
    <w:rsid w:val="00155E4C"/>
    <w:rsid w:val="001630F5"/>
    <w:rsid w:val="00164F74"/>
    <w:rsid w:val="00165B34"/>
    <w:rsid w:val="001A760C"/>
    <w:rsid w:val="001B633E"/>
    <w:rsid w:val="001C1A94"/>
    <w:rsid w:val="001C2522"/>
    <w:rsid w:val="001E197B"/>
    <w:rsid w:val="001F0E95"/>
    <w:rsid w:val="001F570A"/>
    <w:rsid w:val="00201CAB"/>
    <w:rsid w:val="00213FCD"/>
    <w:rsid w:val="00235F1F"/>
    <w:rsid w:val="0026677E"/>
    <w:rsid w:val="00276891"/>
    <w:rsid w:val="002776D4"/>
    <w:rsid w:val="00277E72"/>
    <w:rsid w:val="0028159B"/>
    <w:rsid w:val="00282A5F"/>
    <w:rsid w:val="00283DCF"/>
    <w:rsid w:val="00294D33"/>
    <w:rsid w:val="002A0A4F"/>
    <w:rsid w:val="002A6A6C"/>
    <w:rsid w:val="002B111D"/>
    <w:rsid w:val="002C09AF"/>
    <w:rsid w:val="002C3D69"/>
    <w:rsid w:val="002C5160"/>
    <w:rsid w:val="002C6BB4"/>
    <w:rsid w:val="002D5648"/>
    <w:rsid w:val="002E5759"/>
    <w:rsid w:val="002F4A1A"/>
    <w:rsid w:val="002F4F6C"/>
    <w:rsid w:val="002F7450"/>
    <w:rsid w:val="003072E1"/>
    <w:rsid w:val="00307D32"/>
    <w:rsid w:val="00315648"/>
    <w:rsid w:val="0031725E"/>
    <w:rsid w:val="003201AB"/>
    <w:rsid w:val="0032176D"/>
    <w:rsid w:val="003438F2"/>
    <w:rsid w:val="00355366"/>
    <w:rsid w:val="00360F86"/>
    <w:rsid w:val="00362514"/>
    <w:rsid w:val="00363182"/>
    <w:rsid w:val="0036590A"/>
    <w:rsid w:val="0037532A"/>
    <w:rsid w:val="0038389F"/>
    <w:rsid w:val="00386C23"/>
    <w:rsid w:val="003A3867"/>
    <w:rsid w:val="003A3B8B"/>
    <w:rsid w:val="003B61EC"/>
    <w:rsid w:val="003C0CE6"/>
    <w:rsid w:val="003C24D0"/>
    <w:rsid w:val="003C2B7B"/>
    <w:rsid w:val="003D1D4F"/>
    <w:rsid w:val="003E170D"/>
    <w:rsid w:val="003E6820"/>
    <w:rsid w:val="003F76D7"/>
    <w:rsid w:val="004043B1"/>
    <w:rsid w:val="004049D2"/>
    <w:rsid w:val="00404DFC"/>
    <w:rsid w:val="00411F4C"/>
    <w:rsid w:val="0041300F"/>
    <w:rsid w:val="00424E7E"/>
    <w:rsid w:val="004356D6"/>
    <w:rsid w:val="0044317B"/>
    <w:rsid w:val="00444FCE"/>
    <w:rsid w:val="00470168"/>
    <w:rsid w:val="00470EFC"/>
    <w:rsid w:val="0049556E"/>
    <w:rsid w:val="00496EF4"/>
    <w:rsid w:val="004A214B"/>
    <w:rsid w:val="004B785E"/>
    <w:rsid w:val="004D0065"/>
    <w:rsid w:val="004D7CAA"/>
    <w:rsid w:val="004F4BCA"/>
    <w:rsid w:val="005216FA"/>
    <w:rsid w:val="005266F6"/>
    <w:rsid w:val="00532F9B"/>
    <w:rsid w:val="00535B73"/>
    <w:rsid w:val="00542BB7"/>
    <w:rsid w:val="00552649"/>
    <w:rsid w:val="00556208"/>
    <w:rsid w:val="005839C0"/>
    <w:rsid w:val="00597636"/>
    <w:rsid w:val="005A32DC"/>
    <w:rsid w:val="005C3D48"/>
    <w:rsid w:val="005C49E9"/>
    <w:rsid w:val="005C4A7C"/>
    <w:rsid w:val="005C5225"/>
    <w:rsid w:val="005D726A"/>
    <w:rsid w:val="005F2ADE"/>
    <w:rsid w:val="00601548"/>
    <w:rsid w:val="0061238F"/>
    <w:rsid w:val="006145A7"/>
    <w:rsid w:val="00620189"/>
    <w:rsid w:val="00635860"/>
    <w:rsid w:val="00665FA6"/>
    <w:rsid w:val="00666CB5"/>
    <w:rsid w:val="00675C3B"/>
    <w:rsid w:val="006816D7"/>
    <w:rsid w:val="006A1DD2"/>
    <w:rsid w:val="006B7DE4"/>
    <w:rsid w:val="006C0EE4"/>
    <w:rsid w:val="006C4434"/>
    <w:rsid w:val="006C5AF1"/>
    <w:rsid w:val="006C6EB2"/>
    <w:rsid w:val="006D37D3"/>
    <w:rsid w:val="006D6617"/>
    <w:rsid w:val="006E09F2"/>
    <w:rsid w:val="006E0FAF"/>
    <w:rsid w:val="006E24E7"/>
    <w:rsid w:val="006E4E6E"/>
    <w:rsid w:val="006E5DAA"/>
    <w:rsid w:val="006F28FE"/>
    <w:rsid w:val="0070584F"/>
    <w:rsid w:val="00727BE4"/>
    <w:rsid w:val="00732B3F"/>
    <w:rsid w:val="00732BFF"/>
    <w:rsid w:val="00744959"/>
    <w:rsid w:val="00744D21"/>
    <w:rsid w:val="0074795C"/>
    <w:rsid w:val="00750DA8"/>
    <w:rsid w:val="007572FA"/>
    <w:rsid w:val="00764FB9"/>
    <w:rsid w:val="007658A0"/>
    <w:rsid w:val="00775B0A"/>
    <w:rsid w:val="007779DC"/>
    <w:rsid w:val="007837A1"/>
    <w:rsid w:val="007842F6"/>
    <w:rsid w:val="007B77D3"/>
    <w:rsid w:val="007B781C"/>
    <w:rsid w:val="007D2E7E"/>
    <w:rsid w:val="007D557C"/>
    <w:rsid w:val="007E209F"/>
    <w:rsid w:val="007E6434"/>
    <w:rsid w:val="007F2DE7"/>
    <w:rsid w:val="007F6B99"/>
    <w:rsid w:val="00800E16"/>
    <w:rsid w:val="00811C5C"/>
    <w:rsid w:val="008125C1"/>
    <w:rsid w:val="00816124"/>
    <w:rsid w:val="00822DE9"/>
    <w:rsid w:val="00826900"/>
    <w:rsid w:val="008304C2"/>
    <w:rsid w:val="00846904"/>
    <w:rsid w:val="00847D7D"/>
    <w:rsid w:val="00855B14"/>
    <w:rsid w:val="00865CCA"/>
    <w:rsid w:val="00870F3B"/>
    <w:rsid w:val="0087152A"/>
    <w:rsid w:val="00876F51"/>
    <w:rsid w:val="008828B2"/>
    <w:rsid w:val="00883AF6"/>
    <w:rsid w:val="00883C7A"/>
    <w:rsid w:val="00892259"/>
    <w:rsid w:val="0089676A"/>
    <w:rsid w:val="008A05F3"/>
    <w:rsid w:val="008A0C77"/>
    <w:rsid w:val="008A7FBD"/>
    <w:rsid w:val="008B146B"/>
    <w:rsid w:val="008B3F0F"/>
    <w:rsid w:val="008C2A43"/>
    <w:rsid w:val="008D3F7C"/>
    <w:rsid w:val="00906827"/>
    <w:rsid w:val="00907A17"/>
    <w:rsid w:val="00932423"/>
    <w:rsid w:val="00934DE7"/>
    <w:rsid w:val="00942B89"/>
    <w:rsid w:val="0094497C"/>
    <w:rsid w:val="00962C6E"/>
    <w:rsid w:val="009A06AE"/>
    <w:rsid w:val="009A7D43"/>
    <w:rsid w:val="009B19B9"/>
    <w:rsid w:val="009C12D0"/>
    <w:rsid w:val="009C2464"/>
    <w:rsid w:val="009C6D5B"/>
    <w:rsid w:val="009E6E34"/>
    <w:rsid w:val="009F4CD0"/>
    <w:rsid w:val="00A03BBA"/>
    <w:rsid w:val="00A2044D"/>
    <w:rsid w:val="00A26EAB"/>
    <w:rsid w:val="00A30648"/>
    <w:rsid w:val="00A35CCD"/>
    <w:rsid w:val="00A37B54"/>
    <w:rsid w:val="00A443DF"/>
    <w:rsid w:val="00A504E9"/>
    <w:rsid w:val="00A50859"/>
    <w:rsid w:val="00A53A1F"/>
    <w:rsid w:val="00A613CA"/>
    <w:rsid w:val="00A72250"/>
    <w:rsid w:val="00AA12A1"/>
    <w:rsid w:val="00AC1ACD"/>
    <w:rsid w:val="00AC7E40"/>
    <w:rsid w:val="00AE2ADB"/>
    <w:rsid w:val="00AE7F4A"/>
    <w:rsid w:val="00AF1B07"/>
    <w:rsid w:val="00AF2323"/>
    <w:rsid w:val="00B04E61"/>
    <w:rsid w:val="00B0741E"/>
    <w:rsid w:val="00B12AAD"/>
    <w:rsid w:val="00B2690C"/>
    <w:rsid w:val="00B30F7A"/>
    <w:rsid w:val="00B333EB"/>
    <w:rsid w:val="00B33FE3"/>
    <w:rsid w:val="00B377E3"/>
    <w:rsid w:val="00B507F0"/>
    <w:rsid w:val="00B51EB8"/>
    <w:rsid w:val="00B530BB"/>
    <w:rsid w:val="00B537F4"/>
    <w:rsid w:val="00B647BE"/>
    <w:rsid w:val="00B65398"/>
    <w:rsid w:val="00B7574E"/>
    <w:rsid w:val="00B76F19"/>
    <w:rsid w:val="00B77CFA"/>
    <w:rsid w:val="00B9061B"/>
    <w:rsid w:val="00B92789"/>
    <w:rsid w:val="00B928DF"/>
    <w:rsid w:val="00B94269"/>
    <w:rsid w:val="00B961B1"/>
    <w:rsid w:val="00BA3E9D"/>
    <w:rsid w:val="00BA7135"/>
    <w:rsid w:val="00BB05F8"/>
    <w:rsid w:val="00BB353F"/>
    <w:rsid w:val="00BC0C98"/>
    <w:rsid w:val="00BD2D77"/>
    <w:rsid w:val="00BD471A"/>
    <w:rsid w:val="00BE0BB7"/>
    <w:rsid w:val="00BE5ECF"/>
    <w:rsid w:val="00BE7A22"/>
    <w:rsid w:val="00C01957"/>
    <w:rsid w:val="00C11A42"/>
    <w:rsid w:val="00C26E32"/>
    <w:rsid w:val="00C27443"/>
    <w:rsid w:val="00C305C7"/>
    <w:rsid w:val="00C30B9D"/>
    <w:rsid w:val="00C30CF3"/>
    <w:rsid w:val="00C31864"/>
    <w:rsid w:val="00C371E7"/>
    <w:rsid w:val="00C420CE"/>
    <w:rsid w:val="00C44D2C"/>
    <w:rsid w:val="00C5109D"/>
    <w:rsid w:val="00C540A5"/>
    <w:rsid w:val="00C54489"/>
    <w:rsid w:val="00C550C5"/>
    <w:rsid w:val="00C74DEF"/>
    <w:rsid w:val="00C86627"/>
    <w:rsid w:val="00C873DB"/>
    <w:rsid w:val="00C90C38"/>
    <w:rsid w:val="00CA1DF7"/>
    <w:rsid w:val="00CB21CB"/>
    <w:rsid w:val="00CB3434"/>
    <w:rsid w:val="00CB6090"/>
    <w:rsid w:val="00CB7A29"/>
    <w:rsid w:val="00CB7D43"/>
    <w:rsid w:val="00CC5FB2"/>
    <w:rsid w:val="00CD30EA"/>
    <w:rsid w:val="00CD332D"/>
    <w:rsid w:val="00CD3922"/>
    <w:rsid w:val="00CD40C3"/>
    <w:rsid w:val="00CF0787"/>
    <w:rsid w:val="00D0528E"/>
    <w:rsid w:val="00D07A09"/>
    <w:rsid w:val="00D143AA"/>
    <w:rsid w:val="00D15368"/>
    <w:rsid w:val="00D2195E"/>
    <w:rsid w:val="00D22C04"/>
    <w:rsid w:val="00D24C43"/>
    <w:rsid w:val="00D26060"/>
    <w:rsid w:val="00D75AFE"/>
    <w:rsid w:val="00D76490"/>
    <w:rsid w:val="00D8208E"/>
    <w:rsid w:val="00D860C6"/>
    <w:rsid w:val="00DA074F"/>
    <w:rsid w:val="00DA327B"/>
    <w:rsid w:val="00DC1AB7"/>
    <w:rsid w:val="00DD0244"/>
    <w:rsid w:val="00DD30F0"/>
    <w:rsid w:val="00DD7F7D"/>
    <w:rsid w:val="00DE3D9F"/>
    <w:rsid w:val="00DE52C9"/>
    <w:rsid w:val="00DE5FFA"/>
    <w:rsid w:val="00DF1195"/>
    <w:rsid w:val="00DF78D1"/>
    <w:rsid w:val="00E12D5D"/>
    <w:rsid w:val="00E17F6E"/>
    <w:rsid w:val="00E21C54"/>
    <w:rsid w:val="00E21E67"/>
    <w:rsid w:val="00E32404"/>
    <w:rsid w:val="00E36908"/>
    <w:rsid w:val="00E50F36"/>
    <w:rsid w:val="00E518D3"/>
    <w:rsid w:val="00E52056"/>
    <w:rsid w:val="00E6593E"/>
    <w:rsid w:val="00E70291"/>
    <w:rsid w:val="00E83AA9"/>
    <w:rsid w:val="00E84B07"/>
    <w:rsid w:val="00EB120A"/>
    <w:rsid w:val="00EB4C7E"/>
    <w:rsid w:val="00EC1ADA"/>
    <w:rsid w:val="00ED26BA"/>
    <w:rsid w:val="00EE1B79"/>
    <w:rsid w:val="00EE2B2E"/>
    <w:rsid w:val="00EE466A"/>
    <w:rsid w:val="00EE5CBB"/>
    <w:rsid w:val="00EF0061"/>
    <w:rsid w:val="00EF2E99"/>
    <w:rsid w:val="00EF3824"/>
    <w:rsid w:val="00F0248D"/>
    <w:rsid w:val="00F058A8"/>
    <w:rsid w:val="00F07A5A"/>
    <w:rsid w:val="00F26B6F"/>
    <w:rsid w:val="00F26BA4"/>
    <w:rsid w:val="00F320DA"/>
    <w:rsid w:val="00F33E79"/>
    <w:rsid w:val="00F33FAA"/>
    <w:rsid w:val="00F3443A"/>
    <w:rsid w:val="00F73B78"/>
    <w:rsid w:val="00F8049A"/>
    <w:rsid w:val="00F84DB2"/>
    <w:rsid w:val="00F8728D"/>
    <w:rsid w:val="00F9258E"/>
    <w:rsid w:val="00F94714"/>
    <w:rsid w:val="00FA309D"/>
    <w:rsid w:val="00FA5E96"/>
    <w:rsid w:val="00FB1A7D"/>
    <w:rsid w:val="00FB4CEF"/>
    <w:rsid w:val="00FD35FD"/>
    <w:rsid w:val="00FD7DCC"/>
    <w:rsid w:val="00FE1898"/>
    <w:rsid w:val="00FF0547"/>
    <w:rsid w:val="00FF1B1C"/>
    <w:rsid w:val="00FF4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4260F"/>
  <w15:docId w15:val="{1AEA39A8-5773-43C5-B05A-FBC57E52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74F"/>
    <w:pPr>
      <w:spacing w:after="80" w:line="240" w:lineRule="atLeast"/>
      <w:jc w:val="both"/>
    </w:pPr>
    <w:rPr>
      <w:rFonts w:ascii="Arial" w:hAnsi="Arial"/>
      <w:szCs w:val="22"/>
      <w:lang w:val="en-GB"/>
    </w:rPr>
  </w:style>
  <w:style w:type="paragraph" w:styleId="Heading1">
    <w:name w:val="heading 1"/>
    <w:aliases w:val="Heading 1_EUROENGEO_"/>
    <w:basedOn w:val="Normal"/>
    <w:next w:val="Normal"/>
    <w:link w:val="Heading1Char"/>
    <w:uiPriority w:val="9"/>
    <w:qFormat/>
    <w:rsid w:val="00EB4C7E"/>
    <w:pPr>
      <w:keepNext/>
      <w:keepLines/>
      <w:numPr>
        <w:numId w:val="1"/>
      </w:numPr>
      <w:tabs>
        <w:tab w:val="left" w:pos="454"/>
      </w:tabs>
      <w:spacing w:before="480" w:after="200"/>
      <w:outlineLvl w:val="0"/>
    </w:pPr>
    <w:rPr>
      <w:rFonts w:eastAsia="SimSun"/>
      <w:b/>
      <w:bCs/>
      <w:sz w:val="24"/>
      <w:szCs w:val="28"/>
    </w:rPr>
  </w:style>
  <w:style w:type="paragraph" w:styleId="Heading2">
    <w:name w:val="heading 2"/>
    <w:aliases w:val="Heading 2_EUROENGEO_"/>
    <w:basedOn w:val="Normal"/>
    <w:next w:val="Normal"/>
    <w:link w:val="Heading2Char"/>
    <w:uiPriority w:val="9"/>
    <w:unhideWhenUsed/>
    <w:qFormat/>
    <w:rsid w:val="004356D6"/>
    <w:pPr>
      <w:keepNext/>
      <w:keepLines/>
      <w:numPr>
        <w:ilvl w:val="1"/>
        <w:numId w:val="1"/>
      </w:numPr>
      <w:tabs>
        <w:tab w:val="left" w:pos="624"/>
      </w:tabs>
      <w:spacing w:before="400" w:after="60"/>
      <w:outlineLvl w:val="1"/>
    </w:pPr>
    <w:rPr>
      <w:rFonts w:eastAsia="Times New Roman"/>
      <w:b/>
      <w:bCs/>
      <w:iCs/>
      <w:sz w:val="22"/>
      <w:szCs w:val="28"/>
    </w:rPr>
  </w:style>
  <w:style w:type="paragraph" w:styleId="Heading3">
    <w:name w:val="heading 3"/>
    <w:basedOn w:val="Normal"/>
    <w:next w:val="Normal"/>
    <w:link w:val="Heading3Char"/>
    <w:uiPriority w:val="9"/>
    <w:unhideWhenUsed/>
    <w:rsid w:val="00892259"/>
    <w:pPr>
      <w:keepNext/>
      <w:keepLines/>
      <w:numPr>
        <w:ilvl w:val="2"/>
        <w:numId w:val="1"/>
      </w:numPr>
      <w:suppressAutoHyphens/>
      <w:spacing w:before="240" w:after="40" w:line="360" w:lineRule="auto"/>
      <w:outlineLvl w:val="2"/>
    </w:pPr>
    <w:rPr>
      <w:rFonts w:eastAsia="Times New Roman"/>
      <w:b/>
      <w:bCs/>
      <w:color w:val="FF0000"/>
      <w:szCs w:val="26"/>
    </w:rPr>
  </w:style>
  <w:style w:type="paragraph" w:styleId="Heading4">
    <w:name w:val="heading 4"/>
    <w:basedOn w:val="Normal"/>
    <w:next w:val="Normal"/>
    <w:link w:val="Heading4Char"/>
    <w:uiPriority w:val="9"/>
    <w:unhideWhenUsed/>
    <w:rsid w:val="00942B89"/>
    <w:pPr>
      <w:keepNext/>
      <w:keepLines/>
      <w:numPr>
        <w:ilvl w:val="3"/>
        <w:numId w:val="1"/>
      </w:numPr>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semiHidden/>
    <w:unhideWhenUsed/>
    <w:rsid w:val="00D07A09"/>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D07A09"/>
    <w:pPr>
      <w:numPr>
        <w:ilvl w:val="5"/>
        <w:numId w:val="1"/>
      </w:num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semiHidden/>
    <w:unhideWhenUsed/>
    <w:qFormat/>
    <w:rsid w:val="00D07A09"/>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D07A09"/>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D07A09"/>
    <w:pPr>
      <w:numPr>
        <w:ilvl w:val="8"/>
        <w:numId w:val="1"/>
      </w:num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09D"/>
    <w:pPr>
      <w:pBdr>
        <w:bottom w:val="single" w:sz="2" w:space="1" w:color="000000"/>
      </w:pBdr>
      <w:tabs>
        <w:tab w:val="right" w:pos="9072"/>
      </w:tabs>
      <w:spacing w:after="0" w:line="240" w:lineRule="auto"/>
    </w:pPr>
    <w:rPr>
      <w:color w:val="595959"/>
      <w:sz w:val="16"/>
    </w:rPr>
  </w:style>
  <w:style w:type="character" w:customStyle="1" w:styleId="HeaderChar">
    <w:name w:val="Header Char"/>
    <w:link w:val="Header"/>
    <w:uiPriority w:val="99"/>
    <w:rsid w:val="00FA309D"/>
    <w:rPr>
      <w:rFonts w:ascii="Arial" w:hAnsi="Arial"/>
      <w:color w:val="595959"/>
      <w:sz w:val="16"/>
      <w:szCs w:val="22"/>
      <w:lang w:eastAsia="en-US"/>
    </w:rPr>
  </w:style>
  <w:style w:type="paragraph" w:styleId="Footer">
    <w:name w:val="footer"/>
    <w:basedOn w:val="Normal"/>
    <w:link w:val="FooterChar"/>
    <w:uiPriority w:val="99"/>
    <w:unhideWhenUsed/>
    <w:rsid w:val="00B04E61"/>
    <w:pPr>
      <w:tabs>
        <w:tab w:val="center" w:pos="4153"/>
        <w:tab w:val="right" w:pos="8306"/>
      </w:tabs>
      <w:spacing w:before="120" w:after="0" w:line="240" w:lineRule="auto"/>
      <w:jc w:val="center"/>
    </w:pPr>
    <w:rPr>
      <w:sz w:val="18"/>
    </w:rPr>
  </w:style>
  <w:style w:type="character" w:customStyle="1" w:styleId="FooterChar">
    <w:name w:val="Footer Char"/>
    <w:link w:val="Footer"/>
    <w:uiPriority w:val="99"/>
    <w:rsid w:val="00B04E61"/>
    <w:rPr>
      <w:rFonts w:ascii="Arial" w:hAnsi="Arial"/>
      <w:sz w:val="18"/>
      <w:szCs w:val="22"/>
      <w:lang w:eastAsia="en-US"/>
    </w:rPr>
  </w:style>
  <w:style w:type="paragraph" w:customStyle="1" w:styleId="NumberedList">
    <w:name w:val="Numbered List"/>
    <w:basedOn w:val="BulletPoints"/>
    <w:qFormat/>
    <w:rsid w:val="00556208"/>
    <w:pPr>
      <w:numPr>
        <w:numId w:val="4"/>
      </w:numPr>
      <w:ind w:left="397" w:hanging="227"/>
    </w:pPr>
  </w:style>
  <w:style w:type="paragraph" w:customStyle="1" w:styleId="Email">
    <w:name w:val="Email"/>
    <w:basedOn w:val="Normal"/>
    <w:qFormat/>
    <w:rsid w:val="005C3D48"/>
    <w:pPr>
      <w:spacing w:before="20" w:after="20"/>
    </w:pPr>
  </w:style>
  <w:style w:type="paragraph" w:customStyle="1" w:styleId="Author">
    <w:name w:val="Author"/>
    <w:basedOn w:val="Normal"/>
    <w:qFormat/>
    <w:rsid w:val="00D07A09"/>
    <w:pPr>
      <w:spacing w:after="280"/>
    </w:pPr>
  </w:style>
  <w:style w:type="paragraph" w:customStyle="1" w:styleId="Affiliation">
    <w:name w:val="Affiliation"/>
    <w:basedOn w:val="Normal"/>
    <w:qFormat/>
    <w:rsid w:val="00E21C54"/>
    <w:pPr>
      <w:spacing w:before="160" w:after="40"/>
    </w:pPr>
    <w:rPr>
      <w:i/>
    </w:rPr>
  </w:style>
  <w:style w:type="paragraph" w:customStyle="1" w:styleId="Keywords">
    <w:name w:val="Keywords"/>
    <w:basedOn w:val="Normal"/>
    <w:qFormat/>
    <w:rsid w:val="006C4434"/>
    <w:pPr>
      <w:spacing w:before="480"/>
    </w:pPr>
    <w:rPr>
      <w:i/>
      <w:sz w:val="18"/>
    </w:rPr>
  </w:style>
  <w:style w:type="character" w:customStyle="1" w:styleId="Heading2Char">
    <w:name w:val="Heading 2 Char"/>
    <w:aliases w:val="Heading 2_EUROENGEO_ Char"/>
    <w:link w:val="Heading2"/>
    <w:uiPriority w:val="9"/>
    <w:rsid w:val="004356D6"/>
    <w:rPr>
      <w:rFonts w:ascii="Arial" w:eastAsia="Times New Roman" w:hAnsi="Arial"/>
      <w:b/>
      <w:bCs/>
      <w:iCs/>
      <w:sz w:val="22"/>
      <w:szCs w:val="28"/>
      <w:lang w:val="en-GB"/>
    </w:rPr>
  </w:style>
  <w:style w:type="character" w:styleId="Hyperlink">
    <w:name w:val="Hyperlink"/>
    <w:uiPriority w:val="99"/>
    <w:unhideWhenUsed/>
    <w:rsid w:val="00FE1898"/>
    <w:rPr>
      <w:color w:val="0000FF"/>
      <w:u w:val="single"/>
    </w:rPr>
  </w:style>
  <w:style w:type="character" w:customStyle="1" w:styleId="Heading3Char">
    <w:name w:val="Heading 3 Char"/>
    <w:link w:val="Heading3"/>
    <w:uiPriority w:val="9"/>
    <w:rsid w:val="00892259"/>
    <w:rPr>
      <w:rFonts w:ascii="Arial" w:eastAsia="Times New Roman" w:hAnsi="Arial"/>
      <w:b/>
      <w:bCs/>
      <w:color w:val="FF0000"/>
      <w:szCs w:val="26"/>
      <w:lang w:val="en-GB"/>
    </w:rPr>
  </w:style>
  <w:style w:type="paragraph" w:customStyle="1" w:styleId="AuthorInformation">
    <w:name w:val="Author Information"/>
    <w:basedOn w:val="Normal"/>
    <w:qFormat/>
    <w:rsid w:val="00D07A09"/>
    <w:pPr>
      <w:spacing w:after="20"/>
    </w:pPr>
  </w:style>
  <w:style w:type="character" w:customStyle="1" w:styleId="Heading1Char">
    <w:name w:val="Heading 1 Char"/>
    <w:aliases w:val="Heading 1_EUROENGEO_ Char"/>
    <w:link w:val="Heading1"/>
    <w:uiPriority w:val="9"/>
    <w:rsid w:val="00EB4C7E"/>
    <w:rPr>
      <w:rFonts w:ascii="Arial" w:eastAsia="SimSun" w:hAnsi="Arial"/>
      <w:b/>
      <w:bCs/>
      <w:sz w:val="24"/>
      <w:szCs w:val="28"/>
      <w:lang w:val="en-GB"/>
    </w:rPr>
  </w:style>
  <w:style w:type="character" w:customStyle="1" w:styleId="Heading4Char">
    <w:name w:val="Heading 4 Char"/>
    <w:link w:val="Heading4"/>
    <w:uiPriority w:val="9"/>
    <w:rsid w:val="00942B89"/>
    <w:rPr>
      <w:rFonts w:ascii="Cambria" w:eastAsia="SimSun" w:hAnsi="Cambria"/>
      <w:b/>
      <w:bCs/>
      <w:i/>
      <w:iCs/>
      <w:color w:val="4F81BD"/>
      <w:sz w:val="18"/>
      <w:szCs w:val="22"/>
      <w:lang w:val="en-GB" w:eastAsia="en-US"/>
    </w:rPr>
  </w:style>
  <w:style w:type="character" w:customStyle="1" w:styleId="Heading5Char">
    <w:name w:val="Heading 5 Char"/>
    <w:link w:val="Heading5"/>
    <w:uiPriority w:val="9"/>
    <w:semiHidden/>
    <w:rsid w:val="00D07A09"/>
    <w:rPr>
      <w:rFonts w:ascii="Calibri" w:eastAsia="Times New Roman" w:hAnsi="Calibri" w:cs="Times New Roman"/>
      <w:b/>
      <w:bCs/>
      <w:i/>
      <w:iCs/>
      <w:sz w:val="26"/>
      <w:szCs w:val="26"/>
      <w:lang w:val="en-GB" w:eastAsia="en-US"/>
    </w:rPr>
  </w:style>
  <w:style w:type="paragraph" w:customStyle="1" w:styleId="Abtracttext">
    <w:name w:val="Abtract text"/>
    <w:basedOn w:val="Normal"/>
    <w:qFormat/>
    <w:rsid w:val="003C24D0"/>
    <w:pPr>
      <w:spacing w:before="800"/>
    </w:pPr>
    <w:rPr>
      <w:sz w:val="18"/>
    </w:rPr>
  </w:style>
  <w:style w:type="character" w:customStyle="1" w:styleId="Heading6Char">
    <w:name w:val="Heading 6 Char"/>
    <w:link w:val="Heading6"/>
    <w:uiPriority w:val="9"/>
    <w:semiHidden/>
    <w:rsid w:val="00D07A09"/>
    <w:rPr>
      <w:rFonts w:ascii="Calibri" w:eastAsia="Times New Roman" w:hAnsi="Calibri" w:cs="Times New Roman"/>
      <w:b/>
      <w:bCs/>
      <w:sz w:val="22"/>
      <w:szCs w:val="22"/>
      <w:lang w:val="en-GB" w:eastAsia="en-US"/>
    </w:rPr>
  </w:style>
  <w:style w:type="character" w:customStyle="1" w:styleId="Heading7Char">
    <w:name w:val="Heading 7 Char"/>
    <w:link w:val="Heading7"/>
    <w:uiPriority w:val="9"/>
    <w:semiHidden/>
    <w:rsid w:val="00D07A09"/>
    <w:rPr>
      <w:rFonts w:ascii="Calibri" w:eastAsia="Times New Roman" w:hAnsi="Calibri" w:cs="Times New Roman"/>
      <w:sz w:val="24"/>
      <w:szCs w:val="24"/>
      <w:lang w:val="en-GB" w:eastAsia="en-US"/>
    </w:rPr>
  </w:style>
  <w:style w:type="character" w:customStyle="1" w:styleId="Heading8Char">
    <w:name w:val="Heading 8 Char"/>
    <w:link w:val="Heading8"/>
    <w:uiPriority w:val="9"/>
    <w:semiHidden/>
    <w:rsid w:val="00D07A09"/>
    <w:rPr>
      <w:rFonts w:ascii="Calibri" w:eastAsia="Times New Roman" w:hAnsi="Calibri" w:cs="Times New Roman"/>
      <w:i/>
      <w:iCs/>
      <w:sz w:val="24"/>
      <w:szCs w:val="24"/>
      <w:lang w:val="en-GB" w:eastAsia="en-US"/>
    </w:rPr>
  </w:style>
  <w:style w:type="character" w:customStyle="1" w:styleId="Heading9Char">
    <w:name w:val="Heading 9 Char"/>
    <w:link w:val="Heading9"/>
    <w:uiPriority w:val="9"/>
    <w:semiHidden/>
    <w:rsid w:val="00D07A09"/>
    <w:rPr>
      <w:rFonts w:ascii="Cambria" w:eastAsia="Times New Roman" w:hAnsi="Cambria" w:cs="Times New Roman"/>
      <w:sz w:val="22"/>
      <w:szCs w:val="22"/>
      <w:lang w:val="en-GB" w:eastAsia="en-US"/>
    </w:rPr>
  </w:style>
  <w:style w:type="paragraph" w:customStyle="1" w:styleId="Equation">
    <w:name w:val="Equation"/>
    <w:basedOn w:val="Normal"/>
    <w:qFormat/>
    <w:rsid w:val="00063AB2"/>
    <w:pPr>
      <w:tabs>
        <w:tab w:val="right" w:pos="9072"/>
      </w:tabs>
      <w:spacing w:before="160" w:after="120"/>
    </w:pPr>
  </w:style>
  <w:style w:type="paragraph" w:customStyle="1" w:styleId="Heading1-Nonumber">
    <w:name w:val="Heading 1 - No number"/>
    <w:basedOn w:val="Normal"/>
    <w:qFormat/>
    <w:rsid w:val="005839C0"/>
    <w:pPr>
      <w:keepNext/>
      <w:keepLines/>
      <w:tabs>
        <w:tab w:val="left" w:pos="454"/>
      </w:tabs>
      <w:spacing w:before="480" w:after="200"/>
      <w:ind w:left="454" w:hanging="454"/>
    </w:pPr>
    <w:rPr>
      <w:b/>
      <w:sz w:val="24"/>
      <w:szCs w:val="24"/>
    </w:rPr>
  </w:style>
  <w:style w:type="paragraph" w:customStyle="1" w:styleId="ReferenceList">
    <w:name w:val="Reference List"/>
    <w:basedOn w:val="Normal"/>
    <w:qFormat/>
    <w:rsid w:val="00A72250"/>
    <w:pPr>
      <w:tabs>
        <w:tab w:val="left" w:pos="284"/>
      </w:tabs>
      <w:spacing w:after="160"/>
    </w:pPr>
    <w:rPr>
      <w:sz w:val="18"/>
      <w:szCs w:val="18"/>
    </w:rPr>
  </w:style>
  <w:style w:type="table" w:styleId="TableGrid">
    <w:name w:val="Table Grid"/>
    <w:basedOn w:val="TableNormal"/>
    <w:uiPriority w:val="59"/>
    <w:rsid w:val="00783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7837A1"/>
    <w:pPr>
      <w:spacing w:before="20" w:after="20" w:line="240" w:lineRule="auto"/>
      <w:jc w:val="center"/>
    </w:pPr>
    <w:rPr>
      <w:sz w:val="18"/>
      <w:szCs w:val="18"/>
    </w:rPr>
  </w:style>
  <w:style w:type="paragraph" w:customStyle="1" w:styleId="TableCaption">
    <w:name w:val="Table Caption"/>
    <w:basedOn w:val="Normal"/>
    <w:qFormat/>
    <w:rsid w:val="00C5109D"/>
    <w:pPr>
      <w:keepNext/>
      <w:spacing w:before="240" w:after="40" w:line="240" w:lineRule="auto"/>
    </w:pPr>
    <w:rPr>
      <w:b/>
      <w:sz w:val="18"/>
      <w:szCs w:val="18"/>
    </w:rPr>
  </w:style>
  <w:style w:type="paragraph" w:customStyle="1" w:styleId="BulletPoints">
    <w:name w:val="Bullet Points"/>
    <w:basedOn w:val="Normal"/>
    <w:qFormat/>
    <w:rsid w:val="00AC7E40"/>
    <w:pPr>
      <w:numPr>
        <w:numId w:val="3"/>
      </w:numPr>
      <w:tabs>
        <w:tab w:val="left" w:pos="397"/>
      </w:tabs>
      <w:ind w:left="397" w:hanging="227"/>
    </w:pPr>
  </w:style>
  <w:style w:type="paragraph" w:customStyle="1" w:styleId="Figure">
    <w:name w:val="Figure"/>
    <w:basedOn w:val="Normal"/>
    <w:qFormat/>
    <w:rsid w:val="00C5109D"/>
    <w:pPr>
      <w:keepNext/>
      <w:spacing w:before="240" w:after="20"/>
      <w:jc w:val="center"/>
    </w:pPr>
    <w:rPr>
      <w:noProof/>
      <w:lang w:eastAsia="de-CH"/>
    </w:rPr>
  </w:style>
  <w:style w:type="paragraph" w:customStyle="1" w:styleId="FigureCaption">
    <w:name w:val="Figure Caption"/>
    <w:basedOn w:val="Figure"/>
    <w:next w:val="Normal"/>
    <w:qFormat/>
    <w:rsid w:val="00C5109D"/>
    <w:pPr>
      <w:keepNext w:val="0"/>
      <w:spacing w:before="20" w:after="240"/>
    </w:pPr>
    <w:rPr>
      <w:b/>
      <w:sz w:val="18"/>
    </w:rPr>
  </w:style>
  <w:style w:type="paragraph" w:customStyle="1" w:styleId="PaperTitle">
    <w:name w:val="Paper Title"/>
    <w:basedOn w:val="Normal"/>
    <w:qFormat/>
    <w:rsid w:val="006C6EB2"/>
    <w:pPr>
      <w:pageBreakBefore/>
      <w:spacing w:before="800" w:after="480"/>
      <w:contextualSpacing/>
    </w:pPr>
    <w:rPr>
      <w:rFonts w:eastAsia="SimSun"/>
      <w:b/>
      <w:spacing w:val="5"/>
      <w:kern w:val="28"/>
      <w:sz w:val="28"/>
      <w:szCs w:val="52"/>
    </w:rPr>
  </w:style>
  <w:style w:type="paragraph" w:styleId="BalloonText">
    <w:name w:val="Balloon Text"/>
    <w:basedOn w:val="Normal"/>
    <w:link w:val="BalloonTextChar"/>
    <w:uiPriority w:val="99"/>
    <w:semiHidden/>
    <w:unhideWhenUsed/>
    <w:rsid w:val="00FA30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A309D"/>
    <w:rPr>
      <w:rFonts w:ascii="Tahoma" w:hAnsi="Tahoma" w:cs="Tahoma"/>
      <w:sz w:val="16"/>
      <w:szCs w:val="16"/>
      <w:lang w:eastAsia="en-US"/>
    </w:rPr>
  </w:style>
  <w:style w:type="character" w:customStyle="1" w:styleId="1">
    <w:name w:val="Ανεπίλυτη αναφορά1"/>
    <w:basedOn w:val="DefaultParagraphFont"/>
    <w:uiPriority w:val="99"/>
    <w:semiHidden/>
    <w:unhideWhenUsed/>
    <w:rsid w:val="00283DCF"/>
    <w:rPr>
      <w:color w:val="605E5C"/>
      <w:shd w:val="clear" w:color="auto" w:fill="E1DFDD"/>
    </w:rPr>
  </w:style>
  <w:style w:type="paragraph" w:styleId="ListParagraph">
    <w:name w:val="List Paragraph"/>
    <w:basedOn w:val="Normal"/>
    <w:link w:val="ListParagraphChar"/>
    <w:uiPriority w:val="34"/>
    <w:qFormat/>
    <w:rsid w:val="00BD471A"/>
    <w:pPr>
      <w:ind w:left="720"/>
      <w:contextualSpacing/>
    </w:pPr>
  </w:style>
  <w:style w:type="paragraph" w:customStyle="1" w:styleId="Heading1EUROENGEO">
    <w:name w:val="Heading 1_EUROENGEO"/>
    <w:basedOn w:val="ListParagraph"/>
    <w:link w:val="Heading1EUROENGEOChar"/>
    <w:rsid w:val="00C90C38"/>
    <w:pPr>
      <w:numPr>
        <w:numId w:val="5"/>
      </w:numPr>
      <w:spacing w:before="480" w:after="200"/>
    </w:pPr>
    <w:rPr>
      <w:b/>
      <w:sz w:val="24"/>
      <w:szCs w:val="24"/>
    </w:rPr>
  </w:style>
  <w:style w:type="character" w:customStyle="1" w:styleId="ListParagraphChar">
    <w:name w:val="List Paragraph Char"/>
    <w:basedOn w:val="DefaultParagraphFont"/>
    <w:link w:val="ListParagraph"/>
    <w:uiPriority w:val="34"/>
    <w:rsid w:val="00C90C38"/>
    <w:rPr>
      <w:rFonts w:ascii="Arial" w:hAnsi="Arial"/>
      <w:szCs w:val="22"/>
      <w:lang w:val="en-GB"/>
    </w:rPr>
  </w:style>
  <w:style w:type="character" w:customStyle="1" w:styleId="Heading1EUROENGEOChar">
    <w:name w:val="Heading 1_EUROENGEO Char"/>
    <w:basedOn w:val="ListParagraphChar"/>
    <w:link w:val="Heading1EUROENGEO"/>
    <w:rsid w:val="00C90C38"/>
    <w:rPr>
      <w:rFonts w:ascii="Arial" w:hAnsi="Arial"/>
      <w:b/>
      <w:sz w:val="24"/>
      <w:szCs w:val="24"/>
      <w:lang w:val="en-GB"/>
    </w:rPr>
  </w:style>
  <w:style w:type="paragraph" w:customStyle="1" w:styleId="Heading3EUROENGEO">
    <w:name w:val="Heading 3_EUROENGEO_"/>
    <w:basedOn w:val="Heading3"/>
    <w:link w:val="Heading3EUROENGEOChar"/>
    <w:qFormat/>
    <w:rsid w:val="00892259"/>
    <w:pPr>
      <w:spacing w:before="320" w:after="120" w:line="240" w:lineRule="atLeast"/>
      <w:ind w:left="794" w:hanging="794"/>
    </w:pPr>
    <w:rPr>
      <w:color w:val="auto"/>
    </w:rPr>
  </w:style>
  <w:style w:type="character" w:customStyle="1" w:styleId="Heading3EUROENGEOChar">
    <w:name w:val="Heading 3_EUROENGEO_ Char"/>
    <w:basedOn w:val="Heading3Char"/>
    <w:link w:val="Heading3EUROENGEO"/>
    <w:rsid w:val="00892259"/>
    <w:rPr>
      <w:rFonts w:ascii="Arial" w:eastAsia="Times New Roman" w:hAnsi="Arial"/>
      <w:b/>
      <w:bCs/>
      <w:color w:val="FF0000"/>
      <w:szCs w:val="26"/>
      <w:lang w:val="en-GB"/>
    </w:rPr>
  </w:style>
  <w:style w:type="paragraph" w:styleId="CommentText">
    <w:name w:val="annotation text"/>
    <w:basedOn w:val="Normal"/>
    <w:link w:val="CommentTextChar"/>
    <w:uiPriority w:val="99"/>
    <w:semiHidden/>
    <w:unhideWhenUsed/>
    <w:rsid w:val="00ED26BA"/>
    <w:pPr>
      <w:spacing w:after="0" w:line="240" w:lineRule="auto"/>
      <w:jc w:val="left"/>
    </w:pPr>
    <w:rPr>
      <w:rFonts w:ascii="Times New Roman" w:eastAsia="Times New Roman" w:hAnsi="Times New Roman"/>
      <w:szCs w:val="20"/>
    </w:rPr>
  </w:style>
  <w:style w:type="character" w:customStyle="1" w:styleId="CommentTextChar">
    <w:name w:val="Comment Text Char"/>
    <w:basedOn w:val="DefaultParagraphFont"/>
    <w:link w:val="CommentText"/>
    <w:uiPriority w:val="99"/>
    <w:semiHidden/>
    <w:rsid w:val="00ED26BA"/>
    <w:rPr>
      <w:rFonts w:ascii="Times New Roman" w:eastAsia="Times New Roman" w:hAnsi="Times New Roman"/>
      <w:lang w:val="en-GB"/>
    </w:rPr>
  </w:style>
  <w:style w:type="character" w:styleId="CommentReference">
    <w:name w:val="annotation reference"/>
    <w:basedOn w:val="DefaultParagraphFont"/>
    <w:uiPriority w:val="99"/>
    <w:semiHidden/>
    <w:unhideWhenUsed/>
    <w:rsid w:val="00ED26BA"/>
    <w:rPr>
      <w:sz w:val="16"/>
      <w:szCs w:val="16"/>
    </w:rPr>
  </w:style>
  <w:style w:type="character" w:styleId="UnresolvedMention">
    <w:name w:val="Unresolved Mention"/>
    <w:basedOn w:val="DefaultParagraphFont"/>
    <w:uiPriority w:val="99"/>
    <w:semiHidden/>
    <w:unhideWhenUsed/>
    <w:rsid w:val="009E6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658269">
      <w:bodyDiv w:val="1"/>
      <w:marLeft w:val="0"/>
      <w:marRight w:val="0"/>
      <w:marTop w:val="0"/>
      <w:marBottom w:val="0"/>
      <w:divBdr>
        <w:top w:val="none" w:sz="0" w:space="0" w:color="auto"/>
        <w:left w:val="none" w:sz="0" w:space="0" w:color="auto"/>
        <w:bottom w:val="none" w:sz="0" w:space="0" w:color="auto"/>
        <w:right w:val="none" w:sz="0" w:space="0" w:color="auto"/>
      </w:divBdr>
    </w:div>
    <w:div w:id="614292502">
      <w:bodyDiv w:val="1"/>
      <w:marLeft w:val="0"/>
      <w:marRight w:val="0"/>
      <w:marTop w:val="0"/>
      <w:marBottom w:val="0"/>
      <w:divBdr>
        <w:top w:val="none" w:sz="0" w:space="0" w:color="auto"/>
        <w:left w:val="none" w:sz="0" w:space="0" w:color="auto"/>
        <w:bottom w:val="none" w:sz="0" w:space="0" w:color="auto"/>
        <w:right w:val="none" w:sz="0" w:space="0" w:color="auto"/>
      </w:divBdr>
    </w:div>
    <w:div w:id="662851962">
      <w:bodyDiv w:val="1"/>
      <w:marLeft w:val="0"/>
      <w:marRight w:val="0"/>
      <w:marTop w:val="0"/>
      <w:marBottom w:val="0"/>
      <w:divBdr>
        <w:top w:val="none" w:sz="0" w:space="0" w:color="auto"/>
        <w:left w:val="none" w:sz="0" w:space="0" w:color="auto"/>
        <w:bottom w:val="none" w:sz="0" w:space="0" w:color="auto"/>
        <w:right w:val="none" w:sz="0" w:space="0" w:color="auto"/>
      </w:divBdr>
    </w:div>
    <w:div w:id="857473453">
      <w:bodyDiv w:val="1"/>
      <w:marLeft w:val="0"/>
      <w:marRight w:val="0"/>
      <w:marTop w:val="0"/>
      <w:marBottom w:val="0"/>
      <w:divBdr>
        <w:top w:val="none" w:sz="0" w:space="0" w:color="auto"/>
        <w:left w:val="none" w:sz="0" w:space="0" w:color="auto"/>
        <w:bottom w:val="none" w:sz="0" w:space="0" w:color="auto"/>
        <w:right w:val="none" w:sz="0" w:space="0" w:color="auto"/>
      </w:divBdr>
    </w:div>
    <w:div w:id="17421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7A8B4-002C-4AFB-BE0A-A6CC82D3B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3372</Words>
  <Characters>19221</Characters>
  <Application>Microsoft Office Word</Application>
  <DocSecurity>0</DocSecurity>
  <Lines>160</Lines>
  <Paragraphs>45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Microsoft</Company>
  <LinksUpToDate>false</LinksUpToDate>
  <CharactersWithSpaces>22548</CharactersWithSpaces>
  <SharedDoc>false</SharedDoc>
  <HLinks>
    <vt:vector size="24" baseType="variant">
      <vt:variant>
        <vt:i4>2949176</vt:i4>
      </vt:variant>
      <vt:variant>
        <vt:i4>9</vt:i4>
      </vt:variant>
      <vt:variant>
        <vt:i4>0</vt:i4>
      </vt:variant>
      <vt:variant>
        <vt:i4>5</vt:i4>
      </vt:variant>
      <vt:variant>
        <vt:lpwstr>http://www.eetc2014athens.org/</vt:lpwstr>
      </vt:variant>
      <vt:variant>
        <vt:lpwstr/>
      </vt:variant>
      <vt:variant>
        <vt:i4>7405656</vt:i4>
      </vt:variant>
      <vt:variant>
        <vt:i4>6</vt:i4>
      </vt:variant>
      <vt:variant>
        <vt:i4>0</vt:i4>
      </vt:variant>
      <vt:variant>
        <vt:i4>5</vt:i4>
      </vt:variant>
      <vt:variant>
        <vt:lpwstr>mailto:emailthirdauthor@institute.com</vt:lpwstr>
      </vt:variant>
      <vt:variant>
        <vt:lpwstr/>
      </vt:variant>
      <vt:variant>
        <vt:i4>6684753</vt:i4>
      </vt:variant>
      <vt:variant>
        <vt:i4>3</vt:i4>
      </vt:variant>
      <vt:variant>
        <vt:i4>0</vt:i4>
      </vt:variant>
      <vt:variant>
        <vt:i4>5</vt:i4>
      </vt:variant>
      <vt:variant>
        <vt:lpwstr>mailto:emailsecondauthor@institute.com</vt:lpwstr>
      </vt:variant>
      <vt:variant>
        <vt:lpwstr/>
      </vt:variant>
      <vt:variant>
        <vt:i4>7405633</vt:i4>
      </vt:variant>
      <vt:variant>
        <vt:i4>0</vt:i4>
      </vt:variant>
      <vt:variant>
        <vt:i4>0</vt:i4>
      </vt:variant>
      <vt:variant>
        <vt:i4>5</vt:i4>
      </vt:variant>
      <vt:variant>
        <vt:lpwstr>mailto:emailfirstauthor@institute.com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EETC2014</dc:creator>
  <cp:keywords/>
  <cp:lastModifiedBy>Mavroulidou, Maria</cp:lastModifiedBy>
  <cp:revision>3</cp:revision>
  <cp:lastPrinted>2019-06-19T14:59:00Z</cp:lastPrinted>
  <dcterms:created xsi:type="dcterms:W3CDTF">2021-03-31T21:33:00Z</dcterms:created>
  <dcterms:modified xsi:type="dcterms:W3CDTF">2021-03-31T21:58:00Z</dcterms:modified>
</cp:coreProperties>
</file>