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469F" w14:textId="67265569" w:rsidR="00E12B0C" w:rsidRPr="00B629B2" w:rsidRDefault="001276DC">
      <w:pPr>
        <w:jc w:val="center"/>
      </w:pPr>
      <w:r w:rsidRPr="00B629B2">
        <w:rPr>
          <w:noProof/>
        </w:rPr>
        <w:drawing>
          <wp:inline distT="0" distB="0" distL="0" distR="0" wp14:anchorId="36FB5A0F" wp14:editId="63BAC631">
            <wp:extent cx="3207811" cy="93171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07811" cy="931714"/>
                    </a:xfrm>
                    <a:prstGeom prst="rect">
                      <a:avLst/>
                    </a:prstGeom>
                    <a:ln/>
                  </pic:spPr>
                </pic:pic>
              </a:graphicData>
            </a:graphic>
          </wp:inline>
        </w:drawing>
      </w:r>
    </w:p>
    <w:p w14:paraId="250930CF" w14:textId="77777777" w:rsidR="00E12B0C" w:rsidRPr="00B629B2" w:rsidRDefault="001276DC">
      <w:pPr>
        <w:pBdr>
          <w:top w:val="nil"/>
          <w:left w:val="nil"/>
          <w:bottom w:val="nil"/>
          <w:right w:val="nil"/>
          <w:between w:val="nil"/>
        </w:pBdr>
        <w:spacing w:after="0" w:line="240" w:lineRule="auto"/>
        <w:rPr>
          <w:b/>
          <w:color w:val="000000"/>
          <w:sz w:val="32"/>
          <w:szCs w:val="32"/>
        </w:rPr>
      </w:pPr>
      <w:r w:rsidRPr="00B629B2">
        <w:rPr>
          <w:b/>
          <w:color w:val="000000"/>
          <w:sz w:val="32"/>
          <w:szCs w:val="32"/>
        </w:rPr>
        <w:t>Acoustic design of voice alarm systems in an occupied underground platform</w:t>
      </w:r>
    </w:p>
    <w:p w14:paraId="6CA23004" w14:textId="77777777" w:rsidR="00E12B0C" w:rsidRPr="00B629B2" w:rsidRDefault="00E12B0C">
      <w:pPr>
        <w:spacing w:after="0" w:line="240" w:lineRule="auto"/>
        <w:rPr>
          <w:szCs w:val="24"/>
        </w:rPr>
      </w:pPr>
    </w:p>
    <w:p w14:paraId="2518F9D9" w14:textId="77777777" w:rsidR="00E12B0C" w:rsidRPr="00B629B2" w:rsidRDefault="001276DC">
      <w:pPr>
        <w:tabs>
          <w:tab w:val="left" w:pos="5126"/>
        </w:tabs>
        <w:spacing w:after="0" w:line="240" w:lineRule="auto"/>
        <w:jc w:val="both"/>
        <w:rPr>
          <w:b/>
          <w:szCs w:val="24"/>
          <w:vertAlign w:val="superscript"/>
        </w:rPr>
      </w:pPr>
      <w:r w:rsidRPr="00B629B2">
        <w:rPr>
          <w:b/>
          <w:szCs w:val="24"/>
        </w:rPr>
        <w:t>Littleford, Graeme</w:t>
      </w:r>
      <w:r w:rsidRPr="00B629B2">
        <w:rPr>
          <w:b/>
          <w:szCs w:val="24"/>
          <w:vertAlign w:val="superscript"/>
        </w:rPr>
        <w:t>1</w:t>
      </w:r>
      <w:r w:rsidRPr="00B629B2">
        <w:rPr>
          <w:b/>
          <w:szCs w:val="24"/>
          <w:vertAlign w:val="superscript"/>
        </w:rPr>
        <w:tab/>
        <w:t xml:space="preserve"> </w:t>
      </w:r>
    </w:p>
    <w:p w14:paraId="4A35BEFE" w14:textId="6445C4BE" w:rsidR="00E12B0C" w:rsidRPr="00B629B2" w:rsidRDefault="001276DC">
      <w:pPr>
        <w:spacing w:after="0" w:line="240" w:lineRule="auto"/>
        <w:jc w:val="both"/>
        <w:rPr>
          <w:b/>
          <w:szCs w:val="24"/>
        </w:rPr>
      </w:pPr>
      <w:r w:rsidRPr="00B629B2">
        <w:rPr>
          <w:b/>
          <w:szCs w:val="24"/>
        </w:rPr>
        <w:t>L</w:t>
      </w:r>
      <w:r w:rsidR="00E93046" w:rsidRPr="00B629B2">
        <w:rPr>
          <w:b/>
          <w:szCs w:val="24"/>
        </w:rPr>
        <w:t xml:space="preserve">ondon </w:t>
      </w:r>
      <w:r w:rsidRPr="00B629B2">
        <w:rPr>
          <w:b/>
          <w:szCs w:val="24"/>
        </w:rPr>
        <w:t>S</w:t>
      </w:r>
      <w:r w:rsidR="00E93046" w:rsidRPr="00B629B2">
        <w:rPr>
          <w:b/>
          <w:szCs w:val="24"/>
        </w:rPr>
        <w:t xml:space="preserve">outh </w:t>
      </w:r>
      <w:r w:rsidRPr="00B629B2">
        <w:rPr>
          <w:b/>
          <w:szCs w:val="24"/>
        </w:rPr>
        <w:t>B</w:t>
      </w:r>
      <w:r w:rsidR="00E93046" w:rsidRPr="00B629B2">
        <w:rPr>
          <w:b/>
          <w:szCs w:val="24"/>
        </w:rPr>
        <w:t xml:space="preserve">ank </w:t>
      </w:r>
      <w:r w:rsidRPr="00B629B2">
        <w:rPr>
          <w:b/>
          <w:szCs w:val="24"/>
        </w:rPr>
        <w:t>U</w:t>
      </w:r>
      <w:r w:rsidR="00E93046" w:rsidRPr="00B629B2">
        <w:rPr>
          <w:b/>
          <w:szCs w:val="24"/>
        </w:rPr>
        <w:t>niversity</w:t>
      </w:r>
    </w:p>
    <w:p w14:paraId="0AECE2DB" w14:textId="215507B3" w:rsidR="00E12B0C" w:rsidRPr="00B629B2" w:rsidRDefault="00370132">
      <w:pPr>
        <w:spacing w:after="0" w:line="240" w:lineRule="auto"/>
        <w:jc w:val="both"/>
        <w:rPr>
          <w:b/>
          <w:szCs w:val="24"/>
        </w:rPr>
      </w:pPr>
      <w:bookmarkStart w:id="0" w:name="_gjdgxs" w:colFirst="0" w:colLast="0"/>
      <w:bookmarkEnd w:id="0"/>
      <w:r w:rsidRPr="00B629B2">
        <w:rPr>
          <w:b/>
          <w:szCs w:val="24"/>
        </w:rPr>
        <w:t>103 Borough Rd, London SE1 0AA</w:t>
      </w:r>
    </w:p>
    <w:p w14:paraId="3CC79119" w14:textId="77777777" w:rsidR="00E12B0C" w:rsidRPr="00B629B2" w:rsidRDefault="00E12B0C">
      <w:pPr>
        <w:spacing w:after="0" w:line="240" w:lineRule="auto"/>
        <w:jc w:val="both"/>
        <w:rPr>
          <w:b/>
          <w:szCs w:val="24"/>
        </w:rPr>
      </w:pPr>
    </w:p>
    <w:p w14:paraId="4F1645FF" w14:textId="77777777" w:rsidR="00E12B0C" w:rsidRPr="00B629B2" w:rsidRDefault="001276DC">
      <w:pPr>
        <w:spacing w:after="0" w:line="240" w:lineRule="auto"/>
        <w:jc w:val="both"/>
        <w:rPr>
          <w:b/>
          <w:szCs w:val="24"/>
          <w:vertAlign w:val="superscript"/>
        </w:rPr>
      </w:pPr>
      <w:r w:rsidRPr="00B629B2">
        <w:rPr>
          <w:b/>
          <w:szCs w:val="24"/>
        </w:rPr>
        <w:t>Gomez-Agustina, Luis</w:t>
      </w:r>
      <w:r w:rsidRPr="00B629B2">
        <w:rPr>
          <w:b/>
          <w:szCs w:val="24"/>
          <w:vertAlign w:val="superscript"/>
        </w:rPr>
        <w:t>2</w:t>
      </w:r>
    </w:p>
    <w:p w14:paraId="2FD1E224" w14:textId="2CDC8394" w:rsidR="00370132" w:rsidRPr="00B629B2" w:rsidRDefault="001276DC">
      <w:pPr>
        <w:spacing w:after="0" w:line="240" w:lineRule="auto"/>
        <w:jc w:val="both"/>
        <w:rPr>
          <w:b/>
          <w:szCs w:val="24"/>
        </w:rPr>
      </w:pPr>
      <w:r w:rsidRPr="00B629B2">
        <w:rPr>
          <w:b/>
          <w:szCs w:val="24"/>
        </w:rPr>
        <w:t>L</w:t>
      </w:r>
      <w:r w:rsidR="00E93046" w:rsidRPr="00B629B2">
        <w:rPr>
          <w:b/>
          <w:szCs w:val="24"/>
        </w:rPr>
        <w:t xml:space="preserve">ondon </w:t>
      </w:r>
      <w:r w:rsidRPr="00B629B2">
        <w:rPr>
          <w:b/>
          <w:szCs w:val="24"/>
        </w:rPr>
        <w:t>S</w:t>
      </w:r>
      <w:r w:rsidR="00E93046" w:rsidRPr="00B629B2">
        <w:rPr>
          <w:b/>
          <w:szCs w:val="24"/>
        </w:rPr>
        <w:t xml:space="preserve">outh </w:t>
      </w:r>
      <w:r w:rsidRPr="00B629B2">
        <w:rPr>
          <w:b/>
          <w:szCs w:val="24"/>
        </w:rPr>
        <w:t>B</w:t>
      </w:r>
      <w:r w:rsidR="00E93046" w:rsidRPr="00B629B2">
        <w:rPr>
          <w:b/>
          <w:szCs w:val="24"/>
        </w:rPr>
        <w:t xml:space="preserve">ank </w:t>
      </w:r>
      <w:r w:rsidRPr="00B629B2">
        <w:rPr>
          <w:b/>
          <w:szCs w:val="24"/>
        </w:rPr>
        <w:t>U</w:t>
      </w:r>
      <w:r w:rsidR="00E93046" w:rsidRPr="00B629B2">
        <w:rPr>
          <w:b/>
          <w:szCs w:val="24"/>
        </w:rPr>
        <w:t>niversity</w:t>
      </w:r>
    </w:p>
    <w:p w14:paraId="7D0D4969" w14:textId="42449114" w:rsidR="00E12B0C" w:rsidRPr="00B629B2" w:rsidRDefault="00370132">
      <w:pPr>
        <w:spacing w:after="0" w:line="240" w:lineRule="auto"/>
        <w:jc w:val="both"/>
        <w:rPr>
          <w:b/>
          <w:szCs w:val="24"/>
        </w:rPr>
      </w:pPr>
      <w:r w:rsidRPr="00B629B2">
        <w:rPr>
          <w:b/>
          <w:szCs w:val="24"/>
        </w:rPr>
        <w:t>103 Borough Rd, London SE1 0AA</w:t>
      </w:r>
    </w:p>
    <w:p w14:paraId="5B7E91F1" w14:textId="77777777" w:rsidR="00370132" w:rsidRPr="00B629B2" w:rsidRDefault="00370132">
      <w:pPr>
        <w:spacing w:after="0" w:line="240" w:lineRule="auto"/>
        <w:jc w:val="both"/>
        <w:rPr>
          <w:b/>
          <w:szCs w:val="24"/>
        </w:rPr>
      </w:pPr>
    </w:p>
    <w:p w14:paraId="01C62FBE" w14:textId="77777777" w:rsidR="00E12B0C" w:rsidRPr="00B629B2" w:rsidRDefault="001276DC">
      <w:pPr>
        <w:spacing w:after="0" w:line="240" w:lineRule="auto"/>
        <w:jc w:val="center"/>
        <w:rPr>
          <w:b/>
          <w:szCs w:val="24"/>
        </w:rPr>
      </w:pPr>
      <w:r w:rsidRPr="00B629B2">
        <w:rPr>
          <w:b/>
          <w:szCs w:val="24"/>
        </w:rPr>
        <w:t>ABSTRACT</w:t>
      </w:r>
    </w:p>
    <w:p w14:paraId="2B224366" w14:textId="08A77E94" w:rsidR="00E12B0C" w:rsidRPr="00B629B2" w:rsidRDefault="001276DC">
      <w:pPr>
        <w:spacing w:after="0" w:line="240" w:lineRule="auto"/>
        <w:jc w:val="both"/>
        <w:rPr>
          <w:b/>
          <w:szCs w:val="24"/>
        </w:rPr>
      </w:pPr>
      <w:r w:rsidRPr="00B629B2">
        <w:rPr>
          <w:b/>
          <w:szCs w:val="24"/>
        </w:rPr>
        <w:t xml:space="preserve">Voice Alarm systems (VA) in underground railway spaces are life critical communication systems used to instruct occupants in case of emergency or direct them to safety. The effectiveness of these systems depends on the performance quality of the entire electro-acoustic communication chain, which speech intelligibility is the main parameter. VA are designed with the assistance of field measurements and prediction computer models. Relevant standards and industry best practice require the design and performance assessment of VA systems in unoccupied spaces. This is the most practical state to undertake acoustic measurement and is generally considered acoustically the </w:t>
      </w:r>
      <w:r w:rsidR="00370132" w:rsidRPr="00B629B2">
        <w:rPr>
          <w:b/>
          <w:szCs w:val="24"/>
        </w:rPr>
        <w:t>worst-case</w:t>
      </w:r>
      <w:r w:rsidRPr="00B629B2">
        <w:rPr>
          <w:b/>
          <w:szCs w:val="24"/>
        </w:rPr>
        <w:t xml:space="preserve"> scenario. However, the influence of occupancy on the performance of the VA remains unknown to the designer. This paper investigates the impact that occupancy can have on the acoustic performance of an underground platform VA. The sound absorption coefficients of varying densities of standing people were determined and implemented in acoustic modelling software to predict the performance of a hypothetical VA on a </w:t>
      </w:r>
      <w:r w:rsidR="006138F0" w:rsidRPr="00B629B2">
        <w:rPr>
          <w:b/>
          <w:szCs w:val="24"/>
        </w:rPr>
        <w:t xml:space="preserve">real </w:t>
      </w:r>
      <w:r w:rsidRPr="00B629B2">
        <w:rPr>
          <w:b/>
          <w:szCs w:val="24"/>
        </w:rPr>
        <w:t>underground station platform. The results show</w:t>
      </w:r>
      <w:r w:rsidR="006138F0" w:rsidRPr="00B629B2">
        <w:rPr>
          <w:b/>
          <w:szCs w:val="24"/>
        </w:rPr>
        <w:t>ed that for a representative level of ambient noise, speech intelligibility increased notably with occupancy density.</w:t>
      </w:r>
    </w:p>
    <w:p w14:paraId="4B900F05" w14:textId="77777777" w:rsidR="00E93046" w:rsidRPr="00B629B2" w:rsidRDefault="00E93046">
      <w:pPr>
        <w:spacing w:after="0" w:line="240" w:lineRule="auto"/>
        <w:jc w:val="both"/>
        <w:rPr>
          <w:b/>
          <w:szCs w:val="24"/>
          <w:highlight w:val="yellow"/>
        </w:rPr>
      </w:pPr>
    </w:p>
    <w:p w14:paraId="5C805C73" w14:textId="68F1C8EF" w:rsidR="00E12B0C" w:rsidRPr="00B629B2" w:rsidRDefault="001276DC">
      <w:pPr>
        <w:spacing w:after="0" w:line="240" w:lineRule="auto"/>
        <w:jc w:val="both"/>
        <w:rPr>
          <w:szCs w:val="24"/>
        </w:rPr>
      </w:pPr>
      <w:r w:rsidRPr="00B629B2">
        <w:rPr>
          <w:b/>
          <w:szCs w:val="24"/>
        </w:rPr>
        <w:t>Keywords:</w:t>
      </w:r>
      <w:r w:rsidRPr="00B629B2">
        <w:rPr>
          <w:szCs w:val="24"/>
        </w:rPr>
        <w:t xml:space="preserve"> VA System,</w:t>
      </w:r>
      <w:r w:rsidR="00E93046" w:rsidRPr="00B629B2">
        <w:rPr>
          <w:szCs w:val="24"/>
        </w:rPr>
        <w:t xml:space="preserve"> underground, metro, intelligibility,</w:t>
      </w:r>
      <w:r w:rsidR="006138F0" w:rsidRPr="00B629B2">
        <w:rPr>
          <w:szCs w:val="24"/>
        </w:rPr>
        <w:t xml:space="preserve"> </w:t>
      </w:r>
      <w:r w:rsidR="00E93046" w:rsidRPr="00B629B2">
        <w:rPr>
          <w:szCs w:val="24"/>
        </w:rPr>
        <w:t>occupancy</w:t>
      </w:r>
      <w:r w:rsidRPr="00B629B2">
        <w:rPr>
          <w:szCs w:val="24"/>
        </w:rPr>
        <w:t xml:space="preserve"> </w:t>
      </w:r>
    </w:p>
    <w:p w14:paraId="709CFFD7" w14:textId="77777777" w:rsidR="00E93046" w:rsidRPr="00B629B2" w:rsidRDefault="00E93046">
      <w:pPr>
        <w:spacing w:after="0" w:line="240" w:lineRule="auto"/>
        <w:jc w:val="both"/>
        <w:rPr>
          <w:b/>
          <w:szCs w:val="24"/>
        </w:rPr>
      </w:pPr>
    </w:p>
    <w:p w14:paraId="436781B1" w14:textId="586829E0" w:rsidR="00E12B0C" w:rsidRPr="00B629B2" w:rsidRDefault="001276DC">
      <w:pPr>
        <w:spacing w:after="0" w:line="240" w:lineRule="auto"/>
        <w:jc w:val="both"/>
        <w:rPr>
          <w:szCs w:val="24"/>
        </w:rPr>
      </w:pPr>
      <w:r w:rsidRPr="00B629B2">
        <w:rPr>
          <w:b/>
          <w:szCs w:val="24"/>
        </w:rPr>
        <w:t>I-INCE Classification of Subject Number:</w:t>
      </w:r>
      <w:r w:rsidRPr="00B629B2">
        <w:rPr>
          <w:szCs w:val="24"/>
        </w:rPr>
        <w:t xml:space="preserve"> </w:t>
      </w:r>
      <w:r w:rsidR="00C771A7" w:rsidRPr="00B629B2">
        <w:rPr>
          <w:szCs w:val="24"/>
        </w:rPr>
        <w:t>76</w:t>
      </w:r>
    </w:p>
    <w:p w14:paraId="65F361D1" w14:textId="77777777" w:rsidR="00C51217" w:rsidRPr="00B629B2" w:rsidRDefault="00C51217">
      <w:pPr>
        <w:spacing w:after="0" w:line="240" w:lineRule="auto"/>
        <w:jc w:val="center"/>
        <w:rPr>
          <w:b/>
          <w:szCs w:val="24"/>
        </w:rPr>
        <w:sectPr w:rsidR="00C51217" w:rsidRPr="00B629B2">
          <w:footerReference w:type="default" r:id="rId10"/>
          <w:type w:val="continuous"/>
          <w:pgSz w:w="11906" w:h="16838"/>
          <w:pgMar w:top="1417" w:right="1701" w:bottom="1417" w:left="1701" w:header="708" w:footer="708" w:gutter="0"/>
          <w:cols w:space="720"/>
        </w:sectPr>
      </w:pPr>
      <w:bookmarkStart w:id="1" w:name="_GoBack"/>
      <w:bookmarkEnd w:id="1"/>
    </w:p>
    <w:p w14:paraId="44FC840A" w14:textId="77777777" w:rsidR="00E12B0C" w:rsidRPr="00B629B2" w:rsidRDefault="001276DC">
      <w:pPr>
        <w:spacing w:after="0" w:line="240" w:lineRule="auto"/>
        <w:rPr>
          <w:b/>
          <w:szCs w:val="24"/>
        </w:rPr>
      </w:pPr>
      <w:r w:rsidRPr="00B629B2">
        <w:rPr>
          <w:b/>
          <w:szCs w:val="24"/>
        </w:rPr>
        <w:lastRenderedPageBreak/>
        <w:t>1. INTRODUCTION</w:t>
      </w:r>
    </w:p>
    <w:p w14:paraId="266249CD" w14:textId="605E3738" w:rsidR="00E12B0C" w:rsidRPr="00B629B2" w:rsidRDefault="00BD0AB8" w:rsidP="00BD0AB8">
      <w:pPr>
        <w:spacing w:after="0" w:line="240" w:lineRule="auto"/>
        <w:jc w:val="both"/>
        <w:rPr>
          <w:szCs w:val="24"/>
        </w:rPr>
      </w:pPr>
      <w:r w:rsidRPr="00B629B2">
        <w:rPr>
          <w:szCs w:val="24"/>
        </w:rPr>
        <w:tab/>
      </w:r>
      <w:r w:rsidR="001276DC" w:rsidRPr="00B629B2">
        <w:rPr>
          <w:szCs w:val="24"/>
        </w:rPr>
        <w:t xml:space="preserve">Voice alarm (VA) systems are utilised in underground platforms of rail stations to provide </w:t>
      </w:r>
      <w:r w:rsidR="00E531B2" w:rsidRPr="00B629B2">
        <w:rPr>
          <w:szCs w:val="24"/>
        </w:rPr>
        <w:t xml:space="preserve">critical </w:t>
      </w:r>
      <w:r w:rsidR="005575AC" w:rsidRPr="00B629B2">
        <w:rPr>
          <w:szCs w:val="24"/>
        </w:rPr>
        <w:t xml:space="preserve">verbal </w:t>
      </w:r>
      <w:r w:rsidR="001276DC" w:rsidRPr="00B629B2">
        <w:rPr>
          <w:szCs w:val="24"/>
        </w:rPr>
        <w:t xml:space="preserve">instructions to </w:t>
      </w:r>
      <w:r w:rsidR="00E531B2" w:rsidRPr="00B629B2">
        <w:rPr>
          <w:szCs w:val="24"/>
        </w:rPr>
        <w:t xml:space="preserve">occupants </w:t>
      </w:r>
      <w:r w:rsidR="001276DC" w:rsidRPr="00B629B2">
        <w:rPr>
          <w:szCs w:val="24"/>
        </w:rPr>
        <w:t xml:space="preserve">in case of emergency. The acoustic performance of the systems is </w:t>
      </w:r>
      <w:r w:rsidR="00E531B2" w:rsidRPr="00B629B2">
        <w:rPr>
          <w:szCs w:val="24"/>
        </w:rPr>
        <w:t xml:space="preserve">usually designed with the aid of </w:t>
      </w:r>
      <w:r w:rsidR="001276DC" w:rsidRPr="00B629B2">
        <w:rPr>
          <w:szCs w:val="24"/>
        </w:rPr>
        <w:t xml:space="preserve">acoustic modelling software </w:t>
      </w:r>
      <w:r w:rsidR="00E531B2" w:rsidRPr="00B629B2">
        <w:rPr>
          <w:szCs w:val="24"/>
        </w:rPr>
        <w:t>which predict performance parameters as a function of input data. S</w:t>
      </w:r>
      <w:r w:rsidR="001276DC" w:rsidRPr="00B629B2">
        <w:rPr>
          <w:szCs w:val="24"/>
        </w:rPr>
        <w:t xml:space="preserve">ince </w:t>
      </w:r>
      <w:r w:rsidR="00E531B2" w:rsidRPr="00B629B2">
        <w:rPr>
          <w:szCs w:val="24"/>
        </w:rPr>
        <w:t>VA</w:t>
      </w:r>
      <w:r w:rsidR="001276DC" w:rsidRPr="00B629B2">
        <w:rPr>
          <w:szCs w:val="24"/>
        </w:rPr>
        <w:t xml:space="preserve"> are life critical systems during emergencies, the acoustic models should be as accurate as possible. </w:t>
      </w:r>
    </w:p>
    <w:p w14:paraId="23B612F8" w14:textId="27B73A5E" w:rsidR="00E12B0C" w:rsidRPr="00B629B2" w:rsidRDefault="00BD0AB8" w:rsidP="00BD0AB8">
      <w:pPr>
        <w:spacing w:after="0" w:line="240" w:lineRule="auto"/>
        <w:jc w:val="both"/>
        <w:rPr>
          <w:szCs w:val="24"/>
        </w:rPr>
      </w:pPr>
      <w:r w:rsidRPr="00B629B2">
        <w:rPr>
          <w:szCs w:val="24"/>
        </w:rPr>
        <w:tab/>
      </w:r>
      <w:r w:rsidR="001276DC" w:rsidRPr="00B629B2">
        <w:rPr>
          <w:szCs w:val="24"/>
        </w:rPr>
        <w:t>The occupants on a platform have the potential to drastically alter the acoustics of the space</w:t>
      </w:r>
      <w:r w:rsidR="00AE11A0" w:rsidRPr="00B629B2">
        <w:rPr>
          <w:szCs w:val="24"/>
        </w:rPr>
        <w:t xml:space="preserve">. </w:t>
      </w:r>
      <w:r w:rsidR="001276DC" w:rsidRPr="00B629B2">
        <w:rPr>
          <w:szCs w:val="24"/>
        </w:rPr>
        <w:t xml:space="preserve">A small degree of </w:t>
      </w:r>
      <w:r w:rsidR="003033DB" w:rsidRPr="00B629B2">
        <w:rPr>
          <w:szCs w:val="24"/>
        </w:rPr>
        <w:t>sound</w:t>
      </w:r>
      <w:r w:rsidR="001276DC" w:rsidRPr="00B629B2">
        <w:rPr>
          <w:szCs w:val="24"/>
        </w:rPr>
        <w:t xml:space="preserve"> absorption is provided by the clothes worn by a single person</w:t>
      </w:r>
      <w:r w:rsidR="000B3B98" w:rsidRPr="00B629B2">
        <w:rPr>
          <w:szCs w:val="24"/>
        </w:rPr>
        <w:t xml:space="preserve"> [1]</w:t>
      </w:r>
      <w:r w:rsidR="001276DC" w:rsidRPr="00B629B2">
        <w:rPr>
          <w:szCs w:val="24"/>
        </w:rPr>
        <w:t>, but if the platform is occupied</w:t>
      </w:r>
      <w:r w:rsidR="003033DB" w:rsidRPr="00B629B2">
        <w:rPr>
          <w:szCs w:val="24"/>
        </w:rPr>
        <w:t xml:space="preserve"> at various degrees</w:t>
      </w:r>
      <w:r w:rsidR="001276DC" w:rsidRPr="00B629B2">
        <w:rPr>
          <w:szCs w:val="24"/>
        </w:rPr>
        <w:t xml:space="preserve">, </w:t>
      </w:r>
      <w:r w:rsidR="003033DB" w:rsidRPr="00B629B2">
        <w:rPr>
          <w:szCs w:val="24"/>
        </w:rPr>
        <w:t>different levels of sound absorption are to be expected in the space under consideration</w:t>
      </w:r>
    </w:p>
    <w:p w14:paraId="1B02713D" w14:textId="5C63ABE9" w:rsidR="00E12B0C" w:rsidRPr="00B629B2" w:rsidRDefault="00BD0AB8" w:rsidP="00BD0AB8">
      <w:pPr>
        <w:spacing w:after="0" w:line="240" w:lineRule="auto"/>
        <w:jc w:val="both"/>
        <w:rPr>
          <w:szCs w:val="24"/>
        </w:rPr>
      </w:pPr>
      <w:r w:rsidRPr="00B629B2">
        <w:rPr>
          <w:szCs w:val="24"/>
        </w:rPr>
        <w:tab/>
      </w:r>
      <w:r w:rsidR="001276DC" w:rsidRPr="00B629B2">
        <w:rPr>
          <w:szCs w:val="24"/>
        </w:rPr>
        <w:t xml:space="preserve">A large amount of research has been conducted looking into the effect of seated audiences on the acoustics of indoor spaces (particularly in auditoria) </w:t>
      </w:r>
      <w:r w:rsidR="000B3B98" w:rsidRPr="00B629B2">
        <w:rPr>
          <w:szCs w:val="24"/>
        </w:rPr>
        <w:t>[2,3,4,5,6 &amp; 7]</w:t>
      </w:r>
      <w:r w:rsidR="001276DC" w:rsidRPr="00B629B2">
        <w:rPr>
          <w:szCs w:val="24"/>
        </w:rPr>
        <w:t xml:space="preserve"> but li</w:t>
      </w:r>
      <w:r w:rsidR="00830233" w:rsidRPr="00B629B2">
        <w:rPr>
          <w:szCs w:val="24"/>
        </w:rPr>
        <w:t>mited</w:t>
      </w:r>
      <w:r w:rsidR="001276DC" w:rsidRPr="00B629B2">
        <w:rPr>
          <w:szCs w:val="24"/>
        </w:rPr>
        <w:t xml:space="preserve"> research, has been conducted </w:t>
      </w:r>
      <w:r w:rsidR="003033DB" w:rsidRPr="00B629B2">
        <w:rPr>
          <w:szCs w:val="24"/>
        </w:rPr>
        <w:t xml:space="preserve">to date </w:t>
      </w:r>
      <w:r w:rsidR="001276DC" w:rsidRPr="00B629B2">
        <w:rPr>
          <w:szCs w:val="24"/>
        </w:rPr>
        <w:t xml:space="preserve">on </w:t>
      </w:r>
      <w:r w:rsidR="00830233" w:rsidRPr="00B629B2">
        <w:rPr>
          <w:szCs w:val="24"/>
        </w:rPr>
        <w:t xml:space="preserve">the effect of </w:t>
      </w:r>
      <w:r w:rsidR="001276DC" w:rsidRPr="00B629B2">
        <w:rPr>
          <w:szCs w:val="24"/>
        </w:rPr>
        <w:t>standing audiences as would be expected in an underground platform. There are a number of sources which have determined the absorption coefficients of standing people</w:t>
      </w:r>
      <w:r w:rsidR="000B3B98" w:rsidRPr="00B629B2">
        <w:rPr>
          <w:szCs w:val="24"/>
        </w:rPr>
        <w:t xml:space="preserve"> [1,8&amp;9]</w:t>
      </w:r>
      <w:r w:rsidR="001276DC" w:rsidRPr="00B629B2">
        <w:rPr>
          <w:szCs w:val="24"/>
        </w:rPr>
        <w:t xml:space="preserve"> but the implementation in acoustic modelling software remains very little explored. </w:t>
      </w:r>
      <w:r w:rsidR="00830233" w:rsidRPr="00B629B2">
        <w:rPr>
          <w:szCs w:val="24"/>
        </w:rPr>
        <w:t>T</w:t>
      </w:r>
      <w:r w:rsidR="001276DC" w:rsidRPr="00B629B2">
        <w:rPr>
          <w:szCs w:val="24"/>
        </w:rPr>
        <w:t xml:space="preserve">he effect of standing audience </w:t>
      </w:r>
      <w:r w:rsidR="00830233" w:rsidRPr="00B629B2">
        <w:rPr>
          <w:szCs w:val="24"/>
        </w:rPr>
        <w:t xml:space="preserve">and occupancy density </w:t>
      </w:r>
      <w:r w:rsidR="001276DC" w:rsidRPr="00B629B2">
        <w:rPr>
          <w:szCs w:val="24"/>
        </w:rPr>
        <w:t>on the acoustic performance of VA systems has not been explored.</w:t>
      </w:r>
    </w:p>
    <w:p w14:paraId="47BEED07" w14:textId="1B703306" w:rsidR="00E12B0C" w:rsidRPr="00B629B2" w:rsidRDefault="00BD0AB8" w:rsidP="00BD0AB8">
      <w:pPr>
        <w:spacing w:after="0" w:line="240" w:lineRule="auto"/>
        <w:jc w:val="both"/>
        <w:rPr>
          <w:szCs w:val="24"/>
        </w:rPr>
      </w:pPr>
      <w:r w:rsidRPr="00B629B2">
        <w:rPr>
          <w:szCs w:val="24"/>
        </w:rPr>
        <w:tab/>
      </w:r>
      <w:r w:rsidR="001276DC" w:rsidRPr="00B629B2">
        <w:rPr>
          <w:szCs w:val="24"/>
        </w:rPr>
        <w:t>This study aims to investigate the effect of passenger occupancy on the acoustic performance of VA systems in underground stations</w:t>
      </w:r>
      <w:r w:rsidR="000B3B98" w:rsidRPr="00B629B2">
        <w:rPr>
          <w:szCs w:val="24"/>
        </w:rPr>
        <w:t xml:space="preserve"> </w:t>
      </w:r>
      <w:r w:rsidR="00B629B2" w:rsidRPr="00B629B2">
        <w:rPr>
          <w:szCs w:val="24"/>
        </w:rPr>
        <w:t>to</w:t>
      </w:r>
      <w:r w:rsidR="001276DC" w:rsidRPr="00B629B2">
        <w:rPr>
          <w:szCs w:val="24"/>
        </w:rPr>
        <w:t xml:space="preserve"> conduct the study, a hypothetical VA system will be modelled </w:t>
      </w:r>
      <w:r w:rsidR="00762A32" w:rsidRPr="00B629B2">
        <w:rPr>
          <w:szCs w:val="24"/>
        </w:rPr>
        <w:t xml:space="preserve">using computer simulation </w:t>
      </w:r>
      <w:r w:rsidR="00AE11A0" w:rsidRPr="00B629B2">
        <w:rPr>
          <w:szCs w:val="24"/>
        </w:rPr>
        <w:t>techniques</w:t>
      </w:r>
      <w:r w:rsidR="00762A32" w:rsidRPr="00B629B2">
        <w:rPr>
          <w:szCs w:val="24"/>
        </w:rPr>
        <w:t xml:space="preserve"> </w:t>
      </w:r>
      <w:r w:rsidR="001276DC" w:rsidRPr="00B629B2">
        <w:rPr>
          <w:szCs w:val="24"/>
        </w:rPr>
        <w:t xml:space="preserve">and the effect of occupancy absorption </w:t>
      </w:r>
      <w:r w:rsidR="00762A32" w:rsidRPr="00B629B2">
        <w:rPr>
          <w:szCs w:val="24"/>
        </w:rPr>
        <w:t xml:space="preserve">on two performance parameters </w:t>
      </w:r>
      <w:r w:rsidR="001276DC" w:rsidRPr="00B629B2">
        <w:rPr>
          <w:szCs w:val="24"/>
        </w:rPr>
        <w:t xml:space="preserve">will be predicted under </w:t>
      </w:r>
      <w:r w:rsidR="00762A32" w:rsidRPr="00B629B2">
        <w:rPr>
          <w:szCs w:val="24"/>
        </w:rPr>
        <w:t>various</w:t>
      </w:r>
      <w:r w:rsidR="001276DC" w:rsidRPr="00B629B2">
        <w:rPr>
          <w:szCs w:val="24"/>
        </w:rPr>
        <w:t xml:space="preserve"> occupancy densities. </w:t>
      </w:r>
    </w:p>
    <w:p w14:paraId="02980468" w14:textId="77777777" w:rsidR="00E12B0C" w:rsidRPr="00B629B2" w:rsidRDefault="00E12B0C">
      <w:pPr>
        <w:spacing w:after="0" w:line="240" w:lineRule="auto"/>
        <w:jc w:val="both"/>
        <w:rPr>
          <w:szCs w:val="24"/>
        </w:rPr>
      </w:pPr>
    </w:p>
    <w:p w14:paraId="1CEDBB9C" w14:textId="550AFC85" w:rsidR="00E12B0C" w:rsidRPr="00B629B2" w:rsidRDefault="001276DC">
      <w:pPr>
        <w:spacing w:after="0" w:line="240" w:lineRule="auto"/>
        <w:jc w:val="both"/>
        <w:rPr>
          <w:b/>
          <w:szCs w:val="24"/>
        </w:rPr>
      </w:pPr>
      <w:r w:rsidRPr="00B629B2">
        <w:rPr>
          <w:b/>
          <w:szCs w:val="24"/>
        </w:rPr>
        <w:t xml:space="preserve">2.  </w:t>
      </w:r>
      <w:r w:rsidR="00762A32" w:rsidRPr="00B629B2">
        <w:rPr>
          <w:b/>
          <w:szCs w:val="24"/>
        </w:rPr>
        <w:t>BACKGROUND THEORY</w:t>
      </w:r>
    </w:p>
    <w:p w14:paraId="7CEF01C6" w14:textId="7823F679" w:rsidR="00945B2D" w:rsidRPr="00B629B2" w:rsidRDefault="00945B2D">
      <w:pPr>
        <w:spacing w:after="0" w:line="240" w:lineRule="auto"/>
        <w:jc w:val="both"/>
        <w:rPr>
          <w:b/>
          <w:szCs w:val="24"/>
        </w:rPr>
      </w:pPr>
    </w:p>
    <w:p w14:paraId="16B36F61" w14:textId="1824349A" w:rsidR="00945B2D" w:rsidRPr="00B629B2" w:rsidRDefault="00945B2D">
      <w:pPr>
        <w:spacing w:after="0" w:line="240" w:lineRule="auto"/>
        <w:jc w:val="both"/>
        <w:rPr>
          <w:szCs w:val="24"/>
        </w:rPr>
      </w:pPr>
      <w:r w:rsidRPr="00B629B2">
        <w:rPr>
          <w:szCs w:val="24"/>
        </w:rPr>
        <w:t xml:space="preserve">This section will cover the general </w:t>
      </w:r>
      <w:r w:rsidR="00AE11A0" w:rsidRPr="00B629B2">
        <w:rPr>
          <w:szCs w:val="24"/>
        </w:rPr>
        <w:t>principles</w:t>
      </w:r>
      <w:r w:rsidRPr="00B629B2">
        <w:rPr>
          <w:szCs w:val="24"/>
        </w:rPr>
        <w:t xml:space="preserve"> </w:t>
      </w:r>
      <w:r w:rsidR="00762A32" w:rsidRPr="00B629B2">
        <w:rPr>
          <w:szCs w:val="24"/>
        </w:rPr>
        <w:t>of</w:t>
      </w:r>
      <w:r w:rsidRPr="00B629B2">
        <w:rPr>
          <w:szCs w:val="24"/>
        </w:rPr>
        <w:t xml:space="preserve"> acoustic design of VA systems in underground stations and the background behind the implementation of occupancy density.</w:t>
      </w:r>
    </w:p>
    <w:p w14:paraId="274C4C78" w14:textId="77777777" w:rsidR="00762A32" w:rsidRPr="00B629B2" w:rsidRDefault="00762A32">
      <w:pPr>
        <w:spacing w:after="0" w:line="240" w:lineRule="auto"/>
        <w:jc w:val="both"/>
        <w:rPr>
          <w:szCs w:val="24"/>
        </w:rPr>
      </w:pPr>
    </w:p>
    <w:p w14:paraId="6743217E" w14:textId="77777777" w:rsidR="00E12B0C" w:rsidRPr="00B629B2" w:rsidRDefault="001276DC">
      <w:pPr>
        <w:spacing w:after="0" w:line="240" w:lineRule="auto"/>
        <w:jc w:val="both"/>
        <w:rPr>
          <w:b/>
          <w:szCs w:val="24"/>
        </w:rPr>
      </w:pPr>
      <w:r w:rsidRPr="00B629B2">
        <w:rPr>
          <w:b/>
          <w:szCs w:val="24"/>
        </w:rPr>
        <w:t>2.1 Acoustic Design of VA Systems</w:t>
      </w:r>
    </w:p>
    <w:p w14:paraId="6EE5F5E8" w14:textId="70C64980" w:rsidR="00153C1D" w:rsidRPr="00B629B2" w:rsidRDefault="00843002" w:rsidP="00843002">
      <w:pPr>
        <w:widowControl w:val="0"/>
        <w:pBdr>
          <w:top w:val="nil"/>
          <w:left w:val="nil"/>
          <w:bottom w:val="nil"/>
          <w:right w:val="nil"/>
          <w:between w:val="nil"/>
        </w:pBdr>
        <w:spacing w:after="0"/>
        <w:ind w:firstLine="284"/>
        <w:jc w:val="both"/>
        <w:rPr>
          <w:color w:val="000000"/>
          <w:szCs w:val="24"/>
        </w:rPr>
      </w:pPr>
      <w:r w:rsidRPr="00B629B2">
        <w:rPr>
          <w:color w:val="000000"/>
          <w:szCs w:val="24"/>
        </w:rPr>
        <w:t xml:space="preserve">The main electroacoustic parameter indicating performance quality for a typical VA system are: speech intelligibility (quantified in terms of Speech Transmission Index, STI), signal level (measured as </w:t>
      </w:r>
      <w:r w:rsidR="00B20059" w:rsidRPr="00B629B2">
        <w:rPr>
          <w:color w:val="000000"/>
          <w:szCs w:val="24"/>
        </w:rPr>
        <w:t xml:space="preserve">the </w:t>
      </w:r>
      <w:r w:rsidRPr="00B629B2">
        <w:rPr>
          <w:color w:val="000000"/>
          <w:szCs w:val="24"/>
        </w:rPr>
        <w:t>A</w:t>
      </w:r>
      <w:r w:rsidR="00B20059" w:rsidRPr="00B629B2">
        <w:rPr>
          <w:color w:val="000000"/>
          <w:szCs w:val="24"/>
        </w:rPr>
        <w:t>-</w:t>
      </w:r>
      <w:r w:rsidRPr="00B629B2">
        <w:rPr>
          <w:color w:val="000000"/>
          <w:szCs w:val="24"/>
        </w:rPr>
        <w:t xml:space="preserve">weighted sound pressure level </w:t>
      </w:r>
      <w:proofErr w:type="gramStart"/>
      <w:r w:rsidRPr="00B629B2">
        <w:rPr>
          <w:color w:val="000000"/>
          <w:szCs w:val="24"/>
        </w:rPr>
        <w:t>SPL(</w:t>
      </w:r>
      <w:proofErr w:type="gramEnd"/>
      <w:r w:rsidRPr="00B629B2">
        <w:rPr>
          <w:color w:val="000000"/>
          <w:szCs w:val="24"/>
        </w:rPr>
        <w:t>A)</w:t>
      </w:r>
      <w:r w:rsidR="00B20059" w:rsidRPr="00B629B2">
        <w:rPr>
          <w:color w:val="000000"/>
          <w:szCs w:val="24"/>
        </w:rPr>
        <w:t>)</w:t>
      </w:r>
      <w:r w:rsidRPr="00B629B2">
        <w:rPr>
          <w:color w:val="000000"/>
          <w:szCs w:val="24"/>
        </w:rPr>
        <w:t xml:space="preserve"> and signal</w:t>
      </w:r>
      <w:r w:rsidR="00B20059" w:rsidRPr="00B629B2">
        <w:rPr>
          <w:color w:val="000000"/>
          <w:szCs w:val="24"/>
        </w:rPr>
        <w:t>-</w:t>
      </w:r>
      <w:r w:rsidRPr="00B629B2">
        <w:rPr>
          <w:color w:val="000000"/>
          <w:szCs w:val="24"/>
        </w:rPr>
        <w:t>to</w:t>
      </w:r>
      <w:r w:rsidR="00B20059" w:rsidRPr="00B629B2">
        <w:rPr>
          <w:color w:val="000000"/>
          <w:szCs w:val="24"/>
        </w:rPr>
        <w:t>-</w:t>
      </w:r>
      <w:r w:rsidRPr="00B629B2">
        <w:rPr>
          <w:color w:val="000000"/>
          <w:szCs w:val="24"/>
        </w:rPr>
        <w:t xml:space="preserve">noise ratio (SNR). The speech intelligibility of a communication system, either electro acoustic or human, is the proportion of words understood by the listener and STI is the objective scale standardised in [10]. </w:t>
      </w:r>
      <w:r w:rsidR="00153C1D" w:rsidRPr="00B629B2">
        <w:rPr>
          <w:color w:val="000000"/>
          <w:szCs w:val="24"/>
        </w:rPr>
        <w:t>The STI method estimates</w:t>
      </w:r>
      <w:r w:rsidRPr="00B629B2">
        <w:rPr>
          <w:color w:val="000000"/>
          <w:szCs w:val="24"/>
        </w:rPr>
        <w:t xml:space="preserve"> the loss of modulation depth in a known signal played through a system. </w:t>
      </w:r>
    </w:p>
    <w:p w14:paraId="32DE3C15" w14:textId="16DF8371" w:rsidR="00843002" w:rsidRPr="00B629B2" w:rsidRDefault="00843002" w:rsidP="00843002">
      <w:pPr>
        <w:widowControl w:val="0"/>
        <w:pBdr>
          <w:top w:val="nil"/>
          <w:left w:val="nil"/>
          <w:bottom w:val="nil"/>
          <w:right w:val="nil"/>
          <w:between w:val="nil"/>
        </w:pBdr>
        <w:spacing w:after="0"/>
        <w:ind w:firstLine="284"/>
        <w:jc w:val="both"/>
        <w:rPr>
          <w:color w:val="000000"/>
          <w:szCs w:val="24"/>
        </w:rPr>
      </w:pPr>
      <w:r w:rsidRPr="00B629B2">
        <w:rPr>
          <w:color w:val="000000"/>
          <w:szCs w:val="24"/>
        </w:rPr>
        <w:t xml:space="preserve">In a </w:t>
      </w:r>
      <w:r w:rsidR="00153C1D" w:rsidRPr="00B629B2">
        <w:rPr>
          <w:color w:val="000000"/>
          <w:szCs w:val="24"/>
        </w:rPr>
        <w:t xml:space="preserve">platform </w:t>
      </w:r>
      <w:r w:rsidRPr="00B629B2">
        <w:rPr>
          <w:color w:val="000000"/>
          <w:szCs w:val="24"/>
        </w:rPr>
        <w:t xml:space="preserve">VA system, a large cause of the loss of this modulation depth can </w:t>
      </w:r>
      <w:r w:rsidR="00153C1D" w:rsidRPr="00B629B2">
        <w:rPr>
          <w:color w:val="000000"/>
          <w:szCs w:val="24"/>
        </w:rPr>
        <w:t xml:space="preserve">come from the </w:t>
      </w:r>
      <w:r w:rsidR="00B20059" w:rsidRPr="00B629B2">
        <w:rPr>
          <w:color w:val="000000"/>
          <w:szCs w:val="24"/>
        </w:rPr>
        <w:t xml:space="preserve">acoustics of the </w:t>
      </w:r>
      <w:r w:rsidR="00153C1D" w:rsidRPr="00B629B2">
        <w:rPr>
          <w:color w:val="000000"/>
          <w:szCs w:val="24"/>
        </w:rPr>
        <w:t>space</w:t>
      </w:r>
      <w:r w:rsidRPr="00B629B2">
        <w:rPr>
          <w:color w:val="000000"/>
          <w:szCs w:val="24"/>
        </w:rPr>
        <w:t xml:space="preserve"> in which the system is located, assuming that the electro-acoustic aspects of the system are distortion free [11]. </w:t>
      </w:r>
    </w:p>
    <w:p w14:paraId="12B3B451" w14:textId="7E8F970C" w:rsidR="00843002" w:rsidRPr="00B629B2" w:rsidRDefault="00843002" w:rsidP="00843002">
      <w:pPr>
        <w:widowControl w:val="0"/>
        <w:pBdr>
          <w:top w:val="nil"/>
          <w:left w:val="nil"/>
          <w:bottom w:val="nil"/>
          <w:right w:val="nil"/>
          <w:between w:val="nil"/>
        </w:pBdr>
        <w:spacing w:after="0"/>
        <w:ind w:firstLine="284"/>
        <w:jc w:val="both"/>
        <w:rPr>
          <w:color w:val="000000"/>
          <w:szCs w:val="24"/>
        </w:rPr>
      </w:pPr>
      <w:r w:rsidRPr="00B629B2">
        <w:rPr>
          <w:color w:val="000000"/>
          <w:szCs w:val="24"/>
        </w:rPr>
        <w:t xml:space="preserve">Long </w:t>
      </w:r>
      <w:r w:rsidR="009C111E" w:rsidRPr="00B629B2">
        <w:rPr>
          <w:color w:val="000000"/>
          <w:szCs w:val="24"/>
        </w:rPr>
        <w:t>reverberation times and high ambient</w:t>
      </w:r>
      <w:r w:rsidRPr="00B629B2">
        <w:rPr>
          <w:color w:val="000000"/>
          <w:szCs w:val="24"/>
        </w:rPr>
        <w:t xml:space="preserve"> noise in the space tend to mask some, or all, of the modulations in the test signal and these effects are often combatted with the introduction of acoustic treatment</w:t>
      </w:r>
      <w:r w:rsidR="00153C1D" w:rsidRPr="00B629B2">
        <w:rPr>
          <w:color w:val="000000"/>
          <w:szCs w:val="24"/>
        </w:rPr>
        <w:t xml:space="preserve"> (sound absorption)</w:t>
      </w:r>
      <w:r w:rsidRPr="00B629B2">
        <w:rPr>
          <w:color w:val="000000"/>
          <w:szCs w:val="24"/>
        </w:rPr>
        <w:t xml:space="preserve">. </w:t>
      </w:r>
    </w:p>
    <w:p w14:paraId="70C2E8D9" w14:textId="448F3675" w:rsidR="00F92078" w:rsidRPr="00B629B2" w:rsidRDefault="001276DC" w:rsidP="004D4973">
      <w:pPr>
        <w:widowControl w:val="0"/>
        <w:pBdr>
          <w:top w:val="nil"/>
          <w:left w:val="nil"/>
          <w:bottom w:val="nil"/>
          <w:right w:val="nil"/>
          <w:between w:val="nil"/>
        </w:pBdr>
        <w:spacing w:after="0"/>
        <w:ind w:firstLine="284"/>
        <w:jc w:val="both"/>
        <w:rPr>
          <w:color w:val="000000"/>
          <w:szCs w:val="24"/>
        </w:rPr>
      </w:pPr>
      <w:r w:rsidRPr="00B629B2">
        <w:rPr>
          <w:color w:val="000000"/>
          <w:szCs w:val="24"/>
        </w:rPr>
        <w:t xml:space="preserve">When designing a VA system, it often is required to meet a number of National, International and, Client Standards. </w:t>
      </w:r>
    </w:p>
    <w:p w14:paraId="72F711B9" w14:textId="599656BB" w:rsidR="00A07FD1" w:rsidRPr="00B629B2" w:rsidRDefault="00F92078" w:rsidP="004D4973">
      <w:pPr>
        <w:widowControl w:val="0"/>
        <w:pBdr>
          <w:top w:val="nil"/>
          <w:left w:val="nil"/>
          <w:bottom w:val="nil"/>
          <w:right w:val="nil"/>
          <w:between w:val="nil"/>
        </w:pBdr>
        <w:spacing w:after="0"/>
        <w:ind w:firstLine="284"/>
        <w:jc w:val="both"/>
        <w:rPr>
          <w:color w:val="000000"/>
          <w:szCs w:val="24"/>
        </w:rPr>
      </w:pPr>
      <w:r w:rsidRPr="00B629B2">
        <w:rPr>
          <w:color w:val="000000"/>
          <w:szCs w:val="24"/>
        </w:rPr>
        <w:t xml:space="preserve">Minimum performance requirement </w:t>
      </w:r>
      <w:r w:rsidR="00843002" w:rsidRPr="00B629B2">
        <w:rPr>
          <w:color w:val="000000"/>
          <w:szCs w:val="24"/>
        </w:rPr>
        <w:t xml:space="preserve">in the UK from different guidance sources </w:t>
      </w:r>
      <w:r w:rsidR="001276DC" w:rsidRPr="00B629B2">
        <w:rPr>
          <w:color w:val="000000"/>
          <w:szCs w:val="24"/>
        </w:rPr>
        <w:t xml:space="preserve">are </w:t>
      </w:r>
      <w:r w:rsidR="001276DC" w:rsidRPr="00B629B2">
        <w:rPr>
          <w:color w:val="000000"/>
          <w:szCs w:val="24"/>
        </w:rPr>
        <w:lastRenderedPageBreak/>
        <w:t>summari</w:t>
      </w:r>
      <w:r w:rsidR="00B629B2">
        <w:rPr>
          <w:color w:val="000000"/>
          <w:szCs w:val="24"/>
        </w:rPr>
        <w:t>s</w:t>
      </w:r>
      <w:r w:rsidR="001276DC" w:rsidRPr="00B629B2">
        <w:rPr>
          <w:color w:val="000000"/>
          <w:szCs w:val="24"/>
        </w:rPr>
        <w:t xml:space="preserve">ed in </w:t>
      </w:r>
      <w:r w:rsidR="001276DC" w:rsidRPr="00B629B2">
        <w:rPr>
          <w:szCs w:val="24"/>
        </w:rPr>
        <w:t xml:space="preserve">Table 1 </w:t>
      </w:r>
      <w:r w:rsidR="001276DC" w:rsidRPr="00B629B2">
        <w:rPr>
          <w:color w:val="000000"/>
          <w:szCs w:val="24"/>
        </w:rPr>
        <w:t>below</w:t>
      </w:r>
      <w:r w:rsidR="0043683D" w:rsidRPr="00B629B2">
        <w:rPr>
          <w:color w:val="000000"/>
          <w:szCs w:val="24"/>
        </w:rPr>
        <w:t xml:space="preserve">. </w:t>
      </w:r>
      <w:r w:rsidR="001276DC" w:rsidRPr="00B629B2">
        <w:rPr>
          <w:color w:val="000000"/>
          <w:szCs w:val="24"/>
        </w:rPr>
        <w:t xml:space="preserve">The requirements are </w:t>
      </w:r>
      <w:r w:rsidR="00A07FD1" w:rsidRPr="00B629B2">
        <w:rPr>
          <w:color w:val="000000"/>
          <w:szCs w:val="24"/>
        </w:rPr>
        <w:t>typically targeted with the space in an unoccupied state as the industry assumption is that, this will be a ‘worst-case’ condition</w:t>
      </w:r>
      <w:r w:rsidR="00B235A8" w:rsidRPr="00B629B2">
        <w:rPr>
          <w:color w:val="000000"/>
          <w:szCs w:val="24"/>
        </w:rPr>
        <w:t xml:space="preserve"> for the performance of the VA</w:t>
      </w:r>
      <w:r w:rsidR="00BE5A03" w:rsidRPr="00B629B2">
        <w:rPr>
          <w:color w:val="000000"/>
          <w:szCs w:val="24"/>
        </w:rPr>
        <w:t>. In typical platforms this condition is caused by the</w:t>
      </w:r>
      <w:r w:rsidR="00762A32" w:rsidRPr="00B629B2">
        <w:rPr>
          <w:color w:val="000000"/>
          <w:szCs w:val="24"/>
        </w:rPr>
        <w:t xml:space="preserve"> </w:t>
      </w:r>
      <w:r w:rsidR="00B235A8" w:rsidRPr="00B629B2">
        <w:rPr>
          <w:color w:val="000000"/>
          <w:szCs w:val="24"/>
        </w:rPr>
        <w:t xml:space="preserve">lack of absorption allowing </w:t>
      </w:r>
      <w:r w:rsidR="00BE5A03" w:rsidRPr="00B629B2">
        <w:rPr>
          <w:color w:val="000000"/>
          <w:szCs w:val="24"/>
        </w:rPr>
        <w:t xml:space="preserve">long </w:t>
      </w:r>
      <w:r w:rsidR="00762A32" w:rsidRPr="00B629B2">
        <w:rPr>
          <w:color w:val="000000"/>
          <w:szCs w:val="24"/>
        </w:rPr>
        <w:t>reverberation</w:t>
      </w:r>
      <w:r w:rsidR="00B235A8" w:rsidRPr="00B629B2">
        <w:rPr>
          <w:color w:val="000000"/>
          <w:szCs w:val="24"/>
        </w:rPr>
        <w:t xml:space="preserve"> in the space. An uncontrolled reverberation</w:t>
      </w:r>
      <w:r w:rsidR="00BE5A03" w:rsidRPr="00B629B2">
        <w:rPr>
          <w:color w:val="000000"/>
          <w:szCs w:val="24"/>
        </w:rPr>
        <w:t xml:space="preserve"> is one of the main degrad</w:t>
      </w:r>
      <w:r w:rsidR="00B235A8" w:rsidRPr="00B629B2">
        <w:rPr>
          <w:color w:val="000000"/>
          <w:szCs w:val="24"/>
        </w:rPr>
        <w:t>ing factors affecting</w:t>
      </w:r>
      <w:r w:rsidR="00762A32" w:rsidRPr="00B629B2">
        <w:rPr>
          <w:color w:val="000000"/>
          <w:szCs w:val="24"/>
        </w:rPr>
        <w:t xml:space="preserve"> </w:t>
      </w:r>
      <w:r w:rsidR="00B235A8" w:rsidRPr="00B629B2">
        <w:rPr>
          <w:color w:val="000000"/>
          <w:szCs w:val="24"/>
        </w:rPr>
        <w:t xml:space="preserve">the </w:t>
      </w:r>
      <w:r w:rsidR="00762A32" w:rsidRPr="00B629B2">
        <w:rPr>
          <w:color w:val="000000"/>
          <w:szCs w:val="24"/>
        </w:rPr>
        <w:t xml:space="preserve">speech intelligibility from </w:t>
      </w:r>
      <w:r w:rsidRPr="00B629B2">
        <w:rPr>
          <w:color w:val="000000"/>
          <w:szCs w:val="24"/>
        </w:rPr>
        <w:t xml:space="preserve">platforms </w:t>
      </w:r>
      <w:r w:rsidR="00762A32" w:rsidRPr="00B629B2">
        <w:rPr>
          <w:color w:val="000000"/>
          <w:szCs w:val="24"/>
        </w:rPr>
        <w:t>VA</w:t>
      </w:r>
      <w:r w:rsidR="00BE5A03" w:rsidRPr="00B629B2">
        <w:rPr>
          <w:color w:val="000000"/>
          <w:szCs w:val="24"/>
        </w:rPr>
        <w:t xml:space="preserve"> </w:t>
      </w:r>
      <w:r w:rsidR="00843002" w:rsidRPr="00B629B2">
        <w:rPr>
          <w:color w:val="000000"/>
          <w:szCs w:val="24"/>
        </w:rPr>
        <w:t>[11</w:t>
      </w:r>
      <w:r w:rsidR="00BE5A03" w:rsidRPr="00B629B2">
        <w:rPr>
          <w:color w:val="000000"/>
          <w:szCs w:val="24"/>
        </w:rPr>
        <w:t>]</w:t>
      </w:r>
      <w:r w:rsidR="00A01E73" w:rsidRPr="00B629B2">
        <w:rPr>
          <w:color w:val="000000"/>
          <w:szCs w:val="24"/>
        </w:rPr>
        <w:t>.</w:t>
      </w:r>
      <w:r w:rsidR="00762A32" w:rsidRPr="00B629B2">
        <w:rPr>
          <w:color w:val="000000"/>
          <w:szCs w:val="24"/>
        </w:rPr>
        <w:t xml:space="preserve"> </w:t>
      </w:r>
      <w:r w:rsidR="001276DC" w:rsidRPr="00B629B2">
        <w:rPr>
          <w:color w:val="000000"/>
          <w:szCs w:val="24"/>
        </w:rPr>
        <w:t xml:space="preserve">This </w:t>
      </w:r>
      <w:r w:rsidR="00A01E73" w:rsidRPr="00B629B2">
        <w:rPr>
          <w:color w:val="000000"/>
          <w:szCs w:val="24"/>
        </w:rPr>
        <w:t xml:space="preserve">reference </w:t>
      </w:r>
      <w:r w:rsidR="00B235A8" w:rsidRPr="00B629B2">
        <w:rPr>
          <w:color w:val="000000"/>
          <w:szCs w:val="24"/>
        </w:rPr>
        <w:t xml:space="preserve">extreme </w:t>
      </w:r>
      <w:r w:rsidR="00A01E73" w:rsidRPr="00B629B2">
        <w:rPr>
          <w:color w:val="000000"/>
          <w:szCs w:val="24"/>
        </w:rPr>
        <w:t xml:space="preserve">condition </w:t>
      </w:r>
      <w:r w:rsidR="001276DC" w:rsidRPr="00B629B2">
        <w:rPr>
          <w:color w:val="000000"/>
          <w:szCs w:val="24"/>
        </w:rPr>
        <w:t xml:space="preserve">allows for easy comparison of </w:t>
      </w:r>
      <w:r w:rsidR="00A01E73" w:rsidRPr="00B629B2">
        <w:rPr>
          <w:color w:val="000000"/>
          <w:szCs w:val="24"/>
        </w:rPr>
        <w:t xml:space="preserve">performance </w:t>
      </w:r>
      <w:r w:rsidR="001276DC" w:rsidRPr="00B629B2">
        <w:rPr>
          <w:color w:val="000000"/>
          <w:szCs w:val="24"/>
        </w:rPr>
        <w:t xml:space="preserve">measurements of the system, which can </w:t>
      </w:r>
      <w:r w:rsidRPr="00B629B2">
        <w:rPr>
          <w:color w:val="000000"/>
          <w:szCs w:val="24"/>
        </w:rPr>
        <w:t>normally</w:t>
      </w:r>
      <w:r w:rsidR="001276DC" w:rsidRPr="00B629B2">
        <w:rPr>
          <w:color w:val="000000"/>
          <w:szCs w:val="24"/>
        </w:rPr>
        <w:t xml:space="preserve"> only be conducted after the station is closed to the public, and the empty state has been assumed to be the ‘worst-case’ in terms of STI performance. </w:t>
      </w:r>
      <w:r w:rsidR="003E6082" w:rsidRPr="00B629B2">
        <w:rPr>
          <w:color w:val="000000"/>
          <w:szCs w:val="24"/>
        </w:rPr>
        <w:t xml:space="preserve">However, </w:t>
      </w:r>
      <w:r w:rsidR="00153C1D" w:rsidRPr="00B629B2">
        <w:rPr>
          <w:color w:val="000000"/>
          <w:szCs w:val="24"/>
        </w:rPr>
        <w:t xml:space="preserve">this situation is not representative and </w:t>
      </w:r>
      <w:r w:rsidR="003E6082" w:rsidRPr="00B629B2">
        <w:rPr>
          <w:color w:val="000000"/>
          <w:szCs w:val="24"/>
        </w:rPr>
        <w:t>during busy periods the levels of occupancy can become very high</w:t>
      </w:r>
      <w:r w:rsidR="00153C1D" w:rsidRPr="00B629B2">
        <w:rPr>
          <w:color w:val="000000"/>
          <w:szCs w:val="24"/>
        </w:rPr>
        <w:t>.</w:t>
      </w:r>
      <w:r w:rsidR="003E6082" w:rsidRPr="00B629B2">
        <w:rPr>
          <w:color w:val="000000"/>
          <w:szCs w:val="24"/>
        </w:rPr>
        <w:t xml:space="preserve"> Figure 1 below</w:t>
      </w:r>
      <w:r w:rsidR="00E45CD5" w:rsidRPr="00B629B2">
        <w:rPr>
          <w:color w:val="000000"/>
          <w:szCs w:val="24"/>
        </w:rPr>
        <w:t xml:space="preserve"> shows two images of a London Underground platform under different occupancies</w:t>
      </w:r>
      <w:r w:rsidR="00777FF3" w:rsidRPr="00B629B2">
        <w:rPr>
          <w:color w:val="000000"/>
          <w:szCs w:val="24"/>
        </w:rPr>
        <w:t>.</w:t>
      </w:r>
    </w:p>
    <w:p w14:paraId="3DD1E1FC" w14:textId="57200F5E" w:rsidR="00C32194" w:rsidRPr="00B629B2" w:rsidRDefault="00777FF3" w:rsidP="00B629B2">
      <w:pPr>
        <w:spacing w:after="0" w:line="240" w:lineRule="auto"/>
        <w:jc w:val="both"/>
        <w:rPr>
          <w:szCs w:val="24"/>
        </w:rPr>
      </w:pPr>
      <w:r w:rsidRPr="00B629B2">
        <w:rPr>
          <w:color w:val="000000"/>
          <w:szCs w:val="24"/>
        </w:rPr>
        <w:tab/>
      </w:r>
      <w:r w:rsidR="00C32194" w:rsidRPr="00B629B2">
        <w:rPr>
          <w:color w:val="000000"/>
          <w:szCs w:val="24"/>
        </w:rPr>
        <w:t xml:space="preserve">Occupancy </w:t>
      </w:r>
      <w:r w:rsidR="00C32194" w:rsidRPr="00B629B2">
        <w:rPr>
          <w:szCs w:val="24"/>
        </w:rPr>
        <w:t xml:space="preserve">noise level can be defined as the ambient noise level </w:t>
      </w:r>
      <w:r w:rsidR="00AF62FE" w:rsidRPr="00B629B2">
        <w:rPr>
          <w:szCs w:val="24"/>
        </w:rPr>
        <w:t xml:space="preserve">in dB </w:t>
      </w:r>
      <w:r w:rsidR="00C32194" w:rsidRPr="00B629B2">
        <w:rPr>
          <w:szCs w:val="24"/>
        </w:rPr>
        <w:t>measured on a platform with occupancy</w:t>
      </w:r>
      <w:r w:rsidR="00AF62FE" w:rsidRPr="00B629B2">
        <w:rPr>
          <w:szCs w:val="24"/>
        </w:rPr>
        <w:t>. The occupancy noise level is another fundamental factor in the degradation of the speech intelligibility and therefore the STI.</w:t>
      </w:r>
    </w:p>
    <w:p w14:paraId="2FC4F106" w14:textId="77777777" w:rsidR="00E12B0C" w:rsidRPr="00B629B2" w:rsidRDefault="00E12B0C" w:rsidP="00B629B2">
      <w:pPr>
        <w:widowControl w:val="0"/>
        <w:pBdr>
          <w:top w:val="nil"/>
          <w:left w:val="nil"/>
          <w:bottom w:val="nil"/>
          <w:right w:val="nil"/>
          <w:between w:val="nil"/>
        </w:pBdr>
        <w:spacing w:after="0"/>
        <w:jc w:val="both"/>
        <w:rPr>
          <w:color w:val="000000"/>
          <w:szCs w:val="24"/>
        </w:rPr>
      </w:pPr>
    </w:p>
    <w:p w14:paraId="7333E692" w14:textId="77777777" w:rsidR="00E12B0C" w:rsidRPr="00B629B2" w:rsidRDefault="001276DC">
      <w:pPr>
        <w:widowControl w:val="0"/>
        <w:pBdr>
          <w:top w:val="nil"/>
          <w:left w:val="nil"/>
          <w:bottom w:val="nil"/>
          <w:right w:val="nil"/>
          <w:between w:val="nil"/>
        </w:pBdr>
        <w:spacing w:after="0"/>
        <w:ind w:firstLine="284"/>
        <w:jc w:val="both"/>
        <w:rPr>
          <w:i/>
          <w:color w:val="000000"/>
          <w:szCs w:val="24"/>
        </w:rPr>
      </w:pPr>
      <w:r w:rsidRPr="00B629B2">
        <w:rPr>
          <w:i/>
          <w:color w:val="000000"/>
          <w:szCs w:val="24"/>
        </w:rPr>
        <w:t>Table 1 – Acoustic requirements of VA systems</w:t>
      </w:r>
    </w:p>
    <w:p w14:paraId="1B305043" w14:textId="77777777" w:rsidR="00843002" w:rsidRPr="00B629B2" w:rsidRDefault="00843002">
      <w:pPr>
        <w:widowControl w:val="0"/>
        <w:pBdr>
          <w:top w:val="nil"/>
          <w:left w:val="nil"/>
          <w:bottom w:val="nil"/>
          <w:right w:val="nil"/>
          <w:between w:val="nil"/>
        </w:pBdr>
        <w:spacing w:after="0"/>
        <w:ind w:firstLine="284"/>
        <w:jc w:val="both"/>
        <w:rPr>
          <w:i/>
          <w:color w:val="000000"/>
          <w:szCs w:val="24"/>
        </w:rPr>
      </w:pPr>
    </w:p>
    <w:tbl>
      <w:tblPr>
        <w:tblStyle w:val="a"/>
        <w:tblW w:w="5000" w:type="pct"/>
        <w:tblLayout w:type="fixed"/>
        <w:tblLook w:val="0400" w:firstRow="0" w:lastRow="0" w:firstColumn="0" w:lastColumn="0" w:noHBand="0" w:noVBand="1"/>
      </w:tblPr>
      <w:tblGrid>
        <w:gridCol w:w="3008"/>
        <w:gridCol w:w="2447"/>
        <w:gridCol w:w="1631"/>
        <w:gridCol w:w="1634"/>
      </w:tblGrid>
      <w:tr w:rsidR="00AE11A0" w:rsidRPr="00B629B2" w14:paraId="2AD49AB5" w14:textId="7934DC6E" w:rsidTr="00B629B2">
        <w:trPr>
          <w:trHeight w:val="227"/>
        </w:trPr>
        <w:tc>
          <w:tcPr>
            <w:tcW w:w="1725" w:type="pct"/>
            <w:vMerge w:val="restart"/>
            <w:vAlign w:val="center"/>
          </w:tcPr>
          <w:p w14:paraId="292171CA" w14:textId="77777777" w:rsidR="00AE11A0" w:rsidRPr="00B629B2" w:rsidRDefault="00AE11A0">
            <w:pPr>
              <w:widowControl w:val="0"/>
              <w:pBdr>
                <w:top w:val="nil"/>
                <w:left w:val="nil"/>
                <w:bottom w:val="nil"/>
                <w:right w:val="nil"/>
                <w:between w:val="nil"/>
              </w:pBdr>
              <w:spacing w:line="276" w:lineRule="auto"/>
              <w:jc w:val="center"/>
              <w:rPr>
                <w:b/>
                <w:color w:val="000000"/>
                <w:sz w:val="24"/>
                <w:szCs w:val="24"/>
              </w:rPr>
            </w:pPr>
            <w:r w:rsidRPr="00B629B2">
              <w:rPr>
                <w:b/>
                <w:color w:val="000000"/>
                <w:sz w:val="24"/>
                <w:szCs w:val="24"/>
              </w:rPr>
              <w:t>Source</w:t>
            </w:r>
          </w:p>
        </w:tc>
        <w:tc>
          <w:tcPr>
            <w:tcW w:w="3275" w:type="pct"/>
            <w:gridSpan w:val="3"/>
            <w:tcBorders>
              <w:bottom w:val="single" w:sz="6" w:space="0" w:color="auto"/>
              <w:right w:val="single" w:sz="4" w:space="0" w:color="auto"/>
            </w:tcBorders>
            <w:vAlign w:val="center"/>
          </w:tcPr>
          <w:p w14:paraId="03172AE1" w14:textId="77777777" w:rsidR="00AE11A0" w:rsidRPr="00B629B2" w:rsidRDefault="00AE11A0">
            <w:pPr>
              <w:widowControl w:val="0"/>
              <w:pBdr>
                <w:top w:val="nil"/>
                <w:left w:val="nil"/>
                <w:bottom w:val="nil"/>
                <w:right w:val="nil"/>
                <w:between w:val="nil"/>
              </w:pBdr>
              <w:spacing w:line="276" w:lineRule="auto"/>
              <w:jc w:val="center"/>
              <w:rPr>
                <w:b/>
                <w:color w:val="000000"/>
                <w:sz w:val="24"/>
                <w:szCs w:val="24"/>
              </w:rPr>
            </w:pPr>
            <w:r w:rsidRPr="00B629B2">
              <w:rPr>
                <w:b/>
                <w:color w:val="000000"/>
                <w:sz w:val="24"/>
                <w:szCs w:val="24"/>
              </w:rPr>
              <w:t>Acoustic Requirement of VA System</w:t>
            </w:r>
          </w:p>
        </w:tc>
      </w:tr>
      <w:tr w:rsidR="00AE11A0" w:rsidRPr="00B629B2" w14:paraId="2AC48E4A" w14:textId="77777777" w:rsidTr="00B629B2">
        <w:trPr>
          <w:trHeight w:val="227"/>
        </w:trPr>
        <w:tc>
          <w:tcPr>
            <w:tcW w:w="1725" w:type="pct"/>
            <w:vMerge/>
            <w:tcBorders>
              <w:bottom w:val="single" w:sz="12" w:space="0" w:color="auto"/>
            </w:tcBorders>
            <w:vAlign w:val="center"/>
          </w:tcPr>
          <w:p w14:paraId="393FE899" w14:textId="77777777" w:rsidR="00AE11A0" w:rsidRPr="00B629B2" w:rsidRDefault="00AE11A0">
            <w:pPr>
              <w:widowControl w:val="0"/>
              <w:pBdr>
                <w:top w:val="nil"/>
                <w:left w:val="nil"/>
                <w:bottom w:val="nil"/>
                <w:right w:val="nil"/>
                <w:between w:val="nil"/>
              </w:pBdr>
              <w:spacing w:line="276" w:lineRule="auto"/>
              <w:rPr>
                <w:b/>
                <w:color w:val="000000"/>
                <w:sz w:val="24"/>
                <w:szCs w:val="24"/>
              </w:rPr>
            </w:pPr>
          </w:p>
        </w:tc>
        <w:tc>
          <w:tcPr>
            <w:tcW w:w="1403" w:type="pct"/>
            <w:tcBorders>
              <w:top w:val="single" w:sz="6" w:space="0" w:color="auto"/>
              <w:bottom w:val="single" w:sz="12" w:space="0" w:color="auto"/>
            </w:tcBorders>
            <w:vAlign w:val="center"/>
          </w:tcPr>
          <w:p w14:paraId="63CB1411" w14:textId="77777777" w:rsidR="00AE11A0" w:rsidRPr="00B629B2" w:rsidRDefault="00AE11A0">
            <w:pPr>
              <w:widowControl w:val="0"/>
              <w:pBdr>
                <w:top w:val="nil"/>
                <w:left w:val="nil"/>
                <w:bottom w:val="nil"/>
                <w:right w:val="nil"/>
                <w:between w:val="nil"/>
              </w:pBdr>
              <w:spacing w:line="276" w:lineRule="auto"/>
              <w:jc w:val="center"/>
              <w:rPr>
                <w:b/>
                <w:color w:val="000000"/>
                <w:sz w:val="24"/>
                <w:szCs w:val="24"/>
              </w:rPr>
            </w:pPr>
            <w:r w:rsidRPr="00B629B2">
              <w:rPr>
                <w:b/>
                <w:color w:val="000000"/>
                <w:sz w:val="24"/>
                <w:szCs w:val="24"/>
              </w:rPr>
              <w:t>STI</w:t>
            </w:r>
          </w:p>
        </w:tc>
        <w:tc>
          <w:tcPr>
            <w:tcW w:w="935" w:type="pct"/>
            <w:tcBorders>
              <w:top w:val="single" w:sz="6" w:space="0" w:color="auto"/>
              <w:bottom w:val="single" w:sz="12" w:space="0" w:color="auto"/>
            </w:tcBorders>
            <w:vAlign w:val="center"/>
          </w:tcPr>
          <w:p w14:paraId="00CDABE4" w14:textId="75F55EA6" w:rsidR="00AE11A0" w:rsidRPr="00B629B2" w:rsidRDefault="00AE11A0">
            <w:pPr>
              <w:widowControl w:val="0"/>
              <w:pBdr>
                <w:top w:val="nil"/>
                <w:left w:val="nil"/>
                <w:bottom w:val="nil"/>
                <w:right w:val="nil"/>
                <w:between w:val="nil"/>
              </w:pBdr>
              <w:spacing w:line="276" w:lineRule="auto"/>
              <w:jc w:val="center"/>
              <w:rPr>
                <w:b/>
                <w:color w:val="000000"/>
                <w:sz w:val="24"/>
                <w:szCs w:val="24"/>
              </w:rPr>
            </w:pPr>
            <w:r w:rsidRPr="00B629B2">
              <w:rPr>
                <w:b/>
                <w:color w:val="000000"/>
                <w:sz w:val="24"/>
                <w:szCs w:val="24"/>
              </w:rPr>
              <w:t>SPL(A)</w:t>
            </w:r>
          </w:p>
        </w:tc>
        <w:tc>
          <w:tcPr>
            <w:tcW w:w="937" w:type="pct"/>
            <w:tcBorders>
              <w:top w:val="single" w:sz="6" w:space="0" w:color="auto"/>
              <w:bottom w:val="single" w:sz="12" w:space="0" w:color="auto"/>
              <w:right w:val="single" w:sz="4" w:space="0" w:color="auto"/>
            </w:tcBorders>
            <w:vAlign w:val="center"/>
          </w:tcPr>
          <w:p w14:paraId="6D4809E4" w14:textId="77777777" w:rsidR="00AE11A0" w:rsidRPr="00B629B2" w:rsidRDefault="00AE11A0">
            <w:pPr>
              <w:widowControl w:val="0"/>
              <w:pBdr>
                <w:top w:val="nil"/>
                <w:left w:val="nil"/>
                <w:bottom w:val="nil"/>
                <w:right w:val="nil"/>
                <w:between w:val="nil"/>
              </w:pBdr>
              <w:spacing w:line="276" w:lineRule="auto"/>
              <w:jc w:val="center"/>
              <w:rPr>
                <w:b/>
                <w:color w:val="000000"/>
                <w:sz w:val="24"/>
                <w:szCs w:val="24"/>
              </w:rPr>
            </w:pPr>
            <w:r w:rsidRPr="00B629B2">
              <w:rPr>
                <w:b/>
                <w:color w:val="000000"/>
                <w:sz w:val="24"/>
                <w:szCs w:val="24"/>
              </w:rPr>
              <w:t>SNR</w:t>
            </w:r>
          </w:p>
        </w:tc>
      </w:tr>
      <w:tr w:rsidR="00AE11A0" w:rsidRPr="00B629B2" w14:paraId="38018B35" w14:textId="77777777" w:rsidTr="00B629B2">
        <w:trPr>
          <w:trHeight w:val="227"/>
        </w:trPr>
        <w:tc>
          <w:tcPr>
            <w:tcW w:w="1725" w:type="pct"/>
            <w:tcBorders>
              <w:top w:val="single" w:sz="12" w:space="0" w:color="auto"/>
            </w:tcBorders>
            <w:vAlign w:val="center"/>
          </w:tcPr>
          <w:p w14:paraId="51936C59"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ISO 7240-19:2007</w:t>
            </w:r>
          </w:p>
        </w:tc>
        <w:tc>
          <w:tcPr>
            <w:tcW w:w="1403" w:type="pct"/>
            <w:tcBorders>
              <w:top w:val="single" w:sz="12" w:space="0" w:color="auto"/>
            </w:tcBorders>
            <w:vAlign w:val="center"/>
          </w:tcPr>
          <w:p w14:paraId="1FB06667"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Average 0.50</w:t>
            </w:r>
            <w:r w:rsidRPr="00B629B2">
              <w:rPr>
                <w:color w:val="000000"/>
                <w:sz w:val="24"/>
                <w:szCs w:val="24"/>
              </w:rPr>
              <w:br/>
              <w:t>Min 0.45</w:t>
            </w:r>
          </w:p>
        </w:tc>
        <w:tc>
          <w:tcPr>
            <w:tcW w:w="935" w:type="pct"/>
            <w:tcBorders>
              <w:top w:val="single" w:sz="12" w:space="0" w:color="auto"/>
            </w:tcBorders>
            <w:vAlign w:val="center"/>
          </w:tcPr>
          <w:p w14:paraId="4D554F9D" w14:textId="6F37ECEE"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&gt;65 dB</w:t>
            </w:r>
          </w:p>
        </w:tc>
        <w:tc>
          <w:tcPr>
            <w:tcW w:w="937" w:type="pct"/>
            <w:tcBorders>
              <w:top w:val="single" w:sz="12" w:space="0" w:color="auto"/>
            </w:tcBorders>
            <w:vAlign w:val="center"/>
          </w:tcPr>
          <w:p w14:paraId="5CDC1DD7"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&gt;10 dB</w:t>
            </w:r>
          </w:p>
        </w:tc>
      </w:tr>
      <w:tr w:rsidR="00AE11A0" w:rsidRPr="00B629B2" w14:paraId="73960807" w14:textId="77777777" w:rsidTr="00B629B2">
        <w:trPr>
          <w:trHeight w:val="227"/>
        </w:trPr>
        <w:tc>
          <w:tcPr>
            <w:tcW w:w="1725" w:type="pct"/>
            <w:vAlign w:val="center"/>
          </w:tcPr>
          <w:p w14:paraId="51BF1810"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BS 50849:2017</w:t>
            </w:r>
          </w:p>
        </w:tc>
        <w:tc>
          <w:tcPr>
            <w:tcW w:w="1403" w:type="pct"/>
            <w:vAlign w:val="center"/>
          </w:tcPr>
          <w:p w14:paraId="2B0AEFEF"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Average 0.50</w:t>
            </w:r>
            <w:r w:rsidRPr="00B629B2">
              <w:rPr>
                <w:color w:val="000000"/>
                <w:sz w:val="24"/>
                <w:szCs w:val="24"/>
              </w:rPr>
              <w:br/>
              <w:t>Min 0.45</w:t>
            </w:r>
          </w:p>
        </w:tc>
        <w:tc>
          <w:tcPr>
            <w:tcW w:w="935" w:type="pct"/>
            <w:vAlign w:val="center"/>
          </w:tcPr>
          <w:p w14:paraId="5DA380A9" w14:textId="5BEAEC4E" w:rsidR="00AE11A0" w:rsidRPr="00B629B2" w:rsidRDefault="00FB3C47">
            <w:pPr>
              <w:widowControl w:val="0"/>
              <w:pBdr>
                <w:top w:val="nil"/>
                <w:left w:val="nil"/>
                <w:bottom w:val="nil"/>
                <w:right w:val="nil"/>
                <w:between w:val="nil"/>
              </w:pBdr>
              <w:spacing w:line="276" w:lineRule="auto"/>
              <w:jc w:val="center"/>
              <w:rPr>
                <w:color w:val="000000"/>
                <w:sz w:val="24"/>
                <w:szCs w:val="24"/>
              </w:rPr>
            </w:pPr>
            <w:r>
              <w:rPr>
                <w:color w:val="000000"/>
                <w:sz w:val="24"/>
                <w:szCs w:val="24"/>
              </w:rPr>
              <w:t>N/A</w:t>
            </w:r>
          </w:p>
        </w:tc>
        <w:tc>
          <w:tcPr>
            <w:tcW w:w="937" w:type="pct"/>
            <w:vAlign w:val="center"/>
          </w:tcPr>
          <w:p w14:paraId="648BAF41"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&gt;10 dB</w:t>
            </w:r>
          </w:p>
        </w:tc>
      </w:tr>
      <w:tr w:rsidR="00AE11A0" w:rsidRPr="00B629B2" w14:paraId="1C0FA738" w14:textId="77777777" w:rsidTr="00B629B2">
        <w:trPr>
          <w:trHeight w:val="227"/>
        </w:trPr>
        <w:tc>
          <w:tcPr>
            <w:tcW w:w="1725" w:type="pct"/>
            <w:vAlign w:val="center"/>
          </w:tcPr>
          <w:p w14:paraId="5DBEF33F"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BS 5839-8:2011</w:t>
            </w:r>
          </w:p>
        </w:tc>
        <w:tc>
          <w:tcPr>
            <w:tcW w:w="1403" w:type="pct"/>
            <w:vAlign w:val="center"/>
          </w:tcPr>
          <w:p w14:paraId="018697B9"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0.50</w:t>
            </w:r>
          </w:p>
        </w:tc>
        <w:tc>
          <w:tcPr>
            <w:tcW w:w="935" w:type="pct"/>
            <w:vAlign w:val="center"/>
          </w:tcPr>
          <w:p w14:paraId="237753E6" w14:textId="4F47FC42" w:rsidR="00AE11A0" w:rsidRPr="00B629B2" w:rsidRDefault="00FB3C47">
            <w:pPr>
              <w:widowControl w:val="0"/>
              <w:pBdr>
                <w:top w:val="nil"/>
                <w:left w:val="nil"/>
                <w:bottom w:val="nil"/>
                <w:right w:val="nil"/>
                <w:between w:val="nil"/>
              </w:pBdr>
              <w:spacing w:line="276" w:lineRule="auto"/>
              <w:jc w:val="center"/>
              <w:rPr>
                <w:color w:val="000000"/>
                <w:sz w:val="24"/>
                <w:szCs w:val="24"/>
              </w:rPr>
            </w:pPr>
            <w:r>
              <w:rPr>
                <w:color w:val="000000"/>
                <w:sz w:val="24"/>
                <w:szCs w:val="24"/>
              </w:rPr>
              <w:t>N/A</w:t>
            </w:r>
          </w:p>
        </w:tc>
        <w:tc>
          <w:tcPr>
            <w:tcW w:w="937" w:type="pct"/>
            <w:vAlign w:val="center"/>
          </w:tcPr>
          <w:p w14:paraId="33DA612B"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&gt;10 dB</w:t>
            </w:r>
          </w:p>
        </w:tc>
      </w:tr>
      <w:tr w:rsidR="00AE11A0" w:rsidRPr="00B629B2" w14:paraId="5BBDBFC4" w14:textId="77777777" w:rsidTr="00B629B2">
        <w:trPr>
          <w:trHeight w:val="227"/>
        </w:trPr>
        <w:tc>
          <w:tcPr>
            <w:tcW w:w="1725" w:type="pct"/>
            <w:tcBorders>
              <w:bottom w:val="single" w:sz="6" w:space="0" w:color="auto"/>
            </w:tcBorders>
            <w:vAlign w:val="center"/>
          </w:tcPr>
          <w:p w14:paraId="1F8EDCF9"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NR/L2/TEL/30134</w:t>
            </w:r>
          </w:p>
        </w:tc>
        <w:tc>
          <w:tcPr>
            <w:tcW w:w="1403" w:type="pct"/>
            <w:tcBorders>
              <w:bottom w:val="single" w:sz="6" w:space="0" w:color="auto"/>
            </w:tcBorders>
            <w:vAlign w:val="center"/>
          </w:tcPr>
          <w:p w14:paraId="46BFF6D3"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Average 0.50</w:t>
            </w:r>
          </w:p>
        </w:tc>
        <w:tc>
          <w:tcPr>
            <w:tcW w:w="935" w:type="pct"/>
            <w:tcBorders>
              <w:bottom w:val="single" w:sz="6" w:space="0" w:color="auto"/>
            </w:tcBorders>
            <w:vAlign w:val="center"/>
          </w:tcPr>
          <w:p w14:paraId="4D6CE999" w14:textId="4F894FCF"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&gt;65 dB</w:t>
            </w:r>
          </w:p>
        </w:tc>
        <w:tc>
          <w:tcPr>
            <w:tcW w:w="937" w:type="pct"/>
            <w:tcBorders>
              <w:bottom w:val="single" w:sz="6" w:space="0" w:color="auto"/>
            </w:tcBorders>
            <w:vAlign w:val="center"/>
          </w:tcPr>
          <w:p w14:paraId="664A7077" w14:textId="77777777" w:rsidR="00AE11A0" w:rsidRPr="00B629B2" w:rsidRDefault="00AE11A0">
            <w:pPr>
              <w:widowControl w:val="0"/>
              <w:pBdr>
                <w:top w:val="nil"/>
                <w:left w:val="nil"/>
                <w:bottom w:val="nil"/>
                <w:right w:val="nil"/>
                <w:between w:val="nil"/>
              </w:pBdr>
              <w:spacing w:line="276" w:lineRule="auto"/>
              <w:jc w:val="center"/>
              <w:rPr>
                <w:color w:val="000000"/>
                <w:sz w:val="24"/>
                <w:szCs w:val="24"/>
              </w:rPr>
            </w:pPr>
            <w:r w:rsidRPr="00B629B2">
              <w:rPr>
                <w:color w:val="000000"/>
                <w:sz w:val="24"/>
                <w:szCs w:val="24"/>
              </w:rPr>
              <w:t>&gt;10 dB</w:t>
            </w:r>
          </w:p>
        </w:tc>
      </w:tr>
    </w:tbl>
    <w:p w14:paraId="2778BCDD" w14:textId="663B539C" w:rsidR="003E6082" w:rsidRPr="00B629B2" w:rsidRDefault="003033DB">
      <w:pPr>
        <w:widowControl w:val="0"/>
        <w:pBdr>
          <w:top w:val="nil"/>
          <w:left w:val="nil"/>
          <w:bottom w:val="nil"/>
          <w:right w:val="nil"/>
          <w:between w:val="nil"/>
        </w:pBdr>
        <w:spacing w:after="0"/>
        <w:ind w:firstLine="284"/>
        <w:jc w:val="both"/>
        <w:rPr>
          <w:noProof/>
          <w:color w:val="000000"/>
          <w:szCs w:val="24"/>
        </w:rPr>
      </w:pPr>
      <w:r w:rsidRPr="00B629B2">
        <w:rPr>
          <w:noProof/>
          <w:color w:val="000000"/>
          <w:szCs w:val="24"/>
        </w:rPr>
        <w:drawing>
          <wp:anchor distT="0" distB="0" distL="114300" distR="114300" simplePos="0" relativeHeight="251668992" behindDoc="1" locked="0" layoutInCell="1" allowOverlap="1" wp14:anchorId="473871B9" wp14:editId="3BEDCAAE">
            <wp:simplePos x="0" y="0"/>
            <wp:positionH relativeFrom="column">
              <wp:posOffset>2748915</wp:posOffset>
            </wp:positionH>
            <wp:positionV relativeFrom="paragraph">
              <wp:posOffset>199390</wp:posOffset>
            </wp:positionV>
            <wp:extent cx="2628900" cy="1876425"/>
            <wp:effectExtent l="0" t="0" r="0" b="9525"/>
            <wp:wrapTight wrapText="bothSides">
              <wp:wrapPolygon edited="0">
                <wp:start x="0" y="0"/>
                <wp:lineTo x="0" y="21490"/>
                <wp:lineTo x="21443" y="21490"/>
                <wp:lineTo x="214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2290D" w14:textId="2DF9E10C" w:rsidR="003E6082" w:rsidRPr="00B629B2" w:rsidRDefault="003E6082">
      <w:pPr>
        <w:widowControl w:val="0"/>
        <w:pBdr>
          <w:top w:val="nil"/>
          <w:left w:val="nil"/>
          <w:bottom w:val="nil"/>
          <w:right w:val="nil"/>
          <w:between w:val="nil"/>
        </w:pBdr>
        <w:spacing w:after="0"/>
        <w:ind w:firstLine="284"/>
        <w:jc w:val="both"/>
        <w:rPr>
          <w:color w:val="000000"/>
          <w:szCs w:val="24"/>
        </w:rPr>
      </w:pPr>
      <w:r w:rsidRPr="00B629B2">
        <w:rPr>
          <w:noProof/>
          <w:color w:val="000000"/>
          <w:szCs w:val="24"/>
        </w:rPr>
        <w:drawing>
          <wp:inline distT="0" distB="0" distL="0" distR="0" wp14:anchorId="3D018026" wp14:editId="582F8D95">
            <wp:extent cx="2505075" cy="187976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111" cy="1896303"/>
                    </a:xfrm>
                    <a:prstGeom prst="rect">
                      <a:avLst/>
                    </a:prstGeom>
                    <a:noFill/>
                    <a:ln>
                      <a:noFill/>
                    </a:ln>
                  </pic:spPr>
                </pic:pic>
              </a:graphicData>
            </a:graphic>
          </wp:inline>
        </w:drawing>
      </w:r>
    </w:p>
    <w:p w14:paraId="1B2ACABB" w14:textId="6CA409A6" w:rsidR="003E6082" w:rsidRPr="00B629B2" w:rsidRDefault="00945B2D">
      <w:pPr>
        <w:widowControl w:val="0"/>
        <w:pBdr>
          <w:top w:val="nil"/>
          <w:left w:val="nil"/>
          <w:bottom w:val="nil"/>
          <w:right w:val="nil"/>
          <w:between w:val="nil"/>
        </w:pBdr>
        <w:spacing w:after="0"/>
        <w:ind w:firstLine="284"/>
        <w:jc w:val="both"/>
        <w:rPr>
          <w:i/>
          <w:noProof/>
          <w:color w:val="000000"/>
          <w:szCs w:val="24"/>
        </w:rPr>
      </w:pPr>
      <w:r w:rsidRPr="00B629B2">
        <w:rPr>
          <w:i/>
          <w:noProof/>
          <w:color w:val="000000"/>
          <w:szCs w:val="24"/>
        </w:rPr>
        <w:t>Figure 1 – Low occupancy (L) and High Occupancy (R) in Underground Platforms</w:t>
      </w:r>
    </w:p>
    <w:p w14:paraId="5F10A6B9" w14:textId="77777777" w:rsidR="00945B2D" w:rsidRPr="00B629B2" w:rsidRDefault="00945B2D">
      <w:pPr>
        <w:widowControl w:val="0"/>
        <w:pBdr>
          <w:top w:val="nil"/>
          <w:left w:val="nil"/>
          <w:bottom w:val="nil"/>
          <w:right w:val="nil"/>
          <w:between w:val="nil"/>
        </w:pBdr>
        <w:spacing w:after="0"/>
        <w:ind w:firstLine="284"/>
        <w:jc w:val="both"/>
        <w:rPr>
          <w:color w:val="000000"/>
          <w:szCs w:val="24"/>
        </w:rPr>
      </w:pPr>
      <w:bookmarkStart w:id="2" w:name="_30j0zll" w:colFirst="0" w:colLast="0"/>
      <w:bookmarkEnd w:id="2"/>
    </w:p>
    <w:p w14:paraId="0CCEE01E" w14:textId="77777777" w:rsidR="00E12B0C" w:rsidRPr="00B629B2" w:rsidRDefault="001276DC">
      <w:pPr>
        <w:widowControl w:val="0"/>
        <w:pBdr>
          <w:top w:val="nil"/>
          <w:left w:val="nil"/>
          <w:bottom w:val="nil"/>
          <w:right w:val="nil"/>
          <w:between w:val="nil"/>
        </w:pBdr>
        <w:spacing w:after="0"/>
        <w:jc w:val="both"/>
        <w:rPr>
          <w:b/>
          <w:szCs w:val="24"/>
        </w:rPr>
      </w:pPr>
      <w:r w:rsidRPr="00B629B2">
        <w:rPr>
          <w:b/>
          <w:szCs w:val="24"/>
        </w:rPr>
        <w:t>2.2 The Effect of Occupancy Density</w:t>
      </w:r>
    </w:p>
    <w:p w14:paraId="77788D93" w14:textId="3A21FB8D" w:rsidR="00E12B0C" w:rsidRPr="00B629B2" w:rsidRDefault="001276DC">
      <w:pPr>
        <w:widowControl w:val="0"/>
        <w:pBdr>
          <w:top w:val="nil"/>
          <w:left w:val="nil"/>
          <w:bottom w:val="nil"/>
          <w:right w:val="nil"/>
          <w:between w:val="nil"/>
        </w:pBdr>
        <w:spacing w:after="0"/>
        <w:ind w:firstLine="284"/>
        <w:jc w:val="both"/>
        <w:rPr>
          <w:szCs w:val="24"/>
        </w:rPr>
      </w:pPr>
      <w:r w:rsidRPr="00B629B2">
        <w:rPr>
          <w:szCs w:val="24"/>
        </w:rPr>
        <w:t xml:space="preserve">The absorption coefficient of standing audiences has been the subject to some research </w:t>
      </w:r>
      <w:r w:rsidR="00B55DF4" w:rsidRPr="00B629B2">
        <w:rPr>
          <w:szCs w:val="24"/>
        </w:rPr>
        <w:t>[9,1</w:t>
      </w:r>
      <w:r w:rsidR="00153C1D" w:rsidRPr="00B629B2">
        <w:rPr>
          <w:szCs w:val="24"/>
        </w:rPr>
        <w:t>2</w:t>
      </w:r>
      <w:r w:rsidR="00B55DF4" w:rsidRPr="00B629B2">
        <w:rPr>
          <w:szCs w:val="24"/>
        </w:rPr>
        <w:t>]</w:t>
      </w:r>
      <w:r w:rsidRPr="00B629B2">
        <w:rPr>
          <w:szCs w:val="24"/>
        </w:rPr>
        <w:t xml:space="preserve"> and the effect on the acoustics of varying densities of standing audiences in churches has been predicted</w:t>
      </w:r>
      <w:r w:rsidR="00B55DF4" w:rsidRPr="00B629B2">
        <w:rPr>
          <w:szCs w:val="24"/>
        </w:rPr>
        <w:t xml:space="preserve"> [1</w:t>
      </w:r>
      <w:r w:rsidR="00153C1D" w:rsidRPr="00B629B2">
        <w:rPr>
          <w:szCs w:val="24"/>
        </w:rPr>
        <w:t>3</w:t>
      </w:r>
      <w:r w:rsidR="00B55DF4" w:rsidRPr="00B629B2">
        <w:rPr>
          <w:szCs w:val="24"/>
        </w:rPr>
        <w:t>]</w:t>
      </w:r>
      <w:r w:rsidRPr="00B629B2">
        <w:rPr>
          <w:szCs w:val="24"/>
        </w:rPr>
        <w:t xml:space="preserve">. </w:t>
      </w:r>
    </w:p>
    <w:p w14:paraId="66DC46D2" w14:textId="27AA2D73" w:rsidR="00E12B0C" w:rsidRPr="00B629B2" w:rsidRDefault="001276DC">
      <w:pPr>
        <w:widowControl w:val="0"/>
        <w:pBdr>
          <w:top w:val="nil"/>
          <w:left w:val="nil"/>
          <w:bottom w:val="nil"/>
          <w:right w:val="nil"/>
          <w:between w:val="nil"/>
        </w:pBdr>
        <w:spacing w:after="0"/>
        <w:ind w:firstLine="284"/>
        <w:jc w:val="both"/>
        <w:rPr>
          <w:szCs w:val="24"/>
        </w:rPr>
      </w:pPr>
      <w:r w:rsidRPr="00B629B2">
        <w:rPr>
          <w:szCs w:val="24"/>
        </w:rPr>
        <w:t>Martellotta</w:t>
      </w:r>
      <w:r w:rsidR="00B55DF4" w:rsidRPr="00B629B2">
        <w:rPr>
          <w:szCs w:val="24"/>
        </w:rPr>
        <w:t xml:space="preserve"> et al. [1</w:t>
      </w:r>
      <w:r w:rsidR="00153C1D" w:rsidRPr="00B629B2">
        <w:rPr>
          <w:szCs w:val="24"/>
        </w:rPr>
        <w:t>2</w:t>
      </w:r>
      <w:r w:rsidR="00B55DF4" w:rsidRPr="00B629B2">
        <w:rPr>
          <w:szCs w:val="24"/>
        </w:rPr>
        <w:t>]</w:t>
      </w:r>
      <w:r w:rsidRPr="00B629B2">
        <w:rPr>
          <w:szCs w:val="24"/>
        </w:rPr>
        <w:t>, has conducted research into how the absorption coefficient of a standing audience can vary with the occupancy density</w:t>
      </w:r>
      <w:r w:rsidR="00153C1D" w:rsidRPr="00B629B2">
        <w:rPr>
          <w:szCs w:val="24"/>
        </w:rPr>
        <w:t>.</w:t>
      </w:r>
      <w:r w:rsidR="00AE11A0" w:rsidRPr="00B629B2">
        <w:rPr>
          <w:szCs w:val="24"/>
        </w:rPr>
        <w:t xml:space="preserve"> </w:t>
      </w:r>
      <w:r w:rsidR="00153C1D" w:rsidRPr="00B629B2">
        <w:rPr>
          <w:szCs w:val="24"/>
        </w:rPr>
        <w:t>T</w:t>
      </w:r>
      <w:r w:rsidRPr="00B629B2">
        <w:rPr>
          <w:szCs w:val="24"/>
        </w:rPr>
        <w:t>he research show</w:t>
      </w:r>
      <w:r w:rsidR="00153C1D" w:rsidRPr="00B629B2">
        <w:rPr>
          <w:szCs w:val="24"/>
        </w:rPr>
        <w:t>ed</w:t>
      </w:r>
      <w:r w:rsidRPr="00B629B2">
        <w:rPr>
          <w:szCs w:val="24"/>
        </w:rPr>
        <w:t xml:space="preserve"> that </w:t>
      </w:r>
      <w:r w:rsidRPr="00B629B2">
        <w:rPr>
          <w:szCs w:val="24"/>
        </w:rPr>
        <w:lastRenderedPageBreak/>
        <w:t xml:space="preserve">there is a general decrease in the </w:t>
      </w:r>
      <w:r w:rsidR="00B55DF4" w:rsidRPr="00B629B2">
        <w:rPr>
          <w:szCs w:val="24"/>
        </w:rPr>
        <w:t xml:space="preserve">equivalent </w:t>
      </w:r>
      <w:r w:rsidRPr="00B629B2">
        <w:rPr>
          <w:szCs w:val="24"/>
        </w:rPr>
        <w:t>absorption area per person at high frequencies as the</w:t>
      </w:r>
      <w:r w:rsidR="00B55DF4" w:rsidRPr="00B629B2">
        <w:rPr>
          <w:szCs w:val="24"/>
        </w:rPr>
        <w:t xml:space="preserve"> occupancy</w:t>
      </w:r>
      <w:r w:rsidRPr="00B629B2">
        <w:rPr>
          <w:szCs w:val="24"/>
        </w:rPr>
        <w:t xml:space="preserve"> density increases. </w:t>
      </w:r>
    </w:p>
    <w:p w14:paraId="2B95E166" w14:textId="45574878" w:rsidR="00E12B0C" w:rsidRPr="00B629B2" w:rsidRDefault="001276DC">
      <w:pPr>
        <w:widowControl w:val="0"/>
        <w:pBdr>
          <w:top w:val="nil"/>
          <w:left w:val="nil"/>
          <w:bottom w:val="nil"/>
          <w:right w:val="nil"/>
          <w:between w:val="nil"/>
        </w:pBdr>
        <w:spacing w:after="0"/>
        <w:ind w:firstLine="284"/>
        <w:jc w:val="both"/>
        <w:rPr>
          <w:szCs w:val="24"/>
        </w:rPr>
      </w:pPr>
      <w:r w:rsidRPr="00B629B2">
        <w:rPr>
          <w:szCs w:val="24"/>
        </w:rPr>
        <w:t>Martellotta</w:t>
      </w:r>
      <w:r w:rsidR="00B55DF4" w:rsidRPr="00B629B2">
        <w:rPr>
          <w:szCs w:val="24"/>
        </w:rPr>
        <w:t xml:space="preserve"> et al.</w:t>
      </w:r>
      <w:r w:rsidRPr="00B629B2">
        <w:rPr>
          <w:szCs w:val="24"/>
        </w:rPr>
        <w:t xml:space="preserve"> present</w:t>
      </w:r>
      <w:r w:rsidR="00153C1D" w:rsidRPr="00B629B2">
        <w:rPr>
          <w:szCs w:val="24"/>
        </w:rPr>
        <w:t>ed</w:t>
      </w:r>
      <w:r w:rsidRPr="00B629B2">
        <w:rPr>
          <w:szCs w:val="24"/>
        </w:rPr>
        <w:t xml:space="preserve"> the equations </w:t>
      </w:r>
      <w:r w:rsidR="00B55DF4" w:rsidRPr="00B629B2">
        <w:rPr>
          <w:szCs w:val="24"/>
        </w:rPr>
        <w:t xml:space="preserve">in Table 2 </w:t>
      </w:r>
      <w:r w:rsidRPr="00B629B2">
        <w:rPr>
          <w:szCs w:val="24"/>
        </w:rPr>
        <w:t xml:space="preserve">to predict the absorption </w:t>
      </w:r>
      <w:r w:rsidR="009B5F77" w:rsidRPr="00B629B2">
        <w:rPr>
          <w:szCs w:val="24"/>
        </w:rPr>
        <w:t xml:space="preserve">coefficients </w:t>
      </w:r>
      <w:r w:rsidRPr="00B629B2">
        <w:rPr>
          <w:szCs w:val="24"/>
        </w:rPr>
        <w:t>of varying occupancy densities</w:t>
      </w:r>
      <w:r w:rsidR="009B5F77" w:rsidRPr="00B629B2">
        <w:rPr>
          <w:szCs w:val="24"/>
        </w:rPr>
        <w:t xml:space="preserve"> based on the area of the floor the audience occupied.</w:t>
      </w:r>
    </w:p>
    <w:p w14:paraId="09224C0A" w14:textId="77777777" w:rsidR="00945B2D" w:rsidRPr="00B629B2" w:rsidRDefault="00945B2D">
      <w:pPr>
        <w:widowControl w:val="0"/>
        <w:pBdr>
          <w:top w:val="nil"/>
          <w:left w:val="nil"/>
          <w:bottom w:val="nil"/>
          <w:right w:val="nil"/>
          <w:between w:val="nil"/>
        </w:pBdr>
        <w:spacing w:after="0"/>
        <w:ind w:firstLine="284"/>
        <w:jc w:val="both"/>
        <w:rPr>
          <w:szCs w:val="24"/>
        </w:rPr>
      </w:pPr>
    </w:p>
    <w:p w14:paraId="2FF4CA3E" w14:textId="40840154" w:rsidR="00E12B0C" w:rsidRPr="00B629B2" w:rsidRDefault="00B55DF4" w:rsidP="00B55DF4">
      <w:pPr>
        <w:widowControl w:val="0"/>
        <w:pBdr>
          <w:top w:val="nil"/>
          <w:left w:val="nil"/>
          <w:bottom w:val="nil"/>
          <w:right w:val="nil"/>
          <w:between w:val="nil"/>
        </w:pBdr>
        <w:spacing w:after="0"/>
        <w:jc w:val="both"/>
        <w:rPr>
          <w:i/>
          <w:szCs w:val="24"/>
        </w:rPr>
      </w:pPr>
      <w:r w:rsidRPr="00B629B2">
        <w:rPr>
          <w:i/>
          <w:szCs w:val="24"/>
        </w:rPr>
        <w:t>Table 2 – Equations to predict the</w:t>
      </w:r>
      <w:r w:rsidR="009B5F77" w:rsidRPr="00B629B2">
        <w:rPr>
          <w:i/>
          <w:szCs w:val="24"/>
        </w:rPr>
        <w:t xml:space="preserve"> octave band</w:t>
      </w:r>
      <w:r w:rsidRPr="00B629B2">
        <w:rPr>
          <w:i/>
          <w:szCs w:val="24"/>
        </w:rPr>
        <w:t xml:space="preserve"> absorption </w:t>
      </w:r>
      <w:r w:rsidR="009B5F77" w:rsidRPr="00B629B2">
        <w:rPr>
          <w:i/>
          <w:szCs w:val="24"/>
        </w:rPr>
        <w:t xml:space="preserve">coefficients </w:t>
      </w:r>
      <w:r w:rsidRPr="00B629B2">
        <w:rPr>
          <w:i/>
          <w:szCs w:val="24"/>
        </w:rPr>
        <w:t>at varying occupancy densities, from [1</w:t>
      </w:r>
      <w:r w:rsidR="00E70092" w:rsidRPr="00B629B2">
        <w:rPr>
          <w:i/>
          <w:szCs w:val="24"/>
        </w:rPr>
        <w:t>2</w:t>
      </w:r>
      <w:r w:rsidRPr="00B629B2">
        <w:rPr>
          <w:i/>
          <w:szCs w:val="24"/>
        </w:rPr>
        <w:t>]</w:t>
      </w:r>
    </w:p>
    <w:tbl>
      <w:tblPr>
        <w:tblStyle w:val="a0"/>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E12B0C" w:rsidRPr="00B629B2" w14:paraId="2178F87A" w14:textId="77777777" w:rsidTr="0043683D">
        <w:trPr>
          <w:trHeight w:val="170"/>
        </w:trPr>
        <w:tc>
          <w:tcPr>
            <w:tcW w:w="4252" w:type="dxa"/>
            <w:tcBorders>
              <w:top w:val="single" w:sz="12" w:space="0" w:color="auto"/>
              <w:left w:val="nil"/>
              <w:bottom w:val="single" w:sz="4" w:space="0" w:color="auto"/>
              <w:right w:val="nil"/>
            </w:tcBorders>
            <w:shd w:val="clear" w:color="auto" w:fill="auto"/>
            <w:tcMar>
              <w:top w:w="100" w:type="dxa"/>
              <w:left w:w="100" w:type="dxa"/>
              <w:bottom w:w="100" w:type="dxa"/>
              <w:right w:w="100" w:type="dxa"/>
            </w:tcMar>
            <w:vAlign w:val="center"/>
          </w:tcPr>
          <w:p w14:paraId="5CFF6B3D"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Frequency</w:t>
            </w:r>
          </w:p>
        </w:tc>
        <w:tc>
          <w:tcPr>
            <w:tcW w:w="4252" w:type="dxa"/>
            <w:tcBorders>
              <w:top w:val="single" w:sz="12" w:space="0" w:color="auto"/>
              <w:left w:val="nil"/>
              <w:bottom w:val="single" w:sz="4" w:space="0" w:color="auto"/>
              <w:right w:val="nil"/>
            </w:tcBorders>
            <w:shd w:val="clear" w:color="auto" w:fill="auto"/>
            <w:tcMar>
              <w:top w:w="100" w:type="dxa"/>
              <w:left w:w="100" w:type="dxa"/>
              <w:bottom w:w="100" w:type="dxa"/>
              <w:right w:w="100" w:type="dxa"/>
            </w:tcMar>
            <w:vAlign w:val="center"/>
          </w:tcPr>
          <w:p w14:paraId="4DC1DE46"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Equation</w:t>
            </w:r>
          </w:p>
        </w:tc>
      </w:tr>
      <w:tr w:rsidR="00E12B0C" w:rsidRPr="00B629B2" w14:paraId="2C3308F9" w14:textId="77777777" w:rsidTr="0043683D">
        <w:trPr>
          <w:trHeight w:val="170"/>
        </w:trPr>
        <w:tc>
          <w:tcPr>
            <w:tcW w:w="4252"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8E11A04"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125 Hz</w:t>
            </w:r>
          </w:p>
        </w:tc>
        <w:tc>
          <w:tcPr>
            <w:tcW w:w="4252"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2EAFE00C"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α = 0.142</w:t>
            </w:r>
            <w:r w:rsidRPr="00B629B2">
              <w:rPr>
                <w:i/>
                <w:szCs w:val="24"/>
              </w:rPr>
              <w:t>d</w:t>
            </w:r>
          </w:p>
        </w:tc>
      </w:tr>
      <w:tr w:rsidR="00E12B0C" w:rsidRPr="00B629B2" w14:paraId="0A14CA1A" w14:textId="77777777" w:rsidTr="0043683D">
        <w:trPr>
          <w:trHeight w:val="170"/>
        </w:trPr>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3CEBFF6A"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250 Hz</w:t>
            </w:r>
          </w:p>
        </w:tc>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44B25FDF" w14:textId="77777777" w:rsidR="00E12B0C" w:rsidRPr="00B629B2" w:rsidRDefault="001276DC" w:rsidP="00491097">
            <w:pPr>
              <w:widowControl w:val="0"/>
              <w:spacing w:after="0" w:line="240" w:lineRule="auto"/>
              <w:jc w:val="center"/>
              <w:rPr>
                <w:szCs w:val="24"/>
              </w:rPr>
            </w:pPr>
            <w:r w:rsidRPr="00B629B2">
              <w:rPr>
                <w:szCs w:val="24"/>
              </w:rPr>
              <w:t>α = 0.239</w:t>
            </w:r>
            <w:r w:rsidRPr="00B629B2">
              <w:rPr>
                <w:i/>
                <w:szCs w:val="24"/>
              </w:rPr>
              <w:t>d</w:t>
            </w:r>
          </w:p>
        </w:tc>
      </w:tr>
      <w:tr w:rsidR="00E12B0C" w:rsidRPr="00B629B2" w14:paraId="1856D8F2" w14:textId="77777777" w:rsidTr="0043683D">
        <w:trPr>
          <w:trHeight w:val="170"/>
        </w:trPr>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5A9A03FC"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500 Hz</w:t>
            </w:r>
          </w:p>
        </w:tc>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6197D1C2" w14:textId="77777777" w:rsidR="00E12B0C" w:rsidRPr="00B629B2" w:rsidRDefault="001276DC" w:rsidP="00491097">
            <w:pPr>
              <w:widowControl w:val="0"/>
              <w:spacing w:after="0" w:line="240" w:lineRule="auto"/>
              <w:jc w:val="center"/>
              <w:rPr>
                <w:szCs w:val="24"/>
              </w:rPr>
            </w:pPr>
            <w:r w:rsidRPr="00B629B2">
              <w:rPr>
                <w:szCs w:val="24"/>
              </w:rPr>
              <w:t>α = 0.532</w:t>
            </w:r>
            <w:r w:rsidRPr="00B629B2">
              <w:rPr>
                <w:i/>
                <w:szCs w:val="24"/>
              </w:rPr>
              <w:t>d</w:t>
            </w:r>
            <w:r w:rsidRPr="00B629B2">
              <w:rPr>
                <w:szCs w:val="24"/>
              </w:rPr>
              <w:t xml:space="preserve"> + 0.05</w:t>
            </w:r>
          </w:p>
        </w:tc>
      </w:tr>
      <w:tr w:rsidR="00E12B0C" w:rsidRPr="00B629B2" w14:paraId="02EC312C" w14:textId="77777777" w:rsidTr="0043683D">
        <w:trPr>
          <w:trHeight w:val="170"/>
        </w:trPr>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56CD6ABE"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1,000 Hz</w:t>
            </w:r>
          </w:p>
        </w:tc>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2184E905" w14:textId="77777777" w:rsidR="00E12B0C" w:rsidRPr="00B629B2" w:rsidRDefault="001276DC" w:rsidP="00491097">
            <w:pPr>
              <w:widowControl w:val="0"/>
              <w:spacing w:after="0" w:line="240" w:lineRule="auto"/>
              <w:jc w:val="center"/>
              <w:rPr>
                <w:szCs w:val="24"/>
              </w:rPr>
            </w:pPr>
            <w:r w:rsidRPr="00B629B2">
              <w:rPr>
                <w:szCs w:val="24"/>
              </w:rPr>
              <w:t>α = 0.709</w:t>
            </w:r>
            <w:r w:rsidRPr="00B629B2">
              <w:rPr>
                <w:i/>
                <w:szCs w:val="24"/>
              </w:rPr>
              <w:t>d</w:t>
            </w:r>
            <w:r w:rsidRPr="00B629B2">
              <w:rPr>
                <w:szCs w:val="24"/>
              </w:rPr>
              <w:t xml:space="preserve"> + 0.28</w:t>
            </w:r>
          </w:p>
        </w:tc>
      </w:tr>
      <w:tr w:rsidR="00E12B0C" w:rsidRPr="00B629B2" w14:paraId="288D6763" w14:textId="77777777" w:rsidTr="0043683D">
        <w:trPr>
          <w:trHeight w:val="170"/>
        </w:trPr>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3A271BFC"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2,000 Hz</w:t>
            </w:r>
          </w:p>
        </w:tc>
        <w:tc>
          <w:tcPr>
            <w:tcW w:w="4252" w:type="dxa"/>
            <w:tcBorders>
              <w:top w:val="nil"/>
              <w:left w:val="nil"/>
              <w:bottom w:val="nil"/>
              <w:right w:val="nil"/>
            </w:tcBorders>
            <w:shd w:val="clear" w:color="auto" w:fill="auto"/>
            <w:tcMar>
              <w:top w:w="100" w:type="dxa"/>
              <w:left w:w="100" w:type="dxa"/>
              <w:bottom w:w="100" w:type="dxa"/>
              <w:right w:w="100" w:type="dxa"/>
            </w:tcMar>
            <w:vAlign w:val="center"/>
          </w:tcPr>
          <w:p w14:paraId="09695277" w14:textId="77777777" w:rsidR="00E12B0C" w:rsidRPr="00B629B2" w:rsidRDefault="001276DC" w:rsidP="00491097">
            <w:pPr>
              <w:widowControl w:val="0"/>
              <w:spacing w:after="0" w:line="240" w:lineRule="auto"/>
              <w:jc w:val="center"/>
              <w:rPr>
                <w:szCs w:val="24"/>
              </w:rPr>
            </w:pPr>
            <w:r w:rsidRPr="00B629B2">
              <w:rPr>
                <w:szCs w:val="24"/>
              </w:rPr>
              <w:t>α = 0.738</w:t>
            </w:r>
            <w:r w:rsidRPr="00B629B2">
              <w:rPr>
                <w:i/>
                <w:szCs w:val="24"/>
              </w:rPr>
              <w:t>d</w:t>
            </w:r>
            <w:r w:rsidRPr="00B629B2">
              <w:rPr>
                <w:szCs w:val="24"/>
              </w:rPr>
              <w:t xml:space="preserve"> + 0.27</w:t>
            </w:r>
          </w:p>
        </w:tc>
      </w:tr>
      <w:tr w:rsidR="00E12B0C" w:rsidRPr="00B629B2" w14:paraId="3F02B919" w14:textId="77777777" w:rsidTr="0043683D">
        <w:trPr>
          <w:trHeight w:val="170"/>
        </w:trPr>
        <w:tc>
          <w:tcPr>
            <w:tcW w:w="4252"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3C417BB" w14:textId="77777777" w:rsidR="00E12B0C" w:rsidRPr="00B629B2" w:rsidRDefault="001276DC" w:rsidP="00491097">
            <w:pPr>
              <w:widowControl w:val="0"/>
              <w:pBdr>
                <w:top w:val="nil"/>
                <w:left w:val="nil"/>
                <w:bottom w:val="nil"/>
                <w:right w:val="nil"/>
                <w:between w:val="nil"/>
              </w:pBdr>
              <w:spacing w:after="0" w:line="240" w:lineRule="auto"/>
              <w:jc w:val="center"/>
              <w:rPr>
                <w:szCs w:val="24"/>
              </w:rPr>
            </w:pPr>
            <w:r w:rsidRPr="00B629B2">
              <w:rPr>
                <w:szCs w:val="24"/>
              </w:rPr>
              <w:t>4,000 Hz</w:t>
            </w:r>
          </w:p>
        </w:tc>
        <w:tc>
          <w:tcPr>
            <w:tcW w:w="4252"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24CF47D0" w14:textId="77777777" w:rsidR="00E12B0C" w:rsidRPr="00B629B2" w:rsidRDefault="001276DC" w:rsidP="00491097">
            <w:pPr>
              <w:widowControl w:val="0"/>
              <w:spacing w:after="0" w:line="240" w:lineRule="auto"/>
              <w:jc w:val="center"/>
              <w:rPr>
                <w:szCs w:val="24"/>
              </w:rPr>
            </w:pPr>
            <w:r w:rsidRPr="00B629B2">
              <w:rPr>
                <w:szCs w:val="24"/>
              </w:rPr>
              <w:t>α = 0.756</w:t>
            </w:r>
            <w:r w:rsidRPr="00B629B2">
              <w:rPr>
                <w:i/>
                <w:szCs w:val="24"/>
              </w:rPr>
              <w:t>d</w:t>
            </w:r>
            <w:r w:rsidRPr="00B629B2">
              <w:rPr>
                <w:szCs w:val="24"/>
              </w:rPr>
              <w:t xml:space="preserve"> + 0.25</w:t>
            </w:r>
          </w:p>
        </w:tc>
      </w:tr>
      <w:tr w:rsidR="00E12B0C" w:rsidRPr="00B629B2" w14:paraId="6B3494BF" w14:textId="77777777" w:rsidTr="0043683D">
        <w:trPr>
          <w:trHeight w:val="20"/>
        </w:trPr>
        <w:tc>
          <w:tcPr>
            <w:tcW w:w="8504" w:type="dxa"/>
            <w:gridSpan w:val="2"/>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6683D94F" w14:textId="77777777" w:rsidR="00E12B0C" w:rsidRPr="00B629B2" w:rsidRDefault="001276DC" w:rsidP="00491097">
            <w:pPr>
              <w:widowControl w:val="0"/>
              <w:pBdr>
                <w:top w:val="nil"/>
                <w:left w:val="nil"/>
                <w:bottom w:val="nil"/>
                <w:right w:val="nil"/>
                <w:between w:val="nil"/>
              </w:pBdr>
              <w:spacing w:after="0" w:line="240" w:lineRule="auto"/>
              <w:rPr>
                <w:szCs w:val="24"/>
              </w:rPr>
            </w:pPr>
            <w:r w:rsidRPr="00B629B2">
              <w:rPr>
                <w:szCs w:val="24"/>
              </w:rPr>
              <w:t>Where:</w:t>
            </w:r>
            <w:r w:rsidRPr="00B629B2">
              <w:rPr>
                <w:szCs w:val="24"/>
              </w:rPr>
              <w:br/>
            </w:r>
            <w:r w:rsidRPr="00B629B2">
              <w:rPr>
                <w:i/>
                <w:szCs w:val="24"/>
              </w:rPr>
              <w:t>d</w:t>
            </w:r>
            <w:r w:rsidRPr="00B629B2">
              <w:rPr>
                <w:szCs w:val="24"/>
              </w:rPr>
              <w:t xml:space="preserve"> = occupancy density</w:t>
            </w:r>
            <w:r w:rsidR="00B55DF4" w:rsidRPr="00B629B2">
              <w:rPr>
                <w:szCs w:val="24"/>
              </w:rPr>
              <w:t xml:space="preserve">, people per metre square </w:t>
            </w:r>
            <w:r w:rsidRPr="00B629B2">
              <w:rPr>
                <w:szCs w:val="24"/>
              </w:rPr>
              <w:t>(p/m</w:t>
            </w:r>
            <w:r w:rsidRPr="00B629B2">
              <w:rPr>
                <w:szCs w:val="24"/>
                <w:vertAlign w:val="superscript"/>
              </w:rPr>
              <w:t>2</w:t>
            </w:r>
            <w:r w:rsidRPr="00B629B2">
              <w:rPr>
                <w:szCs w:val="24"/>
              </w:rPr>
              <w:t>)</w:t>
            </w:r>
            <w:r w:rsidRPr="00B629B2">
              <w:rPr>
                <w:szCs w:val="24"/>
              </w:rPr>
              <w:br/>
              <w:t>α = absorption coefficient</w:t>
            </w:r>
          </w:p>
        </w:tc>
      </w:tr>
    </w:tbl>
    <w:p w14:paraId="0A2E8432" w14:textId="77777777" w:rsidR="00E70092" w:rsidRPr="00B629B2" w:rsidRDefault="00E70092" w:rsidP="002B3E39">
      <w:pPr>
        <w:widowControl w:val="0"/>
        <w:pBdr>
          <w:top w:val="nil"/>
          <w:left w:val="nil"/>
          <w:bottom w:val="nil"/>
          <w:right w:val="nil"/>
          <w:between w:val="nil"/>
        </w:pBdr>
        <w:spacing w:after="0"/>
        <w:ind w:firstLine="284"/>
        <w:jc w:val="both"/>
        <w:rPr>
          <w:szCs w:val="24"/>
        </w:rPr>
      </w:pPr>
    </w:p>
    <w:p w14:paraId="5B3B568D" w14:textId="2027B140" w:rsidR="00E12B0C" w:rsidRPr="00FB3C47" w:rsidRDefault="00B5328B" w:rsidP="002B3E39">
      <w:pPr>
        <w:widowControl w:val="0"/>
        <w:pBdr>
          <w:top w:val="nil"/>
          <w:left w:val="nil"/>
          <w:bottom w:val="nil"/>
          <w:right w:val="nil"/>
          <w:between w:val="nil"/>
        </w:pBdr>
        <w:spacing w:after="0"/>
        <w:ind w:firstLine="284"/>
        <w:jc w:val="both"/>
      </w:pPr>
      <w:r>
        <w:rPr>
          <w:noProof/>
        </w:rPr>
        <w:drawing>
          <wp:anchor distT="0" distB="0" distL="114300" distR="114300" simplePos="0" relativeHeight="251679232" behindDoc="0" locked="0" layoutInCell="1" allowOverlap="1" wp14:anchorId="2D0A095F" wp14:editId="4608EAFE">
            <wp:simplePos x="0" y="0"/>
            <wp:positionH relativeFrom="column">
              <wp:posOffset>539115</wp:posOffset>
            </wp:positionH>
            <wp:positionV relativeFrom="paragraph">
              <wp:posOffset>1249045</wp:posOffset>
            </wp:positionV>
            <wp:extent cx="4419600" cy="2590800"/>
            <wp:effectExtent l="0" t="0" r="19050" b="19050"/>
            <wp:wrapTopAndBottom/>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E14CA07-ADBC-4272-8571-4CA2A85E3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276DC" w:rsidRPr="00B629B2">
        <w:rPr>
          <w:szCs w:val="24"/>
        </w:rPr>
        <w:t xml:space="preserve">The above equations </w:t>
      </w:r>
      <w:r w:rsidR="009B5F77" w:rsidRPr="00B629B2">
        <w:rPr>
          <w:szCs w:val="24"/>
        </w:rPr>
        <w:t>are</w:t>
      </w:r>
      <w:r w:rsidR="002B3E39" w:rsidRPr="00B629B2">
        <w:rPr>
          <w:szCs w:val="24"/>
        </w:rPr>
        <w:t xml:space="preserve"> based on</w:t>
      </w:r>
      <w:r w:rsidR="009B5F77" w:rsidRPr="00B629B2">
        <w:rPr>
          <w:szCs w:val="24"/>
        </w:rPr>
        <w:t xml:space="preserve"> absorption coefficient measurements of varying occupancy </w:t>
      </w:r>
      <w:r w:rsidR="002B3E39" w:rsidRPr="00B629B2">
        <w:rPr>
          <w:szCs w:val="24"/>
        </w:rPr>
        <w:t>densities in a reverberation chamber. The equivalent absorption areas</w:t>
      </w:r>
      <w:r w:rsidR="00E70092" w:rsidRPr="00B629B2">
        <w:rPr>
          <w:szCs w:val="24"/>
        </w:rPr>
        <w:t xml:space="preserve"> per person</w:t>
      </w:r>
      <w:r w:rsidR="002B3E39" w:rsidRPr="00B629B2">
        <w:rPr>
          <w:szCs w:val="24"/>
        </w:rPr>
        <w:t xml:space="preserve"> </w:t>
      </w:r>
      <w:r w:rsidR="009B5F77" w:rsidRPr="00B629B2">
        <w:rPr>
          <w:szCs w:val="24"/>
        </w:rPr>
        <w:t>have been</w:t>
      </w:r>
      <w:r w:rsidR="002B3E39" w:rsidRPr="00B629B2">
        <w:rPr>
          <w:szCs w:val="24"/>
        </w:rPr>
        <w:t xml:space="preserve"> calculated</w:t>
      </w:r>
      <w:r w:rsidR="001276DC" w:rsidRPr="00B629B2">
        <w:rPr>
          <w:szCs w:val="24"/>
        </w:rPr>
        <w:t xml:space="preserve"> by dividing the calculated absorption coefficient by the occupancy density (in terms of the number of people per metre square (p/m</w:t>
      </w:r>
      <w:r w:rsidR="001276DC" w:rsidRPr="00B629B2">
        <w:rPr>
          <w:szCs w:val="24"/>
          <w:vertAlign w:val="superscript"/>
        </w:rPr>
        <w:t>2</w:t>
      </w:r>
      <w:r w:rsidR="001276DC" w:rsidRPr="00B629B2">
        <w:rPr>
          <w:szCs w:val="24"/>
        </w:rPr>
        <w:t>)).</w:t>
      </w:r>
      <w:r w:rsidR="002B3E39" w:rsidRPr="00B629B2">
        <w:rPr>
          <w:szCs w:val="24"/>
        </w:rPr>
        <w:t xml:space="preserve"> </w:t>
      </w:r>
      <w:r w:rsidR="001276DC" w:rsidRPr="00B629B2">
        <w:rPr>
          <w:szCs w:val="24"/>
        </w:rPr>
        <w:t xml:space="preserve">The resulting </w:t>
      </w:r>
      <w:r w:rsidR="009B5F77" w:rsidRPr="00B629B2">
        <w:rPr>
          <w:szCs w:val="24"/>
        </w:rPr>
        <w:t xml:space="preserve">equivalent </w:t>
      </w:r>
      <w:r w:rsidR="001276DC" w:rsidRPr="00B629B2">
        <w:rPr>
          <w:szCs w:val="24"/>
        </w:rPr>
        <w:t xml:space="preserve">absorption areas </w:t>
      </w:r>
      <w:r w:rsidR="00E70092" w:rsidRPr="00B629B2">
        <w:rPr>
          <w:szCs w:val="24"/>
        </w:rPr>
        <w:t xml:space="preserve">per person </w:t>
      </w:r>
      <w:r w:rsidR="001276DC" w:rsidRPr="00B629B2">
        <w:rPr>
          <w:szCs w:val="24"/>
        </w:rPr>
        <w:t xml:space="preserve">are presented in Figure </w:t>
      </w:r>
      <w:r w:rsidR="00945B2D" w:rsidRPr="00B629B2">
        <w:rPr>
          <w:szCs w:val="24"/>
        </w:rPr>
        <w:t>2</w:t>
      </w:r>
      <w:r w:rsidR="001276DC" w:rsidRPr="00B629B2">
        <w:rPr>
          <w:szCs w:val="24"/>
        </w:rPr>
        <w:t xml:space="preserve"> below.</w:t>
      </w:r>
      <w:r w:rsidR="00C92CCB">
        <w:rPr>
          <w:szCs w:val="24"/>
        </w:rPr>
        <w:t xml:space="preserve"> Data at 8 kHz has extrapolated based on 2 </w:t>
      </w:r>
      <w:r w:rsidR="00D82C20">
        <w:rPr>
          <w:szCs w:val="24"/>
        </w:rPr>
        <w:t xml:space="preserve">kHz </w:t>
      </w:r>
      <w:r w:rsidR="00C92CCB">
        <w:rPr>
          <w:szCs w:val="24"/>
        </w:rPr>
        <w:t>and 4 kHz</w:t>
      </w:r>
      <w:r w:rsidR="00D82C20">
        <w:rPr>
          <w:szCs w:val="24"/>
        </w:rPr>
        <w:t xml:space="preserve"> values</w:t>
      </w:r>
      <w:r w:rsidR="00C92CCB">
        <w:rPr>
          <w:szCs w:val="24"/>
        </w:rPr>
        <w:t>.</w:t>
      </w:r>
    </w:p>
    <w:p w14:paraId="55363842" w14:textId="6B5333E6" w:rsidR="00945B2D" w:rsidRPr="00B629B2" w:rsidRDefault="00945B2D" w:rsidP="00945B2D">
      <w:pPr>
        <w:widowControl w:val="0"/>
        <w:pBdr>
          <w:top w:val="nil"/>
          <w:left w:val="nil"/>
          <w:bottom w:val="nil"/>
          <w:right w:val="nil"/>
          <w:between w:val="nil"/>
        </w:pBdr>
        <w:spacing w:after="0"/>
        <w:jc w:val="both"/>
        <w:rPr>
          <w:i/>
          <w:szCs w:val="24"/>
        </w:rPr>
      </w:pPr>
      <w:r w:rsidRPr="00B629B2">
        <w:rPr>
          <w:i/>
          <w:szCs w:val="24"/>
        </w:rPr>
        <w:t>Figure 2 - Calculated absorption area per person at varying occupancy densities</w:t>
      </w:r>
    </w:p>
    <w:p w14:paraId="1CCC2055" w14:textId="77777777" w:rsidR="002B3E39" w:rsidRPr="00B629B2" w:rsidRDefault="002B3E39">
      <w:pPr>
        <w:widowControl w:val="0"/>
        <w:pBdr>
          <w:top w:val="nil"/>
          <w:left w:val="nil"/>
          <w:bottom w:val="nil"/>
          <w:right w:val="nil"/>
          <w:between w:val="nil"/>
        </w:pBdr>
        <w:spacing w:after="0"/>
        <w:jc w:val="both"/>
        <w:rPr>
          <w:i/>
          <w:szCs w:val="24"/>
        </w:rPr>
      </w:pPr>
    </w:p>
    <w:p w14:paraId="5E010C28" w14:textId="1CFF600A" w:rsidR="00E45CD5" w:rsidRPr="00B629B2" w:rsidRDefault="00BD0AB8" w:rsidP="009B5F77">
      <w:r w:rsidRPr="00B629B2">
        <w:lastRenderedPageBreak/>
        <w:tab/>
      </w:r>
      <w:r w:rsidR="001276DC" w:rsidRPr="00B629B2">
        <w:t xml:space="preserve"> As can be expected from the formula</w:t>
      </w:r>
      <w:r w:rsidR="00E70092" w:rsidRPr="00B629B2">
        <w:t>s</w:t>
      </w:r>
      <w:r w:rsidR="001276DC" w:rsidRPr="00B629B2">
        <w:t xml:space="preserve"> in </w:t>
      </w:r>
      <w:r w:rsidR="009B5F77" w:rsidRPr="00B629B2">
        <w:t>Table 2</w:t>
      </w:r>
      <w:r w:rsidR="00E70092" w:rsidRPr="00B629B2">
        <w:t>,</w:t>
      </w:r>
      <w:r w:rsidR="001276DC" w:rsidRPr="00B629B2">
        <w:t xml:space="preserve"> there is no difference in the equivalent absorption area per person at 125 Hz and 250 Hz, and a slight decrease in absorption with increased occupancy at 500 Hz. The largest differences occur at 1, 2, and 4 kHz</w:t>
      </w:r>
      <w:r w:rsidR="0078784E" w:rsidRPr="00B629B2">
        <w:t xml:space="preserve">, </w:t>
      </w:r>
      <w:r w:rsidR="00D902EC" w:rsidRPr="00B629B2">
        <w:t>where the total absorption decreases</w:t>
      </w:r>
      <w:r w:rsidR="009B5F77" w:rsidRPr="00B629B2">
        <w:t xml:space="preserve"> significantly at high occupancy density</w:t>
      </w:r>
      <w:r w:rsidR="00D902EC" w:rsidRPr="00B629B2">
        <w:t xml:space="preserve">. This is due to the lower availability of </w:t>
      </w:r>
      <w:r w:rsidR="00E70092" w:rsidRPr="00B629B2">
        <w:t xml:space="preserve">exposed </w:t>
      </w:r>
      <w:r w:rsidR="00D902EC" w:rsidRPr="00B629B2">
        <w:t xml:space="preserve">absorption </w:t>
      </w:r>
      <w:r w:rsidR="00E70092" w:rsidRPr="00B629B2">
        <w:t xml:space="preserve">area </w:t>
      </w:r>
      <w:r w:rsidR="00D902EC" w:rsidRPr="00B629B2">
        <w:t>at high occupancy densities. When the density is increased the occupants are closer together and shield the adjacent person from the sound source, and therefore, stop absorption that could occur. This effect doesn’t occur at low frequencies as the wavelength is longer than the width or depth of a standing person and the waves diffract round.</w:t>
      </w:r>
    </w:p>
    <w:p w14:paraId="3924C62D" w14:textId="77777777" w:rsidR="00E12B0C" w:rsidRPr="00B629B2" w:rsidRDefault="001276DC">
      <w:pPr>
        <w:spacing w:after="0" w:line="240" w:lineRule="auto"/>
        <w:jc w:val="both"/>
        <w:rPr>
          <w:b/>
          <w:szCs w:val="24"/>
        </w:rPr>
      </w:pPr>
      <w:r w:rsidRPr="00B629B2">
        <w:rPr>
          <w:b/>
          <w:szCs w:val="24"/>
        </w:rPr>
        <w:t>3.  RESEARCH METHODOLOGY</w:t>
      </w:r>
    </w:p>
    <w:p w14:paraId="52D390FA" w14:textId="7A7B21A0" w:rsidR="000012D4" w:rsidRPr="00B629B2" w:rsidRDefault="000012D4">
      <w:pPr>
        <w:spacing w:after="0" w:line="240" w:lineRule="auto"/>
        <w:jc w:val="both"/>
        <w:rPr>
          <w:b/>
          <w:szCs w:val="24"/>
        </w:rPr>
      </w:pPr>
    </w:p>
    <w:p w14:paraId="6F5DC4A7" w14:textId="764AFFC6" w:rsidR="00945B2D" w:rsidRPr="00B629B2" w:rsidRDefault="00945B2D">
      <w:pPr>
        <w:spacing w:after="0" w:line="240" w:lineRule="auto"/>
        <w:jc w:val="both"/>
        <w:rPr>
          <w:szCs w:val="24"/>
        </w:rPr>
      </w:pPr>
      <w:r w:rsidRPr="00B629B2">
        <w:rPr>
          <w:szCs w:val="24"/>
        </w:rPr>
        <w:t>This section sets out the method for predicting the acoustic performance of the hypothetical VA system and the assumptions made within the model</w:t>
      </w:r>
    </w:p>
    <w:p w14:paraId="364340D2" w14:textId="77777777" w:rsidR="00945B2D" w:rsidRPr="00B629B2" w:rsidRDefault="00945B2D">
      <w:pPr>
        <w:spacing w:after="0" w:line="240" w:lineRule="auto"/>
        <w:jc w:val="both"/>
        <w:rPr>
          <w:szCs w:val="24"/>
        </w:rPr>
      </w:pPr>
    </w:p>
    <w:p w14:paraId="196D9E7D" w14:textId="77777777" w:rsidR="00E12B0C" w:rsidRPr="00B629B2" w:rsidRDefault="001276DC">
      <w:pPr>
        <w:spacing w:after="0" w:line="240" w:lineRule="auto"/>
        <w:jc w:val="both"/>
        <w:rPr>
          <w:b/>
          <w:szCs w:val="24"/>
        </w:rPr>
      </w:pPr>
      <w:r w:rsidRPr="00B629B2">
        <w:rPr>
          <w:b/>
          <w:szCs w:val="24"/>
        </w:rPr>
        <w:t>3.1 Acoustic Modelling</w:t>
      </w:r>
    </w:p>
    <w:p w14:paraId="1D65E8D2" w14:textId="77777777" w:rsidR="000012D4" w:rsidRPr="00B629B2" w:rsidRDefault="000012D4">
      <w:pPr>
        <w:spacing w:after="0" w:line="240" w:lineRule="auto"/>
        <w:jc w:val="both"/>
        <w:rPr>
          <w:b/>
          <w:szCs w:val="24"/>
        </w:rPr>
      </w:pPr>
    </w:p>
    <w:p w14:paraId="69A177BC" w14:textId="36ACE80A" w:rsidR="00F53CE6" w:rsidRPr="00B629B2" w:rsidRDefault="00F53CE6">
      <w:pPr>
        <w:spacing w:after="0" w:line="240" w:lineRule="auto"/>
        <w:jc w:val="both"/>
        <w:rPr>
          <w:szCs w:val="24"/>
        </w:rPr>
      </w:pPr>
      <w:r w:rsidRPr="00B629B2">
        <w:rPr>
          <w:szCs w:val="24"/>
        </w:rPr>
        <w:tab/>
      </w:r>
      <w:r w:rsidR="000012D4" w:rsidRPr="00B629B2">
        <w:rPr>
          <w:szCs w:val="24"/>
        </w:rPr>
        <w:t>Acoustic models are used to predict the likely performance of VA systems in underground platforms</w:t>
      </w:r>
      <w:r w:rsidR="009B5F77" w:rsidRPr="00B629B2">
        <w:rPr>
          <w:szCs w:val="24"/>
        </w:rPr>
        <w:t xml:space="preserve"> </w:t>
      </w:r>
      <w:r w:rsidR="00E70092" w:rsidRPr="00B629B2">
        <w:rPr>
          <w:szCs w:val="24"/>
        </w:rPr>
        <w:t>[11</w:t>
      </w:r>
      <w:r w:rsidR="00777FF3" w:rsidRPr="00B629B2">
        <w:rPr>
          <w:szCs w:val="24"/>
        </w:rPr>
        <w:t>&amp;14</w:t>
      </w:r>
      <w:r w:rsidR="00E70092" w:rsidRPr="00B629B2">
        <w:rPr>
          <w:szCs w:val="24"/>
        </w:rPr>
        <w:t>].</w:t>
      </w:r>
      <w:r w:rsidR="008E386F" w:rsidRPr="00B629B2">
        <w:rPr>
          <w:szCs w:val="24"/>
        </w:rPr>
        <w:t xml:space="preserve"> For the purposes of this investigation CATT-Acoustics (v.9.1) [15] computer simulation programme has been employed to create prediction models. </w:t>
      </w:r>
      <w:r w:rsidR="00E70092" w:rsidRPr="00B629B2">
        <w:rPr>
          <w:szCs w:val="24"/>
        </w:rPr>
        <w:t>A</w:t>
      </w:r>
      <w:r w:rsidR="00ED7209" w:rsidRPr="00B629B2">
        <w:rPr>
          <w:szCs w:val="24"/>
        </w:rPr>
        <w:t xml:space="preserve"> model </w:t>
      </w:r>
      <w:r w:rsidRPr="00B629B2">
        <w:rPr>
          <w:szCs w:val="24"/>
        </w:rPr>
        <w:t xml:space="preserve">of a hypothetical space </w:t>
      </w:r>
      <w:r w:rsidR="00ED7209" w:rsidRPr="00B629B2">
        <w:rPr>
          <w:szCs w:val="24"/>
        </w:rPr>
        <w:t>has been developed to assess the impact of occupancy density</w:t>
      </w:r>
      <w:r w:rsidRPr="00B629B2">
        <w:rPr>
          <w:szCs w:val="24"/>
        </w:rPr>
        <w:t xml:space="preserve">. The space is based on </w:t>
      </w:r>
      <w:r w:rsidR="00E70092" w:rsidRPr="00B629B2">
        <w:rPr>
          <w:szCs w:val="24"/>
        </w:rPr>
        <w:t>a</w:t>
      </w:r>
      <w:r w:rsidR="000709A8" w:rsidRPr="00B629B2">
        <w:rPr>
          <w:szCs w:val="24"/>
        </w:rPr>
        <w:t xml:space="preserve"> typical </w:t>
      </w:r>
      <w:r w:rsidRPr="00B629B2">
        <w:rPr>
          <w:szCs w:val="24"/>
        </w:rPr>
        <w:t xml:space="preserve">London Underground </w:t>
      </w:r>
      <w:r w:rsidR="000709A8" w:rsidRPr="00B629B2">
        <w:rPr>
          <w:szCs w:val="24"/>
        </w:rPr>
        <w:t>deep platform</w:t>
      </w:r>
      <w:r w:rsidRPr="00B629B2">
        <w:rPr>
          <w:szCs w:val="24"/>
        </w:rPr>
        <w:t xml:space="preserve"> and comprises of a single </w:t>
      </w:r>
      <w:r w:rsidR="00C918DF" w:rsidRPr="00B629B2">
        <w:rPr>
          <w:szCs w:val="24"/>
        </w:rPr>
        <w:t xml:space="preserve">approximately </w:t>
      </w:r>
      <w:r w:rsidRPr="00B629B2">
        <w:rPr>
          <w:szCs w:val="24"/>
        </w:rPr>
        <w:t>150m long</w:t>
      </w:r>
      <w:r w:rsidR="00777FF3" w:rsidRPr="00B629B2">
        <w:rPr>
          <w:szCs w:val="24"/>
        </w:rPr>
        <w:t>,</w:t>
      </w:r>
      <w:r w:rsidRPr="00B629B2">
        <w:rPr>
          <w:szCs w:val="24"/>
        </w:rPr>
        <w:t xml:space="preserve"> </w:t>
      </w:r>
      <w:r w:rsidR="00C918DF" w:rsidRPr="00B629B2">
        <w:rPr>
          <w:szCs w:val="24"/>
        </w:rPr>
        <w:t xml:space="preserve">6m wide and </w:t>
      </w:r>
      <w:r w:rsidR="00AE11A0" w:rsidRPr="00B629B2">
        <w:rPr>
          <w:szCs w:val="24"/>
        </w:rPr>
        <w:t>5</w:t>
      </w:r>
      <w:r w:rsidR="00C918DF" w:rsidRPr="00B629B2">
        <w:rPr>
          <w:szCs w:val="24"/>
        </w:rPr>
        <w:t xml:space="preserve">m high </w:t>
      </w:r>
      <w:r w:rsidRPr="00B629B2">
        <w:rPr>
          <w:szCs w:val="24"/>
        </w:rPr>
        <w:t xml:space="preserve">platform with </w:t>
      </w:r>
      <w:r w:rsidR="000709A8" w:rsidRPr="00B629B2">
        <w:rPr>
          <w:szCs w:val="24"/>
        </w:rPr>
        <w:t xml:space="preserve">short column </w:t>
      </w:r>
      <w:r w:rsidRPr="00B629B2">
        <w:rPr>
          <w:szCs w:val="24"/>
        </w:rPr>
        <w:t xml:space="preserve">loudspeakers distributed evenly down the entire length. </w:t>
      </w:r>
    </w:p>
    <w:p w14:paraId="4F5E2349" w14:textId="52BD22CC" w:rsidR="00157BD2" w:rsidRPr="00B629B2" w:rsidRDefault="00157BD2">
      <w:pPr>
        <w:spacing w:after="0" w:line="240" w:lineRule="auto"/>
        <w:jc w:val="both"/>
        <w:rPr>
          <w:szCs w:val="24"/>
        </w:rPr>
      </w:pPr>
      <w:r w:rsidRPr="00B629B2">
        <w:rPr>
          <w:szCs w:val="24"/>
        </w:rPr>
        <w:tab/>
        <w:t xml:space="preserve">A cross-section and a 3D projection of the platform showing the </w:t>
      </w:r>
      <w:r w:rsidR="000709A8" w:rsidRPr="00B629B2">
        <w:rPr>
          <w:szCs w:val="24"/>
        </w:rPr>
        <w:t>loud</w:t>
      </w:r>
      <w:r w:rsidRPr="00B629B2">
        <w:rPr>
          <w:szCs w:val="24"/>
        </w:rPr>
        <w:t>speaker locations (red) and the receiver locations (blue) are shown in Figure 1.</w:t>
      </w:r>
    </w:p>
    <w:p w14:paraId="5C455D7A" w14:textId="16EEBF25" w:rsidR="00157BD2" w:rsidRPr="00B629B2" w:rsidRDefault="00157BD2">
      <w:pPr>
        <w:spacing w:after="0" w:line="240" w:lineRule="auto"/>
        <w:jc w:val="both"/>
        <w:rPr>
          <w:i/>
          <w:szCs w:val="24"/>
        </w:rPr>
      </w:pPr>
    </w:p>
    <w:p w14:paraId="727B5105" w14:textId="5B1102A4" w:rsidR="009B5F77" w:rsidRPr="00B629B2" w:rsidRDefault="002A2747">
      <w:pPr>
        <w:spacing w:after="0" w:line="240" w:lineRule="auto"/>
        <w:jc w:val="both"/>
        <w:rPr>
          <w:szCs w:val="24"/>
        </w:rPr>
      </w:pPr>
      <w:r w:rsidRPr="00B629B2">
        <w:rPr>
          <w:noProof/>
        </w:rPr>
        <w:drawing>
          <wp:inline distT="0" distB="0" distL="0" distR="0" wp14:anchorId="49651ADE" wp14:editId="0EE48BD3">
            <wp:extent cx="1895475" cy="1598068"/>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6546" cy="1649557"/>
                    </a:xfrm>
                    <a:prstGeom prst="rect">
                      <a:avLst/>
                    </a:prstGeom>
                    <a:noFill/>
                    <a:ln>
                      <a:noFill/>
                    </a:ln>
                  </pic:spPr>
                </pic:pic>
              </a:graphicData>
            </a:graphic>
          </wp:inline>
        </w:drawing>
      </w:r>
      <w:r w:rsidRPr="00B629B2">
        <w:rPr>
          <w:noProof/>
        </w:rPr>
        <w:drawing>
          <wp:inline distT="0" distB="0" distL="0" distR="0" wp14:anchorId="369F459E" wp14:editId="12768BAB">
            <wp:extent cx="3486150" cy="1826339"/>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412"/>
                    <a:stretch/>
                  </pic:blipFill>
                  <pic:spPr bwMode="auto">
                    <a:xfrm>
                      <a:off x="0" y="0"/>
                      <a:ext cx="3572427" cy="1871538"/>
                    </a:xfrm>
                    <a:prstGeom prst="rect">
                      <a:avLst/>
                    </a:prstGeom>
                    <a:noFill/>
                    <a:ln>
                      <a:noFill/>
                    </a:ln>
                    <a:extLst>
                      <a:ext uri="{53640926-AAD7-44D8-BBD7-CCE9431645EC}">
                        <a14:shadowObscured xmlns:a14="http://schemas.microsoft.com/office/drawing/2010/main"/>
                      </a:ext>
                    </a:extLst>
                  </pic:spPr>
                </pic:pic>
              </a:graphicData>
            </a:graphic>
          </wp:inline>
        </w:drawing>
      </w:r>
    </w:p>
    <w:p w14:paraId="0C74BE64" w14:textId="15B7A5AD" w:rsidR="004D4973" w:rsidRPr="00B629B2" w:rsidRDefault="00AE11A0">
      <w:pPr>
        <w:spacing w:after="0" w:line="240" w:lineRule="auto"/>
        <w:jc w:val="both"/>
        <w:rPr>
          <w:i/>
          <w:szCs w:val="24"/>
        </w:rPr>
      </w:pPr>
      <w:r w:rsidRPr="00B629B2">
        <w:rPr>
          <w:i/>
          <w:szCs w:val="24"/>
        </w:rPr>
        <w:t>Figure 1 – Cross-section and 3D projection of the platform</w:t>
      </w:r>
    </w:p>
    <w:p w14:paraId="415B8C27" w14:textId="77777777" w:rsidR="00AE11A0" w:rsidRPr="00B629B2" w:rsidRDefault="00AE11A0">
      <w:pPr>
        <w:spacing w:after="0" w:line="240" w:lineRule="auto"/>
        <w:jc w:val="both"/>
        <w:rPr>
          <w:szCs w:val="24"/>
        </w:rPr>
      </w:pPr>
    </w:p>
    <w:p w14:paraId="6C8A0416" w14:textId="2291A1A5" w:rsidR="00F53CE6" w:rsidRPr="00B629B2" w:rsidRDefault="002A2747">
      <w:pPr>
        <w:spacing w:after="0" w:line="240" w:lineRule="auto"/>
        <w:jc w:val="both"/>
        <w:rPr>
          <w:szCs w:val="24"/>
        </w:rPr>
      </w:pPr>
      <w:r w:rsidRPr="00B629B2">
        <w:rPr>
          <w:szCs w:val="24"/>
        </w:rPr>
        <w:tab/>
      </w:r>
      <w:r w:rsidR="000709A8" w:rsidRPr="00B629B2">
        <w:rPr>
          <w:szCs w:val="24"/>
        </w:rPr>
        <w:t>Column l</w:t>
      </w:r>
      <w:r w:rsidR="00F53CE6" w:rsidRPr="00B629B2">
        <w:rPr>
          <w:szCs w:val="24"/>
        </w:rPr>
        <w:t>oudspeakers are mounted at a height of 2.</w:t>
      </w:r>
      <w:r w:rsidR="003F4C9B" w:rsidRPr="00B629B2">
        <w:rPr>
          <w:szCs w:val="24"/>
        </w:rPr>
        <w:t>8</w:t>
      </w:r>
      <w:r w:rsidR="00F53CE6" w:rsidRPr="00B629B2">
        <w:rPr>
          <w:szCs w:val="24"/>
        </w:rPr>
        <w:t xml:space="preserve">m </w:t>
      </w:r>
      <w:r w:rsidR="000709A8" w:rsidRPr="00B629B2">
        <w:rPr>
          <w:szCs w:val="24"/>
        </w:rPr>
        <w:t xml:space="preserve">from the platform floor </w:t>
      </w:r>
      <w:r w:rsidR="00F53CE6" w:rsidRPr="00B629B2">
        <w:rPr>
          <w:szCs w:val="24"/>
        </w:rPr>
        <w:t xml:space="preserve">and </w:t>
      </w:r>
      <w:r w:rsidR="00FD64D1" w:rsidRPr="00B629B2">
        <w:rPr>
          <w:szCs w:val="24"/>
        </w:rPr>
        <w:t xml:space="preserve">have been assigned the directivity characteristics of Penton MCS20/TEN tapped at their maximum tapping of 20W. </w:t>
      </w:r>
      <w:r w:rsidR="009B5F77" w:rsidRPr="00B629B2">
        <w:rPr>
          <w:szCs w:val="24"/>
        </w:rPr>
        <w:t>26</w:t>
      </w:r>
      <w:r w:rsidR="00FD64D1" w:rsidRPr="00B629B2">
        <w:rPr>
          <w:szCs w:val="24"/>
        </w:rPr>
        <w:t xml:space="preserve"> </w:t>
      </w:r>
      <w:r w:rsidR="00980529" w:rsidRPr="00B629B2">
        <w:rPr>
          <w:szCs w:val="24"/>
        </w:rPr>
        <w:t>loudspeakers</w:t>
      </w:r>
      <w:r w:rsidR="00FD64D1" w:rsidRPr="00B629B2">
        <w:rPr>
          <w:szCs w:val="24"/>
        </w:rPr>
        <w:t xml:space="preserve"> </w:t>
      </w:r>
      <w:r w:rsidR="009B5F77" w:rsidRPr="00B629B2">
        <w:rPr>
          <w:szCs w:val="24"/>
        </w:rPr>
        <w:t xml:space="preserve">have been used and </w:t>
      </w:r>
      <w:r w:rsidR="00FD64D1" w:rsidRPr="00B629B2">
        <w:rPr>
          <w:szCs w:val="24"/>
        </w:rPr>
        <w:t xml:space="preserve">are spaced at </w:t>
      </w:r>
      <w:r w:rsidR="00980529" w:rsidRPr="00B629B2">
        <w:rPr>
          <w:szCs w:val="24"/>
        </w:rPr>
        <w:t>5.8</w:t>
      </w:r>
      <w:r w:rsidR="00FD64D1" w:rsidRPr="00B629B2">
        <w:rPr>
          <w:szCs w:val="24"/>
        </w:rPr>
        <w:t>m intervals</w:t>
      </w:r>
      <w:r w:rsidR="009B5F77" w:rsidRPr="00B629B2">
        <w:rPr>
          <w:szCs w:val="24"/>
        </w:rPr>
        <w:t xml:space="preserve"> down the length of th</w:t>
      </w:r>
      <w:r w:rsidR="003F4C9B" w:rsidRPr="00B629B2">
        <w:rPr>
          <w:szCs w:val="24"/>
        </w:rPr>
        <w:t>e</w:t>
      </w:r>
      <w:r w:rsidR="009B5F77" w:rsidRPr="00B629B2">
        <w:rPr>
          <w:szCs w:val="24"/>
        </w:rPr>
        <w:t xml:space="preserve"> platform</w:t>
      </w:r>
      <w:r w:rsidR="003F4C9B" w:rsidRPr="00B629B2">
        <w:rPr>
          <w:szCs w:val="24"/>
        </w:rPr>
        <w:t>.</w:t>
      </w:r>
      <w:r w:rsidR="000709A8" w:rsidRPr="00B629B2">
        <w:rPr>
          <w:szCs w:val="24"/>
        </w:rPr>
        <w:t xml:space="preserve"> They are aimed with an elevation angle of 30</w:t>
      </w:r>
      <w:r w:rsidR="00AE11A0" w:rsidRPr="00B629B2">
        <w:rPr>
          <w:szCs w:val="24"/>
        </w:rPr>
        <w:t xml:space="preserve"> </w:t>
      </w:r>
      <w:r w:rsidR="000709A8" w:rsidRPr="00B629B2">
        <w:rPr>
          <w:szCs w:val="24"/>
        </w:rPr>
        <w:t xml:space="preserve">degrees to approximately focus on the audience </w:t>
      </w:r>
      <w:r w:rsidR="00E64CEC" w:rsidRPr="00B629B2">
        <w:rPr>
          <w:szCs w:val="24"/>
        </w:rPr>
        <w:t xml:space="preserve">average </w:t>
      </w:r>
      <w:r w:rsidR="000709A8" w:rsidRPr="00B629B2">
        <w:rPr>
          <w:szCs w:val="24"/>
        </w:rPr>
        <w:t>ear height</w:t>
      </w:r>
      <w:r w:rsidR="00E64CEC" w:rsidRPr="00B629B2">
        <w:rPr>
          <w:szCs w:val="24"/>
        </w:rPr>
        <w:t xml:space="preserve"> (1.6m)</w:t>
      </w:r>
      <w:r w:rsidR="00AE11A0" w:rsidRPr="00B629B2">
        <w:rPr>
          <w:szCs w:val="24"/>
        </w:rPr>
        <w:t>.</w:t>
      </w:r>
      <w:r w:rsidR="000709A8" w:rsidRPr="00B629B2">
        <w:rPr>
          <w:szCs w:val="24"/>
        </w:rPr>
        <w:t xml:space="preserve"> </w:t>
      </w:r>
    </w:p>
    <w:p w14:paraId="05CB9F28" w14:textId="14516788" w:rsidR="0036216A" w:rsidRPr="00B629B2" w:rsidRDefault="0036216A">
      <w:pPr>
        <w:spacing w:after="0" w:line="240" w:lineRule="auto"/>
        <w:jc w:val="both"/>
        <w:rPr>
          <w:szCs w:val="24"/>
        </w:rPr>
      </w:pPr>
      <w:r w:rsidRPr="00B629B2">
        <w:rPr>
          <w:szCs w:val="24"/>
        </w:rPr>
        <w:tab/>
        <w:t xml:space="preserve">Acoustic panels were included in the model </w:t>
      </w:r>
      <w:r w:rsidR="00E64CEC" w:rsidRPr="00B629B2">
        <w:rPr>
          <w:szCs w:val="24"/>
        </w:rPr>
        <w:t>to represent a platform with acoustic treatment intended</w:t>
      </w:r>
      <w:r w:rsidRPr="00B629B2">
        <w:rPr>
          <w:szCs w:val="24"/>
        </w:rPr>
        <w:t xml:space="preserve"> to increase the STI to a compliant state under the </w:t>
      </w:r>
      <w:r w:rsidR="00E64CEC" w:rsidRPr="00B629B2">
        <w:rPr>
          <w:szCs w:val="24"/>
        </w:rPr>
        <w:t xml:space="preserve">worst case (empty) </w:t>
      </w:r>
      <w:r w:rsidRPr="00B629B2">
        <w:rPr>
          <w:szCs w:val="24"/>
        </w:rPr>
        <w:t xml:space="preserve">scenario. Acoustic absorption is </w:t>
      </w:r>
      <w:r w:rsidR="00786F95" w:rsidRPr="00B629B2">
        <w:rPr>
          <w:szCs w:val="24"/>
        </w:rPr>
        <w:t xml:space="preserve">increasingly included in London Underground Stations as compliance with the Standards given in Table </w:t>
      </w:r>
      <w:r w:rsidR="003F4C9B" w:rsidRPr="00B629B2">
        <w:rPr>
          <w:szCs w:val="24"/>
        </w:rPr>
        <w:t>1</w:t>
      </w:r>
      <w:r w:rsidR="00786F95" w:rsidRPr="00B629B2">
        <w:rPr>
          <w:szCs w:val="24"/>
        </w:rPr>
        <w:t xml:space="preserve"> is being sought for new stations (such as the new Crossrail Station) and stations undergoing refurbishment. </w:t>
      </w:r>
    </w:p>
    <w:p w14:paraId="6FA56904" w14:textId="27558A88" w:rsidR="00412277" w:rsidRPr="00B629B2" w:rsidRDefault="00412277">
      <w:pPr>
        <w:spacing w:after="0" w:line="240" w:lineRule="auto"/>
        <w:jc w:val="both"/>
        <w:rPr>
          <w:szCs w:val="24"/>
        </w:rPr>
      </w:pPr>
      <w:r w:rsidRPr="00B629B2">
        <w:rPr>
          <w:b/>
          <w:szCs w:val="24"/>
        </w:rPr>
        <w:lastRenderedPageBreak/>
        <w:tab/>
      </w:r>
      <w:r w:rsidRPr="00B629B2">
        <w:rPr>
          <w:szCs w:val="24"/>
        </w:rPr>
        <w:t xml:space="preserve">A total of 15 </w:t>
      </w:r>
      <w:r w:rsidR="00E64CEC" w:rsidRPr="00B629B2">
        <w:rPr>
          <w:szCs w:val="24"/>
        </w:rPr>
        <w:t xml:space="preserve">simulated </w:t>
      </w:r>
      <w:r w:rsidRPr="00B629B2">
        <w:rPr>
          <w:szCs w:val="24"/>
        </w:rPr>
        <w:t xml:space="preserve">receivers have </w:t>
      </w:r>
      <w:r w:rsidR="00A6099B" w:rsidRPr="00B629B2">
        <w:rPr>
          <w:szCs w:val="24"/>
        </w:rPr>
        <w:t xml:space="preserve">been </w:t>
      </w:r>
      <w:r w:rsidRPr="00B629B2">
        <w:rPr>
          <w:szCs w:val="24"/>
        </w:rPr>
        <w:t>placed in the model at a height of 1.6m above the floor (in accordance with BS EN 50849:2017</w:t>
      </w:r>
      <w:r w:rsidR="00777FF3" w:rsidRPr="00B629B2">
        <w:rPr>
          <w:szCs w:val="24"/>
        </w:rPr>
        <w:t xml:space="preserve"> [1</w:t>
      </w:r>
      <w:r w:rsidR="008E386F" w:rsidRPr="00B629B2">
        <w:rPr>
          <w:szCs w:val="24"/>
        </w:rPr>
        <w:t>6</w:t>
      </w:r>
      <w:r w:rsidR="00777FF3" w:rsidRPr="00B629B2">
        <w:rPr>
          <w:szCs w:val="24"/>
        </w:rPr>
        <w:t>]</w:t>
      </w:r>
      <w:r w:rsidRPr="00B629B2">
        <w:rPr>
          <w:szCs w:val="24"/>
        </w:rPr>
        <w:t xml:space="preserve">). All </w:t>
      </w:r>
      <w:r w:rsidR="00291275" w:rsidRPr="00B629B2">
        <w:rPr>
          <w:szCs w:val="24"/>
        </w:rPr>
        <w:t xml:space="preserve">receivers </w:t>
      </w:r>
      <w:r w:rsidRPr="00B629B2">
        <w:rPr>
          <w:szCs w:val="24"/>
        </w:rPr>
        <w:t xml:space="preserve">are located </w:t>
      </w:r>
      <w:r w:rsidR="00B629B2" w:rsidRPr="00B629B2">
        <w:rPr>
          <w:szCs w:val="24"/>
        </w:rPr>
        <w:t>along the</w:t>
      </w:r>
      <w:r w:rsidRPr="00B629B2">
        <w:rPr>
          <w:szCs w:val="24"/>
        </w:rPr>
        <w:t xml:space="preserve"> </w:t>
      </w:r>
      <w:r w:rsidR="0005720B" w:rsidRPr="00B629B2">
        <w:rPr>
          <w:szCs w:val="24"/>
        </w:rPr>
        <w:t>platform length on</w:t>
      </w:r>
      <w:r w:rsidR="00A6099B" w:rsidRPr="00B629B2">
        <w:rPr>
          <w:szCs w:val="24"/>
        </w:rPr>
        <w:t xml:space="preserve"> </w:t>
      </w:r>
      <w:r w:rsidR="0005720B" w:rsidRPr="00B629B2">
        <w:rPr>
          <w:szCs w:val="24"/>
        </w:rPr>
        <w:t xml:space="preserve">a line located at </w:t>
      </w:r>
      <w:r w:rsidR="00A6099B" w:rsidRPr="00B629B2">
        <w:rPr>
          <w:szCs w:val="24"/>
        </w:rPr>
        <w:t>half platform width</w:t>
      </w:r>
      <w:r w:rsidR="0005720B" w:rsidRPr="00B629B2">
        <w:rPr>
          <w:szCs w:val="24"/>
        </w:rPr>
        <w:t>.</w:t>
      </w:r>
      <w:r w:rsidR="00A6099B" w:rsidRPr="00B629B2">
        <w:rPr>
          <w:szCs w:val="24"/>
        </w:rPr>
        <w:t xml:space="preserve"> </w:t>
      </w:r>
      <w:r w:rsidR="003F59C8" w:rsidRPr="00B629B2">
        <w:rPr>
          <w:szCs w:val="24"/>
        </w:rPr>
        <w:t>Simulated</w:t>
      </w:r>
      <w:r w:rsidR="0005720B" w:rsidRPr="00B629B2">
        <w:rPr>
          <w:szCs w:val="24"/>
        </w:rPr>
        <w:t xml:space="preserve"> </w:t>
      </w:r>
      <w:r w:rsidR="00B629B2" w:rsidRPr="00B629B2">
        <w:rPr>
          <w:szCs w:val="24"/>
        </w:rPr>
        <w:t>receivers are</w:t>
      </w:r>
      <w:r w:rsidRPr="00B629B2">
        <w:rPr>
          <w:szCs w:val="24"/>
        </w:rPr>
        <w:t xml:space="preserve"> </w:t>
      </w:r>
      <w:r w:rsidR="0005720B" w:rsidRPr="00B629B2">
        <w:rPr>
          <w:szCs w:val="24"/>
        </w:rPr>
        <w:t xml:space="preserve">placed </w:t>
      </w:r>
      <w:r w:rsidRPr="00B629B2">
        <w:rPr>
          <w:szCs w:val="24"/>
        </w:rPr>
        <w:t xml:space="preserve">at a distance of 10m apart so that they </w:t>
      </w:r>
      <w:r w:rsidR="00291275" w:rsidRPr="00B629B2">
        <w:rPr>
          <w:szCs w:val="24"/>
        </w:rPr>
        <w:t>cover areas</w:t>
      </w:r>
      <w:r w:rsidR="00AE11A0" w:rsidRPr="00B629B2">
        <w:rPr>
          <w:szCs w:val="24"/>
        </w:rPr>
        <w:t xml:space="preserve"> </w:t>
      </w:r>
      <w:r w:rsidR="00291275" w:rsidRPr="00B629B2">
        <w:rPr>
          <w:szCs w:val="24"/>
        </w:rPr>
        <w:t xml:space="preserve">of on axis and off </w:t>
      </w:r>
      <w:r w:rsidR="00B629B2" w:rsidRPr="00B629B2">
        <w:rPr>
          <w:szCs w:val="24"/>
        </w:rPr>
        <w:t>axis projection</w:t>
      </w:r>
      <w:r w:rsidR="0005720B" w:rsidRPr="00B629B2">
        <w:rPr>
          <w:szCs w:val="24"/>
        </w:rPr>
        <w:t xml:space="preserve"> </w:t>
      </w:r>
      <w:r w:rsidR="00291275" w:rsidRPr="00B629B2">
        <w:rPr>
          <w:szCs w:val="24"/>
        </w:rPr>
        <w:t>from the loudspeakers</w:t>
      </w:r>
      <w:r w:rsidR="003F4C9B" w:rsidRPr="00B629B2">
        <w:rPr>
          <w:szCs w:val="24"/>
        </w:rPr>
        <w:t>.</w:t>
      </w:r>
    </w:p>
    <w:p w14:paraId="37BAB417" w14:textId="77777777" w:rsidR="000012D4" w:rsidRPr="00B629B2" w:rsidRDefault="000012D4">
      <w:pPr>
        <w:spacing w:after="0" w:line="240" w:lineRule="auto"/>
        <w:jc w:val="both"/>
        <w:rPr>
          <w:b/>
          <w:szCs w:val="24"/>
        </w:rPr>
      </w:pPr>
    </w:p>
    <w:p w14:paraId="109BB717" w14:textId="77777777" w:rsidR="00E12B0C" w:rsidRPr="00B629B2" w:rsidRDefault="001276DC">
      <w:pPr>
        <w:spacing w:after="0" w:line="240" w:lineRule="auto"/>
        <w:jc w:val="both"/>
        <w:rPr>
          <w:b/>
          <w:szCs w:val="24"/>
        </w:rPr>
      </w:pPr>
      <w:r w:rsidRPr="00B629B2">
        <w:rPr>
          <w:b/>
          <w:szCs w:val="24"/>
        </w:rPr>
        <w:t>3.3 Surface Finishes</w:t>
      </w:r>
    </w:p>
    <w:p w14:paraId="40CBB3F0" w14:textId="77777777" w:rsidR="005D5345" w:rsidRPr="00B629B2" w:rsidRDefault="005D5345">
      <w:pPr>
        <w:spacing w:after="0" w:line="240" w:lineRule="auto"/>
        <w:jc w:val="both"/>
        <w:rPr>
          <w:b/>
          <w:szCs w:val="24"/>
        </w:rPr>
      </w:pPr>
    </w:p>
    <w:p w14:paraId="61C2DC12" w14:textId="5FDD096C" w:rsidR="00E45CD5" w:rsidRPr="00B629B2" w:rsidRDefault="00BD0AB8">
      <w:pPr>
        <w:spacing w:after="0" w:line="240" w:lineRule="auto"/>
        <w:jc w:val="both"/>
        <w:rPr>
          <w:szCs w:val="24"/>
        </w:rPr>
      </w:pPr>
      <w:r w:rsidRPr="00B629B2">
        <w:rPr>
          <w:szCs w:val="24"/>
        </w:rPr>
        <w:tab/>
      </w:r>
      <w:r w:rsidR="005D5345" w:rsidRPr="00B629B2">
        <w:rPr>
          <w:szCs w:val="24"/>
        </w:rPr>
        <w:t xml:space="preserve">Surface finishes have been implemented based </w:t>
      </w:r>
      <w:r w:rsidR="00F34489" w:rsidRPr="00B629B2">
        <w:rPr>
          <w:szCs w:val="24"/>
        </w:rPr>
        <w:t xml:space="preserve">on </w:t>
      </w:r>
      <w:r w:rsidR="005D5345" w:rsidRPr="00B629B2">
        <w:rPr>
          <w:szCs w:val="24"/>
        </w:rPr>
        <w:t xml:space="preserve">the materials found in </w:t>
      </w:r>
      <w:r w:rsidR="00F34489" w:rsidRPr="00B629B2">
        <w:rPr>
          <w:szCs w:val="24"/>
        </w:rPr>
        <w:t xml:space="preserve">a deep London Underground </w:t>
      </w:r>
      <w:r w:rsidR="005D5345" w:rsidRPr="00B629B2">
        <w:rPr>
          <w:szCs w:val="24"/>
        </w:rPr>
        <w:t>platform</w:t>
      </w:r>
      <w:r w:rsidR="00F34489" w:rsidRPr="00B629B2">
        <w:rPr>
          <w:szCs w:val="24"/>
        </w:rPr>
        <w:t xml:space="preserve"> and common</w:t>
      </w:r>
      <w:r w:rsidR="007001A4">
        <w:rPr>
          <w:szCs w:val="24"/>
        </w:rPr>
        <w:t xml:space="preserve"> materials found</w:t>
      </w:r>
      <w:r w:rsidR="00F34489" w:rsidRPr="00B629B2">
        <w:rPr>
          <w:szCs w:val="24"/>
        </w:rPr>
        <w:t xml:space="preserve"> on underground </w:t>
      </w:r>
      <w:r w:rsidR="00AE11A0" w:rsidRPr="00B629B2">
        <w:rPr>
          <w:szCs w:val="24"/>
        </w:rPr>
        <w:t>rail</w:t>
      </w:r>
      <w:r w:rsidR="00F34489" w:rsidRPr="00B629B2">
        <w:rPr>
          <w:szCs w:val="24"/>
        </w:rPr>
        <w:t xml:space="preserve"> stations</w:t>
      </w:r>
      <w:r w:rsidR="005D5345" w:rsidRPr="00B629B2">
        <w:rPr>
          <w:szCs w:val="24"/>
        </w:rPr>
        <w:t xml:space="preserve">. With the exception of the acoustic </w:t>
      </w:r>
      <w:r w:rsidR="00F34489" w:rsidRPr="00B629B2">
        <w:rPr>
          <w:szCs w:val="24"/>
        </w:rPr>
        <w:t>treatment panels</w:t>
      </w:r>
      <w:r w:rsidR="005D5345" w:rsidRPr="00B629B2">
        <w:rPr>
          <w:szCs w:val="24"/>
        </w:rPr>
        <w:t xml:space="preserve">, </w:t>
      </w:r>
      <w:r w:rsidR="00F34489" w:rsidRPr="00B629B2">
        <w:rPr>
          <w:szCs w:val="24"/>
        </w:rPr>
        <w:t>surface materials</w:t>
      </w:r>
      <w:r w:rsidR="005D5345" w:rsidRPr="00B629B2">
        <w:rPr>
          <w:szCs w:val="24"/>
        </w:rPr>
        <w:t xml:space="preserve"> are all largely acoustically reflective. The materials and their absorption coefficients used within the model are presented in </w:t>
      </w:r>
      <w:r w:rsidR="003F4C9B" w:rsidRPr="00B629B2">
        <w:rPr>
          <w:szCs w:val="24"/>
        </w:rPr>
        <w:t>Table 3</w:t>
      </w:r>
      <w:r w:rsidR="005D5345" w:rsidRPr="00B629B2">
        <w:rPr>
          <w:szCs w:val="24"/>
        </w:rPr>
        <w:t xml:space="preserve"> below. </w:t>
      </w:r>
      <w:r w:rsidR="007A7911" w:rsidRPr="00B629B2">
        <w:rPr>
          <w:szCs w:val="24"/>
        </w:rPr>
        <w:t>A</w:t>
      </w:r>
      <w:r w:rsidR="00E932C8" w:rsidRPr="00B629B2">
        <w:rPr>
          <w:szCs w:val="24"/>
        </w:rPr>
        <w:t xml:space="preserve">bsorption coefficients </w:t>
      </w:r>
      <w:r w:rsidR="007A7911" w:rsidRPr="00B629B2">
        <w:rPr>
          <w:szCs w:val="24"/>
        </w:rPr>
        <w:t xml:space="preserve">data </w:t>
      </w:r>
      <w:r w:rsidR="008E386F" w:rsidRPr="00B629B2">
        <w:rPr>
          <w:szCs w:val="24"/>
        </w:rPr>
        <w:t xml:space="preserve">for </w:t>
      </w:r>
      <w:r w:rsidR="00E932C8" w:rsidRPr="00B629B2">
        <w:rPr>
          <w:szCs w:val="24"/>
        </w:rPr>
        <w:t xml:space="preserve">8 kHz </w:t>
      </w:r>
      <w:r w:rsidR="007A7911" w:rsidRPr="00B629B2">
        <w:rPr>
          <w:szCs w:val="24"/>
        </w:rPr>
        <w:t xml:space="preserve">is normally </w:t>
      </w:r>
      <w:r w:rsidR="00E932C8" w:rsidRPr="00B629B2">
        <w:rPr>
          <w:szCs w:val="24"/>
        </w:rPr>
        <w:t>not available</w:t>
      </w:r>
      <w:r w:rsidR="008E386F" w:rsidRPr="00B629B2">
        <w:rPr>
          <w:szCs w:val="24"/>
        </w:rPr>
        <w:t xml:space="preserve"> in the literature</w:t>
      </w:r>
      <w:r w:rsidR="007001A4">
        <w:rPr>
          <w:szCs w:val="24"/>
        </w:rPr>
        <w:t xml:space="preserve"> and so, f</w:t>
      </w:r>
      <w:r w:rsidR="007A7911" w:rsidRPr="00B629B2">
        <w:rPr>
          <w:szCs w:val="24"/>
        </w:rPr>
        <w:t xml:space="preserve">or the purposes of this </w:t>
      </w:r>
      <w:r w:rsidR="008E386F" w:rsidRPr="00B629B2">
        <w:rPr>
          <w:szCs w:val="24"/>
        </w:rPr>
        <w:t>study</w:t>
      </w:r>
      <w:r w:rsidR="007001A4">
        <w:rPr>
          <w:szCs w:val="24"/>
        </w:rPr>
        <w:t>,</w:t>
      </w:r>
      <w:r w:rsidR="008E386F" w:rsidRPr="00B629B2">
        <w:rPr>
          <w:szCs w:val="24"/>
        </w:rPr>
        <w:t xml:space="preserve"> 8kHz data </w:t>
      </w:r>
      <w:r w:rsidR="007001A4">
        <w:rPr>
          <w:szCs w:val="24"/>
        </w:rPr>
        <w:t>has been</w:t>
      </w:r>
      <w:r w:rsidR="00E932C8" w:rsidRPr="00B629B2">
        <w:rPr>
          <w:szCs w:val="24"/>
        </w:rPr>
        <w:t xml:space="preserve"> </w:t>
      </w:r>
      <w:r w:rsidR="008E386F" w:rsidRPr="00B629B2">
        <w:rPr>
          <w:szCs w:val="24"/>
        </w:rPr>
        <w:t xml:space="preserve">obtained by </w:t>
      </w:r>
      <w:r w:rsidR="007001A4">
        <w:rPr>
          <w:szCs w:val="24"/>
        </w:rPr>
        <w:t xml:space="preserve">using the </w:t>
      </w:r>
      <w:r w:rsidR="00E932C8" w:rsidRPr="00B629B2">
        <w:rPr>
          <w:szCs w:val="24"/>
        </w:rPr>
        <w:t>extrapolat</w:t>
      </w:r>
      <w:r w:rsidR="008E386F" w:rsidRPr="00B629B2">
        <w:rPr>
          <w:szCs w:val="24"/>
        </w:rPr>
        <w:t>ion</w:t>
      </w:r>
      <w:r w:rsidR="00E932C8" w:rsidRPr="00B629B2">
        <w:rPr>
          <w:szCs w:val="24"/>
        </w:rPr>
        <w:t xml:space="preserve"> </w:t>
      </w:r>
      <w:r w:rsidR="008E386F" w:rsidRPr="00B629B2">
        <w:rPr>
          <w:szCs w:val="24"/>
        </w:rPr>
        <w:t xml:space="preserve">function </w:t>
      </w:r>
      <w:r w:rsidR="00E932C8" w:rsidRPr="00B629B2">
        <w:rPr>
          <w:szCs w:val="24"/>
        </w:rPr>
        <w:t>within CATT-Acoustic as explained in the software manual [</w:t>
      </w:r>
      <w:r w:rsidR="008E386F" w:rsidRPr="00B629B2">
        <w:rPr>
          <w:szCs w:val="24"/>
        </w:rPr>
        <w:t>15</w:t>
      </w:r>
      <w:r w:rsidR="00E932C8" w:rsidRPr="00B629B2">
        <w:rPr>
          <w:szCs w:val="24"/>
        </w:rPr>
        <w:t>].</w:t>
      </w:r>
    </w:p>
    <w:p w14:paraId="2EAA3749" w14:textId="77777777" w:rsidR="005D5345" w:rsidRPr="00B629B2" w:rsidRDefault="005D5345">
      <w:pPr>
        <w:spacing w:after="0" w:line="240" w:lineRule="auto"/>
        <w:jc w:val="both"/>
        <w:rPr>
          <w:szCs w:val="24"/>
        </w:rPr>
      </w:pPr>
    </w:p>
    <w:p w14:paraId="0B818F3C" w14:textId="77777777" w:rsidR="005D5345" w:rsidRPr="00B629B2" w:rsidRDefault="003F4C9B">
      <w:pPr>
        <w:spacing w:after="0" w:line="240" w:lineRule="auto"/>
        <w:jc w:val="both"/>
        <w:rPr>
          <w:i/>
          <w:szCs w:val="24"/>
        </w:rPr>
      </w:pPr>
      <w:r w:rsidRPr="00B629B2">
        <w:rPr>
          <w:i/>
          <w:szCs w:val="24"/>
        </w:rPr>
        <w:t xml:space="preserve">Table 3 – </w:t>
      </w:r>
      <w:r w:rsidR="00EE496D" w:rsidRPr="00B629B2">
        <w:rPr>
          <w:i/>
          <w:szCs w:val="24"/>
        </w:rPr>
        <w:t xml:space="preserve">Absorption Coefficients Used in Acoustic </w:t>
      </w:r>
      <w:r w:rsidRPr="00B629B2">
        <w:rPr>
          <w:i/>
          <w:szCs w:val="24"/>
        </w:rPr>
        <w:t>model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8"/>
        <w:gridCol w:w="1595"/>
        <w:gridCol w:w="846"/>
        <w:gridCol w:w="846"/>
        <w:gridCol w:w="846"/>
        <w:gridCol w:w="846"/>
        <w:gridCol w:w="846"/>
        <w:gridCol w:w="846"/>
        <w:gridCol w:w="841"/>
      </w:tblGrid>
      <w:tr w:rsidR="003F59C8" w:rsidRPr="00B629B2" w14:paraId="56B7346F" w14:textId="0DFF4B26" w:rsidTr="00B629B2">
        <w:tc>
          <w:tcPr>
            <w:tcW w:w="693" w:type="pct"/>
            <w:vMerge w:val="restart"/>
            <w:vAlign w:val="center"/>
          </w:tcPr>
          <w:p w14:paraId="0460AB78" w14:textId="77777777" w:rsidR="003F59C8" w:rsidRPr="00B629B2" w:rsidRDefault="003F59C8" w:rsidP="003F4C9B">
            <w:pPr>
              <w:spacing w:before="60" w:after="60"/>
              <w:jc w:val="center"/>
            </w:pPr>
            <w:r w:rsidRPr="00B629B2">
              <w:t>Finish</w:t>
            </w:r>
          </w:p>
        </w:tc>
        <w:tc>
          <w:tcPr>
            <w:tcW w:w="915" w:type="pct"/>
            <w:vMerge w:val="restart"/>
            <w:vAlign w:val="center"/>
          </w:tcPr>
          <w:p w14:paraId="0B9ED6B1" w14:textId="77777777" w:rsidR="003F59C8" w:rsidRPr="00B629B2" w:rsidRDefault="003F59C8" w:rsidP="003F4C9B">
            <w:pPr>
              <w:spacing w:before="60" w:after="60"/>
              <w:jc w:val="center"/>
            </w:pPr>
            <w:r w:rsidRPr="00B629B2">
              <w:t>Location</w:t>
            </w:r>
          </w:p>
        </w:tc>
        <w:tc>
          <w:tcPr>
            <w:tcW w:w="3393" w:type="pct"/>
            <w:gridSpan w:val="7"/>
            <w:vAlign w:val="center"/>
          </w:tcPr>
          <w:p w14:paraId="15F2A4F5" w14:textId="5294FB83" w:rsidR="003F59C8" w:rsidRPr="00B629B2" w:rsidRDefault="003F59C8" w:rsidP="003F4C9B">
            <w:pPr>
              <w:spacing w:before="60" w:after="60"/>
              <w:jc w:val="center"/>
            </w:pPr>
            <w:r w:rsidRPr="00B629B2">
              <w:t>Absorption Coefficient at Octave Band Centre Frequency (Hz)</w:t>
            </w:r>
          </w:p>
        </w:tc>
      </w:tr>
      <w:tr w:rsidR="003F59C8" w:rsidRPr="00B629B2" w14:paraId="6C94A61A" w14:textId="18AF0EAB" w:rsidTr="00B629B2">
        <w:tc>
          <w:tcPr>
            <w:tcW w:w="693" w:type="pct"/>
            <w:vMerge/>
            <w:tcBorders>
              <w:bottom w:val="single" w:sz="12" w:space="0" w:color="auto"/>
            </w:tcBorders>
            <w:vAlign w:val="center"/>
          </w:tcPr>
          <w:p w14:paraId="4D635945" w14:textId="77777777" w:rsidR="003F59C8" w:rsidRPr="00B629B2" w:rsidRDefault="003F59C8" w:rsidP="003F4C9B">
            <w:pPr>
              <w:spacing w:before="60" w:after="60"/>
              <w:jc w:val="center"/>
            </w:pPr>
          </w:p>
        </w:tc>
        <w:tc>
          <w:tcPr>
            <w:tcW w:w="915" w:type="pct"/>
            <w:vMerge/>
            <w:tcBorders>
              <w:bottom w:val="single" w:sz="12" w:space="0" w:color="auto"/>
            </w:tcBorders>
            <w:vAlign w:val="center"/>
          </w:tcPr>
          <w:p w14:paraId="776488D3" w14:textId="77777777" w:rsidR="003F59C8" w:rsidRPr="00B629B2" w:rsidRDefault="003F59C8" w:rsidP="003F4C9B">
            <w:pPr>
              <w:spacing w:before="60" w:after="60"/>
              <w:jc w:val="center"/>
            </w:pPr>
          </w:p>
        </w:tc>
        <w:tc>
          <w:tcPr>
            <w:tcW w:w="485" w:type="pct"/>
            <w:tcBorders>
              <w:top w:val="single" w:sz="6" w:space="0" w:color="auto"/>
              <w:bottom w:val="single" w:sz="12" w:space="0" w:color="auto"/>
            </w:tcBorders>
            <w:vAlign w:val="center"/>
          </w:tcPr>
          <w:p w14:paraId="66E201E8" w14:textId="77777777" w:rsidR="003F59C8" w:rsidRPr="00B629B2" w:rsidRDefault="003F59C8" w:rsidP="003F4C9B">
            <w:pPr>
              <w:spacing w:before="60" w:after="60"/>
              <w:jc w:val="center"/>
            </w:pPr>
            <w:r w:rsidRPr="00B629B2">
              <w:t>125</w:t>
            </w:r>
          </w:p>
        </w:tc>
        <w:tc>
          <w:tcPr>
            <w:tcW w:w="485" w:type="pct"/>
            <w:tcBorders>
              <w:top w:val="single" w:sz="6" w:space="0" w:color="auto"/>
              <w:bottom w:val="single" w:sz="12" w:space="0" w:color="auto"/>
            </w:tcBorders>
            <w:vAlign w:val="center"/>
          </w:tcPr>
          <w:p w14:paraId="077019D8" w14:textId="77777777" w:rsidR="003F59C8" w:rsidRPr="00B629B2" w:rsidRDefault="003F59C8" w:rsidP="003F4C9B">
            <w:pPr>
              <w:spacing w:before="60" w:after="60"/>
              <w:jc w:val="center"/>
            </w:pPr>
            <w:r w:rsidRPr="00B629B2">
              <w:t>250</w:t>
            </w:r>
          </w:p>
        </w:tc>
        <w:tc>
          <w:tcPr>
            <w:tcW w:w="485" w:type="pct"/>
            <w:tcBorders>
              <w:top w:val="single" w:sz="6" w:space="0" w:color="auto"/>
              <w:bottom w:val="single" w:sz="12" w:space="0" w:color="auto"/>
            </w:tcBorders>
            <w:vAlign w:val="center"/>
          </w:tcPr>
          <w:p w14:paraId="729C30E8" w14:textId="77777777" w:rsidR="003F59C8" w:rsidRPr="00B629B2" w:rsidRDefault="003F59C8" w:rsidP="003F4C9B">
            <w:pPr>
              <w:spacing w:before="60" w:after="60"/>
              <w:jc w:val="center"/>
            </w:pPr>
            <w:r w:rsidRPr="00B629B2">
              <w:t>500</w:t>
            </w:r>
          </w:p>
        </w:tc>
        <w:tc>
          <w:tcPr>
            <w:tcW w:w="485" w:type="pct"/>
            <w:tcBorders>
              <w:top w:val="single" w:sz="6" w:space="0" w:color="auto"/>
              <w:bottom w:val="single" w:sz="12" w:space="0" w:color="auto"/>
            </w:tcBorders>
            <w:vAlign w:val="center"/>
          </w:tcPr>
          <w:p w14:paraId="6D0D3262" w14:textId="77777777" w:rsidR="003F59C8" w:rsidRPr="00B629B2" w:rsidRDefault="003F59C8" w:rsidP="003F4C9B">
            <w:pPr>
              <w:spacing w:before="60" w:after="60"/>
              <w:jc w:val="center"/>
            </w:pPr>
            <w:r w:rsidRPr="00B629B2">
              <w:t>1k</w:t>
            </w:r>
          </w:p>
        </w:tc>
        <w:tc>
          <w:tcPr>
            <w:tcW w:w="485" w:type="pct"/>
            <w:tcBorders>
              <w:top w:val="single" w:sz="6" w:space="0" w:color="auto"/>
              <w:bottom w:val="single" w:sz="12" w:space="0" w:color="auto"/>
            </w:tcBorders>
            <w:vAlign w:val="center"/>
          </w:tcPr>
          <w:p w14:paraId="2E52CE6B" w14:textId="77777777" w:rsidR="003F59C8" w:rsidRPr="00B629B2" w:rsidRDefault="003F59C8" w:rsidP="003F4C9B">
            <w:pPr>
              <w:spacing w:before="60" w:after="60"/>
              <w:jc w:val="center"/>
            </w:pPr>
            <w:r w:rsidRPr="00B629B2">
              <w:t>2k</w:t>
            </w:r>
          </w:p>
        </w:tc>
        <w:tc>
          <w:tcPr>
            <w:tcW w:w="485" w:type="pct"/>
            <w:tcBorders>
              <w:top w:val="single" w:sz="6" w:space="0" w:color="auto"/>
              <w:bottom w:val="single" w:sz="12" w:space="0" w:color="auto"/>
            </w:tcBorders>
            <w:vAlign w:val="center"/>
          </w:tcPr>
          <w:p w14:paraId="39C5993E" w14:textId="77777777" w:rsidR="003F59C8" w:rsidRPr="00B629B2" w:rsidRDefault="003F59C8" w:rsidP="003F4C9B">
            <w:pPr>
              <w:spacing w:before="60" w:after="60"/>
              <w:jc w:val="center"/>
            </w:pPr>
            <w:r w:rsidRPr="00B629B2">
              <w:t>4k</w:t>
            </w:r>
          </w:p>
        </w:tc>
        <w:tc>
          <w:tcPr>
            <w:tcW w:w="482" w:type="pct"/>
            <w:tcBorders>
              <w:top w:val="single" w:sz="6" w:space="0" w:color="auto"/>
              <w:bottom w:val="single" w:sz="12" w:space="0" w:color="auto"/>
            </w:tcBorders>
          </w:tcPr>
          <w:p w14:paraId="0ED26A6D" w14:textId="70777935" w:rsidR="003F59C8" w:rsidRPr="00B629B2" w:rsidRDefault="003F59C8" w:rsidP="003F4C9B">
            <w:pPr>
              <w:spacing w:before="60" w:after="60"/>
              <w:jc w:val="center"/>
            </w:pPr>
            <w:r w:rsidRPr="00B629B2">
              <w:t>8k</w:t>
            </w:r>
          </w:p>
        </w:tc>
      </w:tr>
      <w:tr w:rsidR="003F59C8" w:rsidRPr="00B629B2" w14:paraId="07E55D25" w14:textId="394982D5" w:rsidTr="00B629B2">
        <w:tc>
          <w:tcPr>
            <w:tcW w:w="693" w:type="pct"/>
            <w:tcBorders>
              <w:top w:val="single" w:sz="12" w:space="0" w:color="auto"/>
            </w:tcBorders>
            <w:vAlign w:val="center"/>
          </w:tcPr>
          <w:p w14:paraId="1DB537B2" w14:textId="77777777" w:rsidR="003F59C8" w:rsidRPr="00B629B2" w:rsidRDefault="003F59C8" w:rsidP="003F59C8">
            <w:pPr>
              <w:spacing w:before="60" w:after="60"/>
              <w:jc w:val="center"/>
            </w:pPr>
            <w:r w:rsidRPr="00B629B2">
              <w:t>Concrete</w:t>
            </w:r>
          </w:p>
        </w:tc>
        <w:tc>
          <w:tcPr>
            <w:tcW w:w="915" w:type="pct"/>
            <w:tcBorders>
              <w:top w:val="single" w:sz="12" w:space="0" w:color="auto"/>
            </w:tcBorders>
            <w:vAlign w:val="center"/>
          </w:tcPr>
          <w:p w14:paraId="4C267211" w14:textId="77777777" w:rsidR="003F59C8" w:rsidRPr="00B629B2" w:rsidRDefault="003F59C8" w:rsidP="003F59C8">
            <w:pPr>
              <w:spacing w:before="60" w:after="60"/>
              <w:jc w:val="center"/>
            </w:pPr>
            <w:r w:rsidRPr="00B629B2">
              <w:t>Floor, track bed, end walls</w:t>
            </w:r>
          </w:p>
        </w:tc>
        <w:tc>
          <w:tcPr>
            <w:tcW w:w="485" w:type="pct"/>
            <w:tcBorders>
              <w:top w:val="single" w:sz="12" w:space="0" w:color="auto"/>
            </w:tcBorders>
            <w:vAlign w:val="center"/>
          </w:tcPr>
          <w:p w14:paraId="79F2DE2C" w14:textId="77777777" w:rsidR="003F59C8" w:rsidRPr="00B629B2" w:rsidRDefault="003F59C8" w:rsidP="003F59C8">
            <w:pPr>
              <w:spacing w:before="60" w:after="60"/>
              <w:jc w:val="center"/>
            </w:pPr>
            <w:r w:rsidRPr="00B629B2">
              <w:t>0.01</w:t>
            </w:r>
          </w:p>
        </w:tc>
        <w:tc>
          <w:tcPr>
            <w:tcW w:w="485" w:type="pct"/>
            <w:tcBorders>
              <w:top w:val="single" w:sz="12" w:space="0" w:color="auto"/>
            </w:tcBorders>
            <w:vAlign w:val="center"/>
          </w:tcPr>
          <w:p w14:paraId="754242AE" w14:textId="77777777" w:rsidR="003F59C8" w:rsidRPr="00B629B2" w:rsidRDefault="003F59C8" w:rsidP="003F59C8">
            <w:pPr>
              <w:spacing w:before="60" w:after="60"/>
              <w:jc w:val="center"/>
            </w:pPr>
            <w:r w:rsidRPr="00B629B2">
              <w:t>0.02</w:t>
            </w:r>
          </w:p>
        </w:tc>
        <w:tc>
          <w:tcPr>
            <w:tcW w:w="485" w:type="pct"/>
            <w:tcBorders>
              <w:top w:val="single" w:sz="12" w:space="0" w:color="auto"/>
            </w:tcBorders>
            <w:vAlign w:val="center"/>
          </w:tcPr>
          <w:p w14:paraId="0A05016E" w14:textId="77777777" w:rsidR="003F59C8" w:rsidRPr="00B629B2" w:rsidRDefault="003F59C8" w:rsidP="003F59C8">
            <w:pPr>
              <w:spacing w:before="60" w:after="60"/>
              <w:jc w:val="center"/>
            </w:pPr>
            <w:r w:rsidRPr="00B629B2">
              <w:t>0.02</w:t>
            </w:r>
          </w:p>
        </w:tc>
        <w:tc>
          <w:tcPr>
            <w:tcW w:w="485" w:type="pct"/>
            <w:tcBorders>
              <w:top w:val="single" w:sz="12" w:space="0" w:color="auto"/>
            </w:tcBorders>
            <w:vAlign w:val="center"/>
          </w:tcPr>
          <w:p w14:paraId="7D1481F1" w14:textId="77777777" w:rsidR="003F59C8" w:rsidRPr="00B629B2" w:rsidRDefault="003F59C8" w:rsidP="003F59C8">
            <w:pPr>
              <w:spacing w:before="60" w:after="60"/>
              <w:jc w:val="center"/>
            </w:pPr>
            <w:r w:rsidRPr="00B629B2">
              <w:t>0.02</w:t>
            </w:r>
          </w:p>
        </w:tc>
        <w:tc>
          <w:tcPr>
            <w:tcW w:w="485" w:type="pct"/>
            <w:tcBorders>
              <w:top w:val="single" w:sz="12" w:space="0" w:color="auto"/>
            </w:tcBorders>
            <w:vAlign w:val="center"/>
          </w:tcPr>
          <w:p w14:paraId="16CA0878" w14:textId="77777777" w:rsidR="003F59C8" w:rsidRPr="00B629B2" w:rsidRDefault="003F59C8" w:rsidP="003F59C8">
            <w:pPr>
              <w:spacing w:before="60" w:after="60"/>
              <w:jc w:val="center"/>
            </w:pPr>
            <w:r w:rsidRPr="00B629B2">
              <w:t>0.02</w:t>
            </w:r>
          </w:p>
        </w:tc>
        <w:tc>
          <w:tcPr>
            <w:tcW w:w="485" w:type="pct"/>
            <w:tcBorders>
              <w:top w:val="single" w:sz="12" w:space="0" w:color="auto"/>
            </w:tcBorders>
            <w:vAlign w:val="center"/>
          </w:tcPr>
          <w:p w14:paraId="5FB39844" w14:textId="77777777" w:rsidR="003F59C8" w:rsidRPr="00B629B2" w:rsidRDefault="003F59C8" w:rsidP="003F59C8">
            <w:pPr>
              <w:spacing w:before="60" w:after="60"/>
              <w:jc w:val="center"/>
            </w:pPr>
            <w:r w:rsidRPr="00B629B2">
              <w:t>0.02</w:t>
            </w:r>
          </w:p>
        </w:tc>
        <w:tc>
          <w:tcPr>
            <w:tcW w:w="482" w:type="pct"/>
            <w:tcBorders>
              <w:top w:val="single" w:sz="12" w:space="0" w:color="auto"/>
            </w:tcBorders>
            <w:vAlign w:val="center"/>
          </w:tcPr>
          <w:p w14:paraId="542CF7CD" w14:textId="6C0715C5" w:rsidR="003F59C8" w:rsidRPr="00B629B2" w:rsidRDefault="003F59C8" w:rsidP="003F59C8">
            <w:pPr>
              <w:spacing w:before="60" w:after="60"/>
              <w:jc w:val="center"/>
            </w:pPr>
            <w:r w:rsidRPr="00B629B2">
              <w:t>0.08*</w:t>
            </w:r>
          </w:p>
        </w:tc>
      </w:tr>
      <w:tr w:rsidR="003F59C8" w:rsidRPr="00B629B2" w14:paraId="1997E752" w14:textId="5C2B45D1" w:rsidTr="00B629B2">
        <w:tc>
          <w:tcPr>
            <w:tcW w:w="693" w:type="pct"/>
            <w:vAlign w:val="center"/>
          </w:tcPr>
          <w:p w14:paraId="05331243" w14:textId="77777777" w:rsidR="003F59C8" w:rsidRPr="00B629B2" w:rsidRDefault="003F59C8" w:rsidP="003F59C8">
            <w:pPr>
              <w:spacing w:before="60" w:after="60"/>
              <w:jc w:val="center"/>
            </w:pPr>
            <w:r w:rsidRPr="00B629B2">
              <w:t>Absorption</w:t>
            </w:r>
          </w:p>
        </w:tc>
        <w:tc>
          <w:tcPr>
            <w:tcW w:w="915" w:type="pct"/>
            <w:vAlign w:val="center"/>
          </w:tcPr>
          <w:p w14:paraId="13504233" w14:textId="77777777" w:rsidR="003F59C8" w:rsidRPr="00B629B2" w:rsidRDefault="003F59C8" w:rsidP="003F59C8">
            <w:pPr>
              <w:spacing w:before="60" w:after="60"/>
              <w:jc w:val="center"/>
            </w:pPr>
            <w:r w:rsidRPr="00B629B2">
              <w:t>Wall panels</w:t>
            </w:r>
          </w:p>
        </w:tc>
        <w:tc>
          <w:tcPr>
            <w:tcW w:w="485" w:type="pct"/>
            <w:vAlign w:val="center"/>
          </w:tcPr>
          <w:p w14:paraId="0908584D" w14:textId="77777777" w:rsidR="003F59C8" w:rsidRPr="00B629B2" w:rsidRDefault="003F59C8" w:rsidP="003F59C8">
            <w:pPr>
              <w:spacing w:before="60" w:after="60"/>
              <w:jc w:val="center"/>
            </w:pPr>
            <w:r w:rsidRPr="00B629B2">
              <w:t>0.45</w:t>
            </w:r>
          </w:p>
        </w:tc>
        <w:tc>
          <w:tcPr>
            <w:tcW w:w="485" w:type="pct"/>
            <w:vAlign w:val="center"/>
          </w:tcPr>
          <w:p w14:paraId="2030372D" w14:textId="77777777" w:rsidR="003F59C8" w:rsidRPr="00B629B2" w:rsidRDefault="003F59C8" w:rsidP="003F59C8">
            <w:pPr>
              <w:spacing w:before="60" w:after="60"/>
              <w:jc w:val="center"/>
            </w:pPr>
            <w:r w:rsidRPr="00B629B2">
              <w:t>0.90</w:t>
            </w:r>
          </w:p>
        </w:tc>
        <w:tc>
          <w:tcPr>
            <w:tcW w:w="485" w:type="pct"/>
            <w:vAlign w:val="center"/>
          </w:tcPr>
          <w:p w14:paraId="74C16B79" w14:textId="77777777" w:rsidR="003F59C8" w:rsidRPr="00B629B2" w:rsidRDefault="003F59C8" w:rsidP="003F59C8">
            <w:pPr>
              <w:spacing w:before="60" w:after="60"/>
              <w:jc w:val="center"/>
            </w:pPr>
            <w:r w:rsidRPr="00B629B2">
              <w:t>0.95</w:t>
            </w:r>
          </w:p>
        </w:tc>
        <w:tc>
          <w:tcPr>
            <w:tcW w:w="485" w:type="pct"/>
            <w:vAlign w:val="center"/>
          </w:tcPr>
          <w:p w14:paraId="3B44EEA7" w14:textId="77777777" w:rsidR="003F59C8" w:rsidRPr="00B629B2" w:rsidRDefault="003F59C8" w:rsidP="003F59C8">
            <w:pPr>
              <w:spacing w:before="60" w:after="60"/>
              <w:jc w:val="center"/>
            </w:pPr>
            <w:r w:rsidRPr="00B629B2">
              <w:t>1.00</w:t>
            </w:r>
          </w:p>
        </w:tc>
        <w:tc>
          <w:tcPr>
            <w:tcW w:w="485" w:type="pct"/>
            <w:vAlign w:val="center"/>
          </w:tcPr>
          <w:p w14:paraId="5E845382" w14:textId="77777777" w:rsidR="003F59C8" w:rsidRPr="00B629B2" w:rsidRDefault="003F59C8" w:rsidP="003F59C8">
            <w:pPr>
              <w:spacing w:before="60" w:after="60"/>
              <w:jc w:val="center"/>
            </w:pPr>
            <w:r w:rsidRPr="00B629B2">
              <w:t>0.95</w:t>
            </w:r>
          </w:p>
        </w:tc>
        <w:tc>
          <w:tcPr>
            <w:tcW w:w="485" w:type="pct"/>
            <w:vAlign w:val="center"/>
          </w:tcPr>
          <w:p w14:paraId="15849013" w14:textId="77777777" w:rsidR="003F59C8" w:rsidRPr="00B629B2" w:rsidRDefault="003F59C8" w:rsidP="003F59C8">
            <w:pPr>
              <w:spacing w:before="60" w:after="60"/>
              <w:jc w:val="center"/>
            </w:pPr>
            <w:r w:rsidRPr="00B629B2">
              <w:t>0.90</w:t>
            </w:r>
          </w:p>
        </w:tc>
        <w:tc>
          <w:tcPr>
            <w:tcW w:w="482" w:type="pct"/>
            <w:vAlign w:val="center"/>
          </w:tcPr>
          <w:p w14:paraId="032254AC" w14:textId="10361F6D" w:rsidR="003F59C8" w:rsidRPr="00B629B2" w:rsidRDefault="003F59C8" w:rsidP="003F59C8">
            <w:pPr>
              <w:spacing w:before="60" w:after="60"/>
              <w:jc w:val="center"/>
            </w:pPr>
            <w:r w:rsidRPr="00B629B2">
              <w:t>0.75*</w:t>
            </w:r>
          </w:p>
        </w:tc>
      </w:tr>
      <w:tr w:rsidR="003F59C8" w:rsidRPr="00B629B2" w14:paraId="2078E59B" w14:textId="5716F39E" w:rsidTr="00B629B2">
        <w:tc>
          <w:tcPr>
            <w:tcW w:w="693" w:type="pct"/>
            <w:tcBorders>
              <w:bottom w:val="single" w:sz="6" w:space="0" w:color="auto"/>
            </w:tcBorders>
            <w:vAlign w:val="center"/>
          </w:tcPr>
          <w:p w14:paraId="7391F407" w14:textId="77777777" w:rsidR="003F59C8" w:rsidRPr="00B629B2" w:rsidRDefault="003F59C8" w:rsidP="003F59C8">
            <w:pPr>
              <w:spacing w:before="60" w:after="60"/>
              <w:jc w:val="center"/>
            </w:pPr>
            <w:r w:rsidRPr="00B629B2">
              <w:t>Glazed tile</w:t>
            </w:r>
          </w:p>
        </w:tc>
        <w:tc>
          <w:tcPr>
            <w:tcW w:w="915" w:type="pct"/>
            <w:tcBorders>
              <w:bottom w:val="single" w:sz="6" w:space="0" w:color="auto"/>
            </w:tcBorders>
            <w:vAlign w:val="center"/>
          </w:tcPr>
          <w:p w14:paraId="414B9612" w14:textId="77777777" w:rsidR="003F59C8" w:rsidRPr="00B629B2" w:rsidRDefault="003F59C8" w:rsidP="003F59C8">
            <w:pPr>
              <w:spacing w:before="60" w:after="60"/>
              <w:jc w:val="center"/>
            </w:pPr>
            <w:r w:rsidRPr="00B629B2">
              <w:t>Walls</w:t>
            </w:r>
          </w:p>
        </w:tc>
        <w:tc>
          <w:tcPr>
            <w:tcW w:w="485" w:type="pct"/>
            <w:tcBorders>
              <w:bottom w:val="single" w:sz="6" w:space="0" w:color="auto"/>
            </w:tcBorders>
            <w:vAlign w:val="center"/>
          </w:tcPr>
          <w:p w14:paraId="0BC90F2D" w14:textId="77777777" w:rsidR="003F59C8" w:rsidRPr="00B629B2" w:rsidRDefault="003F59C8" w:rsidP="003F59C8">
            <w:pPr>
              <w:spacing w:before="60" w:after="60"/>
              <w:jc w:val="center"/>
            </w:pPr>
            <w:r w:rsidRPr="00B629B2">
              <w:t>0.01</w:t>
            </w:r>
          </w:p>
        </w:tc>
        <w:tc>
          <w:tcPr>
            <w:tcW w:w="485" w:type="pct"/>
            <w:tcBorders>
              <w:bottom w:val="single" w:sz="6" w:space="0" w:color="auto"/>
            </w:tcBorders>
            <w:vAlign w:val="center"/>
          </w:tcPr>
          <w:p w14:paraId="3B57F4A2" w14:textId="77777777" w:rsidR="003F59C8" w:rsidRPr="00B629B2" w:rsidRDefault="003F59C8" w:rsidP="003F59C8">
            <w:pPr>
              <w:spacing w:before="60" w:after="60"/>
              <w:jc w:val="center"/>
            </w:pPr>
            <w:r w:rsidRPr="00B629B2">
              <w:t>0.01</w:t>
            </w:r>
          </w:p>
        </w:tc>
        <w:tc>
          <w:tcPr>
            <w:tcW w:w="485" w:type="pct"/>
            <w:tcBorders>
              <w:bottom w:val="single" w:sz="6" w:space="0" w:color="auto"/>
            </w:tcBorders>
            <w:vAlign w:val="center"/>
          </w:tcPr>
          <w:p w14:paraId="3850C90A" w14:textId="77777777" w:rsidR="003F59C8" w:rsidRPr="00B629B2" w:rsidRDefault="003F59C8" w:rsidP="003F59C8">
            <w:pPr>
              <w:spacing w:before="60" w:after="60"/>
              <w:jc w:val="center"/>
            </w:pPr>
            <w:r w:rsidRPr="00B629B2">
              <w:t>0.01</w:t>
            </w:r>
          </w:p>
        </w:tc>
        <w:tc>
          <w:tcPr>
            <w:tcW w:w="485" w:type="pct"/>
            <w:tcBorders>
              <w:bottom w:val="single" w:sz="6" w:space="0" w:color="auto"/>
            </w:tcBorders>
            <w:vAlign w:val="center"/>
          </w:tcPr>
          <w:p w14:paraId="0E3D447A" w14:textId="77777777" w:rsidR="003F59C8" w:rsidRPr="00B629B2" w:rsidRDefault="003F59C8" w:rsidP="003F59C8">
            <w:pPr>
              <w:spacing w:before="60" w:after="60"/>
              <w:jc w:val="center"/>
            </w:pPr>
            <w:r w:rsidRPr="00B629B2">
              <w:t>0.01</w:t>
            </w:r>
          </w:p>
        </w:tc>
        <w:tc>
          <w:tcPr>
            <w:tcW w:w="485" w:type="pct"/>
            <w:tcBorders>
              <w:bottom w:val="single" w:sz="6" w:space="0" w:color="auto"/>
            </w:tcBorders>
            <w:vAlign w:val="center"/>
          </w:tcPr>
          <w:p w14:paraId="5F78A681" w14:textId="77777777" w:rsidR="003F59C8" w:rsidRPr="00B629B2" w:rsidRDefault="003F59C8" w:rsidP="003F59C8">
            <w:pPr>
              <w:spacing w:before="60" w:after="60"/>
              <w:jc w:val="center"/>
            </w:pPr>
            <w:r w:rsidRPr="00B629B2">
              <w:t>0.02</w:t>
            </w:r>
          </w:p>
        </w:tc>
        <w:tc>
          <w:tcPr>
            <w:tcW w:w="485" w:type="pct"/>
            <w:tcBorders>
              <w:bottom w:val="single" w:sz="6" w:space="0" w:color="auto"/>
            </w:tcBorders>
            <w:vAlign w:val="center"/>
          </w:tcPr>
          <w:p w14:paraId="329886D2" w14:textId="77777777" w:rsidR="003F59C8" w:rsidRPr="00B629B2" w:rsidRDefault="003F59C8" w:rsidP="003F59C8">
            <w:pPr>
              <w:spacing w:before="60" w:after="60"/>
              <w:jc w:val="center"/>
            </w:pPr>
            <w:r w:rsidRPr="00B629B2">
              <w:t>0.02</w:t>
            </w:r>
          </w:p>
        </w:tc>
        <w:tc>
          <w:tcPr>
            <w:tcW w:w="482" w:type="pct"/>
            <w:tcBorders>
              <w:bottom w:val="single" w:sz="6" w:space="0" w:color="auto"/>
            </w:tcBorders>
            <w:vAlign w:val="center"/>
          </w:tcPr>
          <w:p w14:paraId="268CE9E4" w14:textId="55817AD8" w:rsidR="003F59C8" w:rsidRPr="00B629B2" w:rsidRDefault="003F59C8" w:rsidP="003F59C8">
            <w:pPr>
              <w:spacing w:before="60" w:after="60"/>
              <w:jc w:val="center"/>
            </w:pPr>
            <w:r w:rsidRPr="00B629B2">
              <w:t>0.02*</w:t>
            </w:r>
          </w:p>
        </w:tc>
      </w:tr>
      <w:tr w:rsidR="003F59C8" w:rsidRPr="00B629B2" w14:paraId="6A2E967D" w14:textId="06F5931E" w:rsidTr="003F59C8">
        <w:tc>
          <w:tcPr>
            <w:tcW w:w="5000" w:type="pct"/>
            <w:gridSpan w:val="9"/>
            <w:tcBorders>
              <w:top w:val="single" w:sz="6" w:space="0" w:color="auto"/>
              <w:bottom w:val="single" w:sz="6" w:space="0" w:color="auto"/>
            </w:tcBorders>
            <w:vAlign w:val="center"/>
          </w:tcPr>
          <w:p w14:paraId="16199DB9" w14:textId="3BA23269" w:rsidR="003F59C8" w:rsidRPr="00B629B2" w:rsidRDefault="003F59C8" w:rsidP="003F4C9B">
            <w:pPr>
              <w:spacing w:before="60" w:after="60"/>
            </w:pPr>
            <w:r w:rsidRPr="00B629B2">
              <w:t>All absorption coefficients are from [17]</w:t>
            </w:r>
            <w:r w:rsidRPr="00B629B2">
              <w:br/>
              <w:t>Values higher than 0.99 were limited to 0.99.</w:t>
            </w:r>
            <w:r w:rsidRPr="00B629B2">
              <w:br/>
              <w:t>*Extrapolated by CATT-Acoustic software</w:t>
            </w:r>
          </w:p>
        </w:tc>
      </w:tr>
    </w:tbl>
    <w:p w14:paraId="18501C78" w14:textId="77777777" w:rsidR="003F4C9B" w:rsidRPr="00B629B2" w:rsidRDefault="003F4C9B">
      <w:pPr>
        <w:spacing w:after="0" w:line="240" w:lineRule="auto"/>
        <w:jc w:val="both"/>
        <w:rPr>
          <w:szCs w:val="24"/>
        </w:rPr>
      </w:pPr>
    </w:p>
    <w:p w14:paraId="5460E004" w14:textId="77777777" w:rsidR="00E12B0C" w:rsidRPr="00B629B2" w:rsidRDefault="001276DC">
      <w:pPr>
        <w:spacing w:after="0" w:line="240" w:lineRule="auto"/>
        <w:jc w:val="both"/>
        <w:rPr>
          <w:b/>
          <w:szCs w:val="24"/>
        </w:rPr>
      </w:pPr>
      <w:r w:rsidRPr="00B629B2">
        <w:rPr>
          <w:b/>
          <w:szCs w:val="24"/>
        </w:rPr>
        <w:t>3.4 Occupancy Density and Implementation</w:t>
      </w:r>
    </w:p>
    <w:p w14:paraId="237ECAAD" w14:textId="2A1C52BE" w:rsidR="00E12B0C" w:rsidRPr="00B629B2" w:rsidRDefault="008537E8">
      <w:pPr>
        <w:spacing w:after="0" w:line="240" w:lineRule="auto"/>
        <w:jc w:val="both"/>
        <w:rPr>
          <w:szCs w:val="24"/>
        </w:rPr>
      </w:pPr>
      <w:r w:rsidRPr="00B629B2">
        <w:rPr>
          <w:szCs w:val="24"/>
        </w:rPr>
        <w:tab/>
        <w:t>Three densities have been used to predict the effect of increased occupancy based on available guidance from BS 9999:2017</w:t>
      </w:r>
      <w:r w:rsidR="00F34489" w:rsidRPr="00B629B2">
        <w:rPr>
          <w:szCs w:val="24"/>
        </w:rPr>
        <w:t xml:space="preserve"> [1</w:t>
      </w:r>
      <w:r w:rsidR="008E386F" w:rsidRPr="00B629B2">
        <w:rPr>
          <w:szCs w:val="24"/>
        </w:rPr>
        <w:t>8</w:t>
      </w:r>
      <w:r w:rsidR="00F34489" w:rsidRPr="00B629B2">
        <w:rPr>
          <w:szCs w:val="24"/>
        </w:rPr>
        <w:t>]</w:t>
      </w:r>
      <w:r w:rsidR="003F4C9B" w:rsidRPr="00B629B2">
        <w:rPr>
          <w:szCs w:val="24"/>
        </w:rPr>
        <w:t xml:space="preserve"> and London Underground Limited</w:t>
      </w:r>
      <w:r w:rsidR="00E932C8" w:rsidRPr="00B629B2">
        <w:rPr>
          <w:szCs w:val="24"/>
        </w:rPr>
        <w:t xml:space="preserve"> [1</w:t>
      </w:r>
      <w:r w:rsidR="008E386F" w:rsidRPr="00B629B2">
        <w:rPr>
          <w:szCs w:val="24"/>
        </w:rPr>
        <w:t>9</w:t>
      </w:r>
      <w:r w:rsidR="00E932C8" w:rsidRPr="00B629B2">
        <w:rPr>
          <w:szCs w:val="24"/>
        </w:rPr>
        <w:t>]</w:t>
      </w:r>
      <w:r w:rsidRPr="00B629B2">
        <w:rPr>
          <w:szCs w:val="24"/>
        </w:rPr>
        <w:t>. Table 9 of BS 9999:2017</w:t>
      </w:r>
      <w:r w:rsidR="00F34489" w:rsidRPr="00B629B2">
        <w:rPr>
          <w:szCs w:val="24"/>
        </w:rPr>
        <w:t xml:space="preserve"> [1</w:t>
      </w:r>
      <w:r w:rsidR="008E386F" w:rsidRPr="00B629B2">
        <w:rPr>
          <w:szCs w:val="24"/>
        </w:rPr>
        <w:t>8</w:t>
      </w:r>
      <w:r w:rsidR="00F34489" w:rsidRPr="00B629B2">
        <w:rPr>
          <w:szCs w:val="24"/>
        </w:rPr>
        <w:t>]</w:t>
      </w:r>
      <w:r w:rsidRPr="00B629B2">
        <w:rPr>
          <w:szCs w:val="24"/>
        </w:rPr>
        <w:t xml:space="preserve"> gives guidance on the design of buildings to assist in the evacuation of users of the building in the event of an emergency. Part of the design process requires and understanding of the occupancy levels anticipated during an emergency </w:t>
      </w:r>
      <w:r w:rsidR="001A73FB" w:rsidRPr="00B629B2">
        <w:rPr>
          <w:szCs w:val="24"/>
        </w:rPr>
        <w:t>evacuation</w:t>
      </w:r>
      <w:r w:rsidRPr="00B629B2">
        <w:rPr>
          <w:szCs w:val="24"/>
        </w:rPr>
        <w:t xml:space="preserve">. Different design solutions will be required for different levels of occupancy, and so the Standard gives examples of typical occupancy densities. Table </w:t>
      </w:r>
      <w:r w:rsidR="003F4C9B" w:rsidRPr="00B629B2">
        <w:rPr>
          <w:szCs w:val="24"/>
        </w:rPr>
        <w:t>4</w:t>
      </w:r>
      <w:r w:rsidRPr="00B629B2">
        <w:rPr>
          <w:szCs w:val="24"/>
        </w:rPr>
        <w:t xml:space="preserve"> is replicated from BS 9999:2017.</w:t>
      </w:r>
    </w:p>
    <w:p w14:paraId="6BA88E21" w14:textId="77777777" w:rsidR="00E45CD5" w:rsidRPr="00B629B2" w:rsidRDefault="00E45CD5">
      <w:pPr>
        <w:spacing w:after="0" w:line="240" w:lineRule="auto"/>
        <w:jc w:val="both"/>
        <w:rPr>
          <w:szCs w:val="24"/>
        </w:rPr>
      </w:pPr>
    </w:p>
    <w:p w14:paraId="523224CA" w14:textId="3F20BE9E" w:rsidR="00491097" w:rsidRPr="00B629B2" w:rsidRDefault="003F4C9B">
      <w:pPr>
        <w:spacing w:after="0" w:line="240" w:lineRule="auto"/>
        <w:jc w:val="both"/>
        <w:rPr>
          <w:i/>
          <w:szCs w:val="24"/>
        </w:rPr>
      </w:pPr>
      <w:r w:rsidRPr="00B629B2">
        <w:rPr>
          <w:i/>
          <w:szCs w:val="24"/>
        </w:rPr>
        <w:t xml:space="preserve">Table 4 – Occupancy </w:t>
      </w:r>
      <w:r w:rsidR="00EE496D" w:rsidRPr="00B629B2">
        <w:rPr>
          <w:i/>
          <w:szCs w:val="24"/>
        </w:rPr>
        <w:t xml:space="preserve">Density from </w:t>
      </w:r>
      <w:r w:rsidRPr="00B629B2">
        <w:rPr>
          <w:i/>
          <w:szCs w:val="24"/>
        </w:rPr>
        <w:t>[1</w:t>
      </w:r>
      <w:r w:rsidR="002A05AA" w:rsidRPr="00B629B2">
        <w:rPr>
          <w:i/>
          <w:szCs w:val="24"/>
        </w:rPr>
        <w:t>8</w:t>
      </w:r>
      <w:r w:rsidRPr="00B629B2">
        <w:rPr>
          <w:i/>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27"/>
        <w:gridCol w:w="2274"/>
        <w:gridCol w:w="1981"/>
      </w:tblGrid>
      <w:tr w:rsidR="00491097" w:rsidRPr="00B629B2" w14:paraId="6E8748CE" w14:textId="77777777" w:rsidTr="00491097">
        <w:trPr>
          <w:trHeight w:val="397"/>
        </w:trPr>
        <w:tc>
          <w:tcPr>
            <w:tcW w:w="1283" w:type="pct"/>
            <w:tcBorders>
              <w:bottom w:val="single" w:sz="12" w:space="0" w:color="auto"/>
            </w:tcBorders>
            <w:vAlign w:val="center"/>
          </w:tcPr>
          <w:p w14:paraId="68BA4055" w14:textId="77777777" w:rsidR="00491097" w:rsidRPr="00B629B2" w:rsidRDefault="00491097" w:rsidP="00491097">
            <w:pPr>
              <w:jc w:val="center"/>
              <w:rPr>
                <w:b/>
                <w:szCs w:val="24"/>
              </w:rPr>
            </w:pPr>
            <w:r w:rsidRPr="00B629B2">
              <w:rPr>
                <w:b/>
                <w:szCs w:val="24"/>
              </w:rPr>
              <w:t>Density</w:t>
            </w:r>
          </w:p>
        </w:tc>
        <w:tc>
          <w:tcPr>
            <w:tcW w:w="1277" w:type="pct"/>
            <w:tcBorders>
              <w:bottom w:val="single" w:sz="12" w:space="0" w:color="auto"/>
            </w:tcBorders>
            <w:vAlign w:val="center"/>
          </w:tcPr>
          <w:p w14:paraId="4C42ECBF" w14:textId="77777777" w:rsidR="00491097" w:rsidRPr="00B629B2" w:rsidRDefault="00491097" w:rsidP="00491097">
            <w:pPr>
              <w:jc w:val="center"/>
              <w:rPr>
                <w:b/>
                <w:szCs w:val="24"/>
              </w:rPr>
            </w:pPr>
            <w:r w:rsidRPr="00B629B2">
              <w:rPr>
                <w:b/>
                <w:szCs w:val="24"/>
              </w:rPr>
              <w:t>Floor space factor (m</w:t>
            </w:r>
            <w:r w:rsidRPr="00B629B2">
              <w:rPr>
                <w:b/>
                <w:szCs w:val="24"/>
                <w:vertAlign w:val="superscript"/>
              </w:rPr>
              <w:t>2</w:t>
            </w:r>
            <w:r w:rsidRPr="00B629B2">
              <w:rPr>
                <w:b/>
                <w:szCs w:val="24"/>
              </w:rPr>
              <w:t>per person)</w:t>
            </w:r>
          </w:p>
        </w:tc>
        <w:tc>
          <w:tcPr>
            <w:tcW w:w="1304" w:type="pct"/>
            <w:tcBorders>
              <w:bottom w:val="single" w:sz="12" w:space="0" w:color="auto"/>
            </w:tcBorders>
            <w:vAlign w:val="center"/>
          </w:tcPr>
          <w:p w14:paraId="3E813C7F" w14:textId="77777777" w:rsidR="00491097" w:rsidRPr="00B629B2" w:rsidRDefault="00491097" w:rsidP="00491097">
            <w:pPr>
              <w:jc w:val="center"/>
              <w:rPr>
                <w:b/>
                <w:szCs w:val="24"/>
              </w:rPr>
            </w:pPr>
            <w:r w:rsidRPr="00B629B2">
              <w:rPr>
                <w:b/>
                <w:szCs w:val="24"/>
              </w:rPr>
              <w:t>Example</w:t>
            </w:r>
          </w:p>
        </w:tc>
        <w:tc>
          <w:tcPr>
            <w:tcW w:w="1136" w:type="pct"/>
            <w:tcBorders>
              <w:bottom w:val="single" w:sz="12" w:space="0" w:color="auto"/>
            </w:tcBorders>
            <w:vAlign w:val="center"/>
          </w:tcPr>
          <w:p w14:paraId="7EFA9732" w14:textId="77777777" w:rsidR="00491097" w:rsidRPr="00B629B2" w:rsidRDefault="00491097" w:rsidP="00491097">
            <w:pPr>
              <w:jc w:val="center"/>
              <w:rPr>
                <w:b/>
                <w:szCs w:val="24"/>
              </w:rPr>
            </w:pPr>
            <w:r w:rsidRPr="00B629B2">
              <w:rPr>
                <w:b/>
                <w:szCs w:val="24"/>
              </w:rPr>
              <w:t>Occupancy density (p/m</w:t>
            </w:r>
            <w:r w:rsidRPr="00B629B2">
              <w:rPr>
                <w:b/>
                <w:szCs w:val="24"/>
                <w:vertAlign w:val="superscript"/>
              </w:rPr>
              <w:t>2</w:t>
            </w:r>
            <w:r w:rsidRPr="00B629B2">
              <w:rPr>
                <w:b/>
                <w:szCs w:val="24"/>
              </w:rPr>
              <w:t>)</w:t>
            </w:r>
          </w:p>
        </w:tc>
      </w:tr>
      <w:tr w:rsidR="00491097" w:rsidRPr="00B629B2" w14:paraId="4274F5A5" w14:textId="77777777" w:rsidTr="00491097">
        <w:trPr>
          <w:trHeight w:val="397"/>
        </w:trPr>
        <w:tc>
          <w:tcPr>
            <w:tcW w:w="1283" w:type="pct"/>
            <w:tcBorders>
              <w:top w:val="single" w:sz="12" w:space="0" w:color="auto"/>
            </w:tcBorders>
            <w:vAlign w:val="center"/>
          </w:tcPr>
          <w:p w14:paraId="5700F98D" w14:textId="77777777" w:rsidR="00491097" w:rsidRPr="00B629B2" w:rsidRDefault="00491097" w:rsidP="00491097">
            <w:pPr>
              <w:jc w:val="center"/>
              <w:rPr>
                <w:szCs w:val="24"/>
              </w:rPr>
            </w:pPr>
            <w:r w:rsidRPr="00B629B2">
              <w:rPr>
                <w:szCs w:val="24"/>
              </w:rPr>
              <w:t>Very high</w:t>
            </w:r>
          </w:p>
        </w:tc>
        <w:tc>
          <w:tcPr>
            <w:tcW w:w="1277" w:type="pct"/>
            <w:tcBorders>
              <w:top w:val="single" w:sz="12" w:space="0" w:color="auto"/>
            </w:tcBorders>
            <w:vAlign w:val="center"/>
          </w:tcPr>
          <w:p w14:paraId="5B7273A8" w14:textId="77777777" w:rsidR="00491097" w:rsidRPr="00B629B2" w:rsidRDefault="00491097" w:rsidP="00491097">
            <w:pPr>
              <w:jc w:val="center"/>
              <w:rPr>
                <w:szCs w:val="24"/>
              </w:rPr>
            </w:pPr>
            <w:r w:rsidRPr="00B629B2">
              <w:rPr>
                <w:szCs w:val="24"/>
              </w:rPr>
              <w:t>0.3</w:t>
            </w:r>
          </w:p>
        </w:tc>
        <w:tc>
          <w:tcPr>
            <w:tcW w:w="1304" w:type="pct"/>
            <w:tcBorders>
              <w:top w:val="single" w:sz="12" w:space="0" w:color="auto"/>
            </w:tcBorders>
            <w:vAlign w:val="center"/>
          </w:tcPr>
          <w:p w14:paraId="50CBE147" w14:textId="77777777" w:rsidR="00491097" w:rsidRPr="00B629B2" w:rsidRDefault="00491097" w:rsidP="00491097">
            <w:pPr>
              <w:jc w:val="center"/>
              <w:rPr>
                <w:szCs w:val="24"/>
              </w:rPr>
            </w:pPr>
            <w:r w:rsidRPr="00B629B2">
              <w:rPr>
                <w:szCs w:val="24"/>
              </w:rPr>
              <w:t>People queueing</w:t>
            </w:r>
          </w:p>
        </w:tc>
        <w:tc>
          <w:tcPr>
            <w:tcW w:w="1136" w:type="pct"/>
            <w:tcBorders>
              <w:top w:val="single" w:sz="12" w:space="0" w:color="auto"/>
            </w:tcBorders>
            <w:vAlign w:val="center"/>
          </w:tcPr>
          <w:p w14:paraId="388E3430" w14:textId="77777777" w:rsidR="00491097" w:rsidRPr="00B629B2" w:rsidRDefault="00491097" w:rsidP="00491097">
            <w:pPr>
              <w:jc w:val="center"/>
              <w:rPr>
                <w:szCs w:val="24"/>
              </w:rPr>
            </w:pPr>
            <w:r w:rsidRPr="00B629B2">
              <w:rPr>
                <w:szCs w:val="24"/>
              </w:rPr>
              <w:t>3.3</w:t>
            </w:r>
          </w:p>
        </w:tc>
      </w:tr>
      <w:tr w:rsidR="00491097" w:rsidRPr="00B629B2" w14:paraId="768BD4C8" w14:textId="77777777" w:rsidTr="00491097">
        <w:trPr>
          <w:trHeight w:val="397"/>
        </w:trPr>
        <w:tc>
          <w:tcPr>
            <w:tcW w:w="1283" w:type="pct"/>
            <w:vAlign w:val="center"/>
          </w:tcPr>
          <w:p w14:paraId="1C009D7A" w14:textId="77777777" w:rsidR="00491097" w:rsidRPr="00B629B2" w:rsidRDefault="00491097" w:rsidP="00491097">
            <w:pPr>
              <w:jc w:val="center"/>
              <w:rPr>
                <w:szCs w:val="24"/>
              </w:rPr>
            </w:pPr>
            <w:r w:rsidRPr="00B629B2">
              <w:rPr>
                <w:szCs w:val="24"/>
              </w:rPr>
              <w:t>High</w:t>
            </w:r>
          </w:p>
        </w:tc>
        <w:tc>
          <w:tcPr>
            <w:tcW w:w="1277" w:type="pct"/>
            <w:vAlign w:val="center"/>
          </w:tcPr>
          <w:p w14:paraId="5EA5FF53" w14:textId="77777777" w:rsidR="00491097" w:rsidRPr="00B629B2" w:rsidRDefault="00491097" w:rsidP="00491097">
            <w:pPr>
              <w:jc w:val="center"/>
              <w:rPr>
                <w:szCs w:val="24"/>
              </w:rPr>
            </w:pPr>
            <w:r w:rsidRPr="00B629B2">
              <w:rPr>
                <w:szCs w:val="24"/>
              </w:rPr>
              <w:t>0.5</w:t>
            </w:r>
          </w:p>
        </w:tc>
        <w:tc>
          <w:tcPr>
            <w:tcW w:w="1304" w:type="pct"/>
            <w:vAlign w:val="center"/>
          </w:tcPr>
          <w:p w14:paraId="21410139" w14:textId="77777777" w:rsidR="00491097" w:rsidRPr="00B629B2" w:rsidRDefault="00491097" w:rsidP="00491097">
            <w:pPr>
              <w:jc w:val="center"/>
              <w:rPr>
                <w:szCs w:val="24"/>
              </w:rPr>
            </w:pPr>
            <w:r w:rsidRPr="00B629B2">
              <w:rPr>
                <w:szCs w:val="24"/>
              </w:rPr>
              <w:t>Bar</w:t>
            </w:r>
          </w:p>
        </w:tc>
        <w:tc>
          <w:tcPr>
            <w:tcW w:w="1136" w:type="pct"/>
            <w:vAlign w:val="center"/>
          </w:tcPr>
          <w:p w14:paraId="55D8BB07" w14:textId="77777777" w:rsidR="00491097" w:rsidRPr="00B629B2" w:rsidRDefault="00491097" w:rsidP="00491097">
            <w:pPr>
              <w:jc w:val="center"/>
              <w:rPr>
                <w:szCs w:val="24"/>
              </w:rPr>
            </w:pPr>
            <w:r w:rsidRPr="00B629B2">
              <w:rPr>
                <w:szCs w:val="24"/>
              </w:rPr>
              <w:t>2.0</w:t>
            </w:r>
          </w:p>
        </w:tc>
      </w:tr>
      <w:tr w:rsidR="00491097" w:rsidRPr="00B629B2" w14:paraId="69CD6BC6" w14:textId="77777777" w:rsidTr="00491097">
        <w:trPr>
          <w:trHeight w:val="397"/>
        </w:trPr>
        <w:tc>
          <w:tcPr>
            <w:tcW w:w="1283" w:type="pct"/>
            <w:vAlign w:val="center"/>
          </w:tcPr>
          <w:p w14:paraId="6D6EE34E" w14:textId="77777777" w:rsidR="00491097" w:rsidRPr="00B629B2" w:rsidRDefault="00491097" w:rsidP="00491097">
            <w:pPr>
              <w:jc w:val="center"/>
              <w:rPr>
                <w:szCs w:val="24"/>
              </w:rPr>
            </w:pPr>
            <w:r w:rsidRPr="00B629B2">
              <w:rPr>
                <w:szCs w:val="24"/>
              </w:rPr>
              <w:t>Normal</w:t>
            </w:r>
          </w:p>
        </w:tc>
        <w:tc>
          <w:tcPr>
            <w:tcW w:w="1277" w:type="pct"/>
            <w:vAlign w:val="center"/>
          </w:tcPr>
          <w:p w14:paraId="521321D8" w14:textId="77777777" w:rsidR="00491097" w:rsidRPr="00B629B2" w:rsidRDefault="00491097" w:rsidP="00491097">
            <w:pPr>
              <w:jc w:val="center"/>
              <w:rPr>
                <w:szCs w:val="24"/>
              </w:rPr>
            </w:pPr>
            <w:r w:rsidRPr="00B629B2">
              <w:rPr>
                <w:szCs w:val="24"/>
              </w:rPr>
              <w:t>1.0</w:t>
            </w:r>
          </w:p>
        </w:tc>
        <w:tc>
          <w:tcPr>
            <w:tcW w:w="1304" w:type="pct"/>
            <w:vAlign w:val="center"/>
          </w:tcPr>
          <w:p w14:paraId="430634B5" w14:textId="77777777" w:rsidR="00491097" w:rsidRPr="00B629B2" w:rsidRDefault="00491097" w:rsidP="00491097">
            <w:pPr>
              <w:jc w:val="center"/>
              <w:rPr>
                <w:szCs w:val="24"/>
              </w:rPr>
            </w:pPr>
            <w:r w:rsidRPr="00B629B2">
              <w:rPr>
                <w:szCs w:val="24"/>
              </w:rPr>
              <w:t>Theatre or cinema foyer</w:t>
            </w:r>
          </w:p>
        </w:tc>
        <w:tc>
          <w:tcPr>
            <w:tcW w:w="1136" w:type="pct"/>
            <w:vAlign w:val="center"/>
          </w:tcPr>
          <w:p w14:paraId="6020EA67" w14:textId="77777777" w:rsidR="00491097" w:rsidRPr="00B629B2" w:rsidRDefault="00491097" w:rsidP="00491097">
            <w:pPr>
              <w:jc w:val="center"/>
              <w:rPr>
                <w:szCs w:val="24"/>
              </w:rPr>
            </w:pPr>
            <w:r w:rsidRPr="00B629B2">
              <w:rPr>
                <w:szCs w:val="24"/>
              </w:rPr>
              <w:t>1.0</w:t>
            </w:r>
          </w:p>
        </w:tc>
      </w:tr>
      <w:tr w:rsidR="00491097" w:rsidRPr="00B629B2" w14:paraId="39E88681" w14:textId="77777777" w:rsidTr="00491097">
        <w:trPr>
          <w:trHeight w:val="397"/>
        </w:trPr>
        <w:tc>
          <w:tcPr>
            <w:tcW w:w="1283" w:type="pct"/>
            <w:tcBorders>
              <w:bottom w:val="single" w:sz="8" w:space="0" w:color="auto"/>
            </w:tcBorders>
            <w:vAlign w:val="center"/>
          </w:tcPr>
          <w:p w14:paraId="08AC7C86" w14:textId="77777777" w:rsidR="00491097" w:rsidRPr="00B629B2" w:rsidRDefault="00491097" w:rsidP="00491097">
            <w:pPr>
              <w:jc w:val="center"/>
              <w:rPr>
                <w:szCs w:val="24"/>
              </w:rPr>
            </w:pPr>
            <w:r w:rsidRPr="00B629B2">
              <w:rPr>
                <w:szCs w:val="24"/>
              </w:rPr>
              <w:t>Low</w:t>
            </w:r>
          </w:p>
        </w:tc>
        <w:tc>
          <w:tcPr>
            <w:tcW w:w="1277" w:type="pct"/>
            <w:tcBorders>
              <w:bottom w:val="single" w:sz="8" w:space="0" w:color="auto"/>
            </w:tcBorders>
            <w:vAlign w:val="center"/>
          </w:tcPr>
          <w:p w14:paraId="5C31E23E" w14:textId="77777777" w:rsidR="00491097" w:rsidRPr="00B629B2" w:rsidRDefault="00491097" w:rsidP="00491097">
            <w:pPr>
              <w:jc w:val="center"/>
              <w:rPr>
                <w:szCs w:val="24"/>
              </w:rPr>
            </w:pPr>
            <w:r w:rsidRPr="00B629B2">
              <w:rPr>
                <w:szCs w:val="24"/>
              </w:rPr>
              <w:t>2.0</w:t>
            </w:r>
          </w:p>
        </w:tc>
        <w:tc>
          <w:tcPr>
            <w:tcW w:w="1304" w:type="pct"/>
            <w:tcBorders>
              <w:bottom w:val="single" w:sz="8" w:space="0" w:color="auto"/>
            </w:tcBorders>
            <w:vAlign w:val="center"/>
          </w:tcPr>
          <w:p w14:paraId="00C13BE5" w14:textId="77777777" w:rsidR="00491097" w:rsidRPr="00B629B2" w:rsidRDefault="00491097" w:rsidP="00491097">
            <w:pPr>
              <w:jc w:val="center"/>
              <w:rPr>
                <w:szCs w:val="24"/>
              </w:rPr>
            </w:pPr>
            <w:r w:rsidRPr="00B629B2">
              <w:rPr>
                <w:szCs w:val="24"/>
              </w:rPr>
              <w:t>Museum or gallery</w:t>
            </w:r>
          </w:p>
        </w:tc>
        <w:tc>
          <w:tcPr>
            <w:tcW w:w="1136" w:type="pct"/>
            <w:tcBorders>
              <w:bottom w:val="single" w:sz="8" w:space="0" w:color="auto"/>
            </w:tcBorders>
            <w:vAlign w:val="center"/>
          </w:tcPr>
          <w:p w14:paraId="10236BBA" w14:textId="77777777" w:rsidR="00491097" w:rsidRPr="00B629B2" w:rsidRDefault="00491097" w:rsidP="00491097">
            <w:pPr>
              <w:jc w:val="center"/>
              <w:rPr>
                <w:szCs w:val="24"/>
              </w:rPr>
            </w:pPr>
            <w:r w:rsidRPr="00B629B2">
              <w:rPr>
                <w:szCs w:val="24"/>
              </w:rPr>
              <w:t>0.5</w:t>
            </w:r>
          </w:p>
        </w:tc>
      </w:tr>
    </w:tbl>
    <w:p w14:paraId="287CD03A" w14:textId="77777777" w:rsidR="008537E8" w:rsidRPr="00B629B2" w:rsidRDefault="008537E8">
      <w:pPr>
        <w:spacing w:after="0" w:line="240" w:lineRule="auto"/>
        <w:jc w:val="both"/>
        <w:rPr>
          <w:szCs w:val="24"/>
        </w:rPr>
      </w:pPr>
    </w:p>
    <w:p w14:paraId="574D1CA2" w14:textId="77777777" w:rsidR="008537E8" w:rsidRPr="00B629B2" w:rsidRDefault="008537E8">
      <w:pPr>
        <w:spacing w:after="0" w:line="240" w:lineRule="auto"/>
        <w:jc w:val="both"/>
        <w:rPr>
          <w:szCs w:val="24"/>
        </w:rPr>
      </w:pPr>
      <w:r w:rsidRPr="00B629B2">
        <w:rPr>
          <w:szCs w:val="24"/>
        </w:rPr>
        <w:lastRenderedPageBreak/>
        <w:tab/>
        <w:t xml:space="preserve">Based on this guidance, the three densities </w:t>
      </w:r>
      <w:r w:rsidR="003F4C9B" w:rsidRPr="00B629B2">
        <w:rPr>
          <w:szCs w:val="24"/>
        </w:rPr>
        <w:t xml:space="preserve">to be modelled </w:t>
      </w:r>
      <w:r w:rsidRPr="00B629B2">
        <w:rPr>
          <w:szCs w:val="24"/>
        </w:rPr>
        <w:t xml:space="preserve">represent, empty, </w:t>
      </w:r>
      <w:r w:rsidR="00CB4EFC" w:rsidRPr="00B629B2">
        <w:rPr>
          <w:szCs w:val="24"/>
        </w:rPr>
        <w:t>normal</w:t>
      </w:r>
      <w:r w:rsidRPr="00B629B2">
        <w:rPr>
          <w:szCs w:val="24"/>
        </w:rPr>
        <w:t>, and very high occupancy; 0.0 p/m</w:t>
      </w:r>
      <w:r w:rsidRPr="00B629B2">
        <w:rPr>
          <w:szCs w:val="24"/>
          <w:vertAlign w:val="superscript"/>
        </w:rPr>
        <w:t>2</w:t>
      </w:r>
      <w:r w:rsidRPr="00B629B2">
        <w:rPr>
          <w:szCs w:val="24"/>
        </w:rPr>
        <w:t>, 1.0 p/m</w:t>
      </w:r>
      <w:r w:rsidRPr="00B629B2">
        <w:rPr>
          <w:szCs w:val="24"/>
          <w:vertAlign w:val="superscript"/>
        </w:rPr>
        <w:t>2</w:t>
      </w:r>
      <w:r w:rsidRPr="00B629B2">
        <w:rPr>
          <w:szCs w:val="24"/>
        </w:rPr>
        <w:t>, and 3.3 p/m</w:t>
      </w:r>
      <w:r w:rsidRPr="00B629B2">
        <w:rPr>
          <w:szCs w:val="24"/>
          <w:vertAlign w:val="superscript"/>
        </w:rPr>
        <w:t>2</w:t>
      </w:r>
      <w:r w:rsidRPr="00B629B2">
        <w:rPr>
          <w:szCs w:val="24"/>
        </w:rPr>
        <w:t xml:space="preserve">, respectively. </w:t>
      </w:r>
    </w:p>
    <w:p w14:paraId="44504B58" w14:textId="0396533D" w:rsidR="008537E8" w:rsidRPr="00B629B2" w:rsidRDefault="008537E8">
      <w:pPr>
        <w:spacing w:after="0" w:line="240" w:lineRule="auto"/>
        <w:jc w:val="both"/>
        <w:rPr>
          <w:szCs w:val="24"/>
        </w:rPr>
      </w:pPr>
      <w:r w:rsidRPr="00B629B2">
        <w:rPr>
          <w:szCs w:val="24"/>
        </w:rPr>
        <w:tab/>
        <w:t xml:space="preserve">This ties in with the London Underground guidance, </w:t>
      </w:r>
      <w:r w:rsidR="00CB4EFC" w:rsidRPr="00B629B2">
        <w:rPr>
          <w:szCs w:val="24"/>
        </w:rPr>
        <w:t>LUL-S1371</w:t>
      </w:r>
      <w:r w:rsidR="00E932C8" w:rsidRPr="00B629B2">
        <w:rPr>
          <w:szCs w:val="24"/>
        </w:rPr>
        <w:t xml:space="preserve"> [1</w:t>
      </w:r>
      <w:r w:rsidR="002A05AA" w:rsidRPr="00B629B2">
        <w:rPr>
          <w:szCs w:val="24"/>
        </w:rPr>
        <w:t>9</w:t>
      </w:r>
      <w:r w:rsidR="00E932C8" w:rsidRPr="00B629B2">
        <w:rPr>
          <w:szCs w:val="24"/>
        </w:rPr>
        <w:t>]</w:t>
      </w:r>
      <w:r w:rsidR="00CB4EFC" w:rsidRPr="00B629B2">
        <w:rPr>
          <w:szCs w:val="24"/>
        </w:rPr>
        <w:t xml:space="preserve">, which has station planning requirements on platforms based on </w:t>
      </w:r>
      <w:proofErr w:type="spellStart"/>
      <w:r w:rsidR="00CB4EFC" w:rsidRPr="00B629B2">
        <w:rPr>
          <w:szCs w:val="24"/>
        </w:rPr>
        <w:t>Fruin</w:t>
      </w:r>
      <w:proofErr w:type="spellEnd"/>
      <w:r w:rsidR="00CB4EFC" w:rsidRPr="00B629B2">
        <w:rPr>
          <w:szCs w:val="24"/>
        </w:rPr>
        <w:t xml:space="preserve"> Levels of Service (</w:t>
      </w:r>
      <w:proofErr w:type="spellStart"/>
      <w:r w:rsidR="00CB4EFC" w:rsidRPr="00B629B2">
        <w:rPr>
          <w:szCs w:val="24"/>
        </w:rPr>
        <w:t>LoS</w:t>
      </w:r>
      <w:proofErr w:type="spellEnd"/>
      <w:r w:rsidR="00CB4EFC" w:rsidRPr="00B629B2">
        <w:rPr>
          <w:szCs w:val="24"/>
        </w:rPr>
        <w:t>)</w:t>
      </w:r>
      <w:r w:rsidR="00E932C8" w:rsidRPr="00B629B2">
        <w:rPr>
          <w:szCs w:val="24"/>
        </w:rPr>
        <w:t xml:space="preserve"> [</w:t>
      </w:r>
      <w:r w:rsidR="002A05AA" w:rsidRPr="00B629B2">
        <w:rPr>
          <w:szCs w:val="24"/>
        </w:rPr>
        <w:t>20</w:t>
      </w:r>
      <w:r w:rsidR="00E932C8" w:rsidRPr="00B629B2">
        <w:rPr>
          <w:szCs w:val="24"/>
        </w:rPr>
        <w:t>]</w:t>
      </w:r>
      <w:r w:rsidR="00CB4EFC" w:rsidRPr="00B629B2">
        <w:rPr>
          <w:szCs w:val="24"/>
        </w:rPr>
        <w:t xml:space="preserve"> as follows:</w:t>
      </w:r>
    </w:p>
    <w:p w14:paraId="771EA141" w14:textId="77777777" w:rsidR="00C918DF" w:rsidRPr="00B629B2" w:rsidRDefault="00C918DF">
      <w:pPr>
        <w:spacing w:after="0" w:line="240" w:lineRule="auto"/>
        <w:jc w:val="both"/>
        <w:rPr>
          <w:i/>
          <w:szCs w:val="24"/>
        </w:rPr>
      </w:pPr>
    </w:p>
    <w:p w14:paraId="5767364D" w14:textId="66E8406E" w:rsidR="00CB4EFC" w:rsidRPr="00B629B2" w:rsidRDefault="003F4C9B">
      <w:pPr>
        <w:spacing w:after="0" w:line="240" w:lineRule="auto"/>
        <w:jc w:val="both"/>
        <w:rPr>
          <w:i/>
          <w:szCs w:val="24"/>
        </w:rPr>
      </w:pPr>
      <w:r w:rsidRPr="00B629B2">
        <w:rPr>
          <w:i/>
          <w:szCs w:val="24"/>
        </w:rPr>
        <w:t xml:space="preserve">Table 5 – LUL-S1371 </w:t>
      </w:r>
      <w:r w:rsidR="00EE496D" w:rsidRPr="00B629B2">
        <w:rPr>
          <w:i/>
          <w:szCs w:val="24"/>
        </w:rPr>
        <w:t>Station Planning Requirements</w:t>
      </w:r>
      <w:r w:rsidR="00C918DF" w:rsidRPr="00B629B2">
        <w:rPr>
          <w:i/>
          <w:szCs w:val="24"/>
        </w:rPr>
        <w:t xml:space="preserve"> [</w:t>
      </w:r>
      <w:r w:rsidR="00E932C8" w:rsidRPr="00B629B2">
        <w:rPr>
          <w:i/>
          <w:szCs w:val="24"/>
        </w:rPr>
        <w:t>1</w:t>
      </w:r>
      <w:r w:rsidR="002A05AA" w:rsidRPr="00B629B2">
        <w:rPr>
          <w:i/>
          <w:szCs w:val="24"/>
        </w:rPr>
        <w:t>9</w:t>
      </w:r>
      <w:r w:rsidR="00C918DF" w:rsidRPr="00B629B2">
        <w:rPr>
          <w: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2694"/>
        <w:gridCol w:w="1949"/>
      </w:tblGrid>
      <w:tr w:rsidR="00CB4EFC" w:rsidRPr="00B629B2" w14:paraId="5279D2C0" w14:textId="77777777" w:rsidTr="0053460F">
        <w:trPr>
          <w:trHeight w:val="510"/>
        </w:trPr>
        <w:tc>
          <w:tcPr>
            <w:tcW w:w="3369" w:type="dxa"/>
            <w:tcBorders>
              <w:bottom w:val="single" w:sz="12" w:space="0" w:color="auto"/>
            </w:tcBorders>
            <w:vAlign w:val="center"/>
          </w:tcPr>
          <w:p w14:paraId="2D9AFED1" w14:textId="77777777" w:rsidR="00CB4EFC" w:rsidRPr="00B629B2" w:rsidRDefault="00CB4EFC" w:rsidP="00491097">
            <w:pPr>
              <w:jc w:val="center"/>
              <w:rPr>
                <w:b/>
                <w:szCs w:val="24"/>
              </w:rPr>
            </w:pPr>
            <w:r w:rsidRPr="00B629B2">
              <w:rPr>
                <w:b/>
                <w:szCs w:val="24"/>
              </w:rPr>
              <w:t>Category of station operation</w:t>
            </w:r>
          </w:p>
        </w:tc>
        <w:tc>
          <w:tcPr>
            <w:tcW w:w="708" w:type="dxa"/>
            <w:tcBorders>
              <w:bottom w:val="single" w:sz="12" w:space="0" w:color="auto"/>
            </w:tcBorders>
            <w:vAlign w:val="center"/>
          </w:tcPr>
          <w:p w14:paraId="2E2E5F69" w14:textId="77777777" w:rsidR="00CB4EFC" w:rsidRPr="00B629B2" w:rsidRDefault="00CB4EFC" w:rsidP="00491097">
            <w:pPr>
              <w:jc w:val="center"/>
              <w:rPr>
                <w:b/>
                <w:szCs w:val="24"/>
              </w:rPr>
            </w:pPr>
            <w:proofErr w:type="spellStart"/>
            <w:r w:rsidRPr="00B629B2">
              <w:rPr>
                <w:b/>
                <w:szCs w:val="24"/>
              </w:rPr>
              <w:t>LoS</w:t>
            </w:r>
            <w:proofErr w:type="spellEnd"/>
          </w:p>
        </w:tc>
        <w:tc>
          <w:tcPr>
            <w:tcW w:w="2694" w:type="dxa"/>
            <w:tcBorders>
              <w:bottom w:val="single" w:sz="12" w:space="0" w:color="auto"/>
            </w:tcBorders>
            <w:vAlign w:val="center"/>
          </w:tcPr>
          <w:p w14:paraId="440EFD8F" w14:textId="77777777" w:rsidR="00CB4EFC" w:rsidRPr="00B629B2" w:rsidRDefault="00CB4EFC" w:rsidP="00491097">
            <w:pPr>
              <w:jc w:val="center"/>
              <w:rPr>
                <w:b/>
                <w:szCs w:val="24"/>
              </w:rPr>
            </w:pPr>
            <w:r w:rsidRPr="00B629B2">
              <w:rPr>
                <w:b/>
                <w:szCs w:val="24"/>
              </w:rPr>
              <w:t>Floor space factor</w:t>
            </w:r>
          </w:p>
        </w:tc>
        <w:tc>
          <w:tcPr>
            <w:tcW w:w="1949" w:type="dxa"/>
            <w:tcBorders>
              <w:bottom w:val="single" w:sz="12" w:space="0" w:color="auto"/>
            </w:tcBorders>
            <w:vAlign w:val="center"/>
          </w:tcPr>
          <w:p w14:paraId="0E223C8E" w14:textId="77777777" w:rsidR="00CB4EFC" w:rsidRPr="00B629B2" w:rsidRDefault="00CB4EFC" w:rsidP="00491097">
            <w:pPr>
              <w:jc w:val="center"/>
              <w:rPr>
                <w:b/>
                <w:szCs w:val="24"/>
              </w:rPr>
            </w:pPr>
            <w:r w:rsidRPr="00B629B2">
              <w:rPr>
                <w:b/>
                <w:szCs w:val="24"/>
              </w:rPr>
              <w:t>Occupancy density</w:t>
            </w:r>
            <w:r w:rsidR="0053460F" w:rsidRPr="00B629B2">
              <w:rPr>
                <w:b/>
                <w:szCs w:val="24"/>
              </w:rPr>
              <w:t xml:space="preserve"> (p/m</w:t>
            </w:r>
            <w:r w:rsidR="0053460F" w:rsidRPr="00B629B2">
              <w:rPr>
                <w:b/>
                <w:szCs w:val="24"/>
                <w:vertAlign w:val="superscript"/>
              </w:rPr>
              <w:t>2</w:t>
            </w:r>
            <w:r w:rsidR="0053460F" w:rsidRPr="00B629B2">
              <w:rPr>
                <w:b/>
                <w:szCs w:val="24"/>
              </w:rPr>
              <w:t>)</w:t>
            </w:r>
          </w:p>
        </w:tc>
      </w:tr>
      <w:tr w:rsidR="00CB4EFC" w:rsidRPr="00B629B2" w14:paraId="2179C439" w14:textId="77777777" w:rsidTr="0053460F">
        <w:trPr>
          <w:trHeight w:val="510"/>
        </w:trPr>
        <w:tc>
          <w:tcPr>
            <w:tcW w:w="3369" w:type="dxa"/>
            <w:tcBorders>
              <w:top w:val="single" w:sz="12" w:space="0" w:color="auto"/>
            </w:tcBorders>
            <w:vAlign w:val="center"/>
          </w:tcPr>
          <w:p w14:paraId="2696EE50" w14:textId="77777777" w:rsidR="00CB4EFC" w:rsidRPr="00B629B2" w:rsidRDefault="00CB4EFC" w:rsidP="00491097">
            <w:pPr>
              <w:jc w:val="center"/>
              <w:rPr>
                <w:szCs w:val="24"/>
              </w:rPr>
            </w:pPr>
            <w:r w:rsidRPr="00B629B2">
              <w:rPr>
                <w:szCs w:val="24"/>
              </w:rPr>
              <w:t>Normal operation</w:t>
            </w:r>
          </w:p>
        </w:tc>
        <w:tc>
          <w:tcPr>
            <w:tcW w:w="708" w:type="dxa"/>
            <w:tcBorders>
              <w:top w:val="single" w:sz="12" w:space="0" w:color="auto"/>
            </w:tcBorders>
            <w:vAlign w:val="center"/>
          </w:tcPr>
          <w:p w14:paraId="07412F62" w14:textId="77777777" w:rsidR="00CB4EFC" w:rsidRPr="00B629B2" w:rsidRDefault="00CB4EFC" w:rsidP="00491097">
            <w:pPr>
              <w:jc w:val="center"/>
              <w:rPr>
                <w:szCs w:val="24"/>
              </w:rPr>
            </w:pPr>
            <w:r w:rsidRPr="00B629B2">
              <w:rPr>
                <w:szCs w:val="24"/>
              </w:rPr>
              <w:t>C</w:t>
            </w:r>
          </w:p>
        </w:tc>
        <w:tc>
          <w:tcPr>
            <w:tcW w:w="2694" w:type="dxa"/>
            <w:tcBorders>
              <w:top w:val="single" w:sz="12" w:space="0" w:color="auto"/>
            </w:tcBorders>
            <w:vAlign w:val="center"/>
          </w:tcPr>
          <w:p w14:paraId="6AC37E8B" w14:textId="77777777" w:rsidR="00CB4EFC" w:rsidRPr="00B629B2" w:rsidRDefault="00CB4EFC" w:rsidP="00491097">
            <w:pPr>
              <w:jc w:val="center"/>
              <w:rPr>
                <w:szCs w:val="24"/>
              </w:rPr>
            </w:pPr>
            <w:r w:rsidRPr="00B629B2">
              <w:rPr>
                <w:szCs w:val="24"/>
              </w:rPr>
              <w:t>0.93 m</w:t>
            </w:r>
            <w:r w:rsidRPr="00B629B2">
              <w:rPr>
                <w:szCs w:val="24"/>
                <w:vertAlign w:val="superscript"/>
              </w:rPr>
              <w:t>2</w:t>
            </w:r>
            <w:r w:rsidRPr="00B629B2">
              <w:rPr>
                <w:szCs w:val="24"/>
              </w:rPr>
              <w:t xml:space="preserve"> per person</w:t>
            </w:r>
          </w:p>
        </w:tc>
        <w:tc>
          <w:tcPr>
            <w:tcW w:w="1949" w:type="dxa"/>
            <w:tcBorders>
              <w:top w:val="single" w:sz="12" w:space="0" w:color="auto"/>
            </w:tcBorders>
            <w:vAlign w:val="center"/>
          </w:tcPr>
          <w:p w14:paraId="68DA8052" w14:textId="77777777" w:rsidR="00CB4EFC" w:rsidRPr="00B629B2" w:rsidRDefault="00CB4EFC" w:rsidP="00491097">
            <w:pPr>
              <w:jc w:val="center"/>
              <w:rPr>
                <w:szCs w:val="24"/>
              </w:rPr>
            </w:pPr>
            <w:r w:rsidRPr="00B629B2">
              <w:rPr>
                <w:szCs w:val="24"/>
              </w:rPr>
              <w:t>1.1</w:t>
            </w:r>
          </w:p>
        </w:tc>
      </w:tr>
      <w:tr w:rsidR="00CB4EFC" w:rsidRPr="00B629B2" w14:paraId="4D545D5B" w14:textId="77777777" w:rsidTr="0053460F">
        <w:trPr>
          <w:trHeight w:val="510"/>
        </w:trPr>
        <w:tc>
          <w:tcPr>
            <w:tcW w:w="3369" w:type="dxa"/>
            <w:tcBorders>
              <w:bottom w:val="single" w:sz="8" w:space="0" w:color="auto"/>
            </w:tcBorders>
            <w:vAlign w:val="center"/>
          </w:tcPr>
          <w:p w14:paraId="576990E7" w14:textId="77777777" w:rsidR="00CB4EFC" w:rsidRPr="00B629B2" w:rsidRDefault="00CB4EFC" w:rsidP="00491097">
            <w:pPr>
              <w:jc w:val="center"/>
              <w:rPr>
                <w:szCs w:val="24"/>
              </w:rPr>
            </w:pPr>
            <w:r w:rsidRPr="00B629B2">
              <w:rPr>
                <w:szCs w:val="24"/>
              </w:rPr>
              <w:t>Guidance for special events up to 3 days</w:t>
            </w:r>
          </w:p>
        </w:tc>
        <w:tc>
          <w:tcPr>
            <w:tcW w:w="708" w:type="dxa"/>
            <w:tcBorders>
              <w:bottom w:val="single" w:sz="8" w:space="0" w:color="auto"/>
            </w:tcBorders>
            <w:vAlign w:val="center"/>
          </w:tcPr>
          <w:p w14:paraId="07E8D1BA" w14:textId="77777777" w:rsidR="00CB4EFC" w:rsidRPr="00B629B2" w:rsidRDefault="00CB4EFC" w:rsidP="00491097">
            <w:pPr>
              <w:jc w:val="center"/>
              <w:rPr>
                <w:szCs w:val="24"/>
              </w:rPr>
            </w:pPr>
            <w:r w:rsidRPr="00B629B2">
              <w:rPr>
                <w:szCs w:val="24"/>
              </w:rPr>
              <w:t>D</w:t>
            </w:r>
          </w:p>
        </w:tc>
        <w:tc>
          <w:tcPr>
            <w:tcW w:w="2694" w:type="dxa"/>
            <w:tcBorders>
              <w:bottom w:val="single" w:sz="8" w:space="0" w:color="auto"/>
            </w:tcBorders>
            <w:vAlign w:val="center"/>
          </w:tcPr>
          <w:p w14:paraId="09C27DF4" w14:textId="77777777" w:rsidR="00CB4EFC" w:rsidRPr="00B629B2" w:rsidRDefault="00CB4EFC" w:rsidP="00491097">
            <w:pPr>
              <w:jc w:val="center"/>
              <w:rPr>
                <w:szCs w:val="24"/>
              </w:rPr>
            </w:pPr>
            <w:r w:rsidRPr="00B629B2">
              <w:rPr>
                <w:szCs w:val="24"/>
              </w:rPr>
              <w:t>0.28 m</w:t>
            </w:r>
            <w:r w:rsidRPr="00B629B2">
              <w:rPr>
                <w:szCs w:val="24"/>
                <w:vertAlign w:val="superscript"/>
              </w:rPr>
              <w:t>2</w:t>
            </w:r>
            <w:r w:rsidRPr="00B629B2">
              <w:rPr>
                <w:szCs w:val="24"/>
              </w:rPr>
              <w:t xml:space="preserve"> per person</w:t>
            </w:r>
          </w:p>
        </w:tc>
        <w:tc>
          <w:tcPr>
            <w:tcW w:w="1949" w:type="dxa"/>
            <w:tcBorders>
              <w:bottom w:val="single" w:sz="8" w:space="0" w:color="auto"/>
            </w:tcBorders>
            <w:vAlign w:val="center"/>
          </w:tcPr>
          <w:p w14:paraId="0566A1A8" w14:textId="77777777" w:rsidR="00CB4EFC" w:rsidRPr="00B629B2" w:rsidRDefault="00CB4EFC" w:rsidP="00491097">
            <w:pPr>
              <w:jc w:val="center"/>
              <w:rPr>
                <w:szCs w:val="24"/>
              </w:rPr>
            </w:pPr>
            <w:r w:rsidRPr="00B629B2">
              <w:rPr>
                <w:szCs w:val="24"/>
              </w:rPr>
              <w:t>3.5</w:t>
            </w:r>
          </w:p>
        </w:tc>
      </w:tr>
    </w:tbl>
    <w:p w14:paraId="388E5628" w14:textId="77777777" w:rsidR="00CB4EFC" w:rsidRPr="00B629B2" w:rsidRDefault="00CB4EFC">
      <w:pPr>
        <w:spacing w:after="0" w:line="240" w:lineRule="auto"/>
        <w:jc w:val="both"/>
        <w:rPr>
          <w:szCs w:val="24"/>
        </w:rPr>
      </w:pPr>
    </w:p>
    <w:p w14:paraId="478C1E2A" w14:textId="76FCB724" w:rsidR="00E12B0C" w:rsidRPr="00B629B2" w:rsidRDefault="000A4D93">
      <w:pPr>
        <w:spacing w:after="0" w:line="240" w:lineRule="auto"/>
        <w:jc w:val="both"/>
        <w:rPr>
          <w:szCs w:val="24"/>
        </w:rPr>
      </w:pPr>
      <w:r w:rsidRPr="00B629B2">
        <w:rPr>
          <w:szCs w:val="24"/>
        </w:rPr>
        <w:tab/>
      </w:r>
      <w:r w:rsidR="00CB4EFC" w:rsidRPr="00B629B2">
        <w:rPr>
          <w:szCs w:val="24"/>
        </w:rPr>
        <w:t>The standing audience has been implemented in the acoustic model as</w:t>
      </w:r>
      <w:r w:rsidR="00EE496D" w:rsidRPr="00B629B2">
        <w:rPr>
          <w:szCs w:val="24"/>
        </w:rPr>
        <w:t xml:space="preserve"> a</w:t>
      </w:r>
      <w:r w:rsidR="00CB4EFC" w:rsidRPr="00B629B2">
        <w:rPr>
          <w:szCs w:val="24"/>
        </w:rPr>
        <w:t xml:space="preserve"> single box based on the relative dimensions of a standing audience presented by Martellotta</w:t>
      </w:r>
      <w:r w:rsidR="00EE496D" w:rsidRPr="00B629B2">
        <w:rPr>
          <w:szCs w:val="24"/>
        </w:rPr>
        <w:t xml:space="preserve"> et al. [1</w:t>
      </w:r>
      <w:r w:rsidR="00C918DF" w:rsidRPr="00B629B2">
        <w:rPr>
          <w:szCs w:val="24"/>
        </w:rPr>
        <w:t>2</w:t>
      </w:r>
      <w:r w:rsidR="00EE496D" w:rsidRPr="00B629B2">
        <w:rPr>
          <w:szCs w:val="24"/>
        </w:rPr>
        <w:t xml:space="preserve">]. </w:t>
      </w:r>
      <w:r w:rsidR="00CB4EFC" w:rsidRPr="00B629B2">
        <w:rPr>
          <w:szCs w:val="24"/>
        </w:rPr>
        <w:t>The box was modelled at a height of 1.45m above the floor level with a gap of 0.5m to the edge of the platform edge and the side/end walls</w:t>
      </w:r>
      <w:r w:rsidR="00EE496D" w:rsidRPr="00B629B2">
        <w:rPr>
          <w:szCs w:val="24"/>
        </w:rPr>
        <w:t xml:space="preserve"> on the basis that passengers are not likely to stand this close to the platform edge, or walls.</w:t>
      </w:r>
    </w:p>
    <w:p w14:paraId="656DFEBB" w14:textId="77777777" w:rsidR="00CB4EFC" w:rsidRPr="00B629B2" w:rsidRDefault="00CB4EFC">
      <w:pPr>
        <w:spacing w:after="0" w:line="240" w:lineRule="auto"/>
        <w:jc w:val="both"/>
        <w:rPr>
          <w:szCs w:val="24"/>
        </w:rPr>
      </w:pPr>
    </w:p>
    <w:p w14:paraId="47D24518" w14:textId="77777777" w:rsidR="00E12B0C" w:rsidRPr="00B629B2" w:rsidRDefault="001276DC">
      <w:pPr>
        <w:spacing w:after="0" w:line="240" w:lineRule="auto"/>
        <w:jc w:val="both"/>
        <w:rPr>
          <w:b/>
          <w:szCs w:val="24"/>
        </w:rPr>
      </w:pPr>
      <w:r w:rsidRPr="00B629B2">
        <w:rPr>
          <w:b/>
          <w:szCs w:val="24"/>
        </w:rPr>
        <w:t xml:space="preserve">3.5 Calculation of Absorption Coefficients </w:t>
      </w:r>
    </w:p>
    <w:p w14:paraId="68B1788B" w14:textId="77777777" w:rsidR="00CB4EFC" w:rsidRPr="00B629B2" w:rsidRDefault="00107C65">
      <w:pPr>
        <w:spacing w:after="0" w:line="240" w:lineRule="auto"/>
        <w:jc w:val="both"/>
        <w:rPr>
          <w:szCs w:val="24"/>
        </w:rPr>
      </w:pPr>
      <w:r w:rsidRPr="00B629B2">
        <w:rPr>
          <w:szCs w:val="24"/>
        </w:rPr>
        <w:tab/>
      </w:r>
      <w:r w:rsidR="000A4D93" w:rsidRPr="00B629B2">
        <w:rPr>
          <w:szCs w:val="24"/>
        </w:rPr>
        <w:t xml:space="preserve">An absorption coefficient has been applied to the top and three sides of the audience box based on the calculated equivalent absorption area per person with the densities given above. </w:t>
      </w:r>
    </w:p>
    <w:p w14:paraId="7B6A49A1" w14:textId="77777777" w:rsidR="00107C65" w:rsidRPr="00B629B2" w:rsidRDefault="00107C65">
      <w:pPr>
        <w:spacing w:after="0" w:line="240" w:lineRule="auto"/>
        <w:jc w:val="both"/>
        <w:rPr>
          <w:szCs w:val="24"/>
        </w:rPr>
      </w:pPr>
      <w:r w:rsidRPr="00B629B2">
        <w:rPr>
          <w:szCs w:val="24"/>
        </w:rPr>
        <w:tab/>
      </w:r>
      <w:r w:rsidR="000A4D93" w:rsidRPr="00B629B2">
        <w:rPr>
          <w:szCs w:val="24"/>
        </w:rPr>
        <w:t>The calculated</w:t>
      </w:r>
      <w:r w:rsidRPr="00B629B2">
        <w:rPr>
          <w:szCs w:val="24"/>
        </w:rPr>
        <w:t xml:space="preserve"> equivalent </w:t>
      </w:r>
      <w:r w:rsidR="000A4D93" w:rsidRPr="00B629B2">
        <w:rPr>
          <w:szCs w:val="24"/>
        </w:rPr>
        <w:t xml:space="preserve">absorption areas </w:t>
      </w:r>
      <w:r w:rsidRPr="00B629B2">
        <w:rPr>
          <w:szCs w:val="24"/>
        </w:rPr>
        <w:t xml:space="preserve">per person </w:t>
      </w:r>
      <w:r w:rsidR="000A4D93" w:rsidRPr="00B629B2">
        <w:rPr>
          <w:szCs w:val="24"/>
        </w:rPr>
        <w:t>are presented in</w:t>
      </w:r>
      <w:r w:rsidRPr="00B629B2">
        <w:rPr>
          <w:szCs w:val="24"/>
        </w:rPr>
        <w:t xml:space="preserve"> Table 6 </w:t>
      </w:r>
      <w:r w:rsidR="000A4D93" w:rsidRPr="00B629B2">
        <w:rPr>
          <w:szCs w:val="24"/>
        </w:rPr>
        <w:t>below</w:t>
      </w:r>
      <w:r w:rsidRPr="00B629B2">
        <w:rPr>
          <w:szCs w:val="24"/>
        </w:rPr>
        <w:t>.</w:t>
      </w:r>
    </w:p>
    <w:p w14:paraId="4E7777BC" w14:textId="77777777" w:rsidR="000A4D93" w:rsidRPr="00B629B2" w:rsidRDefault="000A4D93">
      <w:pPr>
        <w:spacing w:after="0" w:line="240" w:lineRule="auto"/>
        <w:jc w:val="both"/>
        <w:rPr>
          <w:szCs w:val="24"/>
        </w:rPr>
      </w:pPr>
    </w:p>
    <w:p w14:paraId="583953F1" w14:textId="77777777" w:rsidR="00107C65" w:rsidRPr="00B629B2" w:rsidRDefault="00107C65">
      <w:pPr>
        <w:spacing w:after="0" w:line="240" w:lineRule="auto"/>
        <w:jc w:val="both"/>
        <w:rPr>
          <w:i/>
          <w:szCs w:val="24"/>
        </w:rPr>
      </w:pPr>
      <w:r w:rsidRPr="00B629B2">
        <w:rPr>
          <w:i/>
          <w:szCs w:val="24"/>
        </w:rPr>
        <w:t>Table 6 – Equivalent Absorption Area per Person Used in the Acoustic Models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063"/>
        <w:gridCol w:w="1065"/>
        <w:gridCol w:w="1064"/>
        <w:gridCol w:w="1066"/>
        <w:gridCol w:w="1064"/>
        <w:gridCol w:w="1066"/>
        <w:gridCol w:w="1064"/>
      </w:tblGrid>
      <w:tr w:rsidR="00FB3C47" w:rsidRPr="00B629B2" w14:paraId="59DA7C2D" w14:textId="7573852D" w:rsidTr="00FB3C47">
        <w:trPr>
          <w:trHeight w:val="340"/>
        </w:trPr>
        <w:tc>
          <w:tcPr>
            <w:tcW w:w="727" w:type="pct"/>
            <w:vMerge w:val="restart"/>
            <w:vAlign w:val="center"/>
          </w:tcPr>
          <w:p w14:paraId="2A562CED" w14:textId="77777777" w:rsidR="00FB3C47" w:rsidRPr="00B629B2" w:rsidRDefault="00FB3C47" w:rsidP="00491097">
            <w:pPr>
              <w:jc w:val="center"/>
              <w:rPr>
                <w:b/>
                <w:szCs w:val="24"/>
              </w:rPr>
            </w:pPr>
            <w:r w:rsidRPr="00B629B2">
              <w:rPr>
                <w:b/>
                <w:szCs w:val="24"/>
              </w:rPr>
              <w:t>Occupancy density</w:t>
            </w:r>
            <w:r w:rsidRPr="00B629B2">
              <w:rPr>
                <w:b/>
                <w:szCs w:val="24"/>
              </w:rPr>
              <w:br/>
              <w:t>(p/m</w:t>
            </w:r>
            <w:r w:rsidRPr="00B629B2">
              <w:rPr>
                <w:b/>
                <w:szCs w:val="24"/>
                <w:vertAlign w:val="superscript"/>
              </w:rPr>
              <w:t>2</w:t>
            </w:r>
            <w:r w:rsidRPr="00B629B2">
              <w:rPr>
                <w:b/>
                <w:szCs w:val="24"/>
              </w:rPr>
              <w:t>)</w:t>
            </w:r>
          </w:p>
        </w:tc>
        <w:tc>
          <w:tcPr>
            <w:tcW w:w="4273" w:type="pct"/>
            <w:gridSpan w:val="7"/>
            <w:tcBorders>
              <w:bottom w:val="single" w:sz="6" w:space="0" w:color="auto"/>
            </w:tcBorders>
            <w:vAlign w:val="center"/>
          </w:tcPr>
          <w:p w14:paraId="6BC90176" w14:textId="2EBCA7BB" w:rsidR="00FB3C47" w:rsidRPr="00B629B2" w:rsidRDefault="00FB3C47" w:rsidP="00491097">
            <w:pPr>
              <w:jc w:val="center"/>
              <w:rPr>
                <w:b/>
                <w:szCs w:val="24"/>
              </w:rPr>
            </w:pPr>
            <w:r w:rsidRPr="00B629B2">
              <w:rPr>
                <w:b/>
                <w:szCs w:val="24"/>
              </w:rPr>
              <w:t>Calculated equivalent absorption area applied to audience</w:t>
            </w:r>
          </w:p>
        </w:tc>
      </w:tr>
      <w:tr w:rsidR="00FB3C47" w:rsidRPr="00B629B2" w14:paraId="351B00EA" w14:textId="1949FE49" w:rsidTr="00FB3C47">
        <w:trPr>
          <w:trHeight w:val="340"/>
        </w:trPr>
        <w:tc>
          <w:tcPr>
            <w:tcW w:w="727" w:type="pct"/>
            <w:vMerge/>
            <w:tcBorders>
              <w:bottom w:val="single" w:sz="12" w:space="0" w:color="auto"/>
            </w:tcBorders>
            <w:vAlign w:val="center"/>
          </w:tcPr>
          <w:p w14:paraId="2DDABAE4" w14:textId="77777777" w:rsidR="00FB3C47" w:rsidRPr="00B629B2" w:rsidRDefault="00FB3C47" w:rsidP="00491097">
            <w:pPr>
              <w:jc w:val="center"/>
              <w:rPr>
                <w:b/>
                <w:szCs w:val="24"/>
              </w:rPr>
            </w:pPr>
          </w:p>
        </w:tc>
        <w:tc>
          <w:tcPr>
            <w:tcW w:w="610" w:type="pct"/>
            <w:tcBorders>
              <w:top w:val="single" w:sz="6" w:space="0" w:color="auto"/>
              <w:bottom w:val="single" w:sz="12" w:space="0" w:color="auto"/>
            </w:tcBorders>
            <w:vAlign w:val="center"/>
          </w:tcPr>
          <w:p w14:paraId="3B408FED" w14:textId="77777777" w:rsidR="00FB3C47" w:rsidRPr="00B629B2" w:rsidRDefault="00FB3C47" w:rsidP="00491097">
            <w:pPr>
              <w:jc w:val="center"/>
              <w:rPr>
                <w:b/>
                <w:szCs w:val="24"/>
              </w:rPr>
            </w:pPr>
            <w:r w:rsidRPr="00B629B2">
              <w:rPr>
                <w:b/>
                <w:szCs w:val="24"/>
              </w:rPr>
              <w:t>125 Hz</w:t>
            </w:r>
          </w:p>
        </w:tc>
        <w:tc>
          <w:tcPr>
            <w:tcW w:w="611" w:type="pct"/>
            <w:tcBorders>
              <w:top w:val="single" w:sz="6" w:space="0" w:color="auto"/>
              <w:bottom w:val="single" w:sz="12" w:space="0" w:color="auto"/>
            </w:tcBorders>
            <w:vAlign w:val="center"/>
          </w:tcPr>
          <w:p w14:paraId="36DE3B6F" w14:textId="77777777" w:rsidR="00FB3C47" w:rsidRPr="00B629B2" w:rsidRDefault="00FB3C47" w:rsidP="00491097">
            <w:pPr>
              <w:jc w:val="center"/>
              <w:rPr>
                <w:b/>
                <w:szCs w:val="24"/>
              </w:rPr>
            </w:pPr>
            <w:r w:rsidRPr="00B629B2">
              <w:rPr>
                <w:b/>
                <w:szCs w:val="24"/>
              </w:rPr>
              <w:t>250 Hz</w:t>
            </w:r>
          </w:p>
        </w:tc>
        <w:tc>
          <w:tcPr>
            <w:tcW w:w="610" w:type="pct"/>
            <w:tcBorders>
              <w:top w:val="single" w:sz="6" w:space="0" w:color="auto"/>
              <w:bottom w:val="single" w:sz="12" w:space="0" w:color="auto"/>
            </w:tcBorders>
            <w:vAlign w:val="center"/>
          </w:tcPr>
          <w:p w14:paraId="069ADDFB" w14:textId="77777777" w:rsidR="00FB3C47" w:rsidRPr="00B629B2" w:rsidRDefault="00FB3C47" w:rsidP="00491097">
            <w:pPr>
              <w:jc w:val="center"/>
              <w:rPr>
                <w:b/>
                <w:szCs w:val="24"/>
              </w:rPr>
            </w:pPr>
            <w:r w:rsidRPr="00B629B2">
              <w:rPr>
                <w:b/>
                <w:szCs w:val="24"/>
              </w:rPr>
              <w:t>500 Hz</w:t>
            </w:r>
          </w:p>
        </w:tc>
        <w:tc>
          <w:tcPr>
            <w:tcW w:w="611" w:type="pct"/>
            <w:tcBorders>
              <w:top w:val="single" w:sz="6" w:space="0" w:color="auto"/>
              <w:bottom w:val="single" w:sz="12" w:space="0" w:color="auto"/>
            </w:tcBorders>
            <w:vAlign w:val="center"/>
          </w:tcPr>
          <w:p w14:paraId="7E4292B0" w14:textId="77777777" w:rsidR="00FB3C47" w:rsidRPr="00B629B2" w:rsidRDefault="00FB3C47" w:rsidP="00491097">
            <w:pPr>
              <w:jc w:val="center"/>
              <w:rPr>
                <w:b/>
                <w:szCs w:val="24"/>
              </w:rPr>
            </w:pPr>
            <w:r w:rsidRPr="00B629B2">
              <w:rPr>
                <w:b/>
                <w:szCs w:val="24"/>
              </w:rPr>
              <w:t>1,000 Hz</w:t>
            </w:r>
          </w:p>
        </w:tc>
        <w:tc>
          <w:tcPr>
            <w:tcW w:w="610" w:type="pct"/>
            <w:tcBorders>
              <w:top w:val="single" w:sz="6" w:space="0" w:color="auto"/>
              <w:bottom w:val="single" w:sz="12" w:space="0" w:color="auto"/>
            </w:tcBorders>
            <w:vAlign w:val="center"/>
          </w:tcPr>
          <w:p w14:paraId="5B026618" w14:textId="77777777" w:rsidR="00FB3C47" w:rsidRPr="00B629B2" w:rsidRDefault="00FB3C47" w:rsidP="00491097">
            <w:pPr>
              <w:jc w:val="center"/>
              <w:rPr>
                <w:b/>
                <w:szCs w:val="24"/>
              </w:rPr>
            </w:pPr>
            <w:r w:rsidRPr="00B629B2">
              <w:rPr>
                <w:b/>
                <w:szCs w:val="24"/>
              </w:rPr>
              <w:t>2,000 Hz</w:t>
            </w:r>
          </w:p>
        </w:tc>
        <w:tc>
          <w:tcPr>
            <w:tcW w:w="611" w:type="pct"/>
            <w:tcBorders>
              <w:top w:val="single" w:sz="6" w:space="0" w:color="auto"/>
              <w:bottom w:val="single" w:sz="12" w:space="0" w:color="auto"/>
            </w:tcBorders>
            <w:vAlign w:val="center"/>
          </w:tcPr>
          <w:p w14:paraId="06137FD0" w14:textId="77777777" w:rsidR="00FB3C47" w:rsidRPr="00B629B2" w:rsidRDefault="00FB3C47" w:rsidP="00FB3C47">
            <w:pPr>
              <w:jc w:val="center"/>
              <w:rPr>
                <w:b/>
                <w:szCs w:val="24"/>
              </w:rPr>
            </w:pPr>
            <w:r w:rsidRPr="00B629B2">
              <w:rPr>
                <w:b/>
                <w:szCs w:val="24"/>
              </w:rPr>
              <w:t>4,000 Hz</w:t>
            </w:r>
          </w:p>
        </w:tc>
        <w:tc>
          <w:tcPr>
            <w:tcW w:w="611" w:type="pct"/>
            <w:tcBorders>
              <w:top w:val="single" w:sz="6" w:space="0" w:color="auto"/>
              <w:bottom w:val="single" w:sz="12" w:space="0" w:color="auto"/>
            </w:tcBorders>
            <w:vAlign w:val="center"/>
          </w:tcPr>
          <w:p w14:paraId="46ACF815" w14:textId="1DA81AFA" w:rsidR="00FB3C47" w:rsidRPr="00B629B2" w:rsidRDefault="00FB3C47" w:rsidP="00FB3C47">
            <w:pPr>
              <w:jc w:val="center"/>
              <w:rPr>
                <w:b/>
                <w:szCs w:val="24"/>
              </w:rPr>
            </w:pPr>
            <w:r>
              <w:rPr>
                <w:b/>
                <w:szCs w:val="24"/>
              </w:rPr>
              <w:t>8</w:t>
            </w:r>
            <w:r w:rsidRPr="00B629B2">
              <w:rPr>
                <w:b/>
                <w:szCs w:val="24"/>
              </w:rPr>
              <w:t>,000 Hz</w:t>
            </w:r>
          </w:p>
        </w:tc>
      </w:tr>
      <w:tr w:rsidR="00FB3C47" w:rsidRPr="00B629B2" w14:paraId="1BC805C0" w14:textId="74B614FE" w:rsidTr="00FB3C47">
        <w:trPr>
          <w:trHeight w:val="340"/>
        </w:trPr>
        <w:tc>
          <w:tcPr>
            <w:tcW w:w="727" w:type="pct"/>
            <w:tcBorders>
              <w:top w:val="single" w:sz="12" w:space="0" w:color="auto"/>
            </w:tcBorders>
            <w:vAlign w:val="center"/>
          </w:tcPr>
          <w:p w14:paraId="67FEED3E" w14:textId="77777777" w:rsidR="00FB3C47" w:rsidRPr="00B629B2" w:rsidRDefault="00FB3C47" w:rsidP="00107C65">
            <w:pPr>
              <w:jc w:val="center"/>
              <w:rPr>
                <w:szCs w:val="24"/>
              </w:rPr>
            </w:pPr>
            <w:r w:rsidRPr="00B629B2">
              <w:rPr>
                <w:szCs w:val="24"/>
              </w:rPr>
              <w:t>0.0</w:t>
            </w:r>
          </w:p>
        </w:tc>
        <w:tc>
          <w:tcPr>
            <w:tcW w:w="610" w:type="pct"/>
            <w:tcBorders>
              <w:top w:val="single" w:sz="12" w:space="0" w:color="auto"/>
            </w:tcBorders>
            <w:vAlign w:val="center"/>
          </w:tcPr>
          <w:p w14:paraId="39E0545E" w14:textId="77777777" w:rsidR="00FB3C47" w:rsidRPr="00B629B2" w:rsidRDefault="00FB3C47" w:rsidP="00107C65">
            <w:pPr>
              <w:jc w:val="center"/>
            </w:pPr>
            <w:r w:rsidRPr="00B629B2">
              <w:rPr>
                <w:szCs w:val="24"/>
              </w:rPr>
              <w:t>N/A</w:t>
            </w:r>
          </w:p>
        </w:tc>
        <w:tc>
          <w:tcPr>
            <w:tcW w:w="611" w:type="pct"/>
            <w:tcBorders>
              <w:top w:val="single" w:sz="12" w:space="0" w:color="auto"/>
            </w:tcBorders>
            <w:vAlign w:val="center"/>
          </w:tcPr>
          <w:p w14:paraId="6E1162C0" w14:textId="77777777" w:rsidR="00FB3C47" w:rsidRPr="00B629B2" w:rsidRDefault="00FB3C47" w:rsidP="00107C65">
            <w:pPr>
              <w:jc w:val="center"/>
            </w:pPr>
            <w:r w:rsidRPr="00B629B2">
              <w:rPr>
                <w:szCs w:val="24"/>
              </w:rPr>
              <w:t>N/A</w:t>
            </w:r>
          </w:p>
        </w:tc>
        <w:tc>
          <w:tcPr>
            <w:tcW w:w="610" w:type="pct"/>
            <w:tcBorders>
              <w:top w:val="single" w:sz="12" w:space="0" w:color="auto"/>
            </w:tcBorders>
            <w:vAlign w:val="center"/>
          </w:tcPr>
          <w:p w14:paraId="2C066054" w14:textId="77777777" w:rsidR="00FB3C47" w:rsidRPr="00B629B2" w:rsidRDefault="00FB3C47" w:rsidP="00107C65">
            <w:pPr>
              <w:jc w:val="center"/>
            </w:pPr>
            <w:r w:rsidRPr="00B629B2">
              <w:rPr>
                <w:szCs w:val="24"/>
              </w:rPr>
              <w:t>N/A</w:t>
            </w:r>
          </w:p>
        </w:tc>
        <w:tc>
          <w:tcPr>
            <w:tcW w:w="611" w:type="pct"/>
            <w:tcBorders>
              <w:top w:val="single" w:sz="12" w:space="0" w:color="auto"/>
            </w:tcBorders>
            <w:vAlign w:val="center"/>
          </w:tcPr>
          <w:p w14:paraId="0BAA44AB" w14:textId="77777777" w:rsidR="00FB3C47" w:rsidRPr="00B629B2" w:rsidRDefault="00FB3C47" w:rsidP="00107C65">
            <w:pPr>
              <w:jc w:val="center"/>
            </w:pPr>
            <w:r w:rsidRPr="00B629B2">
              <w:rPr>
                <w:szCs w:val="24"/>
              </w:rPr>
              <w:t>N/A</w:t>
            </w:r>
          </w:p>
        </w:tc>
        <w:tc>
          <w:tcPr>
            <w:tcW w:w="610" w:type="pct"/>
            <w:tcBorders>
              <w:top w:val="single" w:sz="12" w:space="0" w:color="auto"/>
            </w:tcBorders>
            <w:vAlign w:val="center"/>
          </w:tcPr>
          <w:p w14:paraId="1E1918E8" w14:textId="77777777" w:rsidR="00FB3C47" w:rsidRPr="00B629B2" w:rsidRDefault="00FB3C47" w:rsidP="00107C65">
            <w:pPr>
              <w:jc w:val="center"/>
            </w:pPr>
            <w:r w:rsidRPr="00B629B2">
              <w:rPr>
                <w:szCs w:val="24"/>
              </w:rPr>
              <w:t>N/A</w:t>
            </w:r>
          </w:p>
        </w:tc>
        <w:tc>
          <w:tcPr>
            <w:tcW w:w="611" w:type="pct"/>
            <w:tcBorders>
              <w:top w:val="single" w:sz="12" w:space="0" w:color="auto"/>
            </w:tcBorders>
            <w:vAlign w:val="center"/>
          </w:tcPr>
          <w:p w14:paraId="43DD4C61" w14:textId="77777777" w:rsidR="00FB3C47" w:rsidRPr="00B629B2" w:rsidRDefault="00FB3C47" w:rsidP="00FB3C47">
            <w:pPr>
              <w:jc w:val="center"/>
            </w:pPr>
            <w:r w:rsidRPr="00B629B2">
              <w:rPr>
                <w:szCs w:val="24"/>
              </w:rPr>
              <w:t>N/A</w:t>
            </w:r>
          </w:p>
        </w:tc>
        <w:tc>
          <w:tcPr>
            <w:tcW w:w="611" w:type="pct"/>
            <w:tcBorders>
              <w:top w:val="single" w:sz="12" w:space="0" w:color="auto"/>
            </w:tcBorders>
            <w:vAlign w:val="center"/>
          </w:tcPr>
          <w:p w14:paraId="08504C89" w14:textId="4B62AC1B" w:rsidR="00FB3C47" w:rsidRPr="00B629B2" w:rsidRDefault="00FB3C47" w:rsidP="00FB3C47">
            <w:pPr>
              <w:jc w:val="center"/>
              <w:rPr>
                <w:szCs w:val="24"/>
              </w:rPr>
            </w:pPr>
            <w:r>
              <w:rPr>
                <w:szCs w:val="24"/>
              </w:rPr>
              <w:t>N/A</w:t>
            </w:r>
          </w:p>
        </w:tc>
      </w:tr>
      <w:tr w:rsidR="00FB3C47" w:rsidRPr="00B629B2" w14:paraId="384AF403" w14:textId="0B94EBC7" w:rsidTr="00FB3C47">
        <w:trPr>
          <w:trHeight w:val="340"/>
        </w:trPr>
        <w:tc>
          <w:tcPr>
            <w:tcW w:w="727" w:type="pct"/>
            <w:vAlign w:val="center"/>
          </w:tcPr>
          <w:p w14:paraId="6391486D" w14:textId="77777777" w:rsidR="00FB3C47" w:rsidRPr="00B629B2" w:rsidRDefault="00FB3C47" w:rsidP="00491097">
            <w:pPr>
              <w:jc w:val="center"/>
              <w:rPr>
                <w:szCs w:val="24"/>
              </w:rPr>
            </w:pPr>
            <w:r w:rsidRPr="00B629B2">
              <w:rPr>
                <w:szCs w:val="24"/>
              </w:rPr>
              <w:t>1.0</w:t>
            </w:r>
          </w:p>
        </w:tc>
        <w:tc>
          <w:tcPr>
            <w:tcW w:w="610" w:type="pct"/>
            <w:vAlign w:val="center"/>
          </w:tcPr>
          <w:p w14:paraId="579467D8" w14:textId="77777777" w:rsidR="00FB3C47" w:rsidRPr="00B629B2" w:rsidRDefault="00FB3C47" w:rsidP="00491097">
            <w:pPr>
              <w:jc w:val="center"/>
              <w:rPr>
                <w:szCs w:val="24"/>
              </w:rPr>
            </w:pPr>
            <w:r w:rsidRPr="00B629B2">
              <w:rPr>
                <w:szCs w:val="24"/>
              </w:rPr>
              <w:t>0.14</w:t>
            </w:r>
          </w:p>
        </w:tc>
        <w:tc>
          <w:tcPr>
            <w:tcW w:w="611" w:type="pct"/>
            <w:vAlign w:val="center"/>
          </w:tcPr>
          <w:p w14:paraId="7360B909" w14:textId="77777777" w:rsidR="00FB3C47" w:rsidRPr="00B629B2" w:rsidRDefault="00FB3C47" w:rsidP="00491097">
            <w:pPr>
              <w:jc w:val="center"/>
              <w:rPr>
                <w:szCs w:val="24"/>
              </w:rPr>
            </w:pPr>
            <w:r w:rsidRPr="00B629B2">
              <w:rPr>
                <w:szCs w:val="24"/>
              </w:rPr>
              <w:t>0.24</w:t>
            </w:r>
          </w:p>
        </w:tc>
        <w:tc>
          <w:tcPr>
            <w:tcW w:w="610" w:type="pct"/>
            <w:vAlign w:val="center"/>
          </w:tcPr>
          <w:p w14:paraId="60A779DD" w14:textId="77777777" w:rsidR="00FB3C47" w:rsidRPr="00B629B2" w:rsidRDefault="00FB3C47" w:rsidP="00491097">
            <w:pPr>
              <w:jc w:val="center"/>
              <w:rPr>
                <w:szCs w:val="24"/>
              </w:rPr>
            </w:pPr>
            <w:r w:rsidRPr="00B629B2">
              <w:rPr>
                <w:szCs w:val="24"/>
              </w:rPr>
              <w:t>0.58</w:t>
            </w:r>
          </w:p>
        </w:tc>
        <w:tc>
          <w:tcPr>
            <w:tcW w:w="611" w:type="pct"/>
            <w:vAlign w:val="center"/>
          </w:tcPr>
          <w:p w14:paraId="13FB0D32" w14:textId="77777777" w:rsidR="00FB3C47" w:rsidRPr="00B629B2" w:rsidRDefault="00FB3C47" w:rsidP="00491097">
            <w:pPr>
              <w:jc w:val="center"/>
              <w:rPr>
                <w:szCs w:val="24"/>
              </w:rPr>
            </w:pPr>
            <w:r w:rsidRPr="00B629B2">
              <w:rPr>
                <w:szCs w:val="24"/>
              </w:rPr>
              <w:t>0.99</w:t>
            </w:r>
          </w:p>
        </w:tc>
        <w:tc>
          <w:tcPr>
            <w:tcW w:w="610" w:type="pct"/>
            <w:vAlign w:val="center"/>
          </w:tcPr>
          <w:p w14:paraId="2135FEF3" w14:textId="77777777" w:rsidR="00FB3C47" w:rsidRPr="00B629B2" w:rsidRDefault="00FB3C47" w:rsidP="00491097">
            <w:pPr>
              <w:jc w:val="center"/>
              <w:rPr>
                <w:szCs w:val="24"/>
              </w:rPr>
            </w:pPr>
            <w:r w:rsidRPr="00B629B2">
              <w:rPr>
                <w:szCs w:val="24"/>
              </w:rPr>
              <w:t>1.01</w:t>
            </w:r>
          </w:p>
        </w:tc>
        <w:tc>
          <w:tcPr>
            <w:tcW w:w="611" w:type="pct"/>
            <w:vAlign w:val="center"/>
          </w:tcPr>
          <w:p w14:paraId="2F826434" w14:textId="77777777" w:rsidR="00FB3C47" w:rsidRPr="00B629B2" w:rsidRDefault="00FB3C47" w:rsidP="00FB3C47">
            <w:pPr>
              <w:jc w:val="center"/>
              <w:rPr>
                <w:szCs w:val="24"/>
              </w:rPr>
            </w:pPr>
            <w:r w:rsidRPr="00B629B2">
              <w:rPr>
                <w:szCs w:val="24"/>
              </w:rPr>
              <w:t>1.01</w:t>
            </w:r>
          </w:p>
        </w:tc>
        <w:tc>
          <w:tcPr>
            <w:tcW w:w="611" w:type="pct"/>
            <w:vAlign w:val="center"/>
          </w:tcPr>
          <w:p w14:paraId="6B25FA1F" w14:textId="7FE3CAE4" w:rsidR="00FB3C47" w:rsidRPr="00B629B2" w:rsidRDefault="00FB3C47" w:rsidP="00FB3C47">
            <w:pPr>
              <w:jc w:val="center"/>
              <w:rPr>
                <w:szCs w:val="24"/>
              </w:rPr>
            </w:pPr>
            <w:r>
              <w:rPr>
                <w:szCs w:val="24"/>
              </w:rPr>
              <w:t>N/A</w:t>
            </w:r>
          </w:p>
        </w:tc>
      </w:tr>
      <w:tr w:rsidR="00FB3C47" w:rsidRPr="00B629B2" w14:paraId="4022946A" w14:textId="2AF96662" w:rsidTr="00FB3C47">
        <w:trPr>
          <w:trHeight w:val="340"/>
        </w:trPr>
        <w:tc>
          <w:tcPr>
            <w:tcW w:w="727" w:type="pct"/>
            <w:tcBorders>
              <w:bottom w:val="single" w:sz="6" w:space="0" w:color="auto"/>
            </w:tcBorders>
            <w:vAlign w:val="center"/>
          </w:tcPr>
          <w:p w14:paraId="2E7FD7C1" w14:textId="77777777" w:rsidR="00FB3C47" w:rsidRPr="00B629B2" w:rsidRDefault="00FB3C47" w:rsidP="00491097">
            <w:pPr>
              <w:jc w:val="center"/>
              <w:rPr>
                <w:szCs w:val="24"/>
              </w:rPr>
            </w:pPr>
            <w:r w:rsidRPr="00B629B2">
              <w:rPr>
                <w:szCs w:val="24"/>
              </w:rPr>
              <w:t>3.3</w:t>
            </w:r>
          </w:p>
        </w:tc>
        <w:tc>
          <w:tcPr>
            <w:tcW w:w="610" w:type="pct"/>
            <w:tcBorders>
              <w:bottom w:val="single" w:sz="6" w:space="0" w:color="auto"/>
            </w:tcBorders>
            <w:vAlign w:val="center"/>
          </w:tcPr>
          <w:p w14:paraId="7984D795" w14:textId="77777777" w:rsidR="00FB3C47" w:rsidRPr="00B629B2" w:rsidRDefault="00FB3C47" w:rsidP="00491097">
            <w:pPr>
              <w:jc w:val="center"/>
              <w:rPr>
                <w:szCs w:val="24"/>
              </w:rPr>
            </w:pPr>
            <w:r w:rsidRPr="00B629B2">
              <w:rPr>
                <w:szCs w:val="24"/>
              </w:rPr>
              <w:t>0.14</w:t>
            </w:r>
          </w:p>
        </w:tc>
        <w:tc>
          <w:tcPr>
            <w:tcW w:w="611" w:type="pct"/>
            <w:tcBorders>
              <w:bottom w:val="single" w:sz="6" w:space="0" w:color="auto"/>
            </w:tcBorders>
            <w:vAlign w:val="center"/>
          </w:tcPr>
          <w:p w14:paraId="784F727A" w14:textId="77777777" w:rsidR="00FB3C47" w:rsidRPr="00B629B2" w:rsidRDefault="00FB3C47" w:rsidP="00491097">
            <w:pPr>
              <w:jc w:val="center"/>
              <w:rPr>
                <w:szCs w:val="24"/>
              </w:rPr>
            </w:pPr>
            <w:r w:rsidRPr="00B629B2">
              <w:rPr>
                <w:szCs w:val="24"/>
              </w:rPr>
              <w:t>0.24</w:t>
            </w:r>
          </w:p>
        </w:tc>
        <w:tc>
          <w:tcPr>
            <w:tcW w:w="610" w:type="pct"/>
            <w:tcBorders>
              <w:bottom w:val="single" w:sz="6" w:space="0" w:color="auto"/>
            </w:tcBorders>
            <w:vAlign w:val="center"/>
          </w:tcPr>
          <w:p w14:paraId="1AE79C32" w14:textId="77777777" w:rsidR="00FB3C47" w:rsidRPr="00B629B2" w:rsidRDefault="00FB3C47" w:rsidP="00491097">
            <w:pPr>
              <w:jc w:val="center"/>
              <w:rPr>
                <w:szCs w:val="24"/>
              </w:rPr>
            </w:pPr>
            <w:r w:rsidRPr="00B629B2">
              <w:rPr>
                <w:szCs w:val="24"/>
              </w:rPr>
              <w:t>0.55</w:t>
            </w:r>
          </w:p>
        </w:tc>
        <w:tc>
          <w:tcPr>
            <w:tcW w:w="611" w:type="pct"/>
            <w:tcBorders>
              <w:bottom w:val="single" w:sz="6" w:space="0" w:color="auto"/>
            </w:tcBorders>
            <w:vAlign w:val="center"/>
          </w:tcPr>
          <w:p w14:paraId="425FF6F7" w14:textId="77777777" w:rsidR="00FB3C47" w:rsidRPr="00B629B2" w:rsidRDefault="00FB3C47" w:rsidP="00491097">
            <w:pPr>
              <w:jc w:val="center"/>
              <w:rPr>
                <w:szCs w:val="24"/>
              </w:rPr>
            </w:pPr>
            <w:r w:rsidRPr="00B629B2">
              <w:rPr>
                <w:szCs w:val="24"/>
              </w:rPr>
              <w:t>0.79</w:t>
            </w:r>
          </w:p>
        </w:tc>
        <w:tc>
          <w:tcPr>
            <w:tcW w:w="610" w:type="pct"/>
            <w:tcBorders>
              <w:bottom w:val="single" w:sz="6" w:space="0" w:color="auto"/>
            </w:tcBorders>
            <w:vAlign w:val="center"/>
          </w:tcPr>
          <w:p w14:paraId="76924289" w14:textId="77777777" w:rsidR="00FB3C47" w:rsidRPr="00B629B2" w:rsidRDefault="00FB3C47" w:rsidP="00491097">
            <w:pPr>
              <w:jc w:val="center"/>
              <w:rPr>
                <w:szCs w:val="24"/>
              </w:rPr>
            </w:pPr>
            <w:r w:rsidRPr="00B629B2">
              <w:rPr>
                <w:szCs w:val="24"/>
              </w:rPr>
              <w:t>0.82</w:t>
            </w:r>
          </w:p>
        </w:tc>
        <w:tc>
          <w:tcPr>
            <w:tcW w:w="611" w:type="pct"/>
            <w:tcBorders>
              <w:bottom w:val="single" w:sz="6" w:space="0" w:color="auto"/>
            </w:tcBorders>
            <w:vAlign w:val="center"/>
          </w:tcPr>
          <w:p w14:paraId="640F75AF" w14:textId="77777777" w:rsidR="00FB3C47" w:rsidRPr="00B629B2" w:rsidRDefault="00FB3C47" w:rsidP="00FB3C47">
            <w:pPr>
              <w:jc w:val="center"/>
              <w:rPr>
                <w:szCs w:val="24"/>
              </w:rPr>
            </w:pPr>
            <w:r w:rsidRPr="00B629B2">
              <w:rPr>
                <w:szCs w:val="24"/>
              </w:rPr>
              <w:t>0.83</w:t>
            </w:r>
          </w:p>
        </w:tc>
        <w:tc>
          <w:tcPr>
            <w:tcW w:w="611" w:type="pct"/>
            <w:tcBorders>
              <w:bottom w:val="single" w:sz="6" w:space="0" w:color="auto"/>
            </w:tcBorders>
            <w:vAlign w:val="center"/>
          </w:tcPr>
          <w:p w14:paraId="3CD97F77" w14:textId="60EB7C52" w:rsidR="00FB3C47" w:rsidRPr="00B629B2" w:rsidRDefault="00FB3C47" w:rsidP="00FB3C47">
            <w:pPr>
              <w:jc w:val="center"/>
              <w:rPr>
                <w:szCs w:val="24"/>
              </w:rPr>
            </w:pPr>
            <w:r>
              <w:rPr>
                <w:szCs w:val="24"/>
              </w:rPr>
              <w:t>N/A</w:t>
            </w:r>
          </w:p>
        </w:tc>
      </w:tr>
    </w:tbl>
    <w:p w14:paraId="09A4782F" w14:textId="77777777" w:rsidR="000A4D93" w:rsidRPr="00B629B2" w:rsidRDefault="000A4D93">
      <w:pPr>
        <w:spacing w:after="0" w:line="240" w:lineRule="auto"/>
        <w:jc w:val="both"/>
        <w:rPr>
          <w:szCs w:val="24"/>
        </w:rPr>
      </w:pPr>
    </w:p>
    <w:p w14:paraId="05A3561B" w14:textId="493E6B58" w:rsidR="000A4D93" w:rsidRPr="00B629B2" w:rsidRDefault="00BD0AB8">
      <w:pPr>
        <w:spacing w:after="0" w:line="240" w:lineRule="auto"/>
        <w:jc w:val="both"/>
        <w:rPr>
          <w:szCs w:val="24"/>
        </w:rPr>
      </w:pPr>
      <w:r w:rsidRPr="00B629B2">
        <w:rPr>
          <w:szCs w:val="24"/>
        </w:rPr>
        <w:tab/>
      </w:r>
      <w:r w:rsidR="000A4D93" w:rsidRPr="00B629B2">
        <w:rPr>
          <w:szCs w:val="24"/>
        </w:rPr>
        <w:t>The above equivalent absorption areas per person have been multiplied by the total number of people expected on the platform (based on the occupancy density and the area of the platform (443m</w:t>
      </w:r>
      <w:r w:rsidR="000A4D93" w:rsidRPr="00B629B2">
        <w:rPr>
          <w:szCs w:val="24"/>
          <w:vertAlign w:val="superscript"/>
        </w:rPr>
        <w:t>2</w:t>
      </w:r>
      <w:r w:rsidR="000A4D93" w:rsidRPr="00B629B2">
        <w:rPr>
          <w:szCs w:val="24"/>
        </w:rPr>
        <w:t>)</w:t>
      </w:r>
      <w:r w:rsidR="00107C65" w:rsidRPr="00B629B2">
        <w:rPr>
          <w:szCs w:val="24"/>
        </w:rPr>
        <w:t>)</w:t>
      </w:r>
      <w:r w:rsidR="000A4D93" w:rsidRPr="00B629B2">
        <w:rPr>
          <w:szCs w:val="24"/>
        </w:rPr>
        <w:t>. The total equivalent area was subsequently divided by the surface area of the box representing the audience to derive the absorption coefficient to implement in the model, based on:</w:t>
      </w:r>
    </w:p>
    <w:p w14:paraId="662AF1AB" w14:textId="77777777" w:rsidR="00107C65" w:rsidRPr="00B629B2" w:rsidRDefault="00107C65">
      <w:pPr>
        <w:spacing w:after="0" w:line="240" w:lineRule="auto"/>
        <w:jc w:val="both"/>
        <w:rPr>
          <w:i/>
          <w:szCs w:val="24"/>
        </w:rPr>
      </w:pPr>
      <w:r w:rsidRPr="00B629B2">
        <w:rPr>
          <w:i/>
          <w:szCs w:val="24"/>
        </w:rPr>
        <w:t xml:space="preserve">Equation 1 – Derivation of Absorption </w:t>
      </w:r>
    </w:p>
    <w:p w14:paraId="18861F3D" w14:textId="77777777" w:rsidR="000A4D93" w:rsidRPr="00B629B2" w:rsidRDefault="00107C65">
      <w:pPr>
        <w:spacing w:after="0" w:line="240" w:lineRule="auto"/>
        <w:jc w:val="both"/>
        <w:rPr>
          <w:szCs w:val="24"/>
        </w:rPr>
      </w:pPr>
      <m:oMathPara>
        <m:oMath>
          <m:r>
            <w:rPr>
              <w:rFonts w:ascii="Cambria Math" w:hAnsi="Cambria Math"/>
              <w:szCs w:val="24"/>
            </w:rPr>
            <m:t>α=</m:t>
          </m:r>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oMath>
      </m:oMathPara>
    </w:p>
    <w:p w14:paraId="6C693323" w14:textId="580AD198" w:rsidR="000A4D93" w:rsidRPr="00B629B2" w:rsidRDefault="000A4D93" w:rsidP="0036216A">
      <w:pPr>
        <w:spacing w:after="0" w:line="240" w:lineRule="auto"/>
        <w:rPr>
          <w:szCs w:val="24"/>
        </w:rPr>
      </w:pPr>
      <w:r w:rsidRPr="00B629B2">
        <w:rPr>
          <w:szCs w:val="24"/>
        </w:rPr>
        <w:t>Where:</w:t>
      </w:r>
      <w:r w:rsidRPr="00B629B2">
        <w:rPr>
          <w:szCs w:val="24"/>
        </w:rPr>
        <w:br/>
        <w:t>A = equivalent absorption area (m</w:t>
      </w:r>
      <w:r w:rsidRPr="00B629B2">
        <w:rPr>
          <w:szCs w:val="24"/>
          <w:vertAlign w:val="superscript"/>
        </w:rPr>
        <w:t>2</w:t>
      </w:r>
      <w:r w:rsidRPr="00B629B2">
        <w:rPr>
          <w:szCs w:val="24"/>
        </w:rPr>
        <w:t>)</w:t>
      </w:r>
      <w:r w:rsidRPr="00B629B2">
        <w:rPr>
          <w:szCs w:val="24"/>
        </w:rPr>
        <w:br/>
        <w:t xml:space="preserve"> </w:t>
      </w:r>
      <m:oMath>
        <m:r>
          <w:rPr>
            <w:rFonts w:ascii="Cambria Math" w:hAnsi="Cambria Math"/>
            <w:szCs w:val="24"/>
          </w:rPr>
          <m:t>α</m:t>
        </m:r>
      </m:oMath>
      <w:r w:rsidRPr="00B629B2">
        <w:rPr>
          <w:szCs w:val="24"/>
        </w:rPr>
        <w:t xml:space="preserve"> = absorption coefficient</w:t>
      </w:r>
      <w:r w:rsidRPr="00B629B2">
        <w:rPr>
          <w:szCs w:val="24"/>
        </w:rPr>
        <w:br/>
        <w:t xml:space="preserve">S = Surface area of </w:t>
      </w:r>
      <w:r w:rsidR="0036216A" w:rsidRPr="00B629B2">
        <w:rPr>
          <w:szCs w:val="24"/>
        </w:rPr>
        <w:t xml:space="preserve">the </w:t>
      </w:r>
      <w:r w:rsidR="00F42EAC" w:rsidRPr="00B629B2">
        <w:rPr>
          <w:szCs w:val="24"/>
        </w:rPr>
        <w:t>box</w:t>
      </w:r>
      <w:r w:rsidR="0036216A" w:rsidRPr="00B629B2">
        <w:rPr>
          <w:szCs w:val="24"/>
        </w:rPr>
        <w:t xml:space="preserve"> </w:t>
      </w:r>
    </w:p>
    <w:p w14:paraId="1ADBA69A" w14:textId="77777777" w:rsidR="0036216A" w:rsidRPr="00B629B2" w:rsidRDefault="0036216A">
      <w:pPr>
        <w:spacing w:after="0" w:line="240" w:lineRule="auto"/>
        <w:jc w:val="both"/>
        <w:rPr>
          <w:szCs w:val="24"/>
        </w:rPr>
      </w:pPr>
    </w:p>
    <w:p w14:paraId="7793102C" w14:textId="4DC59AB5" w:rsidR="0036216A" w:rsidRPr="00B629B2" w:rsidRDefault="00BD0AB8">
      <w:pPr>
        <w:spacing w:after="0" w:line="240" w:lineRule="auto"/>
        <w:jc w:val="both"/>
        <w:rPr>
          <w:szCs w:val="24"/>
        </w:rPr>
      </w:pPr>
      <w:r w:rsidRPr="00B629B2">
        <w:rPr>
          <w:szCs w:val="24"/>
        </w:rPr>
        <w:lastRenderedPageBreak/>
        <w:tab/>
      </w:r>
      <w:r w:rsidR="0036216A" w:rsidRPr="00B629B2">
        <w:rPr>
          <w:szCs w:val="24"/>
        </w:rPr>
        <w:t xml:space="preserve">The resultant absorption coefficients for the two occupancy densities are presented in </w:t>
      </w:r>
      <w:r w:rsidR="00107C65" w:rsidRPr="00B629B2">
        <w:rPr>
          <w:szCs w:val="24"/>
        </w:rPr>
        <w:t>Table 7</w:t>
      </w:r>
      <w:r w:rsidR="0036216A" w:rsidRPr="00B629B2">
        <w:rPr>
          <w:szCs w:val="24"/>
        </w:rPr>
        <w:t xml:space="preserve"> below</w:t>
      </w:r>
      <w:r w:rsidR="00A415E8" w:rsidRPr="00B629B2">
        <w:rPr>
          <w:szCs w:val="24"/>
        </w:rPr>
        <w:t>.</w:t>
      </w:r>
      <w:r w:rsidR="0036216A" w:rsidRPr="00B629B2">
        <w:rPr>
          <w:szCs w:val="24"/>
        </w:rPr>
        <w:t xml:space="preserve"> </w:t>
      </w:r>
      <w:r w:rsidR="00A415E8" w:rsidRPr="00B629B2">
        <w:rPr>
          <w:szCs w:val="24"/>
        </w:rPr>
        <w:t>T</w:t>
      </w:r>
      <w:r w:rsidR="0036216A" w:rsidRPr="00B629B2">
        <w:rPr>
          <w:szCs w:val="24"/>
        </w:rPr>
        <w:t>he empty scenario did not have the representative audience box included in the model.</w:t>
      </w:r>
    </w:p>
    <w:p w14:paraId="5FE06AF5" w14:textId="77777777" w:rsidR="0036216A" w:rsidRPr="00B629B2" w:rsidRDefault="00107C65">
      <w:pPr>
        <w:spacing w:after="0" w:line="240" w:lineRule="auto"/>
        <w:jc w:val="both"/>
        <w:rPr>
          <w:i/>
          <w:sz w:val="22"/>
          <w:szCs w:val="24"/>
        </w:rPr>
      </w:pPr>
      <w:r w:rsidRPr="00B629B2">
        <w:rPr>
          <w:i/>
          <w:sz w:val="22"/>
          <w:szCs w:val="24"/>
        </w:rPr>
        <w:t>Table 7 – Audience Absorption Coefficients Used in Acoustic Models</w:t>
      </w:r>
    </w:p>
    <w:tbl>
      <w:tblPr>
        <w:tblStyle w:val="TableGrid"/>
        <w:tblW w:w="5000" w:type="pct"/>
        <w:tblLayout w:type="fixed"/>
        <w:tblLook w:val="04A0" w:firstRow="1" w:lastRow="0" w:firstColumn="1" w:lastColumn="0" w:noHBand="0" w:noVBand="1"/>
      </w:tblPr>
      <w:tblGrid>
        <w:gridCol w:w="1272"/>
        <w:gridCol w:w="829"/>
        <w:gridCol w:w="945"/>
        <w:gridCol w:w="945"/>
        <w:gridCol w:w="945"/>
        <w:gridCol w:w="947"/>
        <w:gridCol w:w="945"/>
        <w:gridCol w:w="945"/>
        <w:gridCol w:w="947"/>
      </w:tblGrid>
      <w:tr w:rsidR="003F59C8" w:rsidRPr="00B629B2" w14:paraId="640754FB" w14:textId="173EA69D" w:rsidTr="003F59C8">
        <w:trPr>
          <w:trHeight w:val="397"/>
        </w:trPr>
        <w:tc>
          <w:tcPr>
            <w:tcW w:w="729" w:type="pct"/>
            <w:vMerge w:val="restart"/>
            <w:tcBorders>
              <w:top w:val="nil"/>
              <w:left w:val="nil"/>
              <w:bottom w:val="nil"/>
              <w:right w:val="nil"/>
            </w:tcBorders>
            <w:vAlign w:val="center"/>
          </w:tcPr>
          <w:p w14:paraId="3F742653" w14:textId="77777777" w:rsidR="003F59C8" w:rsidRPr="00B629B2" w:rsidRDefault="003F59C8" w:rsidP="0053460F">
            <w:pPr>
              <w:jc w:val="center"/>
              <w:rPr>
                <w:b/>
                <w:szCs w:val="24"/>
              </w:rPr>
            </w:pPr>
            <w:r w:rsidRPr="00B629B2">
              <w:rPr>
                <w:b/>
                <w:szCs w:val="24"/>
              </w:rPr>
              <w:t>Occupancy</w:t>
            </w:r>
          </w:p>
          <w:p w14:paraId="65EF1884" w14:textId="77777777" w:rsidR="003F59C8" w:rsidRPr="00B629B2" w:rsidRDefault="003F59C8" w:rsidP="0053460F">
            <w:pPr>
              <w:jc w:val="center"/>
              <w:rPr>
                <w:b/>
                <w:szCs w:val="24"/>
              </w:rPr>
            </w:pPr>
            <w:r w:rsidRPr="00B629B2">
              <w:rPr>
                <w:b/>
                <w:szCs w:val="24"/>
              </w:rPr>
              <w:t>Density</w:t>
            </w:r>
            <w:r w:rsidRPr="00B629B2">
              <w:rPr>
                <w:b/>
                <w:szCs w:val="24"/>
              </w:rPr>
              <w:br/>
              <w:t>(p/m</w:t>
            </w:r>
            <w:r w:rsidRPr="00B629B2">
              <w:rPr>
                <w:b/>
                <w:szCs w:val="24"/>
                <w:vertAlign w:val="superscript"/>
              </w:rPr>
              <w:t>2</w:t>
            </w:r>
            <w:r w:rsidRPr="00B629B2">
              <w:rPr>
                <w:b/>
                <w:szCs w:val="24"/>
              </w:rPr>
              <w:t>)</w:t>
            </w:r>
          </w:p>
        </w:tc>
        <w:tc>
          <w:tcPr>
            <w:tcW w:w="475" w:type="pct"/>
            <w:vMerge w:val="restart"/>
            <w:tcBorders>
              <w:top w:val="nil"/>
              <w:left w:val="nil"/>
              <w:bottom w:val="nil"/>
              <w:right w:val="nil"/>
            </w:tcBorders>
            <w:vAlign w:val="center"/>
          </w:tcPr>
          <w:p w14:paraId="208C5C0B" w14:textId="77777777" w:rsidR="003F59C8" w:rsidRPr="00B629B2" w:rsidRDefault="003F59C8" w:rsidP="0053460F">
            <w:pPr>
              <w:jc w:val="center"/>
              <w:rPr>
                <w:b/>
                <w:szCs w:val="24"/>
              </w:rPr>
            </w:pPr>
            <w:r w:rsidRPr="00B629B2">
              <w:rPr>
                <w:b/>
                <w:szCs w:val="24"/>
              </w:rPr>
              <w:t>No. people</w:t>
            </w:r>
          </w:p>
        </w:tc>
        <w:tc>
          <w:tcPr>
            <w:tcW w:w="3796" w:type="pct"/>
            <w:gridSpan w:val="7"/>
            <w:tcBorders>
              <w:top w:val="nil"/>
              <w:left w:val="nil"/>
              <w:bottom w:val="single" w:sz="6" w:space="0" w:color="auto"/>
              <w:right w:val="nil"/>
            </w:tcBorders>
            <w:vAlign w:val="center"/>
          </w:tcPr>
          <w:p w14:paraId="598A8609" w14:textId="09EE20D3" w:rsidR="003F59C8" w:rsidRPr="00B629B2" w:rsidRDefault="003F59C8" w:rsidP="0053460F">
            <w:pPr>
              <w:jc w:val="center"/>
              <w:rPr>
                <w:b/>
                <w:szCs w:val="24"/>
              </w:rPr>
            </w:pPr>
            <w:r w:rsidRPr="00B629B2">
              <w:rPr>
                <w:b/>
                <w:szCs w:val="24"/>
              </w:rPr>
              <w:t>Absorption Coefficients Applied Within Acoustic Model</w:t>
            </w:r>
          </w:p>
        </w:tc>
      </w:tr>
      <w:tr w:rsidR="003F59C8" w:rsidRPr="00B629B2" w14:paraId="0BEE3637" w14:textId="3244FF88" w:rsidTr="00B629B2">
        <w:trPr>
          <w:trHeight w:val="397"/>
        </w:trPr>
        <w:tc>
          <w:tcPr>
            <w:tcW w:w="729" w:type="pct"/>
            <w:vMerge/>
            <w:tcBorders>
              <w:top w:val="nil"/>
              <w:left w:val="nil"/>
              <w:bottom w:val="single" w:sz="12" w:space="0" w:color="auto"/>
              <w:right w:val="nil"/>
            </w:tcBorders>
            <w:vAlign w:val="center"/>
          </w:tcPr>
          <w:p w14:paraId="0853FAA7" w14:textId="77777777" w:rsidR="003F59C8" w:rsidRPr="00B629B2" w:rsidRDefault="003F59C8" w:rsidP="0053460F">
            <w:pPr>
              <w:jc w:val="center"/>
              <w:rPr>
                <w:b/>
                <w:szCs w:val="24"/>
              </w:rPr>
            </w:pPr>
          </w:p>
        </w:tc>
        <w:tc>
          <w:tcPr>
            <w:tcW w:w="475" w:type="pct"/>
            <w:vMerge/>
            <w:tcBorders>
              <w:top w:val="nil"/>
              <w:left w:val="nil"/>
              <w:bottom w:val="single" w:sz="12" w:space="0" w:color="auto"/>
              <w:right w:val="nil"/>
            </w:tcBorders>
            <w:vAlign w:val="center"/>
          </w:tcPr>
          <w:p w14:paraId="18C38780" w14:textId="77777777" w:rsidR="003F59C8" w:rsidRPr="00B629B2" w:rsidRDefault="003F59C8" w:rsidP="0053460F">
            <w:pPr>
              <w:jc w:val="center"/>
              <w:rPr>
                <w:b/>
                <w:szCs w:val="24"/>
              </w:rPr>
            </w:pPr>
          </w:p>
        </w:tc>
        <w:tc>
          <w:tcPr>
            <w:tcW w:w="542" w:type="pct"/>
            <w:tcBorders>
              <w:top w:val="single" w:sz="6" w:space="0" w:color="auto"/>
              <w:left w:val="nil"/>
              <w:bottom w:val="single" w:sz="12" w:space="0" w:color="auto"/>
              <w:right w:val="nil"/>
            </w:tcBorders>
            <w:vAlign w:val="center"/>
          </w:tcPr>
          <w:p w14:paraId="20320122" w14:textId="77777777" w:rsidR="003F59C8" w:rsidRPr="00B629B2" w:rsidRDefault="003F59C8" w:rsidP="0053460F">
            <w:pPr>
              <w:jc w:val="center"/>
              <w:rPr>
                <w:b/>
                <w:szCs w:val="24"/>
              </w:rPr>
            </w:pPr>
            <w:r w:rsidRPr="00B629B2">
              <w:rPr>
                <w:b/>
                <w:szCs w:val="24"/>
              </w:rPr>
              <w:t>125 Hz</w:t>
            </w:r>
          </w:p>
        </w:tc>
        <w:tc>
          <w:tcPr>
            <w:tcW w:w="542" w:type="pct"/>
            <w:tcBorders>
              <w:top w:val="single" w:sz="6" w:space="0" w:color="auto"/>
              <w:left w:val="nil"/>
              <w:bottom w:val="single" w:sz="12" w:space="0" w:color="auto"/>
              <w:right w:val="nil"/>
            </w:tcBorders>
            <w:vAlign w:val="center"/>
          </w:tcPr>
          <w:p w14:paraId="396241B4" w14:textId="77777777" w:rsidR="003F59C8" w:rsidRPr="00B629B2" w:rsidRDefault="003F59C8" w:rsidP="0053460F">
            <w:pPr>
              <w:jc w:val="center"/>
              <w:rPr>
                <w:b/>
                <w:szCs w:val="24"/>
              </w:rPr>
            </w:pPr>
            <w:r w:rsidRPr="00B629B2">
              <w:rPr>
                <w:b/>
                <w:szCs w:val="24"/>
              </w:rPr>
              <w:t>250 Hz</w:t>
            </w:r>
          </w:p>
        </w:tc>
        <w:tc>
          <w:tcPr>
            <w:tcW w:w="542" w:type="pct"/>
            <w:tcBorders>
              <w:top w:val="single" w:sz="6" w:space="0" w:color="auto"/>
              <w:left w:val="nil"/>
              <w:bottom w:val="single" w:sz="12" w:space="0" w:color="auto"/>
              <w:right w:val="nil"/>
            </w:tcBorders>
            <w:vAlign w:val="center"/>
          </w:tcPr>
          <w:p w14:paraId="097F73C1" w14:textId="77777777" w:rsidR="003F59C8" w:rsidRPr="00B629B2" w:rsidRDefault="003F59C8" w:rsidP="0053460F">
            <w:pPr>
              <w:jc w:val="center"/>
              <w:rPr>
                <w:b/>
                <w:szCs w:val="24"/>
              </w:rPr>
            </w:pPr>
            <w:r w:rsidRPr="00B629B2">
              <w:rPr>
                <w:b/>
                <w:szCs w:val="24"/>
              </w:rPr>
              <w:t>500 Hz</w:t>
            </w:r>
          </w:p>
        </w:tc>
        <w:tc>
          <w:tcPr>
            <w:tcW w:w="543" w:type="pct"/>
            <w:tcBorders>
              <w:top w:val="single" w:sz="6" w:space="0" w:color="auto"/>
              <w:left w:val="nil"/>
              <w:bottom w:val="single" w:sz="12" w:space="0" w:color="auto"/>
              <w:right w:val="nil"/>
            </w:tcBorders>
            <w:vAlign w:val="center"/>
          </w:tcPr>
          <w:p w14:paraId="79887306" w14:textId="3E99CD5C" w:rsidR="003F59C8" w:rsidRPr="00B629B2" w:rsidRDefault="003F59C8" w:rsidP="0053460F">
            <w:pPr>
              <w:jc w:val="center"/>
              <w:rPr>
                <w:b/>
                <w:szCs w:val="24"/>
              </w:rPr>
            </w:pPr>
            <w:r w:rsidRPr="00B629B2">
              <w:rPr>
                <w:b/>
                <w:szCs w:val="24"/>
              </w:rPr>
              <w:t>1 kHz</w:t>
            </w:r>
          </w:p>
        </w:tc>
        <w:tc>
          <w:tcPr>
            <w:tcW w:w="542" w:type="pct"/>
            <w:tcBorders>
              <w:top w:val="single" w:sz="6" w:space="0" w:color="auto"/>
              <w:left w:val="nil"/>
              <w:bottom w:val="single" w:sz="12" w:space="0" w:color="auto"/>
              <w:right w:val="nil"/>
            </w:tcBorders>
            <w:vAlign w:val="center"/>
          </w:tcPr>
          <w:p w14:paraId="02B1AB10" w14:textId="2D68155E" w:rsidR="003F59C8" w:rsidRPr="00B629B2" w:rsidRDefault="003F59C8" w:rsidP="0053460F">
            <w:pPr>
              <w:jc w:val="center"/>
              <w:rPr>
                <w:b/>
                <w:szCs w:val="24"/>
              </w:rPr>
            </w:pPr>
            <w:r w:rsidRPr="00B629B2">
              <w:rPr>
                <w:b/>
                <w:szCs w:val="24"/>
              </w:rPr>
              <w:t>2 kHz</w:t>
            </w:r>
          </w:p>
        </w:tc>
        <w:tc>
          <w:tcPr>
            <w:tcW w:w="542" w:type="pct"/>
            <w:tcBorders>
              <w:top w:val="nil"/>
              <w:left w:val="nil"/>
              <w:bottom w:val="single" w:sz="12" w:space="0" w:color="auto"/>
              <w:right w:val="nil"/>
            </w:tcBorders>
            <w:vAlign w:val="center"/>
          </w:tcPr>
          <w:p w14:paraId="74FC3E48" w14:textId="1D1F268A" w:rsidR="003F59C8" w:rsidRPr="00B629B2" w:rsidRDefault="003F59C8" w:rsidP="0053460F">
            <w:pPr>
              <w:jc w:val="center"/>
              <w:rPr>
                <w:b/>
                <w:szCs w:val="24"/>
              </w:rPr>
            </w:pPr>
            <w:r w:rsidRPr="00B629B2">
              <w:rPr>
                <w:b/>
                <w:szCs w:val="24"/>
              </w:rPr>
              <w:t>4 kHz</w:t>
            </w:r>
          </w:p>
        </w:tc>
        <w:tc>
          <w:tcPr>
            <w:tcW w:w="544" w:type="pct"/>
            <w:tcBorders>
              <w:top w:val="nil"/>
              <w:left w:val="nil"/>
              <w:bottom w:val="single" w:sz="12" w:space="0" w:color="auto"/>
              <w:right w:val="nil"/>
            </w:tcBorders>
            <w:vAlign w:val="center"/>
          </w:tcPr>
          <w:p w14:paraId="1C0BCC57" w14:textId="2EB217E4" w:rsidR="003F59C8" w:rsidRPr="00B629B2" w:rsidRDefault="003F59C8" w:rsidP="003F59C8">
            <w:pPr>
              <w:jc w:val="center"/>
              <w:rPr>
                <w:b/>
                <w:szCs w:val="24"/>
              </w:rPr>
            </w:pPr>
            <w:r w:rsidRPr="00B629B2">
              <w:rPr>
                <w:b/>
                <w:szCs w:val="24"/>
              </w:rPr>
              <w:t>8 kHz</w:t>
            </w:r>
          </w:p>
        </w:tc>
      </w:tr>
      <w:tr w:rsidR="003F59C8" w:rsidRPr="00B629B2" w14:paraId="30869826" w14:textId="0BAAE779" w:rsidTr="00B629B2">
        <w:trPr>
          <w:trHeight w:val="397"/>
        </w:trPr>
        <w:tc>
          <w:tcPr>
            <w:tcW w:w="729" w:type="pct"/>
            <w:tcBorders>
              <w:top w:val="single" w:sz="12" w:space="0" w:color="auto"/>
              <w:left w:val="nil"/>
              <w:bottom w:val="nil"/>
              <w:right w:val="nil"/>
            </w:tcBorders>
            <w:vAlign w:val="center"/>
          </w:tcPr>
          <w:p w14:paraId="4CA28F4E" w14:textId="77777777" w:rsidR="003F59C8" w:rsidRPr="00B629B2" w:rsidRDefault="003F59C8" w:rsidP="0053460F">
            <w:pPr>
              <w:jc w:val="center"/>
              <w:rPr>
                <w:szCs w:val="24"/>
              </w:rPr>
            </w:pPr>
            <w:r w:rsidRPr="00B629B2">
              <w:rPr>
                <w:szCs w:val="24"/>
              </w:rPr>
              <w:t>1.0</w:t>
            </w:r>
          </w:p>
        </w:tc>
        <w:tc>
          <w:tcPr>
            <w:tcW w:w="475" w:type="pct"/>
            <w:tcBorders>
              <w:top w:val="single" w:sz="12" w:space="0" w:color="auto"/>
              <w:left w:val="nil"/>
              <w:bottom w:val="nil"/>
              <w:right w:val="nil"/>
            </w:tcBorders>
            <w:vAlign w:val="center"/>
          </w:tcPr>
          <w:p w14:paraId="13608D70" w14:textId="77777777" w:rsidR="003F59C8" w:rsidRPr="00B629B2" w:rsidRDefault="003F59C8" w:rsidP="0053460F">
            <w:pPr>
              <w:jc w:val="center"/>
              <w:rPr>
                <w:szCs w:val="24"/>
              </w:rPr>
            </w:pPr>
            <w:r w:rsidRPr="00B629B2">
              <w:rPr>
                <w:szCs w:val="24"/>
              </w:rPr>
              <w:t>443</w:t>
            </w:r>
          </w:p>
        </w:tc>
        <w:tc>
          <w:tcPr>
            <w:tcW w:w="542" w:type="pct"/>
            <w:tcBorders>
              <w:top w:val="single" w:sz="12" w:space="0" w:color="auto"/>
              <w:left w:val="nil"/>
              <w:bottom w:val="nil"/>
              <w:right w:val="nil"/>
            </w:tcBorders>
            <w:vAlign w:val="center"/>
          </w:tcPr>
          <w:p w14:paraId="7A1EBCF4" w14:textId="77777777" w:rsidR="003F59C8" w:rsidRPr="00B629B2" w:rsidRDefault="003F59C8" w:rsidP="0053460F">
            <w:pPr>
              <w:jc w:val="center"/>
              <w:rPr>
                <w:szCs w:val="24"/>
              </w:rPr>
            </w:pPr>
            <w:r w:rsidRPr="00B629B2">
              <w:rPr>
                <w:szCs w:val="24"/>
              </w:rPr>
              <w:t>0.08</w:t>
            </w:r>
          </w:p>
        </w:tc>
        <w:tc>
          <w:tcPr>
            <w:tcW w:w="542" w:type="pct"/>
            <w:tcBorders>
              <w:top w:val="single" w:sz="12" w:space="0" w:color="auto"/>
              <w:left w:val="nil"/>
              <w:bottom w:val="nil"/>
              <w:right w:val="nil"/>
            </w:tcBorders>
            <w:vAlign w:val="center"/>
          </w:tcPr>
          <w:p w14:paraId="0843D07C" w14:textId="77777777" w:rsidR="003F59C8" w:rsidRPr="00B629B2" w:rsidRDefault="003F59C8" w:rsidP="0053460F">
            <w:pPr>
              <w:jc w:val="center"/>
              <w:rPr>
                <w:szCs w:val="24"/>
              </w:rPr>
            </w:pPr>
            <w:r w:rsidRPr="00B629B2">
              <w:rPr>
                <w:szCs w:val="24"/>
              </w:rPr>
              <w:t>0.14</w:t>
            </w:r>
          </w:p>
        </w:tc>
        <w:tc>
          <w:tcPr>
            <w:tcW w:w="542" w:type="pct"/>
            <w:tcBorders>
              <w:top w:val="single" w:sz="12" w:space="0" w:color="auto"/>
              <w:left w:val="nil"/>
              <w:bottom w:val="nil"/>
              <w:right w:val="nil"/>
            </w:tcBorders>
            <w:vAlign w:val="center"/>
          </w:tcPr>
          <w:p w14:paraId="2CA1D1A1" w14:textId="77777777" w:rsidR="003F59C8" w:rsidRPr="00B629B2" w:rsidRDefault="003F59C8" w:rsidP="0053460F">
            <w:pPr>
              <w:jc w:val="center"/>
              <w:rPr>
                <w:szCs w:val="24"/>
              </w:rPr>
            </w:pPr>
            <w:r w:rsidRPr="00B629B2">
              <w:rPr>
                <w:szCs w:val="24"/>
              </w:rPr>
              <w:t>0.34</w:t>
            </w:r>
          </w:p>
        </w:tc>
        <w:tc>
          <w:tcPr>
            <w:tcW w:w="543" w:type="pct"/>
            <w:tcBorders>
              <w:top w:val="single" w:sz="12" w:space="0" w:color="auto"/>
              <w:left w:val="nil"/>
              <w:bottom w:val="nil"/>
              <w:right w:val="nil"/>
            </w:tcBorders>
            <w:vAlign w:val="center"/>
          </w:tcPr>
          <w:p w14:paraId="56F3EA40" w14:textId="77777777" w:rsidR="003F59C8" w:rsidRPr="00B629B2" w:rsidRDefault="003F59C8" w:rsidP="0053460F">
            <w:pPr>
              <w:jc w:val="center"/>
              <w:rPr>
                <w:szCs w:val="24"/>
              </w:rPr>
            </w:pPr>
            <w:r w:rsidRPr="00B629B2">
              <w:rPr>
                <w:szCs w:val="24"/>
              </w:rPr>
              <w:t>0.58</w:t>
            </w:r>
          </w:p>
        </w:tc>
        <w:tc>
          <w:tcPr>
            <w:tcW w:w="542" w:type="pct"/>
            <w:tcBorders>
              <w:top w:val="single" w:sz="12" w:space="0" w:color="auto"/>
              <w:left w:val="nil"/>
              <w:bottom w:val="nil"/>
              <w:right w:val="nil"/>
            </w:tcBorders>
            <w:vAlign w:val="center"/>
          </w:tcPr>
          <w:p w14:paraId="666E6E24" w14:textId="77777777" w:rsidR="003F59C8" w:rsidRPr="00B629B2" w:rsidRDefault="003F59C8" w:rsidP="0053460F">
            <w:pPr>
              <w:jc w:val="center"/>
              <w:rPr>
                <w:szCs w:val="24"/>
              </w:rPr>
            </w:pPr>
            <w:r w:rsidRPr="00B629B2">
              <w:rPr>
                <w:szCs w:val="24"/>
              </w:rPr>
              <w:t>0.59</w:t>
            </w:r>
          </w:p>
        </w:tc>
        <w:tc>
          <w:tcPr>
            <w:tcW w:w="542" w:type="pct"/>
            <w:tcBorders>
              <w:top w:val="single" w:sz="12" w:space="0" w:color="auto"/>
              <w:left w:val="nil"/>
              <w:bottom w:val="nil"/>
              <w:right w:val="nil"/>
            </w:tcBorders>
            <w:vAlign w:val="center"/>
          </w:tcPr>
          <w:p w14:paraId="35845390" w14:textId="77777777" w:rsidR="003F59C8" w:rsidRPr="00B629B2" w:rsidRDefault="003F59C8" w:rsidP="003F59C8">
            <w:pPr>
              <w:jc w:val="center"/>
              <w:rPr>
                <w:szCs w:val="24"/>
              </w:rPr>
            </w:pPr>
            <w:r w:rsidRPr="00B629B2">
              <w:rPr>
                <w:szCs w:val="24"/>
              </w:rPr>
              <w:t>0.59</w:t>
            </w:r>
          </w:p>
        </w:tc>
        <w:tc>
          <w:tcPr>
            <w:tcW w:w="544" w:type="pct"/>
            <w:tcBorders>
              <w:top w:val="single" w:sz="12" w:space="0" w:color="auto"/>
              <w:left w:val="nil"/>
              <w:bottom w:val="nil"/>
              <w:right w:val="nil"/>
            </w:tcBorders>
            <w:vAlign w:val="center"/>
          </w:tcPr>
          <w:p w14:paraId="367EB379" w14:textId="081679CE" w:rsidR="003F59C8" w:rsidRPr="00B629B2" w:rsidRDefault="003F59C8" w:rsidP="003F59C8">
            <w:pPr>
              <w:jc w:val="center"/>
              <w:rPr>
                <w:szCs w:val="24"/>
              </w:rPr>
            </w:pPr>
            <w:r w:rsidRPr="00B629B2">
              <w:rPr>
                <w:szCs w:val="24"/>
              </w:rPr>
              <w:t>0.59*</w:t>
            </w:r>
          </w:p>
        </w:tc>
      </w:tr>
      <w:tr w:rsidR="003F59C8" w:rsidRPr="00B629B2" w14:paraId="57A943BC" w14:textId="35B7EA5F" w:rsidTr="00B629B2">
        <w:trPr>
          <w:trHeight w:val="397"/>
        </w:trPr>
        <w:tc>
          <w:tcPr>
            <w:tcW w:w="729" w:type="pct"/>
            <w:tcBorders>
              <w:top w:val="nil"/>
              <w:left w:val="nil"/>
              <w:bottom w:val="single" w:sz="6" w:space="0" w:color="auto"/>
              <w:right w:val="nil"/>
            </w:tcBorders>
            <w:vAlign w:val="center"/>
          </w:tcPr>
          <w:p w14:paraId="3687C5AB" w14:textId="77777777" w:rsidR="003F59C8" w:rsidRPr="00B629B2" w:rsidRDefault="003F59C8" w:rsidP="0053460F">
            <w:pPr>
              <w:jc w:val="center"/>
              <w:rPr>
                <w:szCs w:val="24"/>
              </w:rPr>
            </w:pPr>
            <w:r w:rsidRPr="00B629B2">
              <w:rPr>
                <w:szCs w:val="24"/>
              </w:rPr>
              <w:t>3.3</w:t>
            </w:r>
          </w:p>
        </w:tc>
        <w:tc>
          <w:tcPr>
            <w:tcW w:w="475" w:type="pct"/>
            <w:tcBorders>
              <w:top w:val="nil"/>
              <w:left w:val="nil"/>
              <w:bottom w:val="single" w:sz="6" w:space="0" w:color="auto"/>
              <w:right w:val="nil"/>
            </w:tcBorders>
            <w:vAlign w:val="center"/>
          </w:tcPr>
          <w:p w14:paraId="11B6FF20" w14:textId="77777777" w:rsidR="003F59C8" w:rsidRPr="00B629B2" w:rsidRDefault="003F59C8" w:rsidP="0053460F">
            <w:pPr>
              <w:jc w:val="center"/>
              <w:rPr>
                <w:szCs w:val="24"/>
              </w:rPr>
            </w:pPr>
            <w:r w:rsidRPr="00B629B2">
              <w:rPr>
                <w:szCs w:val="24"/>
              </w:rPr>
              <w:t>1461</w:t>
            </w:r>
          </w:p>
        </w:tc>
        <w:tc>
          <w:tcPr>
            <w:tcW w:w="542" w:type="pct"/>
            <w:tcBorders>
              <w:top w:val="nil"/>
              <w:left w:val="nil"/>
              <w:bottom w:val="single" w:sz="6" w:space="0" w:color="auto"/>
              <w:right w:val="nil"/>
            </w:tcBorders>
            <w:vAlign w:val="center"/>
          </w:tcPr>
          <w:p w14:paraId="34662579" w14:textId="77777777" w:rsidR="003F59C8" w:rsidRPr="00B629B2" w:rsidRDefault="003F59C8" w:rsidP="0053460F">
            <w:pPr>
              <w:jc w:val="center"/>
              <w:rPr>
                <w:szCs w:val="24"/>
              </w:rPr>
            </w:pPr>
            <w:r w:rsidRPr="00B629B2">
              <w:rPr>
                <w:szCs w:val="24"/>
              </w:rPr>
              <w:t>0.27</w:t>
            </w:r>
          </w:p>
        </w:tc>
        <w:tc>
          <w:tcPr>
            <w:tcW w:w="542" w:type="pct"/>
            <w:tcBorders>
              <w:top w:val="nil"/>
              <w:left w:val="nil"/>
              <w:bottom w:val="single" w:sz="6" w:space="0" w:color="auto"/>
              <w:right w:val="nil"/>
            </w:tcBorders>
            <w:vAlign w:val="center"/>
          </w:tcPr>
          <w:p w14:paraId="4DB86B4C" w14:textId="77777777" w:rsidR="003F59C8" w:rsidRPr="00B629B2" w:rsidRDefault="003F59C8" w:rsidP="0053460F">
            <w:pPr>
              <w:jc w:val="center"/>
              <w:rPr>
                <w:szCs w:val="24"/>
              </w:rPr>
            </w:pPr>
            <w:r w:rsidRPr="00B629B2">
              <w:rPr>
                <w:szCs w:val="24"/>
              </w:rPr>
              <w:t>0.46</w:t>
            </w:r>
          </w:p>
        </w:tc>
        <w:tc>
          <w:tcPr>
            <w:tcW w:w="542" w:type="pct"/>
            <w:tcBorders>
              <w:top w:val="nil"/>
              <w:left w:val="nil"/>
              <w:bottom w:val="single" w:sz="6" w:space="0" w:color="auto"/>
              <w:right w:val="nil"/>
            </w:tcBorders>
            <w:vAlign w:val="center"/>
          </w:tcPr>
          <w:p w14:paraId="36F9225E" w14:textId="77777777" w:rsidR="003F59C8" w:rsidRPr="00B629B2" w:rsidRDefault="003F59C8" w:rsidP="0053460F">
            <w:pPr>
              <w:jc w:val="center"/>
              <w:rPr>
                <w:szCs w:val="24"/>
              </w:rPr>
            </w:pPr>
            <w:r w:rsidRPr="00B629B2">
              <w:rPr>
                <w:szCs w:val="24"/>
              </w:rPr>
              <w:t>1.05</w:t>
            </w:r>
          </w:p>
        </w:tc>
        <w:tc>
          <w:tcPr>
            <w:tcW w:w="543" w:type="pct"/>
            <w:tcBorders>
              <w:top w:val="nil"/>
              <w:left w:val="nil"/>
              <w:bottom w:val="single" w:sz="6" w:space="0" w:color="auto"/>
              <w:right w:val="nil"/>
            </w:tcBorders>
            <w:vAlign w:val="center"/>
          </w:tcPr>
          <w:p w14:paraId="0EA84F3C" w14:textId="77777777" w:rsidR="003F59C8" w:rsidRPr="00B629B2" w:rsidRDefault="003F59C8" w:rsidP="0053460F">
            <w:pPr>
              <w:jc w:val="center"/>
              <w:rPr>
                <w:szCs w:val="24"/>
              </w:rPr>
            </w:pPr>
            <w:r w:rsidRPr="00B629B2">
              <w:rPr>
                <w:szCs w:val="24"/>
              </w:rPr>
              <w:t>1.52</w:t>
            </w:r>
          </w:p>
        </w:tc>
        <w:tc>
          <w:tcPr>
            <w:tcW w:w="542" w:type="pct"/>
            <w:tcBorders>
              <w:top w:val="nil"/>
              <w:left w:val="nil"/>
              <w:bottom w:val="single" w:sz="6" w:space="0" w:color="auto"/>
              <w:right w:val="nil"/>
            </w:tcBorders>
            <w:vAlign w:val="center"/>
          </w:tcPr>
          <w:p w14:paraId="69F47787" w14:textId="77777777" w:rsidR="003F59C8" w:rsidRPr="00B629B2" w:rsidRDefault="003F59C8" w:rsidP="0053460F">
            <w:pPr>
              <w:jc w:val="center"/>
              <w:rPr>
                <w:szCs w:val="24"/>
              </w:rPr>
            </w:pPr>
            <w:r w:rsidRPr="00B629B2">
              <w:rPr>
                <w:szCs w:val="24"/>
              </w:rPr>
              <w:t>1.57</w:t>
            </w:r>
          </w:p>
        </w:tc>
        <w:tc>
          <w:tcPr>
            <w:tcW w:w="542" w:type="pct"/>
            <w:tcBorders>
              <w:top w:val="nil"/>
              <w:left w:val="nil"/>
              <w:bottom w:val="single" w:sz="6" w:space="0" w:color="auto"/>
              <w:right w:val="nil"/>
            </w:tcBorders>
            <w:vAlign w:val="center"/>
          </w:tcPr>
          <w:p w14:paraId="629A61DD" w14:textId="77777777" w:rsidR="003F59C8" w:rsidRPr="00B629B2" w:rsidRDefault="003F59C8" w:rsidP="003F59C8">
            <w:pPr>
              <w:jc w:val="center"/>
              <w:rPr>
                <w:szCs w:val="24"/>
              </w:rPr>
            </w:pPr>
            <w:r w:rsidRPr="00B629B2">
              <w:rPr>
                <w:szCs w:val="24"/>
              </w:rPr>
              <w:t>1.60</w:t>
            </w:r>
          </w:p>
        </w:tc>
        <w:tc>
          <w:tcPr>
            <w:tcW w:w="544" w:type="pct"/>
            <w:tcBorders>
              <w:top w:val="nil"/>
              <w:left w:val="nil"/>
              <w:bottom w:val="single" w:sz="6" w:space="0" w:color="auto"/>
              <w:right w:val="nil"/>
            </w:tcBorders>
            <w:vAlign w:val="center"/>
          </w:tcPr>
          <w:p w14:paraId="6BA707F0" w14:textId="094480BC" w:rsidR="003F59C8" w:rsidRPr="00B629B2" w:rsidRDefault="003F59C8" w:rsidP="003F59C8">
            <w:pPr>
              <w:jc w:val="center"/>
              <w:rPr>
                <w:szCs w:val="24"/>
              </w:rPr>
            </w:pPr>
            <w:r w:rsidRPr="00B629B2">
              <w:rPr>
                <w:szCs w:val="24"/>
              </w:rPr>
              <w:t>0.75*</w:t>
            </w:r>
          </w:p>
        </w:tc>
      </w:tr>
      <w:tr w:rsidR="003F59C8" w:rsidRPr="00B629B2" w14:paraId="586A8BAD" w14:textId="01E882B2" w:rsidTr="003F59C8">
        <w:trPr>
          <w:trHeight w:val="397"/>
        </w:trPr>
        <w:tc>
          <w:tcPr>
            <w:tcW w:w="5000" w:type="pct"/>
            <w:gridSpan w:val="9"/>
            <w:tcBorders>
              <w:top w:val="single" w:sz="6" w:space="0" w:color="auto"/>
              <w:left w:val="nil"/>
              <w:bottom w:val="single" w:sz="6" w:space="0" w:color="auto"/>
              <w:right w:val="nil"/>
            </w:tcBorders>
            <w:vAlign w:val="center"/>
          </w:tcPr>
          <w:p w14:paraId="4FEA878F" w14:textId="789DEB76" w:rsidR="003F59C8" w:rsidRPr="00B629B2" w:rsidRDefault="003F59C8" w:rsidP="0053460F">
            <w:pPr>
              <w:rPr>
                <w:szCs w:val="24"/>
              </w:rPr>
            </w:pPr>
            <w:r w:rsidRPr="00B629B2">
              <w:rPr>
                <w:szCs w:val="24"/>
              </w:rPr>
              <w:t>Where absorption coefficients exceed 1.0 the coefficient was capped at 0.99</w:t>
            </w:r>
            <w:r w:rsidRPr="00B629B2">
              <w:rPr>
                <w:szCs w:val="24"/>
              </w:rPr>
              <w:br/>
              <w:t>*Data extrapolated by CATT-Acoustics</w:t>
            </w:r>
          </w:p>
        </w:tc>
      </w:tr>
    </w:tbl>
    <w:p w14:paraId="0A7D5CC5" w14:textId="77777777" w:rsidR="001E4B0A" w:rsidRPr="00B629B2" w:rsidRDefault="001E4B0A" w:rsidP="001E4B0A">
      <w:pPr>
        <w:spacing w:after="0" w:line="240" w:lineRule="auto"/>
        <w:jc w:val="both"/>
        <w:rPr>
          <w:szCs w:val="24"/>
        </w:rPr>
      </w:pPr>
    </w:p>
    <w:p w14:paraId="03789C5F" w14:textId="094E2C95" w:rsidR="003366F3" w:rsidRPr="00B629B2" w:rsidRDefault="00BD0AB8" w:rsidP="001E4B0A">
      <w:pPr>
        <w:spacing w:after="0" w:line="240" w:lineRule="auto"/>
        <w:jc w:val="both"/>
        <w:rPr>
          <w:szCs w:val="24"/>
        </w:rPr>
      </w:pPr>
      <w:r w:rsidRPr="00B629B2">
        <w:rPr>
          <w:szCs w:val="24"/>
        </w:rPr>
        <w:tab/>
      </w:r>
      <w:r w:rsidR="0053460F" w:rsidRPr="00B629B2">
        <w:rPr>
          <w:szCs w:val="24"/>
        </w:rPr>
        <w:t>Scattering coefficients have been applied based on the formula set out in Equation</w:t>
      </w:r>
      <w:r w:rsidR="003366F3" w:rsidRPr="00B629B2">
        <w:rPr>
          <w:szCs w:val="24"/>
        </w:rPr>
        <w:t xml:space="preserve"> </w:t>
      </w:r>
      <w:r w:rsidR="00107C65" w:rsidRPr="00B629B2">
        <w:rPr>
          <w:szCs w:val="24"/>
        </w:rPr>
        <w:t xml:space="preserve">2, </w:t>
      </w:r>
      <w:r w:rsidR="0053460F" w:rsidRPr="00B629B2">
        <w:rPr>
          <w:szCs w:val="24"/>
        </w:rPr>
        <w:t xml:space="preserve">which has been taken from the </w:t>
      </w:r>
      <w:r w:rsidR="003366F3" w:rsidRPr="00B629B2">
        <w:rPr>
          <w:szCs w:val="24"/>
        </w:rPr>
        <w:t xml:space="preserve">computer modelling software </w:t>
      </w:r>
      <w:r w:rsidR="0053460F" w:rsidRPr="00B629B2">
        <w:rPr>
          <w:szCs w:val="24"/>
        </w:rPr>
        <w:t xml:space="preserve">CATT-Acoustic Manual </w:t>
      </w:r>
      <w:r w:rsidR="00107C65" w:rsidRPr="00B629B2">
        <w:rPr>
          <w:szCs w:val="24"/>
        </w:rPr>
        <w:t>[</w:t>
      </w:r>
      <w:r w:rsidR="002A05AA" w:rsidRPr="00B629B2">
        <w:rPr>
          <w:szCs w:val="24"/>
        </w:rPr>
        <w:t>15</w:t>
      </w:r>
      <w:r w:rsidR="00107C65" w:rsidRPr="00B629B2">
        <w:rPr>
          <w:szCs w:val="24"/>
        </w:rPr>
        <w:t>].</w:t>
      </w:r>
      <w:r w:rsidR="00945B2D" w:rsidRPr="00B629B2">
        <w:rPr>
          <w:szCs w:val="24"/>
        </w:rPr>
        <w:t xml:space="preserve"> </w:t>
      </w:r>
    </w:p>
    <w:p w14:paraId="195A4CDB" w14:textId="77777777" w:rsidR="003366F3" w:rsidRPr="00B629B2" w:rsidRDefault="003366F3" w:rsidP="001E4B0A">
      <w:pPr>
        <w:spacing w:after="0" w:line="240" w:lineRule="auto"/>
        <w:jc w:val="both"/>
        <w:rPr>
          <w:szCs w:val="24"/>
        </w:rPr>
      </w:pPr>
    </w:p>
    <w:p w14:paraId="2D642D84" w14:textId="77777777" w:rsidR="003366F3" w:rsidRPr="00B629B2" w:rsidRDefault="003366F3" w:rsidP="003366F3">
      <w:pPr>
        <w:spacing w:after="0" w:line="240" w:lineRule="auto"/>
        <w:jc w:val="both"/>
        <w:rPr>
          <w:i/>
          <w:szCs w:val="24"/>
        </w:rPr>
      </w:pPr>
      <w:r w:rsidRPr="00B629B2">
        <w:rPr>
          <w:i/>
          <w:szCs w:val="24"/>
        </w:rPr>
        <w:t>Equation 2 – Scattering Coefficient Prediction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3366F3" w:rsidRPr="00B629B2" w14:paraId="269D738A" w14:textId="77777777" w:rsidTr="00686ECD">
        <w:tc>
          <w:tcPr>
            <w:tcW w:w="8720" w:type="dxa"/>
          </w:tcPr>
          <w:p w14:paraId="7732F3BF" w14:textId="77777777" w:rsidR="003366F3" w:rsidRPr="00B629B2" w:rsidRDefault="003366F3" w:rsidP="00686ECD">
            <w:pPr>
              <w:jc w:val="both"/>
              <w:rPr>
                <w:szCs w:val="24"/>
              </w:rPr>
            </w:pPr>
            <m:oMathPara>
              <m:oMath>
                <m:r>
                  <w:rPr>
                    <w:rFonts w:ascii="Cambria Math" w:hAnsi="Cambria Math"/>
                    <w:szCs w:val="24"/>
                  </w:rPr>
                  <m:t>s=50</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Cs w:val="24"/>
                          </w:rPr>
                          <m:t>d</m:t>
                        </m:r>
                      </m:num>
                      <m:den>
                        <m:r>
                          <w:rPr>
                            <w:rFonts w:ascii="Cambria Math" w:hAnsi="Cambria Math"/>
                            <w:szCs w:val="24"/>
                          </w:rPr>
                          <m:t>λ</m:t>
                        </m:r>
                      </m:den>
                    </m:f>
                  </m:e>
                </m:rad>
              </m:oMath>
            </m:oMathPara>
          </w:p>
          <w:p w14:paraId="78BDDB92" w14:textId="77777777" w:rsidR="003366F3" w:rsidRPr="00B629B2" w:rsidRDefault="003366F3" w:rsidP="00686ECD">
            <w:pPr>
              <w:jc w:val="both"/>
              <w:rPr>
                <w:szCs w:val="24"/>
              </w:rPr>
            </w:pPr>
          </w:p>
        </w:tc>
      </w:tr>
      <w:tr w:rsidR="003366F3" w:rsidRPr="00B629B2" w14:paraId="1CB74338" w14:textId="77777777" w:rsidTr="00686ECD">
        <w:tc>
          <w:tcPr>
            <w:tcW w:w="8720" w:type="dxa"/>
          </w:tcPr>
          <w:p w14:paraId="4BAE869D" w14:textId="40D18FD9" w:rsidR="003366F3" w:rsidRPr="00B629B2" w:rsidRDefault="003366F3" w:rsidP="00686ECD">
            <w:pPr>
              <w:jc w:val="both"/>
              <w:rPr>
                <w:szCs w:val="24"/>
              </w:rPr>
            </w:pPr>
            <w:r w:rsidRPr="00B629B2">
              <w:rPr>
                <w:szCs w:val="24"/>
              </w:rPr>
              <w:t>Where:</w:t>
            </w:r>
            <w:r w:rsidRPr="00B629B2">
              <w:rPr>
                <w:szCs w:val="24"/>
              </w:rPr>
              <w:br/>
              <w:t>s = Scattering coefficient</w:t>
            </w:r>
            <w:r w:rsidR="00C32194" w:rsidRPr="00B629B2">
              <w:rPr>
                <w:szCs w:val="24"/>
              </w:rPr>
              <w:t>;</w:t>
            </w:r>
            <w:r w:rsidR="00C32194" w:rsidRPr="00B629B2">
              <w:rPr>
                <w:i/>
                <w:szCs w:val="24"/>
              </w:rPr>
              <w:t xml:space="preserve"> d</w:t>
            </w:r>
            <w:r w:rsidR="00C32194" w:rsidRPr="00B629B2">
              <w:rPr>
                <w:i/>
                <w:szCs w:val="24"/>
                <w:vertAlign w:val="subscript"/>
              </w:rPr>
              <w:t xml:space="preserve"> </w:t>
            </w:r>
            <w:r w:rsidR="00C32194" w:rsidRPr="00B629B2">
              <w:rPr>
                <w:i/>
                <w:szCs w:val="24"/>
              </w:rPr>
              <w:t>=</w:t>
            </w:r>
            <w:r w:rsidR="00C32194" w:rsidRPr="00B629B2">
              <w:rPr>
                <w:szCs w:val="24"/>
              </w:rPr>
              <w:t xml:space="preserve"> estimated depth of material (m); </w:t>
            </w:r>
            <m:oMath>
              <m:r>
                <w:rPr>
                  <w:rFonts w:ascii="Cambria Math" w:hAnsi="Cambria Math"/>
                  <w:szCs w:val="24"/>
                </w:rPr>
                <m:t>λ</m:t>
              </m:r>
            </m:oMath>
            <w:r w:rsidR="00C32194" w:rsidRPr="00B629B2">
              <w:rPr>
                <w:szCs w:val="24"/>
              </w:rPr>
              <w:t xml:space="preserve"> = wavelength of sound (m)</w:t>
            </w:r>
            <w:r w:rsidRPr="00B629B2">
              <w:rPr>
                <w:i/>
                <w:szCs w:val="24"/>
              </w:rPr>
              <w:t xml:space="preserve"> </w:t>
            </w:r>
          </w:p>
          <w:p w14:paraId="016F0FA1" w14:textId="4537E1E9" w:rsidR="003366F3" w:rsidRPr="00B629B2" w:rsidRDefault="003366F3" w:rsidP="00686ECD">
            <w:pPr>
              <w:jc w:val="both"/>
              <w:rPr>
                <w:szCs w:val="24"/>
              </w:rPr>
            </w:pPr>
          </w:p>
        </w:tc>
      </w:tr>
    </w:tbl>
    <w:p w14:paraId="3843327E" w14:textId="77777777" w:rsidR="003366F3" w:rsidRPr="00B629B2" w:rsidRDefault="003366F3" w:rsidP="001E4B0A">
      <w:pPr>
        <w:spacing w:after="0" w:line="240" w:lineRule="auto"/>
        <w:jc w:val="both"/>
        <w:rPr>
          <w:szCs w:val="24"/>
        </w:rPr>
      </w:pPr>
    </w:p>
    <w:p w14:paraId="065C9AC8" w14:textId="7F3DC729" w:rsidR="00E157E8" w:rsidRPr="00B629B2" w:rsidRDefault="007001A4" w:rsidP="001E4B0A">
      <w:pPr>
        <w:spacing w:after="0" w:line="240" w:lineRule="auto"/>
        <w:jc w:val="both"/>
        <w:rPr>
          <w:szCs w:val="24"/>
        </w:rPr>
      </w:pPr>
      <w:r>
        <w:rPr>
          <w:szCs w:val="24"/>
        </w:rPr>
        <w:tab/>
      </w:r>
      <w:r w:rsidR="00945B2D" w:rsidRPr="00B629B2">
        <w:rPr>
          <w:szCs w:val="24"/>
        </w:rPr>
        <w:t>Table 8 shows the scattering coefficients used in the acoustic models.</w:t>
      </w:r>
    </w:p>
    <w:p w14:paraId="21AE9727" w14:textId="59EA4CC9" w:rsidR="00CA0CD0" w:rsidRPr="00B629B2" w:rsidRDefault="00CA0CD0" w:rsidP="001E4B0A">
      <w:pPr>
        <w:spacing w:after="0" w:line="240" w:lineRule="auto"/>
        <w:jc w:val="both"/>
        <w:rPr>
          <w:szCs w:val="24"/>
        </w:rPr>
      </w:pPr>
      <w:r w:rsidRPr="00B629B2">
        <w:rPr>
          <w:szCs w:val="24"/>
        </w:rPr>
        <w:tab/>
        <w:t xml:space="preserve">The modelling has been conducted in all models with </w:t>
      </w:r>
      <w:r w:rsidR="00C32194" w:rsidRPr="00B629B2">
        <w:rPr>
          <w:szCs w:val="24"/>
        </w:rPr>
        <w:t xml:space="preserve">a </w:t>
      </w:r>
      <w:r w:rsidR="00B629B2" w:rsidRPr="00B629B2">
        <w:rPr>
          <w:szCs w:val="24"/>
        </w:rPr>
        <w:t>representative temperature</w:t>
      </w:r>
      <w:r w:rsidRPr="00B629B2">
        <w:rPr>
          <w:szCs w:val="24"/>
        </w:rPr>
        <w:t xml:space="preserve"> and </w:t>
      </w:r>
      <w:r w:rsidR="00C32194" w:rsidRPr="00B629B2">
        <w:rPr>
          <w:szCs w:val="24"/>
        </w:rPr>
        <w:t xml:space="preserve">relative </w:t>
      </w:r>
      <w:r w:rsidRPr="00B629B2">
        <w:rPr>
          <w:szCs w:val="24"/>
        </w:rPr>
        <w:t xml:space="preserve">humidity set to 20° and 50%, respectively, as the temperature and humidity can </w:t>
      </w:r>
      <w:r w:rsidR="00C32194" w:rsidRPr="00B629B2">
        <w:rPr>
          <w:szCs w:val="24"/>
        </w:rPr>
        <w:t>contribute to</w:t>
      </w:r>
      <w:r w:rsidRPr="00B629B2">
        <w:rPr>
          <w:szCs w:val="24"/>
        </w:rPr>
        <w:t xml:space="preserve"> the acoustic performance of a VA system [</w:t>
      </w:r>
      <w:r w:rsidR="00777FF3" w:rsidRPr="00B629B2">
        <w:rPr>
          <w:szCs w:val="24"/>
        </w:rPr>
        <w:t>21</w:t>
      </w:r>
      <w:r w:rsidRPr="00B629B2">
        <w:rPr>
          <w:szCs w:val="24"/>
        </w:rPr>
        <w:t>].</w:t>
      </w:r>
    </w:p>
    <w:p w14:paraId="48E7CC0D" w14:textId="77777777" w:rsidR="0087367A" w:rsidRPr="00B629B2" w:rsidRDefault="0087367A">
      <w:pPr>
        <w:spacing w:after="0" w:line="240" w:lineRule="auto"/>
        <w:jc w:val="both"/>
        <w:rPr>
          <w:i/>
          <w:szCs w:val="24"/>
        </w:rPr>
      </w:pPr>
    </w:p>
    <w:p w14:paraId="15D7E95F" w14:textId="0F0EE159" w:rsidR="001E4B0A" w:rsidRPr="00B629B2" w:rsidRDefault="00107C65">
      <w:pPr>
        <w:spacing w:after="0" w:line="240" w:lineRule="auto"/>
        <w:jc w:val="both"/>
        <w:rPr>
          <w:i/>
          <w:szCs w:val="24"/>
        </w:rPr>
      </w:pPr>
      <w:r w:rsidRPr="00B629B2">
        <w:rPr>
          <w:i/>
          <w:szCs w:val="24"/>
        </w:rPr>
        <w:t>Table 8 – Scattering Coefficients used in Acoustic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078"/>
        <w:gridCol w:w="1079"/>
        <w:gridCol w:w="1079"/>
        <w:gridCol w:w="1079"/>
        <w:gridCol w:w="1079"/>
        <w:gridCol w:w="1079"/>
        <w:gridCol w:w="1079"/>
      </w:tblGrid>
      <w:tr w:rsidR="006B794F" w:rsidRPr="00B629B2" w14:paraId="5D7D311F" w14:textId="48DD9ADD" w:rsidTr="00AA241F">
        <w:trPr>
          <w:trHeight w:val="340"/>
        </w:trPr>
        <w:tc>
          <w:tcPr>
            <w:tcW w:w="1168" w:type="dxa"/>
            <w:vMerge w:val="restart"/>
            <w:vAlign w:val="center"/>
          </w:tcPr>
          <w:p w14:paraId="17208DB9" w14:textId="77777777" w:rsidR="006B794F" w:rsidRPr="00B629B2" w:rsidRDefault="006B794F" w:rsidP="00B0089B">
            <w:pPr>
              <w:jc w:val="center"/>
              <w:rPr>
                <w:b/>
                <w:szCs w:val="24"/>
              </w:rPr>
            </w:pPr>
            <w:r w:rsidRPr="00B629B2">
              <w:rPr>
                <w:b/>
                <w:szCs w:val="24"/>
              </w:rPr>
              <w:t>Material type</w:t>
            </w:r>
          </w:p>
        </w:tc>
        <w:tc>
          <w:tcPr>
            <w:tcW w:w="7552" w:type="dxa"/>
            <w:gridSpan w:val="7"/>
            <w:tcBorders>
              <w:bottom w:val="single" w:sz="6" w:space="0" w:color="auto"/>
            </w:tcBorders>
            <w:vAlign w:val="center"/>
          </w:tcPr>
          <w:p w14:paraId="788AEC38" w14:textId="30A31F6E" w:rsidR="006B794F" w:rsidRPr="00B629B2" w:rsidRDefault="006B794F" w:rsidP="00C32194">
            <w:pPr>
              <w:jc w:val="center"/>
              <w:rPr>
                <w:b/>
                <w:szCs w:val="24"/>
              </w:rPr>
            </w:pPr>
            <w:r w:rsidRPr="00B629B2">
              <w:rPr>
                <w:b/>
                <w:szCs w:val="24"/>
              </w:rPr>
              <w:t>Scattering Coefficient Applied at Octave Band Centre Frequency (Hz)</w:t>
            </w:r>
          </w:p>
        </w:tc>
      </w:tr>
      <w:tr w:rsidR="006B794F" w:rsidRPr="00B629B2" w14:paraId="43D0AB61" w14:textId="04951BAE" w:rsidTr="00B629B2">
        <w:trPr>
          <w:trHeight w:val="340"/>
        </w:trPr>
        <w:tc>
          <w:tcPr>
            <w:tcW w:w="1168" w:type="dxa"/>
            <w:vMerge/>
            <w:tcBorders>
              <w:bottom w:val="single" w:sz="12" w:space="0" w:color="auto"/>
            </w:tcBorders>
            <w:vAlign w:val="center"/>
          </w:tcPr>
          <w:p w14:paraId="26D268E0" w14:textId="77777777" w:rsidR="006B794F" w:rsidRPr="00B629B2" w:rsidRDefault="006B794F" w:rsidP="00B0089B">
            <w:pPr>
              <w:jc w:val="center"/>
              <w:rPr>
                <w:b/>
                <w:szCs w:val="24"/>
              </w:rPr>
            </w:pPr>
          </w:p>
        </w:tc>
        <w:tc>
          <w:tcPr>
            <w:tcW w:w="1078" w:type="dxa"/>
            <w:tcBorders>
              <w:top w:val="single" w:sz="6" w:space="0" w:color="auto"/>
              <w:bottom w:val="single" w:sz="12" w:space="0" w:color="auto"/>
            </w:tcBorders>
            <w:vAlign w:val="center"/>
          </w:tcPr>
          <w:p w14:paraId="710E2174" w14:textId="77777777" w:rsidR="006B794F" w:rsidRPr="00B629B2" w:rsidRDefault="006B794F" w:rsidP="006B794F">
            <w:pPr>
              <w:jc w:val="center"/>
              <w:rPr>
                <w:b/>
                <w:szCs w:val="24"/>
              </w:rPr>
            </w:pPr>
            <w:r w:rsidRPr="00B629B2">
              <w:rPr>
                <w:b/>
                <w:szCs w:val="24"/>
              </w:rPr>
              <w:t>125</w:t>
            </w:r>
          </w:p>
        </w:tc>
        <w:tc>
          <w:tcPr>
            <w:tcW w:w="1079" w:type="dxa"/>
            <w:tcBorders>
              <w:top w:val="single" w:sz="6" w:space="0" w:color="auto"/>
              <w:bottom w:val="single" w:sz="12" w:space="0" w:color="auto"/>
            </w:tcBorders>
            <w:vAlign w:val="center"/>
          </w:tcPr>
          <w:p w14:paraId="4626554D" w14:textId="77777777" w:rsidR="006B794F" w:rsidRPr="00B629B2" w:rsidRDefault="006B794F" w:rsidP="006B794F">
            <w:pPr>
              <w:jc w:val="center"/>
              <w:rPr>
                <w:b/>
                <w:szCs w:val="24"/>
              </w:rPr>
            </w:pPr>
            <w:r w:rsidRPr="00B629B2">
              <w:rPr>
                <w:b/>
                <w:szCs w:val="24"/>
              </w:rPr>
              <w:t>250</w:t>
            </w:r>
          </w:p>
        </w:tc>
        <w:tc>
          <w:tcPr>
            <w:tcW w:w="1079" w:type="dxa"/>
            <w:tcBorders>
              <w:top w:val="single" w:sz="6" w:space="0" w:color="auto"/>
              <w:bottom w:val="single" w:sz="12" w:space="0" w:color="auto"/>
            </w:tcBorders>
            <w:vAlign w:val="center"/>
          </w:tcPr>
          <w:p w14:paraId="47A3560C" w14:textId="77777777" w:rsidR="006B794F" w:rsidRPr="00B629B2" w:rsidRDefault="006B794F" w:rsidP="006B794F">
            <w:pPr>
              <w:jc w:val="center"/>
              <w:rPr>
                <w:b/>
                <w:szCs w:val="24"/>
              </w:rPr>
            </w:pPr>
            <w:r w:rsidRPr="00B629B2">
              <w:rPr>
                <w:b/>
                <w:szCs w:val="24"/>
              </w:rPr>
              <w:t>500</w:t>
            </w:r>
          </w:p>
        </w:tc>
        <w:tc>
          <w:tcPr>
            <w:tcW w:w="1079" w:type="dxa"/>
            <w:tcBorders>
              <w:top w:val="single" w:sz="6" w:space="0" w:color="auto"/>
              <w:bottom w:val="single" w:sz="12" w:space="0" w:color="auto"/>
            </w:tcBorders>
            <w:vAlign w:val="center"/>
          </w:tcPr>
          <w:p w14:paraId="6028D37D" w14:textId="77777777" w:rsidR="006B794F" w:rsidRPr="00B629B2" w:rsidRDefault="006B794F" w:rsidP="006B794F">
            <w:pPr>
              <w:jc w:val="center"/>
              <w:rPr>
                <w:b/>
                <w:szCs w:val="24"/>
              </w:rPr>
            </w:pPr>
            <w:r w:rsidRPr="00B629B2">
              <w:rPr>
                <w:b/>
                <w:szCs w:val="24"/>
              </w:rPr>
              <w:t>1000</w:t>
            </w:r>
          </w:p>
        </w:tc>
        <w:tc>
          <w:tcPr>
            <w:tcW w:w="1079" w:type="dxa"/>
            <w:tcBorders>
              <w:top w:val="single" w:sz="6" w:space="0" w:color="auto"/>
              <w:bottom w:val="single" w:sz="12" w:space="0" w:color="auto"/>
            </w:tcBorders>
            <w:vAlign w:val="center"/>
          </w:tcPr>
          <w:p w14:paraId="1946470B" w14:textId="77777777" w:rsidR="006B794F" w:rsidRPr="00B629B2" w:rsidRDefault="006B794F" w:rsidP="006B794F">
            <w:pPr>
              <w:jc w:val="center"/>
              <w:rPr>
                <w:b/>
                <w:szCs w:val="24"/>
              </w:rPr>
            </w:pPr>
            <w:r w:rsidRPr="00B629B2">
              <w:rPr>
                <w:b/>
                <w:szCs w:val="24"/>
              </w:rPr>
              <w:t>2000</w:t>
            </w:r>
          </w:p>
        </w:tc>
        <w:tc>
          <w:tcPr>
            <w:tcW w:w="1079" w:type="dxa"/>
            <w:tcBorders>
              <w:top w:val="single" w:sz="6" w:space="0" w:color="auto"/>
              <w:bottom w:val="single" w:sz="12" w:space="0" w:color="auto"/>
            </w:tcBorders>
            <w:vAlign w:val="center"/>
          </w:tcPr>
          <w:p w14:paraId="3820224D" w14:textId="77777777" w:rsidR="006B794F" w:rsidRPr="00B629B2" w:rsidRDefault="006B794F" w:rsidP="006B794F">
            <w:pPr>
              <w:jc w:val="center"/>
              <w:rPr>
                <w:b/>
                <w:szCs w:val="24"/>
              </w:rPr>
            </w:pPr>
            <w:r w:rsidRPr="00B629B2">
              <w:rPr>
                <w:b/>
                <w:szCs w:val="24"/>
              </w:rPr>
              <w:t>4000</w:t>
            </w:r>
          </w:p>
        </w:tc>
        <w:tc>
          <w:tcPr>
            <w:tcW w:w="1079" w:type="dxa"/>
            <w:tcBorders>
              <w:top w:val="single" w:sz="6" w:space="0" w:color="auto"/>
              <w:bottom w:val="single" w:sz="12" w:space="0" w:color="auto"/>
            </w:tcBorders>
            <w:vAlign w:val="center"/>
          </w:tcPr>
          <w:p w14:paraId="67539516" w14:textId="64A8AB3B" w:rsidR="006B794F" w:rsidRPr="00B629B2" w:rsidRDefault="006B794F" w:rsidP="006B794F">
            <w:pPr>
              <w:jc w:val="center"/>
              <w:rPr>
                <w:b/>
                <w:szCs w:val="24"/>
              </w:rPr>
            </w:pPr>
            <w:r w:rsidRPr="00B629B2">
              <w:rPr>
                <w:b/>
                <w:szCs w:val="24"/>
              </w:rPr>
              <w:t>8000</w:t>
            </w:r>
          </w:p>
        </w:tc>
      </w:tr>
      <w:tr w:rsidR="006B794F" w:rsidRPr="00B629B2" w14:paraId="7884D21E" w14:textId="0C8B53A6" w:rsidTr="00B629B2">
        <w:trPr>
          <w:trHeight w:val="340"/>
        </w:trPr>
        <w:tc>
          <w:tcPr>
            <w:tcW w:w="1168" w:type="dxa"/>
            <w:tcBorders>
              <w:top w:val="single" w:sz="12" w:space="0" w:color="auto"/>
            </w:tcBorders>
            <w:vAlign w:val="center"/>
          </w:tcPr>
          <w:p w14:paraId="374B860D" w14:textId="77777777" w:rsidR="006B794F" w:rsidRPr="00B629B2" w:rsidRDefault="006B794F" w:rsidP="00B0089B">
            <w:pPr>
              <w:jc w:val="center"/>
              <w:rPr>
                <w:szCs w:val="24"/>
              </w:rPr>
            </w:pPr>
            <w:r w:rsidRPr="00B629B2">
              <w:rPr>
                <w:szCs w:val="24"/>
              </w:rPr>
              <w:t>Wall/floor</w:t>
            </w:r>
          </w:p>
        </w:tc>
        <w:tc>
          <w:tcPr>
            <w:tcW w:w="1078" w:type="dxa"/>
            <w:tcBorders>
              <w:top w:val="single" w:sz="12" w:space="0" w:color="auto"/>
            </w:tcBorders>
            <w:vAlign w:val="center"/>
          </w:tcPr>
          <w:p w14:paraId="67626415" w14:textId="77777777" w:rsidR="006B794F" w:rsidRPr="00B629B2" w:rsidRDefault="006B794F" w:rsidP="006B794F">
            <w:pPr>
              <w:jc w:val="center"/>
              <w:rPr>
                <w:szCs w:val="24"/>
              </w:rPr>
            </w:pPr>
            <w:r w:rsidRPr="00B629B2">
              <w:rPr>
                <w:szCs w:val="24"/>
              </w:rPr>
              <w:t>3</w:t>
            </w:r>
          </w:p>
        </w:tc>
        <w:tc>
          <w:tcPr>
            <w:tcW w:w="1079" w:type="dxa"/>
            <w:tcBorders>
              <w:top w:val="single" w:sz="12" w:space="0" w:color="auto"/>
            </w:tcBorders>
            <w:vAlign w:val="center"/>
          </w:tcPr>
          <w:p w14:paraId="44A65EC8" w14:textId="77777777" w:rsidR="006B794F" w:rsidRPr="00B629B2" w:rsidRDefault="006B794F" w:rsidP="006B794F">
            <w:pPr>
              <w:jc w:val="center"/>
              <w:rPr>
                <w:szCs w:val="24"/>
              </w:rPr>
            </w:pPr>
            <w:r w:rsidRPr="00B629B2">
              <w:rPr>
                <w:szCs w:val="24"/>
              </w:rPr>
              <w:t>4</w:t>
            </w:r>
          </w:p>
        </w:tc>
        <w:tc>
          <w:tcPr>
            <w:tcW w:w="1079" w:type="dxa"/>
            <w:tcBorders>
              <w:top w:val="single" w:sz="12" w:space="0" w:color="auto"/>
            </w:tcBorders>
            <w:vAlign w:val="center"/>
          </w:tcPr>
          <w:p w14:paraId="3D8F00BD" w14:textId="77777777" w:rsidR="006B794F" w:rsidRPr="00B629B2" w:rsidRDefault="006B794F" w:rsidP="006B794F">
            <w:pPr>
              <w:jc w:val="center"/>
              <w:rPr>
                <w:szCs w:val="24"/>
              </w:rPr>
            </w:pPr>
            <w:r w:rsidRPr="00B629B2">
              <w:rPr>
                <w:szCs w:val="24"/>
              </w:rPr>
              <w:t>6</w:t>
            </w:r>
          </w:p>
        </w:tc>
        <w:tc>
          <w:tcPr>
            <w:tcW w:w="1079" w:type="dxa"/>
            <w:tcBorders>
              <w:top w:val="single" w:sz="12" w:space="0" w:color="auto"/>
            </w:tcBorders>
            <w:vAlign w:val="center"/>
          </w:tcPr>
          <w:p w14:paraId="321C2395" w14:textId="77777777" w:rsidR="006B794F" w:rsidRPr="00B629B2" w:rsidRDefault="006B794F" w:rsidP="006B794F">
            <w:pPr>
              <w:jc w:val="center"/>
              <w:rPr>
                <w:szCs w:val="24"/>
              </w:rPr>
            </w:pPr>
            <w:r w:rsidRPr="00B629B2">
              <w:rPr>
                <w:szCs w:val="24"/>
              </w:rPr>
              <w:t>9</w:t>
            </w:r>
          </w:p>
        </w:tc>
        <w:tc>
          <w:tcPr>
            <w:tcW w:w="1079" w:type="dxa"/>
            <w:tcBorders>
              <w:top w:val="single" w:sz="12" w:space="0" w:color="auto"/>
            </w:tcBorders>
            <w:vAlign w:val="center"/>
          </w:tcPr>
          <w:p w14:paraId="7C8DEB8F" w14:textId="77777777" w:rsidR="006B794F" w:rsidRPr="00B629B2" w:rsidRDefault="006B794F" w:rsidP="006B794F">
            <w:pPr>
              <w:jc w:val="center"/>
              <w:rPr>
                <w:szCs w:val="24"/>
              </w:rPr>
            </w:pPr>
            <w:r w:rsidRPr="00B629B2">
              <w:rPr>
                <w:szCs w:val="24"/>
              </w:rPr>
              <w:t>12</w:t>
            </w:r>
          </w:p>
        </w:tc>
        <w:tc>
          <w:tcPr>
            <w:tcW w:w="1079" w:type="dxa"/>
            <w:tcBorders>
              <w:top w:val="single" w:sz="12" w:space="0" w:color="auto"/>
            </w:tcBorders>
            <w:vAlign w:val="center"/>
          </w:tcPr>
          <w:p w14:paraId="6B92C462" w14:textId="77777777" w:rsidR="006B794F" w:rsidRPr="00B629B2" w:rsidRDefault="006B794F" w:rsidP="006B794F">
            <w:pPr>
              <w:jc w:val="center"/>
              <w:rPr>
                <w:szCs w:val="24"/>
              </w:rPr>
            </w:pPr>
            <w:r w:rsidRPr="00B629B2">
              <w:rPr>
                <w:szCs w:val="24"/>
              </w:rPr>
              <w:t>17</w:t>
            </w:r>
          </w:p>
        </w:tc>
        <w:tc>
          <w:tcPr>
            <w:tcW w:w="1079" w:type="dxa"/>
            <w:tcBorders>
              <w:top w:val="single" w:sz="12" w:space="0" w:color="auto"/>
            </w:tcBorders>
            <w:vAlign w:val="center"/>
          </w:tcPr>
          <w:p w14:paraId="5814B4EF" w14:textId="133E6A3B" w:rsidR="006B794F" w:rsidRPr="00B629B2" w:rsidRDefault="006B794F" w:rsidP="006B794F">
            <w:pPr>
              <w:jc w:val="center"/>
              <w:rPr>
                <w:szCs w:val="24"/>
              </w:rPr>
            </w:pPr>
            <w:r w:rsidRPr="00B629B2">
              <w:rPr>
                <w:szCs w:val="24"/>
              </w:rPr>
              <w:t>24</w:t>
            </w:r>
          </w:p>
        </w:tc>
      </w:tr>
      <w:tr w:rsidR="006B794F" w:rsidRPr="00B629B2" w14:paraId="5264E611" w14:textId="2D6E266B" w:rsidTr="00B629B2">
        <w:trPr>
          <w:trHeight w:val="340"/>
        </w:trPr>
        <w:tc>
          <w:tcPr>
            <w:tcW w:w="1168" w:type="dxa"/>
            <w:tcBorders>
              <w:bottom w:val="single" w:sz="6" w:space="0" w:color="auto"/>
            </w:tcBorders>
            <w:vAlign w:val="center"/>
          </w:tcPr>
          <w:p w14:paraId="1A7DC61B" w14:textId="77777777" w:rsidR="006B794F" w:rsidRPr="00B629B2" w:rsidRDefault="006B794F" w:rsidP="00B0089B">
            <w:pPr>
              <w:jc w:val="center"/>
              <w:rPr>
                <w:szCs w:val="24"/>
              </w:rPr>
            </w:pPr>
            <w:r w:rsidRPr="00B629B2">
              <w:rPr>
                <w:szCs w:val="24"/>
              </w:rPr>
              <w:t>Audience</w:t>
            </w:r>
          </w:p>
        </w:tc>
        <w:tc>
          <w:tcPr>
            <w:tcW w:w="1078" w:type="dxa"/>
            <w:tcBorders>
              <w:bottom w:val="single" w:sz="6" w:space="0" w:color="auto"/>
            </w:tcBorders>
            <w:vAlign w:val="center"/>
          </w:tcPr>
          <w:p w14:paraId="6625C15D" w14:textId="77777777" w:rsidR="006B794F" w:rsidRPr="00B629B2" w:rsidRDefault="006B794F" w:rsidP="006B794F">
            <w:pPr>
              <w:jc w:val="center"/>
              <w:rPr>
                <w:szCs w:val="24"/>
              </w:rPr>
            </w:pPr>
            <w:r w:rsidRPr="00B629B2">
              <w:rPr>
                <w:szCs w:val="24"/>
              </w:rPr>
              <w:t>37</w:t>
            </w:r>
          </w:p>
        </w:tc>
        <w:tc>
          <w:tcPr>
            <w:tcW w:w="1079" w:type="dxa"/>
            <w:tcBorders>
              <w:bottom w:val="single" w:sz="6" w:space="0" w:color="auto"/>
            </w:tcBorders>
            <w:vAlign w:val="center"/>
          </w:tcPr>
          <w:p w14:paraId="5177F888" w14:textId="77777777" w:rsidR="006B794F" w:rsidRPr="00B629B2" w:rsidRDefault="006B794F" w:rsidP="006B794F">
            <w:pPr>
              <w:jc w:val="center"/>
              <w:rPr>
                <w:szCs w:val="24"/>
              </w:rPr>
            </w:pPr>
            <w:r w:rsidRPr="00B629B2">
              <w:rPr>
                <w:szCs w:val="24"/>
              </w:rPr>
              <w:t>52</w:t>
            </w:r>
          </w:p>
        </w:tc>
        <w:tc>
          <w:tcPr>
            <w:tcW w:w="1079" w:type="dxa"/>
            <w:tcBorders>
              <w:bottom w:val="single" w:sz="6" w:space="0" w:color="auto"/>
            </w:tcBorders>
            <w:vAlign w:val="center"/>
          </w:tcPr>
          <w:p w14:paraId="02865AE4" w14:textId="77777777" w:rsidR="006B794F" w:rsidRPr="00B629B2" w:rsidRDefault="006B794F" w:rsidP="006B794F">
            <w:pPr>
              <w:jc w:val="center"/>
              <w:rPr>
                <w:szCs w:val="24"/>
              </w:rPr>
            </w:pPr>
            <w:r w:rsidRPr="00B629B2">
              <w:rPr>
                <w:szCs w:val="24"/>
              </w:rPr>
              <w:t>74</w:t>
            </w:r>
          </w:p>
        </w:tc>
        <w:tc>
          <w:tcPr>
            <w:tcW w:w="1079" w:type="dxa"/>
            <w:tcBorders>
              <w:bottom w:val="single" w:sz="6" w:space="0" w:color="auto"/>
            </w:tcBorders>
            <w:vAlign w:val="center"/>
          </w:tcPr>
          <w:p w14:paraId="77599C5D" w14:textId="77777777" w:rsidR="006B794F" w:rsidRPr="00B629B2" w:rsidRDefault="006B794F" w:rsidP="006B794F">
            <w:pPr>
              <w:jc w:val="center"/>
              <w:rPr>
                <w:szCs w:val="24"/>
              </w:rPr>
            </w:pPr>
            <w:r w:rsidRPr="00B629B2">
              <w:rPr>
                <w:szCs w:val="24"/>
              </w:rPr>
              <w:t>105</w:t>
            </w:r>
          </w:p>
        </w:tc>
        <w:tc>
          <w:tcPr>
            <w:tcW w:w="1079" w:type="dxa"/>
            <w:tcBorders>
              <w:bottom w:val="single" w:sz="6" w:space="0" w:color="auto"/>
            </w:tcBorders>
            <w:vAlign w:val="center"/>
          </w:tcPr>
          <w:p w14:paraId="43D09D30" w14:textId="77777777" w:rsidR="006B794F" w:rsidRPr="00B629B2" w:rsidRDefault="006B794F" w:rsidP="006B794F">
            <w:pPr>
              <w:jc w:val="center"/>
              <w:rPr>
                <w:szCs w:val="24"/>
              </w:rPr>
            </w:pPr>
            <w:r w:rsidRPr="00B629B2">
              <w:rPr>
                <w:szCs w:val="24"/>
              </w:rPr>
              <w:t>148</w:t>
            </w:r>
          </w:p>
        </w:tc>
        <w:tc>
          <w:tcPr>
            <w:tcW w:w="1079" w:type="dxa"/>
            <w:tcBorders>
              <w:bottom w:val="single" w:sz="6" w:space="0" w:color="auto"/>
            </w:tcBorders>
            <w:vAlign w:val="center"/>
          </w:tcPr>
          <w:p w14:paraId="352B1F84" w14:textId="77777777" w:rsidR="006B794F" w:rsidRPr="00B629B2" w:rsidRDefault="006B794F" w:rsidP="006B794F">
            <w:pPr>
              <w:jc w:val="center"/>
              <w:rPr>
                <w:szCs w:val="24"/>
              </w:rPr>
            </w:pPr>
            <w:r w:rsidRPr="00B629B2">
              <w:rPr>
                <w:szCs w:val="24"/>
              </w:rPr>
              <w:t>210</w:t>
            </w:r>
          </w:p>
        </w:tc>
        <w:tc>
          <w:tcPr>
            <w:tcW w:w="1079" w:type="dxa"/>
            <w:tcBorders>
              <w:bottom w:val="single" w:sz="6" w:space="0" w:color="auto"/>
            </w:tcBorders>
            <w:vAlign w:val="center"/>
          </w:tcPr>
          <w:p w14:paraId="75C4986E" w14:textId="26893313" w:rsidR="006B794F" w:rsidRPr="00B629B2" w:rsidRDefault="006B794F" w:rsidP="006B794F">
            <w:pPr>
              <w:jc w:val="center"/>
              <w:rPr>
                <w:szCs w:val="24"/>
              </w:rPr>
            </w:pPr>
            <w:r w:rsidRPr="00B629B2">
              <w:rPr>
                <w:szCs w:val="24"/>
              </w:rPr>
              <w:t>296</w:t>
            </w:r>
          </w:p>
        </w:tc>
      </w:tr>
      <w:tr w:rsidR="006B794F" w:rsidRPr="00B629B2" w14:paraId="01181768" w14:textId="1218B1B2" w:rsidTr="001B5CD8">
        <w:trPr>
          <w:trHeight w:val="340"/>
        </w:trPr>
        <w:tc>
          <w:tcPr>
            <w:tcW w:w="8720" w:type="dxa"/>
            <w:gridSpan w:val="8"/>
            <w:tcBorders>
              <w:top w:val="single" w:sz="6" w:space="0" w:color="auto"/>
              <w:bottom w:val="single" w:sz="6" w:space="0" w:color="auto"/>
            </w:tcBorders>
            <w:vAlign w:val="center"/>
          </w:tcPr>
          <w:p w14:paraId="5865A559" w14:textId="067CE30F" w:rsidR="006B794F" w:rsidRPr="00B629B2" w:rsidRDefault="006B794F" w:rsidP="00B0089B">
            <w:pPr>
              <w:rPr>
                <w:szCs w:val="24"/>
              </w:rPr>
            </w:pPr>
            <w:r w:rsidRPr="00B629B2">
              <w:rPr>
                <w:szCs w:val="24"/>
              </w:rPr>
              <w:t>Values lower than 10 were replaced with 10, and values higher than 90 were capped at 90 as recommended in the CATT-Acoustic manual [20]</w:t>
            </w:r>
          </w:p>
        </w:tc>
      </w:tr>
    </w:tbl>
    <w:p w14:paraId="14469F04" w14:textId="77777777" w:rsidR="00E157E8" w:rsidRPr="00B629B2" w:rsidRDefault="00E157E8">
      <w:pPr>
        <w:spacing w:after="0" w:line="240" w:lineRule="auto"/>
        <w:jc w:val="both"/>
        <w:rPr>
          <w:szCs w:val="24"/>
        </w:rPr>
      </w:pPr>
    </w:p>
    <w:p w14:paraId="744F12B3" w14:textId="77777777" w:rsidR="00E12B0C" w:rsidRPr="00B629B2" w:rsidRDefault="001276DC">
      <w:pPr>
        <w:spacing w:after="0" w:line="240" w:lineRule="auto"/>
        <w:jc w:val="both"/>
        <w:rPr>
          <w:b/>
          <w:szCs w:val="24"/>
        </w:rPr>
      </w:pPr>
      <w:r w:rsidRPr="00B629B2">
        <w:rPr>
          <w:b/>
          <w:szCs w:val="24"/>
        </w:rPr>
        <w:t xml:space="preserve">3.6 Occupancy Noise Level </w:t>
      </w:r>
    </w:p>
    <w:p w14:paraId="32983BE5" w14:textId="48609F73" w:rsidR="00C32194" w:rsidRPr="00B629B2" w:rsidRDefault="00BD0AB8">
      <w:pPr>
        <w:spacing w:after="0" w:line="240" w:lineRule="auto"/>
        <w:jc w:val="both"/>
        <w:rPr>
          <w:szCs w:val="24"/>
        </w:rPr>
      </w:pPr>
      <w:r w:rsidRPr="00B629B2">
        <w:rPr>
          <w:szCs w:val="24"/>
        </w:rPr>
        <w:tab/>
      </w:r>
    </w:p>
    <w:p w14:paraId="4298E0C6" w14:textId="473C863E" w:rsidR="0036216A" w:rsidRPr="00B629B2" w:rsidRDefault="00AF62FE">
      <w:pPr>
        <w:spacing w:after="0" w:line="240" w:lineRule="auto"/>
        <w:jc w:val="both"/>
        <w:rPr>
          <w:i/>
          <w:szCs w:val="24"/>
        </w:rPr>
      </w:pPr>
      <w:r w:rsidRPr="00B629B2">
        <w:rPr>
          <w:szCs w:val="24"/>
        </w:rPr>
        <w:t>A field survey</w:t>
      </w:r>
      <w:r w:rsidR="0036216A" w:rsidRPr="00B629B2">
        <w:rPr>
          <w:szCs w:val="24"/>
        </w:rPr>
        <w:t xml:space="preserve"> </w:t>
      </w:r>
      <w:r w:rsidRPr="00B629B2">
        <w:rPr>
          <w:szCs w:val="24"/>
        </w:rPr>
        <w:t xml:space="preserve">was undertaken to </w:t>
      </w:r>
      <w:r w:rsidR="00686ECD" w:rsidRPr="00B629B2">
        <w:rPr>
          <w:szCs w:val="24"/>
        </w:rPr>
        <w:t>measure</w:t>
      </w:r>
      <w:r w:rsidRPr="00B629B2">
        <w:rPr>
          <w:szCs w:val="24"/>
        </w:rPr>
        <w:t xml:space="preserve"> </w:t>
      </w:r>
      <w:r w:rsidR="00686ECD" w:rsidRPr="00B629B2">
        <w:rPr>
          <w:szCs w:val="24"/>
        </w:rPr>
        <w:t xml:space="preserve">representative occupancy </w:t>
      </w:r>
      <w:r w:rsidR="0036216A" w:rsidRPr="00B629B2">
        <w:rPr>
          <w:szCs w:val="24"/>
        </w:rPr>
        <w:t xml:space="preserve">noise level at a </w:t>
      </w:r>
      <w:r w:rsidRPr="00B629B2">
        <w:rPr>
          <w:szCs w:val="24"/>
        </w:rPr>
        <w:t xml:space="preserve">representative </w:t>
      </w:r>
      <w:r w:rsidR="0036216A" w:rsidRPr="00B629B2">
        <w:rPr>
          <w:szCs w:val="24"/>
        </w:rPr>
        <w:t xml:space="preserve">London Underground </w:t>
      </w:r>
      <w:r w:rsidR="00B629B2" w:rsidRPr="00B629B2">
        <w:rPr>
          <w:szCs w:val="24"/>
        </w:rPr>
        <w:t>platform during</w:t>
      </w:r>
      <w:r w:rsidR="00894DB6" w:rsidRPr="00B629B2">
        <w:rPr>
          <w:szCs w:val="24"/>
        </w:rPr>
        <w:t xml:space="preserve"> peak rush hour</w:t>
      </w:r>
      <w:r w:rsidR="00686ECD" w:rsidRPr="00B629B2">
        <w:rPr>
          <w:szCs w:val="24"/>
        </w:rPr>
        <w:t>.</w:t>
      </w:r>
      <w:r w:rsidR="00894DB6" w:rsidRPr="00B629B2">
        <w:rPr>
          <w:szCs w:val="24"/>
        </w:rPr>
        <w:t xml:space="preserve"> </w:t>
      </w:r>
      <w:r w:rsidR="00686ECD" w:rsidRPr="00B629B2">
        <w:rPr>
          <w:szCs w:val="24"/>
        </w:rPr>
        <w:t>Six measurement samples of 5 minutes each (L</w:t>
      </w:r>
      <w:r w:rsidR="00686ECD" w:rsidRPr="00B629B2">
        <w:rPr>
          <w:szCs w:val="24"/>
          <w:vertAlign w:val="subscript"/>
        </w:rPr>
        <w:t>Aeq,5min</w:t>
      </w:r>
      <w:r w:rsidR="00686ECD" w:rsidRPr="00B629B2">
        <w:rPr>
          <w:szCs w:val="24"/>
        </w:rPr>
        <w:t>) were measured with a calibrated class 1 sound level meter while the occupant</w:t>
      </w:r>
      <w:r w:rsidR="00777FF3" w:rsidRPr="00B629B2">
        <w:rPr>
          <w:szCs w:val="24"/>
        </w:rPr>
        <w:t>s</w:t>
      </w:r>
      <w:r w:rsidR="00686ECD" w:rsidRPr="00B629B2">
        <w:rPr>
          <w:szCs w:val="24"/>
        </w:rPr>
        <w:t xml:space="preserve"> were waiting for the train. The measurements were logarithmically </w:t>
      </w:r>
      <w:r w:rsidR="00B629B2" w:rsidRPr="00B629B2">
        <w:rPr>
          <w:szCs w:val="24"/>
        </w:rPr>
        <w:t>averaged,</w:t>
      </w:r>
      <w:r w:rsidR="00686ECD" w:rsidRPr="00B629B2">
        <w:rPr>
          <w:szCs w:val="24"/>
        </w:rPr>
        <w:t xml:space="preserve"> and results are presented in </w:t>
      </w:r>
      <w:r w:rsidR="00E22C03" w:rsidRPr="00B629B2">
        <w:rPr>
          <w:szCs w:val="24"/>
        </w:rPr>
        <w:t>T</w:t>
      </w:r>
      <w:r w:rsidR="00686ECD" w:rsidRPr="00B629B2">
        <w:rPr>
          <w:szCs w:val="24"/>
        </w:rPr>
        <w:t xml:space="preserve">able 9. These values were </w:t>
      </w:r>
      <w:r w:rsidR="00B629B2" w:rsidRPr="00B629B2">
        <w:rPr>
          <w:szCs w:val="24"/>
        </w:rPr>
        <w:t>then applied</w:t>
      </w:r>
      <w:r w:rsidR="0036216A" w:rsidRPr="00B629B2">
        <w:rPr>
          <w:szCs w:val="24"/>
        </w:rPr>
        <w:t xml:space="preserve"> to the acoustic model</w:t>
      </w:r>
      <w:r w:rsidR="00686ECD" w:rsidRPr="00B629B2">
        <w:rPr>
          <w:szCs w:val="24"/>
        </w:rPr>
        <w:t>s as input key information for the prediction of the STI</w:t>
      </w:r>
      <w:r w:rsidR="0036216A" w:rsidRPr="00B629B2">
        <w:rPr>
          <w:szCs w:val="24"/>
        </w:rPr>
        <w:t>.</w:t>
      </w:r>
      <w:r w:rsidR="00B20059" w:rsidRPr="00B629B2">
        <w:rPr>
          <w:szCs w:val="24"/>
        </w:rPr>
        <w:br w:type="page"/>
      </w:r>
      <w:r w:rsidR="00894DB6" w:rsidRPr="00B629B2">
        <w:rPr>
          <w:i/>
          <w:szCs w:val="24"/>
        </w:rPr>
        <w:lastRenderedPageBreak/>
        <w:t>Table 9 – Occupancy Noise Level Applied in Acoustic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1077"/>
        <w:gridCol w:w="1078"/>
        <w:gridCol w:w="1118"/>
        <w:gridCol w:w="1118"/>
        <w:gridCol w:w="1118"/>
        <w:gridCol w:w="1000"/>
        <w:gridCol w:w="1134"/>
      </w:tblGrid>
      <w:tr w:rsidR="00B0089B" w:rsidRPr="00B629B2" w14:paraId="721CE9AE" w14:textId="77777777" w:rsidTr="00B0089B">
        <w:trPr>
          <w:trHeight w:val="454"/>
        </w:trPr>
        <w:tc>
          <w:tcPr>
            <w:tcW w:w="7586" w:type="dxa"/>
            <w:gridSpan w:val="7"/>
            <w:tcBorders>
              <w:bottom w:val="single" w:sz="6" w:space="0" w:color="auto"/>
            </w:tcBorders>
            <w:vAlign w:val="center"/>
          </w:tcPr>
          <w:p w14:paraId="7DF3E89D" w14:textId="77777777" w:rsidR="00B0089B" w:rsidRPr="00B629B2" w:rsidRDefault="00B0089B" w:rsidP="00B0089B">
            <w:pPr>
              <w:jc w:val="center"/>
              <w:rPr>
                <w:b/>
                <w:szCs w:val="24"/>
              </w:rPr>
            </w:pPr>
            <w:r w:rsidRPr="00B629B2">
              <w:rPr>
                <w:b/>
                <w:szCs w:val="24"/>
              </w:rPr>
              <w:t>Measured Occupancy Noise Level (dB) at Octave Band Centre Frequency</w:t>
            </w:r>
          </w:p>
        </w:tc>
        <w:tc>
          <w:tcPr>
            <w:tcW w:w="1134" w:type="dxa"/>
            <w:vMerge w:val="restart"/>
            <w:vAlign w:val="center"/>
          </w:tcPr>
          <w:p w14:paraId="112FCECB" w14:textId="280F1C54" w:rsidR="00B0089B" w:rsidRPr="00B629B2" w:rsidRDefault="00AF62FE" w:rsidP="00B0089B">
            <w:pPr>
              <w:jc w:val="center"/>
              <w:rPr>
                <w:b/>
                <w:szCs w:val="24"/>
              </w:rPr>
            </w:pPr>
            <w:r w:rsidRPr="00B629B2">
              <w:rPr>
                <w:b/>
                <w:szCs w:val="24"/>
              </w:rPr>
              <w:t xml:space="preserve">  </w:t>
            </w:r>
            <w:r w:rsidR="00B0089B" w:rsidRPr="00B629B2">
              <w:rPr>
                <w:b/>
                <w:szCs w:val="24"/>
              </w:rPr>
              <w:t>dB(A)</w:t>
            </w:r>
          </w:p>
        </w:tc>
      </w:tr>
      <w:tr w:rsidR="00B0089B" w:rsidRPr="00B629B2" w14:paraId="3176BFAA" w14:textId="77777777" w:rsidTr="00B0089B">
        <w:trPr>
          <w:trHeight w:val="454"/>
        </w:trPr>
        <w:tc>
          <w:tcPr>
            <w:tcW w:w="1077" w:type="dxa"/>
            <w:tcBorders>
              <w:top w:val="single" w:sz="6" w:space="0" w:color="auto"/>
              <w:bottom w:val="single" w:sz="12" w:space="0" w:color="auto"/>
            </w:tcBorders>
            <w:vAlign w:val="center"/>
          </w:tcPr>
          <w:p w14:paraId="5A3DB14B" w14:textId="77777777" w:rsidR="00B0089B" w:rsidRPr="00B629B2" w:rsidRDefault="00B0089B" w:rsidP="00B0089B">
            <w:pPr>
              <w:jc w:val="center"/>
              <w:rPr>
                <w:b/>
                <w:szCs w:val="24"/>
              </w:rPr>
            </w:pPr>
            <w:r w:rsidRPr="00B629B2">
              <w:rPr>
                <w:b/>
                <w:szCs w:val="24"/>
              </w:rPr>
              <w:t>125 Hz</w:t>
            </w:r>
          </w:p>
        </w:tc>
        <w:tc>
          <w:tcPr>
            <w:tcW w:w="1077" w:type="dxa"/>
            <w:tcBorders>
              <w:top w:val="single" w:sz="6" w:space="0" w:color="auto"/>
              <w:bottom w:val="single" w:sz="12" w:space="0" w:color="auto"/>
            </w:tcBorders>
            <w:vAlign w:val="center"/>
          </w:tcPr>
          <w:p w14:paraId="0BC77878" w14:textId="77777777" w:rsidR="00B0089B" w:rsidRPr="00B629B2" w:rsidRDefault="00B0089B" w:rsidP="00B0089B">
            <w:pPr>
              <w:jc w:val="center"/>
              <w:rPr>
                <w:b/>
                <w:szCs w:val="24"/>
              </w:rPr>
            </w:pPr>
            <w:r w:rsidRPr="00B629B2">
              <w:rPr>
                <w:b/>
                <w:szCs w:val="24"/>
              </w:rPr>
              <w:t>250 Hz</w:t>
            </w:r>
          </w:p>
        </w:tc>
        <w:tc>
          <w:tcPr>
            <w:tcW w:w="1078" w:type="dxa"/>
            <w:tcBorders>
              <w:top w:val="single" w:sz="6" w:space="0" w:color="auto"/>
              <w:bottom w:val="single" w:sz="12" w:space="0" w:color="auto"/>
            </w:tcBorders>
            <w:vAlign w:val="center"/>
          </w:tcPr>
          <w:p w14:paraId="7E654E7C" w14:textId="77777777" w:rsidR="00B0089B" w:rsidRPr="00B629B2" w:rsidRDefault="00B0089B" w:rsidP="00B0089B">
            <w:pPr>
              <w:jc w:val="center"/>
              <w:rPr>
                <w:b/>
                <w:szCs w:val="24"/>
              </w:rPr>
            </w:pPr>
            <w:r w:rsidRPr="00B629B2">
              <w:rPr>
                <w:b/>
                <w:szCs w:val="24"/>
              </w:rPr>
              <w:t>500 Hz</w:t>
            </w:r>
          </w:p>
        </w:tc>
        <w:tc>
          <w:tcPr>
            <w:tcW w:w="1118" w:type="dxa"/>
            <w:tcBorders>
              <w:top w:val="single" w:sz="6" w:space="0" w:color="auto"/>
              <w:bottom w:val="single" w:sz="12" w:space="0" w:color="auto"/>
            </w:tcBorders>
            <w:vAlign w:val="center"/>
          </w:tcPr>
          <w:p w14:paraId="0F80E269" w14:textId="77777777" w:rsidR="00B0089B" w:rsidRPr="00B629B2" w:rsidRDefault="00B0089B" w:rsidP="00B0089B">
            <w:pPr>
              <w:jc w:val="center"/>
              <w:rPr>
                <w:b/>
                <w:szCs w:val="24"/>
              </w:rPr>
            </w:pPr>
            <w:r w:rsidRPr="00B629B2">
              <w:rPr>
                <w:b/>
                <w:szCs w:val="24"/>
              </w:rPr>
              <w:t>1,000 Hz</w:t>
            </w:r>
          </w:p>
        </w:tc>
        <w:tc>
          <w:tcPr>
            <w:tcW w:w="1118" w:type="dxa"/>
            <w:tcBorders>
              <w:top w:val="single" w:sz="6" w:space="0" w:color="auto"/>
              <w:bottom w:val="single" w:sz="12" w:space="0" w:color="auto"/>
            </w:tcBorders>
            <w:vAlign w:val="center"/>
          </w:tcPr>
          <w:p w14:paraId="5E7A9741" w14:textId="77777777" w:rsidR="00B0089B" w:rsidRPr="00B629B2" w:rsidRDefault="00B0089B" w:rsidP="00B0089B">
            <w:pPr>
              <w:jc w:val="center"/>
              <w:rPr>
                <w:b/>
                <w:szCs w:val="24"/>
              </w:rPr>
            </w:pPr>
            <w:r w:rsidRPr="00B629B2">
              <w:rPr>
                <w:b/>
                <w:szCs w:val="24"/>
              </w:rPr>
              <w:t>2,000 Hz</w:t>
            </w:r>
          </w:p>
        </w:tc>
        <w:tc>
          <w:tcPr>
            <w:tcW w:w="1118" w:type="dxa"/>
            <w:tcBorders>
              <w:top w:val="single" w:sz="6" w:space="0" w:color="auto"/>
              <w:bottom w:val="single" w:sz="12" w:space="0" w:color="auto"/>
            </w:tcBorders>
            <w:vAlign w:val="center"/>
          </w:tcPr>
          <w:p w14:paraId="200992E6" w14:textId="77777777" w:rsidR="00B0089B" w:rsidRPr="00B629B2" w:rsidRDefault="00B0089B" w:rsidP="00B0089B">
            <w:pPr>
              <w:jc w:val="center"/>
              <w:rPr>
                <w:b/>
                <w:szCs w:val="24"/>
              </w:rPr>
            </w:pPr>
            <w:r w:rsidRPr="00B629B2">
              <w:rPr>
                <w:b/>
                <w:szCs w:val="24"/>
              </w:rPr>
              <w:t>4,000 Hz</w:t>
            </w:r>
          </w:p>
        </w:tc>
        <w:tc>
          <w:tcPr>
            <w:tcW w:w="1000" w:type="dxa"/>
            <w:tcBorders>
              <w:top w:val="single" w:sz="6" w:space="0" w:color="auto"/>
              <w:bottom w:val="single" w:sz="12" w:space="0" w:color="auto"/>
            </w:tcBorders>
            <w:vAlign w:val="center"/>
          </w:tcPr>
          <w:p w14:paraId="2A5545D1" w14:textId="77777777" w:rsidR="00B0089B" w:rsidRPr="00B629B2" w:rsidRDefault="00B0089B" w:rsidP="00B0089B">
            <w:pPr>
              <w:jc w:val="center"/>
              <w:rPr>
                <w:b/>
                <w:szCs w:val="24"/>
              </w:rPr>
            </w:pPr>
            <w:r w:rsidRPr="00B629B2">
              <w:rPr>
                <w:b/>
                <w:szCs w:val="24"/>
              </w:rPr>
              <w:t>8,000</w:t>
            </w:r>
          </w:p>
        </w:tc>
        <w:tc>
          <w:tcPr>
            <w:tcW w:w="1134" w:type="dxa"/>
            <w:vMerge/>
            <w:tcBorders>
              <w:bottom w:val="single" w:sz="12" w:space="0" w:color="auto"/>
            </w:tcBorders>
            <w:vAlign w:val="center"/>
          </w:tcPr>
          <w:p w14:paraId="2464289C" w14:textId="77777777" w:rsidR="00B0089B" w:rsidRPr="00B629B2" w:rsidRDefault="00B0089B" w:rsidP="00B0089B">
            <w:pPr>
              <w:jc w:val="center"/>
              <w:rPr>
                <w:b/>
                <w:szCs w:val="24"/>
              </w:rPr>
            </w:pPr>
          </w:p>
        </w:tc>
      </w:tr>
      <w:tr w:rsidR="00B0089B" w:rsidRPr="00B629B2" w14:paraId="6ED9BC93" w14:textId="77777777" w:rsidTr="00B0089B">
        <w:trPr>
          <w:trHeight w:val="454"/>
        </w:trPr>
        <w:tc>
          <w:tcPr>
            <w:tcW w:w="1077" w:type="dxa"/>
            <w:tcBorders>
              <w:top w:val="single" w:sz="12" w:space="0" w:color="auto"/>
              <w:bottom w:val="single" w:sz="6" w:space="0" w:color="auto"/>
            </w:tcBorders>
            <w:vAlign w:val="center"/>
          </w:tcPr>
          <w:p w14:paraId="33A3B22D" w14:textId="77777777" w:rsidR="00B0089B" w:rsidRPr="00B629B2" w:rsidRDefault="00B0089B" w:rsidP="00B0089B">
            <w:pPr>
              <w:jc w:val="center"/>
              <w:rPr>
                <w:szCs w:val="24"/>
              </w:rPr>
            </w:pPr>
            <w:r w:rsidRPr="00B629B2">
              <w:rPr>
                <w:szCs w:val="24"/>
              </w:rPr>
              <w:t>67</w:t>
            </w:r>
          </w:p>
        </w:tc>
        <w:tc>
          <w:tcPr>
            <w:tcW w:w="1077" w:type="dxa"/>
            <w:tcBorders>
              <w:top w:val="single" w:sz="12" w:space="0" w:color="auto"/>
              <w:bottom w:val="single" w:sz="6" w:space="0" w:color="auto"/>
            </w:tcBorders>
            <w:vAlign w:val="center"/>
          </w:tcPr>
          <w:p w14:paraId="29F744E3" w14:textId="77777777" w:rsidR="00B0089B" w:rsidRPr="00B629B2" w:rsidRDefault="00B0089B" w:rsidP="00B0089B">
            <w:pPr>
              <w:jc w:val="center"/>
              <w:rPr>
                <w:szCs w:val="24"/>
              </w:rPr>
            </w:pPr>
            <w:r w:rsidRPr="00B629B2">
              <w:rPr>
                <w:szCs w:val="24"/>
              </w:rPr>
              <w:t>64</w:t>
            </w:r>
          </w:p>
        </w:tc>
        <w:tc>
          <w:tcPr>
            <w:tcW w:w="1078" w:type="dxa"/>
            <w:tcBorders>
              <w:top w:val="single" w:sz="12" w:space="0" w:color="auto"/>
              <w:bottom w:val="single" w:sz="6" w:space="0" w:color="auto"/>
            </w:tcBorders>
            <w:vAlign w:val="center"/>
          </w:tcPr>
          <w:p w14:paraId="0E1A7875" w14:textId="77777777" w:rsidR="00B0089B" w:rsidRPr="00B629B2" w:rsidRDefault="00B0089B" w:rsidP="00B0089B">
            <w:pPr>
              <w:jc w:val="center"/>
              <w:rPr>
                <w:szCs w:val="24"/>
              </w:rPr>
            </w:pPr>
            <w:r w:rsidRPr="00B629B2">
              <w:rPr>
                <w:szCs w:val="24"/>
              </w:rPr>
              <w:t>62</w:t>
            </w:r>
          </w:p>
        </w:tc>
        <w:tc>
          <w:tcPr>
            <w:tcW w:w="1118" w:type="dxa"/>
            <w:tcBorders>
              <w:top w:val="single" w:sz="12" w:space="0" w:color="auto"/>
              <w:bottom w:val="single" w:sz="6" w:space="0" w:color="auto"/>
            </w:tcBorders>
            <w:vAlign w:val="center"/>
          </w:tcPr>
          <w:p w14:paraId="288BD8A1" w14:textId="77777777" w:rsidR="00B0089B" w:rsidRPr="00B629B2" w:rsidRDefault="00B0089B" w:rsidP="00B0089B">
            <w:pPr>
              <w:jc w:val="center"/>
              <w:rPr>
                <w:szCs w:val="24"/>
              </w:rPr>
            </w:pPr>
            <w:r w:rsidRPr="00B629B2">
              <w:rPr>
                <w:szCs w:val="24"/>
              </w:rPr>
              <w:t>58</w:t>
            </w:r>
          </w:p>
        </w:tc>
        <w:tc>
          <w:tcPr>
            <w:tcW w:w="1118" w:type="dxa"/>
            <w:tcBorders>
              <w:top w:val="single" w:sz="12" w:space="0" w:color="auto"/>
              <w:bottom w:val="single" w:sz="6" w:space="0" w:color="auto"/>
            </w:tcBorders>
            <w:vAlign w:val="center"/>
          </w:tcPr>
          <w:p w14:paraId="18024DD7" w14:textId="77777777" w:rsidR="00B0089B" w:rsidRPr="00B629B2" w:rsidRDefault="00B0089B" w:rsidP="00B0089B">
            <w:pPr>
              <w:jc w:val="center"/>
              <w:rPr>
                <w:szCs w:val="24"/>
              </w:rPr>
            </w:pPr>
            <w:r w:rsidRPr="00B629B2">
              <w:rPr>
                <w:szCs w:val="24"/>
              </w:rPr>
              <w:t>55</w:t>
            </w:r>
          </w:p>
        </w:tc>
        <w:tc>
          <w:tcPr>
            <w:tcW w:w="1118" w:type="dxa"/>
            <w:tcBorders>
              <w:top w:val="single" w:sz="12" w:space="0" w:color="auto"/>
              <w:bottom w:val="single" w:sz="6" w:space="0" w:color="auto"/>
            </w:tcBorders>
            <w:vAlign w:val="center"/>
          </w:tcPr>
          <w:p w14:paraId="2B70F12C" w14:textId="77777777" w:rsidR="00B0089B" w:rsidRPr="00B629B2" w:rsidRDefault="00B0089B" w:rsidP="00B0089B">
            <w:pPr>
              <w:jc w:val="center"/>
              <w:rPr>
                <w:szCs w:val="24"/>
              </w:rPr>
            </w:pPr>
            <w:r w:rsidRPr="00B629B2">
              <w:rPr>
                <w:szCs w:val="24"/>
              </w:rPr>
              <w:t>51</w:t>
            </w:r>
          </w:p>
        </w:tc>
        <w:tc>
          <w:tcPr>
            <w:tcW w:w="1000" w:type="dxa"/>
            <w:tcBorders>
              <w:top w:val="single" w:sz="12" w:space="0" w:color="auto"/>
              <w:bottom w:val="single" w:sz="6" w:space="0" w:color="auto"/>
            </w:tcBorders>
            <w:vAlign w:val="center"/>
          </w:tcPr>
          <w:p w14:paraId="26E0E413" w14:textId="77777777" w:rsidR="00B0089B" w:rsidRPr="00B629B2" w:rsidRDefault="00B0089B" w:rsidP="00B0089B">
            <w:pPr>
              <w:jc w:val="center"/>
              <w:rPr>
                <w:szCs w:val="24"/>
              </w:rPr>
            </w:pPr>
            <w:r w:rsidRPr="00B629B2">
              <w:rPr>
                <w:szCs w:val="24"/>
              </w:rPr>
              <w:t>47</w:t>
            </w:r>
          </w:p>
        </w:tc>
        <w:tc>
          <w:tcPr>
            <w:tcW w:w="1134" w:type="dxa"/>
            <w:tcBorders>
              <w:top w:val="single" w:sz="12" w:space="0" w:color="auto"/>
              <w:bottom w:val="single" w:sz="6" w:space="0" w:color="auto"/>
            </w:tcBorders>
            <w:vAlign w:val="center"/>
          </w:tcPr>
          <w:p w14:paraId="1C9A847F" w14:textId="77777777" w:rsidR="00B0089B" w:rsidRPr="00B629B2" w:rsidRDefault="00B0089B" w:rsidP="00B0089B">
            <w:pPr>
              <w:jc w:val="center"/>
              <w:rPr>
                <w:szCs w:val="24"/>
              </w:rPr>
            </w:pPr>
            <w:r w:rsidRPr="00B629B2">
              <w:rPr>
                <w:szCs w:val="24"/>
              </w:rPr>
              <w:t>64</w:t>
            </w:r>
          </w:p>
        </w:tc>
      </w:tr>
    </w:tbl>
    <w:p w14:paraId="32243556" w14:textId="77777777" w:rsidR="0036216A" w:rsidRPr="00B629B2" w:rsidRDefault="0036216A">
      <w:pPr>
        <w:spacing w:after="0" w:line="240" w:lineRule="auto"/>
        <w:jc w:val="both"/>
        <w:rPr>
          <w:szCs w:val="24"/>
        </w:rPr>
      </w:pPr>
    </w:p>
    <w:p w14:paraId="321EE74E" w14:textId="77777777" w:rsidR="00E12B0C" w:rsidRPr="00B629B2" w:rsidRDefault="001276DC">
      <w:pPr>
        <w:spacing w:after="0" w:line="240" w:lineRule="auto"/>
        <w:jc w:val="both"/>
        <w:rPr>
          <w:b/>
          <w:szCs w:val="24"/>
        </w:rPr>
      </w:pPr>
      <w:r w:rsidRPr="00B629B2">
        <w:rPr>
          <w:b/>
          <w:szCs w:val="24"/>
        </w:rPr>
        <w:t xml:space="preserve">4.  </w:t>
      </w:r>
      <w:r w:rsidR="00412277" w:rsidRPr="00B629B2">
        <w:rPr>
          <w:b/>
          <w:szCs w:val="24"/>
        </w:rPr>
        <w:t xml:space="preserve">MODELLING </w:t>
      </w:r>
      <w:r w:rsidRPr="00B629B2">
        <w:rPr>
          <w:b/>
          <w:szCs w:val="24"/>
        </w:rPr>
        <w:t>RESULTS</w:t>
      </w:r>
    </w:p>
    <w:p w14:paraId="669C649D" w14:textId="77777777" w:rsidR="00894DB6" w:rsidRPr="00B629B2" w:rsidRDefault="00894DB6">
      <w:pPr>
        <w:spacing w:after="0" w:line="240" w:lineRule="auto"/>
        <w:jc w:val="both"/>
        <w:rPr>
          <w:szCs w:val="24"/>
        </w:rPr>
      </w:pPr>
    </w:p>
    <w:p w14:paraId="18CCCD9A" w14:textId="7D75E583" w:rsidR="00412277" w:rsidRPr="00B629B2" w:rsidRDefault="00894DB6">
      <w:pPr>
        <w:spacing w:after="0" w:line="240" w:lineRule="auto"/>
        <w:jc w:val="both"/>
        <w:rPr>
          <w:szCs w:val="24"/>
        </w:rPr>
      </w:pPr>
      <w:r w:rsidRPr="00B629B2">
        <w:rPr>
          <w:szCs w:val="24"/>
        </w:rPr>
        <w:tab/>
      </w:r>
      <w:r w:rsidR="00412277" w:rsidRPr="00B629B2">
        <w:rPr>
          <w:szCs w:val="24"/>
        </w:rPr>
        <w:t xml:space="preserve">The </w:t>
      </w:r>
      <w:r w:rsidR="00BD3450" w:rsidRPr="00B629B2">
        <w:rPr>
          <w:szCs w:val="24"/>
        </w:rPr>
        <w:t xml:space="preserve">platform </w:t>
      </w:r>
      <w:r w:rsidR="00412277" w:rsidRPr="00B629B2">
        <w:rPr>
          <w:szCs w:val="24"/>
        </w:rPr>
        <w:t xml:space="preserve">VA system performance has been predicted in terms of the total SPL and STI </w:t>
      </w:r>
      <w:r w:rsidR="002A3DEA" w:rsidRPr="00B629B2">
        <w:rPr>
          <w:szCs w:val="24"/>
        </w:rPr>
        <w:t xml:space="preserve">at each of the </w:t>
      </w:r>
      <w:r w:rsidRPr="00B629B2">
        <w:rPr>
          <w:szCs w:val="24"/>
        </w:rPr>
        <w:t xml:space="preserve">15 </w:t>
      </w:r>
      <w:r w:rsidR="002A3DEA" w:rsidRPr="00B629B2">
        <w:rPr>
          <w:szCs w:val="24"/>
        </w:rPr>
        <w:t xml:space="preserve">receiver locations. The model has been calculated with all the loudspeakers operational, and the results from the </w:t>
      </w:r>
      <w:r w:rsidR="00C0391F" w:rsidRPr="00B629B2">
        <w:rPr>
          <w:szCs w:val="24"/>
        </w:rPr>
        <w:t>receivers</w:t>
      </w:r>
      <w:r w:rsidR="002A3DEA" w:rsidRPr="00B629B2">
        <w:rPr>
          <w:szCs w:val="24"/>
        </w:rPr>
        <w:t xml:space="preserve"> have been arithmetically, mean averaged to provide a spatial average VA system performance. </w:t>
      </w:r>
    </w:p>
    <w:p w14:paraId="03F85C60" w14:textId="3A60FCB4" w:rsidR="00702267" w:rsidRPr="00B629B2" w:rsidRDefault="002F0DD4">
      <w:pPr>
        <w:spacing w:after="0" w:line="240" w:lineRule="auto"/>
        <w:jc w:val="both"/>
        <w:rPr>
          <w:b/>
          <w:szCs w:val="24"/>
        </w:rPr>
      </w:pPr>
      <w:r>
        <w:rPr>
          <w:szCs w:val="24"/>
        </w:rPr>
        <w:tab/>
      </w:r>
      <w:r w:rsidR="00A76731" w:rsidRPr="00B629B2">
        <w:rPr>
          <w:szCs w:val="24"/>
        </w:rPr>
        <w:t xml:space="preserve">The resulting total SPL is presented in </w:t>
      </w:r>
      <w:r w:rsidR="006F6AC9" w:rsidRPr="00B629B2">
        <w:rPr>
          <w:szCs w:val="24"/>
        </w:rPr>
        <w:t xml:space="preserve">Figure </w:t>
      </w:r>
      <w:r w:rsidR="00157BD2" w:rsidRPr="00B629B2">
        <w:rPr>
          <w:szCs w:val="24"/>
        </w:rPr>
        <w:t>2</w:t>
      </w:r>
      <w:r w:rsidR="00A76731" w:rsidRPr="00B629B2">
        <w:rPr>
          <w:szCs w:val="24"/>
        </w:rPr>
        <w:t xml:space="preserve"> and the STI performance is presented in </w:t>
      </w:r>
      <w:r w:rsidR="006F6AC9" w:rsidRPr="00B629B2">
        <w:rPr>
          <w:szCs w:val="24"/>
        </w:rPr>
        <w:t xml:space="preserve">Figure </w:t>
      </w:r>
      <w:r w:rsidR="00157BD2" w:rsidRPr="00B629B2">
        <w:rPr>
          <w:szCs w:val="24"/>
        </w:rPr>
        <w:t>3</w:t>
      </w:r>
      <w:r w:rsidR="006F6AC9" w:rsidRPr="00B629B2">
        <w:rPr>
          <w:szCs w:val="24"/>
        </w:rPr>
        <w:t>.</w:t>
      </w:r>
      <w:r w:rsidR="007001A4">
        <w:rPr>
          <w:szCs w:val="24"/>
        </w:rPr>
        <w:t xml:space="preserve"> F</w:t>
      </w:r>
      <w:r w:rsidR="002A05AA" w:rsidRPr="00B629B2">
        <w:rPr>
          <w:szCs w:val="24"/>
        </w:rPr>
        <w:t xml:space="preserve">igures 2 and 3 show the mean value and </w:t>
      </w:r>
      <w:r>
        <w:rPr>
          <w:szCs w:val="24"/>
        </w:rPr>
        <w:t xml:space="preserve">Figure 3 shows </w:t>
      </w:r>
      <w:r w:rsidR="00344702" w:rsidRPr="00B629B2">
        <w:rPr>
          <w:szCs w:val="24"/>
        </w:rPr>
        <w:t xml:space="preserve">the corresponding </w:t>
      </w:r>
      <w:r w:rsidR="002A05AA" w:rsidRPr="00B629B2">
        <w:rPr>
          <w:szCs w:val="24"/>
        </w:rPr>
        <w:t xml:space="preserve">range of values as errors bars </w:t>
      </w:r>
    </w:p>
    <w:p w14:paraId="538FB957" w14:textId="64F888C6" w:rsidR="006F6AC9" w:rsidRPr="00B629B2" w:rsidRDefault="002F0DD4">
      <w:pPr>
        <w:spacing w:after="0" w:line="240" w:lineRule="auto"/>
        <w:jc w:val="both"/>
        <w:rPr>
          <w:i/>
          <w:szCs w:val="24"/>
        </w:rPr>
      </w:pPr>
      <w:r>
        <w:rPr>
          <w:noProof/>
        </w:rPr>
        <w:drawing>
          <wp:anchor distT="0" distB="0" distL="114300" distR="114300" simplePos="0" relativeHeight="251678208" behindDoc="1" locked="0" layoutInCell="1" allowOverlap="1" wp14:anchorId="444809F5" wp14:editId="3D2E92B7">
            <wp:simplePos x="0" y="0"/>
            <wp:positionH relativeFrom="column">
              <wp:posOffset>539115</wp:posOffset>
            </wp:positionH>
            <wp:positionV relativeFrom="paragraph">
              <wp:posOffset>220818</wp:posOffset>
            </wp:positionV>
            <wp:extent cx="4319905" cy="2519680"/>
            <wp:effectExtent l="0" t="0" r="23495" b="13970"/>
            <wp:wrapTopAndBottom/>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DB2AB52-AE7E-4B9A-B758-7A55E8243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6992CF2" w14:textId="6B042B1A" w:rsidR="00945B2D" w:rsidRPr="00B629B2" w:rsidRDefault="002F0DD4" w:rsidP="00945B2D">
      <w:pPr>
        <w:spacing w:after="0" w:line="240" w:lineRule="auto"/>
        <w:jc w:val="both"/>
        <w:rPr>
          <w:szCs w:val="24"/>
        </w:rPr>
      </w:pPr>
      <w:r w:rsidRPr="00B629B2">
        <w:rPr>
          <w:noProof/>
        </w:rPr>
        <w:drawing>
          <wp:anchor distT="0" distB="0" distL="114300" distR="114300" simplePos="0" relativeHeight="251654656" behindDoc="0" locked="0" layoutInCell="1" allowOverlap="1" wp14:anchorId="6F4D200D" wp14:editId="4ACCDEBB">
            <wp:simplePos x="0" y="0"/>
            <wp:positionH relativeFrom="column">
              <wp:posOffset>538857</wp:posOffset>
            </wp:positionH>
            <wp:positionV relativeFrom="paragraph">
              <wp:posOffset>2919741</wp:posOffset>
            </wp:positionV>
            <wp:extent cx="4319905" cy="2519680"/>
            <wp:effectExtent l="0" t="0" r="23495" b="13970"/>
            <wp:wrapTopAndBottom/>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B739C66-D42B-4B1C-8AFD-A1682FC0A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945B2D" w:rsidRPr="00B629B2">
        <w:rPr>
          <w:i/>
          <w:szCs w:val="24"/>
        </w:rPr>
        <w:t xml:space="preserve">Figure 2 – </w:t>
      </w:r>
      <w:r w:rsidR="00BD3450" w:rsidRPr="00B629B2">
        <w:rPr>
          <w:i/>
          <w:szCs w:val="24"/>
        </w:rPr>
        <w:t>Predicted</w:t>
      </w:r>
      <w:r w:rsidR="00945B2D" w:rsidRPr="00B629B2">
        <w:rPr>
          <w:i/>
          <w:szCs w:val="24"/>
        </w:rPr>
        <w:t xml:space="preserve"> SPL Under Varying Occupancy Densities</w:t>
      </w:r>
    </w:p>
    <w:p w14:paraId="68F914A0" w14:textId="79425F1F" w:rsidR="00945B2D" w:rsidRPr="00B629B2" w:rsidRDefault="00945B2D">
      <w:pPr>
        <w:spacing w:after="0" w:line="240" w:lineRule="auto"/>
        <w:jc w:val="both"/>
        <w:rPr>
          <w:i/>
          <w:szCs w:val="24"/>
        </w:rPr>
      </w:pPr>
    </w:p>
    <w:p w14:paraId="4BC62781" w14:textId="3FE8E727" w:rsidR="00A76731" w:rsidRPr="00B629B2" w:rsidRDefault="006F6AC9">
      <w:pPr>
        <w:spacing w:after="0" w:line="240" w:lineRule="auto"/>
        <w:jc w:val="both"/>
        <w:rPr>
          <w:i/>
          <w:szCs w:val="24"/>
        </w:rPr>
      </w:pPr>
      <w:r w:rsidRPr="00B629B2">
        <w:rPr>
          <w:i/>
          <w:szCs w:val="24"/>
        </w:rPr>
        <w:t xml:space="preserve">Figure </w:t>
      </w:r>
      <w:r w:rsidR="00157BD2" w:rsidRPr="00B629B2">
        <w:rPr>
          <w:i/>
          <w:szCs w:val="24"/>
        </w:rPr>
        <w:t>3</w:t>
      </w:r>
      <w:r w:rsidRPr="00B629B2">
        <w:rPr>
          <w:i/>
          <w:szCs w:val="24"/>
        </w:rPr>
        <w:t xml:space="preserve"> – </w:t>
      </w:r>
      <w:r w:rsidR="00BD3450" w:rsidRPr="00B629B2">
        <w:rPr>
          <w:i/>
          <w:szCs w:val="24"/>
        </w:rPr>
        <w:t>Predicted c</w:t>
      </w:r>
      <w:r w:rsidRPr="00B629B2">
        <w:rPr>
          <w:i/>
          <w:szCs w:val="24"/>
        </w:rPr>
        <w:t>hange in STI due to Increased Occupancy Density</w:t>
      </w:r>
    </w:p>
    <w:p w14:paraId="0BE66518" w14:textId="01C3D984" w:rsidR="00E12B0C" w:rsidRPr="00B629B2" w:rsidRDefault="00E12B0C">
      <w:pPr>
        <w:spacing w:after="0" w:line="240" w:lineRule="auto"/>
        <w:jc w:val="both"/>
        <w:rPr>
          <w:b/>
          <w:szCs w:val="24"/>
        </w:rPr>
      </w:pPr>
    </w:p>
    <w:p w14:paraId="0030C5F1" w14:textId="33467218" w:rsidR="00945B2D" w:rsidRPr="00B629B2" w:rsidRDefault="002F0DD4" w:rsidP="00B629B2">
      <w:pPr>
        <w:spacing w:after="0" w:line="240" w:lineRule="auto"/>
        <w:jc w:val="both"/>
        <w:rPr>
          <w:szCs w:val="24"/>
        </w:rPr>
      </w:pPr>
      <w:r w:rsidRPr="00B629B2">
        <w:rPr>
          <w:noProof/>
        </w:rPr>
        <w:drawing>
          <wp:anchor distT="0" distB="0" distL="114300" distR="114300" simplePos="0" relativeHeight="251662848" behindDoc="0" locked="0" layoutInCell="1" allowOverlap="1" wp14:anchorId="76EBD7E2" wp14:editId="29EA39DC">
            <wp:simplePos x="0" y="0"/>
            <wp:positionH relativeFrom="column">
              <wp:posOffset>522239</wp:posOffset>
            </wp:positionH>
            <wp:positionV relativeFrom="paragraph">
              <wp:posOffset>456888</wp:posOffset>
            </wp:positionV>
            <wp:extent cx="4319905" cy="2359660"/>
            <wp:effectExtent l="0" t="0" r="4445" b="2540"/>
            <wp:wrapTopAndBottom/>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F35B426-ED86-4385-9A60-62E3C6EE9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A76731" w:rsidRPr="00B629B2">
        <w:rPr>
          <w:szCs w:val="24"/>
        </w:rPr>
        <w:tab/>
        <w:t xml:space="preserve">The octave band SPL results for two receivers are presented in </w:t>
      </w:r>
      <w:r w:rsidR="00157BD2" w:rsidRPr="00B629B2">
        <w:rPr>
          <w:szCs w:val="24"/>
        </w:rPr>
        <w:t xml:space="preserve">Figures 4 and 5 </w:t>
      </w:r>
      <w:r w:rsidR="00A76731" w:rsidRPr="00B629B2">
        <w:rPr>
          <w:szCs w:val="24"/>
        </w:rPr>
        <w:t>below which indicate the performance for locations directly on-axis and directly off-axis.</w:t>
      </w:r>
    </w:p>
    <w:p w14:paraId="6717C899" w14:textId="04F4C292" w:rsidR="00945B2D" w:rsidRPr="00B629B2" w:rsidRDefault="00945B2D" w:rsidP="00A76731">
      <w:pPr>
        <w:spacing w:after="0" w:line="240" w:lineRule="auto"/>
        <w:jc w:val="both"/>
        <w:rPr>
          <w:szCs w:val="24"/>
        </w:rPr>
      </w:pPr>
    </w:p>
    <w:p w14:paraId="2905BE96" w14:textId="523F0C56" w:rsidR="006F6AC9" w:rsidRPr="00B629B2" w:rsidRDefault="00D518AA" w:rsidP="00A76731">
      <w:pPr>
        <w:spacing w:after="0" w:line="240" w:lineRule="auto"/>
        <w:jc w:val="both"/>
        <w:rPr>
          <w:i/>
          <w:szCs w:val="24"/>
        </w:rPr>
      </w:pPr>
      <w:r w:rsidRPr="00B629B2">
        <w:rPr>
          <w:i/>
          <w:szCs w:val="24"/>
        </w:rPr>
        <w:t xml:space="preserve">Figure </w:t>
      </w:r>
      <w:r w:rsidR="00157BD2" w:rsidRPr="00B629B2">
        <w:rPr>
          <w:i/>
          <w:szCs w:val="24"/>
        </w:rPr>
        <w:t>4</w:t>
      </w:r>
      <w:r w:rsidRPr="00B629B2">
        <w:rPr>
          <w:i/>
          <w:szCs w:val="24"/>
        </w:rPr>
        <w:t xml:space="preserve"> – Octave Band SPL – O</w:t>
      </w:r>
      <w:r w:rsidR="003D7785" w:rsidRPr="00B629B2">
        <w:rPr>
          <w:i/>
          <w:szCs w:val="24"/>
        </w:rPr>
        <w:t>ff axis</w:t>
      </w:r>
    </w:p>
    <w:p w14:paraId="04E76634" w14:textId="525A064B" w:rsidR="00D518AA" w:rsidRPr="00B629B2" w:rsidRDefault="00D518AA" w:rsidP="00D518AA">
      <w:pPr>
        <w:spacing w:after="0" w:line="240" w:lineRule="auto"/>
        <w:jc w:val="both"/>
        <w:rPr>
          <w:i/>
          <w:szCs w:val="24"/>
        </w:rPr>
      </w:pPr>
    </w:p>
    <w:p w14:paraId="3C5C03B7" w14:textId="6375A4F7" w:rsidR="00D518AA" w:rsidRPr="00B629B2" w:rsidRDefault="00D518AA" w:rsidP="00D518AA">
      <w:pPr>
        <w:spacing w:after="0" w:line="240" w:lineRule="auto"/>
        <w:jc w:val="both"/>
        <w:rPr>
          <w:i/>
          <w:szCs w:val="24"/>
        </w:rPr>
      </w:pPr>
      <w:r w:rsidRPr="00B629B2">
        <w:rPr>
          <w:i/>
          <w:szCs w:val="24"/>
        </w:rPr>
        <w:t xml:space="preserve">Figure </w:t>
      </w:r>
      <w:r w:rsidR="00157BD2" w:rsidRPr="00B629B2">
        <w:rPr>
          <w:i/>
          <w:szCs w:val="24"/>
        </w:rPr>
        <w:t>5</w:t>
      </w:r>
      <w:r w:rsidRPr="00B629B2">
        <w:rPr>
          <w:i/>
          <w:szCs w:val="24"/>
        </w:rPr>
        <w:t xml:space="preserve"> – Octave Band SPL – O</w:t>
      </w:r>
      <w:r w:rsidR="003D7785" w:rsidRPr="00B629B2">
        <w:rPr>
          <w:i/>
          <w:szCs w:val="24"/>
        </w:rPr>
        <w:t>n</w:t>
      </w:r>
      <w:r w:rsidRPr="00B629B2">
        <w:rPr>
          <w:i/>
          <w:szCs w:val="24"/>
        </w:rPr>
        <w:t>-axis</w:t>
      </w:r>
    </w:p>
    <w:p w14:paraId="348CEA6D" w14:textId="44AD5FCC" w:rsidR="00CB261D" w:rsidRPr="00B629B2" w:rsidRDefault="00945B2D" w:rsidP="00A76731">
      <w:pPr>
        <w:widowControl w:val="0"/>
        <w:pBdr>
          <w:top w:val="nil"/>
          <w:left w:val="nil"/>
          <w:bottom w:val="nil"/>
          <w:right w:val="nil"/>
          <w:between w:val="nil"/>
        </w:pBdr>
        <w:spacing w:after="0"/>
        <w:jc w:val="both"/>
        <w:rPr>
          <w:color w:val="000000"/>
          <w:szCs w:val="24"/>
        </w:rPr>
      </w:pPr>
      <w:r w:rsidRPr="00B629B2">
        <w:rPr>
          <w:noProof/>
        </w:rPr>
        <w:drawing>
          <wp:anchor distT="0" distB="0" distL="114300" distR="114300" simplePos="0" relativeHeight="251665920" behindDoc="0" locked="0" layoutInCell="1" allowOverlap="1" wp14:anchorId="4CDF005C" wp14:editId="73740D8A">
            <wp:simplePos x="0" y="0"/>
            <wp:positionH relativeFrom="column">
              <wp:align>center</wp:align>
            </wp:positionH>
            <wp:positionV relativeFrom="paragraph">
              <wp:posOffset>-234315</wp:posOffset>
            </wp:positionV>
            <wp:extent cx="4320000" cy="2415600"/>
            <wp:effectExtent l="0" t="0" r="23495" b="22860"/>
            <wp:wrapTopAndBottom/>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1477B1-055A-46CD-8DBB-CEE83F528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38557FE6" w14:textId="2FFA30F6" w:rsidR="001E4B0A" w:rsidRPr="00B629B2" w:rsidRDefault="001E4B0A" w:rsidP="00D518AA">
      <w:pPr>
        <w:widowControl w:val="0"/>
        <w:pBdr>
          <w:top w:val="nil"/>
          <w:left w:val="nil"/>
          <w:bottom w:val="nil"/>
          <w:right w:val="nil"/>
          <w:between w:val="nil"/>
        </w:pBdr>
        <w:spacing w:after="0"/>
        <w:jc w:val="both"/>
        <w:rPr>
          <w:b/>
          <w:szCs w:val="24"/>
        </w:rPr>
      </w:pPr>
      <w:r w:rsidRPr="00B629B2">
        <w:rPr>
          <w:b/>
          <w:szCs w:val="24"/>
        </w:rPr>
        <w:t>5. DISCUSSION</w:t>
      </w:r>
    </w:p>
    <w:p w14:paraId="41D3A055" w14:textId="3CAFC236" w:rsidR="00F7258B" w:rsidRPr="00B629B2" w:rsidRDefault="00671396">
      <w:pPr>
        <w:spacing w:after="0" w:line="240" w:lineRule="auto"/>
        <w:jc w:val="both"/>
        <w:rPr>
          <w:szCs w:val="24"/>
        </w:rPr>
      </w:pPr>
      <w:r w:rsidRPr="00B629B2">
        <w:rPr>
          <w:szCs w:val="24"/>
        </w:rPr>
        <w:tab/>
      </w:r>
      <w:r w:rsidR="00C86A5C" w:rsidRPr="00B629B2">
        <w:rPr>
          <w:szCs w:val="24"/>
        </w:rPr>
        <w:t xml:space="preserve">The results show that </w:t>
      </w:r>
      <w:r w:rsidR="00CB261D" w:rsidRPr="00B629B2">
        <w:rPr>
          <w:szCs w:val="24"/>
        </w:rPr>
        <w:t xml:space="preserve">there is a significant </w:t>
      </w:r>
      <w:r w:rsidR="00213F95" w:rsidRPr="00B629B2">
        <w:rPr>
          <w:szCs w:val="24"/>
        </w:rPr>
        <w:t>improvement</w:t>
      </w:r>
      <w:r w:rsidR="00CB261D" w:rsidRPr="00B629B2">
        <w:rPr>
          <w:szCs w:val="24"/>
        </w:rPr>
        <w:t xml:space="preserve"> on the STI performance </w:t>
      </w:r>
      <w:r w:rsidR="00D518AA" w:rsidRPr="00B629B2">
        <w:rPr>
          <w:szCs w:val="24"/>
        </w:rPr>
        <w:t xml:space="preserve">of a VA system </w:t>
      </w:r>
      <w:r w:rsidR="00CB261D" w:rsidRPr="00B629B2">
        <w:rPr>
          <w:szCs w:val="24"/>
        </w:rPr>
        <w:t>when a standing is audience is introduced to an underground platform</w:t>
      </w:r>
      <w:r w:rsidRPr="00B629B2">
        <w:rPr>
          <w:szCs w:val="24"/>
        </w:rPr>
        <w:t xml:space="preserve">, the increase was more pronounced </w:t>
      </w:r>
      <w:r w:rsidR="0004603A" w:rsidRPr="00B629B2">
        <w:rPr>
          <w:szCs w:val="24"/>
        </w:rPr>
        <w:t xml:space="preserve">(by approximately 0.2 STI) </w:t>
      </w:r>
      <w:r w:rsidRPr="00B629B2">
        <w:rPr>
          <w:szCs w:val="24"/>
        </w:rPr>
        <w:t>when the occupancy density is increased</w:t>
      </w:r>
      <w:r w:rsidR="0004603A" w:rsidRPr="00B629B2">
        <w:rPr>
          <w:szCs w:val="24"/>
        </w:rPr>
        <w:t xml:space="preserve"> (</w:t>
      </w:r>
      <w:r w:rsidR="00E22C03" w:rsidRPr="00B629B2">
        <w:rPr>
          <w:szCs w:val="24"/>
        </w:rPr>
        <w:t>F</w:t>
      </w:r>
      <w:r w:rsidR="0004603A" w:rsidRPr="00B629B2">
        <w:rPr>
          <w:szCs w:val="24"/>
        </w:rPr>
        <w:t>igure 3)</w:t>
      </w:r>
      <w:r w:rsidRPr="00B629B2">
        <w:rPr>
          <w:szCs w:val="24"/>
        </w:rPr>
        <w:t>.</w:t>
      </w:r>
      <w:r w:rsidR="00F7258B" w:rsidRPr="00B629B2">
        <w:rPr>
          <w:szCs w:val="24"/>
        </w:rPr>
        <w:t xml:space="preserve"> This compounds the current industry assumption that the STI of a system is at its lowest in an unoccupied space and therefore, is a worst-case assessment. However, in order to comply with the current criteria given in Table </w:t>
      </w:r>
      <w:r w:rsidR="00D518AA" w:rsidRPr="00B629B2">
        <w:rPr>
          <w:szCs w:val="24"/>
        </w:rPr>
        <w:t>1,</w:t>
      </w:r>
      <w:r w:rsidR="00F7258B" w:rsidRPr="00B629B2">
        <w:rPr>
          <w:szCs w:val="24"/>
        </w:rPr>
        <w:t xml:space="preserve"> acoustic absorption is being </w:t>
      </w:r>
      <w:r w:rsidR="00244B52" w:rsidRPr="00B629B2">
        <w:rPr>
          <w:szCs w:val="24"/>
        </w:rPr>
        <w:t xml:space="preserve">installed at many underground stations. </w:t>
      </w:r>
      <w:r w:rsidR="00F61CD4" w:rsidRPr="00B629B2">
        <w:rPr>
          <w:szCs w:val="24"/>
        </w:rPr>
        <w:t xml:space="preserve">Which, under </w:t>
      </w:r>
      <w:r w:rsidR="00D518AA" w:rsidRPr="00B629B2">
        <w:rPr>
          <w:szCs w:val="24"/>
        </w:rPr>
        <w:t>high</w:t>
      </w:r>
      <w:r w:rsidR="00F61CD4" w:rsidRPr="00B629B2">
        <w:rPr>
          <w:szCs w:val="24"/>
        </w:rPr>
        <w:t xml:space="preserve"> occupancy, could be unnecessary. Although, should the platform have very few people (i.e. less than 10), the VA system would still need to be intelligible at all locations, and the absorption provided by the occupants would likely not be sufficient to create a compliant VA system.</w:t>
      </w:r>
    </w:p>
    <w:p w14:paraId="07B5E901" w14:textId="77777777" w:rsidR="00D10155" w:rsidRDefault="00CB261D">
      <w:pPr>
        <w:spacing w:after="0" w:line="240" w:lineRule="auto"/>
        <w:jc w:val="both"/>
        <w:rPr>
          <w:szCs w:val="24"/>
        </w:rPr>
      </w:pPr>
      <w:r w:rsidRPr="00B629B2">
        <w:rPr>
          <w:szCs w:val="24"/>
        </w:rPr>
        <w:lastRenderedPageBreak/>
        <w:tab/>
        <w:t xml:space="preserve">The total </w:t>
      </w:r>
      <w:r w:rsidR="0004603A" w:rsidRPr="00B629B2">
        <w:rPr>
          <w:szCs w:val="24"/>
        </w:rPr>
        <w:t xml:space="preserve">signal </w:t>
      </w:r>
      <w:r w:rsidRPr="00B629B2">
        <w:rPr>
          <w:szCs w:val="24"/>
        </w:rPr>
        <w:t xml:space="preserve">SPL </w:t>
      </w:r>
      <w:r w:rsidR="00671396" w:rsidRPr="00B629B2">
        <w:rPr>
          <w:szCs w:val="24"/>
        </w:rPr>
        <w:t>was reduced by approximately 1 dB(A) when the platform was partially occupied and by approximately 2 dB(A) when the platform was fully occupied</w:t>
      </w:r>
      <w:r w:rsidR="0004603A" w:rsidRPr="00B629B2">
        <w:rPr>
          <w:szCs w:val="24"/>
        </w:rPr>
        <w:t xml:space="preserve"> (</w:t>
      </w:r>
      <w:r w:rsidR="00E22C03" w:rsidRPr="00B629B2">
        <w:rPr>
          <w:szCs w:val="24"/>
        </w:rPr>
        <w:t>F</w:t>
      </w:r>
      <w:r w:rsidR="0004603A" w:rsidRPr="00B629B2">
        <w:rPr>
          <w:szCs w:val="24"/>
        </w:rPr>
        <w:t>igure 2)</w:t>
      </w:r>
      <w:r w:rsidR="00671396" w:rsidRPr="00B629B2">
        <w:rPr>
          <w:szCs w:val="24"/>
        </w:rPr>
        <w:t xml:space="preserve">. This has a major implication on the overall design of a VA system, </w:t>
      </w:r>
      <w:r w:rsidR="000D3DD6" w:rsidRPr="00B629B2">
        <w:rPr>
          <w:szCs w:val="24"/>
        </w:rPr>
        <w:t xml:space="preserve">since the total SPL is </w:t>
      </w:r>
      <w:r w:rsidR="00D67C52" w:rsidRPr="00B629B2">
        <w:rPr>
          <w:szCs w:val="24"/>
        </w:rPr>
        <w:t>lower</w:t>
      </w:r>
      <w:r w:rsidR="0004603A" w:rsidRPr="00B629B2">
        <w:rPr>
          <w:szCs w:val="24"/>
        </w:rPr>
        <w:t xml:space="preserve"> with occupancy</w:t>
      </w:r>
      <w:r w:rsidR="000D3DD6" w:rsidRPr="00B629B2">
        <w:rPr>
          <w:szCs w:val="24"/>
        </w:rPr>
        <w:t xml:space="preserve">, </w:t>
      </w:r>
      <w:r w:rsidR="00D67C52" w:rsidRPr="00B629B2">
        <w:rPr>
          <w:szCs w:val="24"/>
        </w:rPr>
        <w:t xml:space="preserve">the </w:t>
      </w:r>
      <w:r w:rsidR="008D398E" w:rsidRPr="00B629B2">
        <w:rPr>
          <w:szCs w:val="24"/>
        </w:rPr>
        <w:t>amplification power</w:t>
      </w:r>
      <w:r w:rsidR="00D67C52" w:rsidRPr="00B629B2">
        <w:rPr>
          <w:szCs w:val="24"/>
        </w:rPr>
        <w:t xml:space="preserve"> may need to be increased to </w:t>
      </w:r>
      <w:r w:rsidR="00315A45" w:rsidRPr="00B629B2">
        <w:rPr>
          <w:szCs w:val="24"/>
        </w:rPr>
        <w:t>compensate for</w:t>
      </w:r>
      <w:r w:rsidR="00D67C52" w:rsidRPr="00B629B2">
        <w:rPr>
          <w:szCs w:val="24"/>
        </w:rPr>
        <w:t xml:space="preserve"> the </w:t>
      </w:r>
      <w:r w:rsidR="0004603A" w:rsidRPr="00B629B2">
        <w:rPr>
          <w:szCs w:val="24"/>
        </w:rPr>
        <w:t xml:space="preserve">loss in signal level </w:t>
      </w:r>
      <w:r w:rsidR="00315A45" w:rsidRPr="00B629B2">
        <w:rPr>
          <w:szCs w:val="24"/>
        </w:rPr>
        <w:t xml:space="preserve">and maintain the </w:t>
      </w:r>
      <w:r w:rsidR="008D398E" w:rsidRPr="00B629B2">
        <w:rPr>
          <w:szCs w:val="24"/>
        </w:rPr>
        <w:t>specified signal at the specified SPL level</w:t>
      </w:r>
      <w:r w:rsidR="000D3DD6" w:rsidRPr="00B629B2">
        <w:rPr>
          <w:szCs w:val="24"/>
        </w:rPr>
        <w:t xml:space="preserve">. </w:t>
      </w:r>
    </w:p>
    <w:p w14:paraId="076D302C" w14:textId="68B872C6" w:rsidR="009122CB" w:rsidRDefault="000D3DD6">
      <w:pPr>
        <w:spacing w:after="0" w:line="240" w:lineRule="auto"/>
        <w:jc w:val="both"/>
        <w:rPr>
          <w:szCs w:val="24"/>
        </w:rPr>
      </w:pPr>
      <w:r w:rsidRPr="00B629B2">
        <w:rPr>
          <w:szCs w:val="24"/>
        </w:rPr>
        <w:t xml:space="preserve">In a distributed VA system, the total </w:t>
      </w:r>
      <w:r w:rsidR="00791F6C" w:rsidRPr="00B629B2">
        <w:rPr>
          <w:szCs w:val="24"/>
        </w:rPr>
        <w:t xml:space="preserve">signal </w:t>
      </w:r>
      <w:r w:rsidRPr="00B629B2">
        <w:rPr>
          <w:szCs w:val="24"/>
        </w:rPr>
        <w:t xml:space="preserve">SPL </w:t>
      </w:r>
      <w:r w:rsidR="00791F6C" w:rsidRPr="00B629B2">
        <w:rPr>
          <w:szCs w:val="24"/>
        </w:rPr>
        <w:t xml:space="preserve">at the audience plane </w:t>
      </w:r>
      <w:r w:rsidRPr="00B629B2">
        <w:rPr>
          <w:szCs w:val="24"/>
        </w:rPr>
        <w:t xml:space="preserve">is typically increased by increasing the power </w:t>
      </w:r>
      <w:proofErr w:type="spellStart"/>
      <w:r w:rsidRPr="00B629B2">
        <w:rPr>
          <w:szCs w:val="24"/>
        </w:rPr>
        <w:t>tappings</w:t>
      </w:r>
      <w:proofErr w:type="spellEnd"/>
      <w:r w:rsidRPr="00B629B2">
        <w:rPr>
          <w:szCs w:val="24"/>
        </w:rPr>
        <w:t xml:space="preserve"> of loudspeakers</w:t>
      </w:r>
      <w:r w:rsidR="00791F6C" w:rsidRPr="00B629B2">
        <w:rPr>
          <w:szCs w:val="24"/>
        </w:rPr>
        <w:t>. In</w:t>
      </w:r>
      <w:r w:rsidRPr="00B629B2">
        <w:rPr>
          <w:szCs w:val="24"/>
        </w:rPr>
        <w:t xml:space="preserve"> this case the total power would </w:t>
      </w:r>
      <w:r w:rsidR="00791F6C" w:rsidRPr="00B629B2">
        <w:rPr>
          <w:szCs w:val="24"/>
        </w:rPr>
        <w:t xml:space="preserve">need to </w:t>
      </w:r>
      <w:r w:rsidRPr="00B629B2">
        <w:rPr>
          <w:szCs w:val="24"/>
        </w:rPr>
        <w:t>be doubled to give a 3 dB increase in SPL</w:t>
      </w:r>
      <w:r w:rsidR="00791F6C" w:rsidRPr="00B629B2">
        <w:rPr>
          <w:szCs w:val="24"/>
        </w:rPr>
        <w:t xml:space="preserve"> to compensate for the effect of loss of signal SPL due to a full occupancy</w:t>
      </w:r>
      <w:r w:rsidRPr="00B629B2">
        <w:rPr>
          <w:szCs w:val="24"/>
        </w:rPr>
        <w:t>. This would require a doubling of amplification</w:t>
      </w:r>
      <w:r w:rsidR="00791F6C" w:rsidRPr="00B629B2">
        <w:rPr>
          <w:szCs w:val="24"/>
        </w:rPr>
        <w:t xml:space="preserve"> power</w:t>
      </w:r>
      <w:r w:rsidR="00F7258B" w:rsidRPr="00B629B2">
        <w:rPr>
          <w:szCs w:val="24"/>
        </w:rPr>
        <w:t>, which would incur additional costs and could require additional space</w:t>
      </w:r>
      <w:r w:rsidR="00315A45" w:rsidRPr="00B629B2">
        <w:rPr>
          <w:szCs w:val="24"/>
        </w:rPr>
        <w:t xml:space="preserve"> and co</w:t>
      </w:r>
      <w:r w:rsidR="00791F6C" w:rsidRPr="00B629B2">
        <w:rPr>
          <w:szCs w:val="24"/>
        </w:rPr>
        <w:t>o</w:t>
      </w:r>
      <w:r w:rsidR="00315A45" w:rsidRPr="00B629B2">
        <w:rPr>
          <w:szCs w:val="24"/>
        </w:rPr>
        <w:t>l</w:t>
      </w:r>
      <w:r w:rsidR="00791F6C" w:rsidRPr="00B629B2">
        <w:rPr>
          <w:szCs w:val="24"/>
        </w:rPr>
        <w:t>ing</w:t>
      </w:r>
      <w:r w:rsidR="00F7258B" w:rsidRPr="00B629B2">
        <w:rPr>
          <w:szCs w:val="24"/>
        </w:rPr>
        <w:t xml:space="preserve">, which is limited in underground stations. </w:t>
      </w:r>
    </w:p>
    <w:p w14:paraId="6965F6B2" w14:textId="77777777" w:rsidR="00D10155" w:rsidRPr="00B629B2" w:rsidRDefault="00D10155">
      <w:pPr>
        <w:spacing w:after="0" w:line="240" w:lineRule="auto"/>
        <w:jc w:val="both"/>
        <w:rPr>
          <w:szCs w:val="24"/>
        </w:rPr>
      </w:pPr>
    </w:p>
    <w:p w14:paraId="0718049A" w14:textId="77777777" w:rsidR="00D10155" w:rsidRDefault="00F7258B">
      <w:pPr>
        <w:spacing w:after="0" w:line="240" w:lineRule="auto"/>
        <w:jc w:val="both"/>
        <w:rPr>
          <w:szCs w:val="24"/>
        </w:rPr>
      </w:pPr>
      <w:r w:rsidRPr="00B629B2">
        <w:rPr>
          <w:szCs w:val="24"/>
        </w:rPr>
        <w:tab/>
      </w:r>
      <w:r w:rsidR="00D67C52" w:rsidRPr="00B629B2">
        <w:rPr>
          <w:szCs w:val="24"/>
        </w:rPr>
        <w:t xml:space="preserve">The SPL on axis </w:t>
      </w:r>
      <w:r w:rsidR="00791F6C" w:rsidRPr="00B629B2">
        <w:rPr>
          <w:szCs w:val="24"/>
        </w:rPr>
        <w:t>(</w:t>
      </w:r>
      <w:r w:rsidR="00E22C03" w:rsidRPr="00B629B2">
        <w:rPr>
          <w:szCs w:val="24"/>
        </w:rPr>
        <w:t>F</w:t>
      </w:r>
      <w:r w:rsidR="00791F6C" w:rsidRPr="00B629B2">
        <w:rPr>
          <w:szCs w:val="24"/>
        </w:rPr>
        <w:t>igure 5)</w:t>
      </w:r>
      <w:r w:rsidR="00E22C03" w:rsidRPr="00B629B2">
        <w:rPr>
          <w:szCs w:val="24"/>
        </w:rPr>
        <w:t xml:space="preserve"> </w:t>
      </w:r>
      <w:r w:rsidR="00D67C52" w:rsidRPr="00B629B2">
        <w:rPr>
          <w:szCs w:val="24"/>
        </w:rPr>
        <w:t xml:space="preserve">shows that there is little variation on-axis of a loudspeaker with </w:t>
      </w:r>
      <w:proofErr w:type="spellStart"/>
      <w:r w:rsidR="00D67C52" w:rsidRPr="00B629B2">
        <w:rPr>
          <w:szCs w:val="24"/>
        </w:rPr>
        <w:t>increase</w:t>
      </w:r>
      <w:proofErr w:type="spellEnd"/>
      <w:r w:rsidR="00D67C52" w:rsidRPr="00B629B2">
        <w:rPr>
          <w:szCs w:val="24"/>
        </w:rPr>
        <w:t xml:space="preserve"> density, this is largely due to the fact that the receiver on-axis will be in the direct field of the loudspeaker</w:t>
      </w:r>
      <w:r w:rsidR="00206C13" w:rsidRPr="00B629B2">
        <w:rPr>
          <w:szCs w:val="24"/>
        </w:rPr>
        <w:t xml:space="preserve"> and the level received would have less contribution from reverberant sound affected by occupancy absorption</w:t>
      </w:r>
      <w:r w:rsidR="00D67C52" w:rsidRPr="00B629B2">
        <w:rPr>
          <w:szCs w:val="24"/>
        </w:rPr>
        <w:t xml:space="preserve">. </w:t>
      </w:r>
    </w:p>
    <w:p w14:paraId="09939E74" w14:textId="3F754649" w:rsidR="00F7258B" w:rsidRPr="00B629B2" w:rsidRDefault="00D67C52">
      <w:pPr>
        <w:spacing w:after="0" w:line="240" w:lineRule="auto"/>
        <w:jc w:val="both"/>
        <w:rPr>
          <w:szCs w:val="24"/>
        </w:rPr>
      </w:pPr>
      <w:r w:rsidRPr="00B629B2">
        <w:rPr>
          <w:szCs w:val="24"/>
        </w:rPr>
        <w:t xml:space="preserve">There is some variation in the off-axis </w:t>
      </w:r>
      <w:r w:rsidR="003D7785" w:rsidRPr="00B629B2">
        <w:rPr>
          <w:szCs w:val="24"/>
        </w:rPr>
        <w:t xml:space="preserve">SPL </w:t>
      </w:r>
      <w:r w:rsidRPr="00B629B2">
        <w:rPr>
          <w:szCs w:val="24"/>
        </w:rPr>
        <w:t>response with a significant reduction in the level at 1 kHz for both 1.0 p/m</w:t>
      </w:r>
      <w:r w:rsidRPr="00B629B2">
        <w:rPr>
          <w:szCs w:val="24"/>
          <w:vertAlign w:val="superscript"/>
        </w:rPr>
        <w:t>2</w:t>
      </w:r>
      <w:r w:rsidRPr="00B629B2">
        <w:rPr>
          <w:szCs w:val="24"/>
        </w:rPr>
        <w:t xml:space="preserve"> and 3.3 p/m</w:t>
      </w:r>
      <w:r w:rsidRPr="00B629B2">
        <w:rPr>
          <w:szCs w:val="24"/>
          <w:vertAlign w:val="superscript"/>
        </w:rPr>
        <w:t>2</w:t>
      </w:r>
      <w:r w:rsidR="00362A8C" w:rsidRPr="00B629B2">
        <w:rPr>
          <w:szCs w:val="24"/>
        </w:rPr>
        <w:t xml:space="preserve"> of approximately </w:t>
      </w:r>
      <w:r w:rsidR="00417E7C" w:rsidRPr="00B629B2">
        <w:rPr>
          <w:szCs w:val="24"/>
        </w:rPr>
        <w:t>8</w:t>
      </w:r>
      <w:r w:rsidR="00362A8C" w:rsidRPr="00B629B2">
        <w:rPr>
          <w:szCs w:val="24"/>
        </w:rPr>
        <w:t> dB</w:t>
      </w:r>
      <w:r w:rsidR="003D7785" w:rsidRPr="00B629B2">
        <w:rPr>
          <w:szCs w:val="24"/>
        </w:rPr>
        <w:t xml:space="preserve"> (</w:t>
      </w:r>
      <w:r w:rsidR="00E22C03" w:rsidRPr="00B629B2">
        <w:rPr>
          <w:szCs w:val="24"/>
        </w:rPr>
        <w:t>F</w:t>
      </w:r>
      <w:r w:rsidR="003D7785" w:rsidRPr="00B629B2">
        <w:rPr>
          <w:szCs w:val="24"/>
        </w:rPr>
        <w:t>igure 4)</w:t>
      </w:r>
      <w:r w:rsidRPr="00B629B2">
        <w:rPr>
          <w:szCs w:val="24"/>
        </w:rPr>
        <w:t xml:space="preserve">. </w:t>
      </w:r>
      <w:r w:rsidR="00417E7C" w:rsidRPr="00B629B2">
        <w:rPr>
          <w:szCs w:val="24"/>
        </w:rPr>
        <w:t xml:space="preserve">At frequencies higher than 1 kHz, the </w:t>
      </w:r>
      <w:r w:rsidR="00F2547E" w:rsidRPr="00B629B2">
        <w:rPr>
          <w:szCs w:val="24"/>
        </w:rPr>
        <w:t>SPL was consistently 3 and 4 dB lower than the empty scenario at 1 p/m</w:t>
      </w:r>
      <w:r w:rsidR="00F2547E" w:rsidRPr="00B629B2">
        <w:rPr>
          <w:szCs w:val="24"/>
          <w:vertAlign w:val="superscript"/>
        </w:rPr>
        <w:t>2</w:t>
      </w:r>
      <w:r w:rsidR="00F2547E" w:rsidRPr="00B629B2">
        <w:rPr>
          <w:szCs w:val="24"/>
        </w:rPr>
        <w:t xml:space="preserve"> and 3.3 p/m</w:t>
      </w:r>
      <w:r w:rsidR="00F2547E" w:rsidRPr="00B629B2">
        <w:rPr>
          <w:szCs w:val="24"/>
          <w:vertAlign w:val="superscript"/>
        </w:rPr>
        <w:t>2</w:t>
      </w:r>
      <w:r w:rsidR="00F2547E" w:rsidRPr="00B629B2">
        <w:rPr>
          <w:szCs w:val="24"/>
        </w:rPr>
        <w:t>, respectively. This, and the lower overall SPL, could have knock on impacts in the design of the system as the 1, 2 and 4 kHz bands hold some key information which can be crucial in the intelligibility of speech.</w:t>
      </w:r>
    </w:p>
    <w:p w14:paraId="76FF975E" w14:textId="77777777" w:rsidR="00945B2D" w:rsidRPr="00B629B2" w:rsidRDefault="00945B2D">
      <w:pPr>
        <w:spacing w:after="0" w:line="240" w:lineRule="auto"/>
        <w:jc w:val="both"/>
        <w:rPr>
          <w:b/>
          <w:szCs w:val="24"/>
        </w:rPr>
      </w:pPr>
    </w:p>
    <w:p w14:paraId="5E1E9F25" w14:textId="016ABDCA" w:rsidR="00E12B0C" w:rsidRPr="00B629B2" w:rsidRDefault="001276DC">
      <w:pPr>
        <w:spacing w:after="0" w:line="240" w:lineRule="auto"/>
        <w:jc w:val="both"/>
        <w:rPr>
          <w:b/>
          <w:szCs w:val="24"/>
        </w:rPr>
      </w:pPr>
      <w:r w:rsidRPr="00B629B2">
        <w:rPr>
          <w:b/>
          <w:szCs w:val="24"/>
        </w:rPr>
        <w:t xml:space="preserve">5.  CONCLUSIONS </w:t>
      </w:r>
    </w:p>
    <w:p w14:paraId="57CC29B4" w14:textId="382EDBE5" w:rsidR="00E12B0C" w:rsidRPr="00B629B2" w:rsidRDefault="00E12B0C">
      <w:pPr>
        <w:spacing w:after="0" w:line="240" w:lineRule="auto"/>
        <w:jc w:val="both"/>
        <w:rPr>
          <w:szCs w:val="24"/>
        </w:rPr>
      </w:pPr>
    </w:p>
    <w:p w14:paraId="45895B85" w14:textId="5F2B16F4" w:rsidR="00CD0385" w:rsidRPr="00B629B2" w:rsidRDefault="00362A8C">
      <w:pPr>
        <w:spacing w:after="0" w:line="240" w:lineRule="auto"/>
        <w:jc w:val="both"/>
        <w:rPr>
          <w:szCs w:val="24"/>
        </w:rPr>
      </w:pPr>
      <w:r w:rsidRPr="00B629B2">
        <w:rPr>
          <w:szCs w:val="24"/>
        </w:rPr>
        <w:tab/>
      </w:r>
      <w:r w:rsidR="00CD0385" w:rsidRPr="00B629B2">
        <w:rPr>
          <w:szCs w:val="24"/>
        </w:rPr>
        <w:t>There is no information in the literature considering the effect of standing audience and occupancy density on the acoustic performance of VA systems.</w:t>
      </w:r>
    </w:p>
    <w:p w14:paraId="443FE416" w14:textId="115126D4" w:rsidR="00CD0385" w:rsidRPr="00B629B2" w:rsidRDefault="00362A8C">
      <w:pPr>
        <w:spacing w:after="0" w:line="240" w:lineRule="auto"/>
        <w:jc w:val="both"/>
        <w:rPr>
          <w:szCs w:val="24"/>
        </w:rPr>
      </w:pPr>
      <w:r w:rsidRPr="00B629B2">
        <w:rPr>
          <w:szCs w:val="24"/>
        </w:rPr>
        <w:t xml:space="preserve">The effect of occupancy density has been shown to have a positive impact on the speech intelligibility </w:t>
      </w:r>
      <w:r w:rsidR="00820FB0" w:rsidRPr="00B629B2">
        <w:rPr>
          <w:szCs w:val="24"/>
        </w:rPr>
        <w:t xml:space="preserve">performance parameter </w:t>
      </w:r>
      <w:r w:rsidRPr="00B629B2">
        <w:rPr>
          <w:szCs w:val="24"/>
        </w:rPr>
        <w:t xml:space="preserve">of a VA system in an underground platform. </w:t>
      </w:r>
      <w:r w:rsidR="008D398E" w:rsidRPr="00B629B2">
        <w:rPr>
          <w:szCs w:val="24"/>
        </w:rPr>
        <w:t xml:space="preserve">However, the </w:t>
      </w:r>
      <w:r w:rsidRPr="00B629B2">
        <w:rPr>
          <w:szCs w:val="24"/>
        </w:rPr>
        <w:t xml:space="preserve">Total </w:t>
      </w:r>
      <w:r w:rsidR="00820FB0" w:rsidRPr="00B629B2">
        <w:rPr>
          <w:szCs w:val="24"/>
        </w:rPr>
        <w:t xml:space="preserve">signal </w:t>
      </w:r>
      <w:r w:rsidRPr="00B629B2">
        <w:rPr>
          <w:szCs w:val="24"/>
        </w:rPr>
        <w:t>SPL</w:t>
      </w:r>
      <w:r w:rsidR="00820FB0" w:rsidRPr="00B629B2">
        <w:rPr>
          <w:szCs w:val="24"/>
        </w:rPr>
        <w:t>(A)</w:t>
      </w:r>
      <w:r w:rsidRPr="00B629B2">
        <w:rPr>
          <w:szCs w:val="24"/>
        </w:rPr>
        <w:t xml:space="preserve"> was reduced by approximately 2 dB(A) </w:t>
      </w:r>
      <w:r w:rsidR="00820FB0" w:rsidRPr="00B629B2">
        <w:rPr>
          <w:szCs w:val="24"/>
        </w:rPr>
        <w:t xml:space="preserve">with full occupancy, </w:t>
      </w:r>
      <w:r w:rsidRPr="00B629B2">
        <w:rPr>
          <w:szCs w:val="24"/>
        </w:rPr>
        <w:t xml:space="preserve">which could have an impact on the </w:t>
      </w:r>
      <w:r w:rsidR="00370132" w:rsidRPr="00B629B2">
        <w:rPr>
          <w:szCs w:val="24"/>
        </w:rPr>
        <w:t xml:space="preserve">required amplification </w:t>
      </w:r>
      <w:r w:rsidR="008D398E" w:rsidRPr="00B629B2">
        <w:rPr>
          <w:szCs w:val="24"/>
        </w:rPr>
        <w:t xml:space="preserve">to </w:t>
      </w:r>
      <w:r w:rsidR="00E52CFB" w:rsidRPr="00B629B2">
        <w:rPr>
          <w:szCs w:val="24"/>
        </w:rPr>
        <w:t>recover the signal SPL to the specified level</w:t>
      </w:r>
      <w:r w:rsidR="008D398E" w:rsidRPr="00B629B2">
        <w:rPr>
          <w:szCs w:val="24"/>
        </w:rPr>
        <w:t xml:space="preserve"> </w:t>
      </w:r>
    </w:p>
    <w:p w14:paraId="78B6AC8A" w14:textId="4E2C9225" w:rsidR="00362A8C" w:rsidRPr="00B629B2" w:rsidRDefault="00E22C03">
      <w:pPr>
        <w:spacing w:after="0" w:line="240" w:lineRule="auto"/>
        <w:jc w:val="both"/>
        <w:rPr>
          <w:szCs w:val="24"/>
        </w:rPr>
      </w:pPr>
      <w:r w:rsidRPr="00B629B2">
        <w:rPr>
          <w:szCs w:val="24"/>
        </w:rPr>
        <w:tab/>
      </w:r>
      <w:r w:rsidR="00CD0385" w:rsidRPr="00B629B2">
        <w:rPr>
          <w:szCs w:val="24"/>
        </w:rPr>
        <w:t xml:space="preserve">It was found that a maximum difference of </w:t>
      </w:r>
      <w:r w:rsidR="00417E7C" w:rsidRPr="00B629B2">
        <w:rPr>
          <w:szCs w:val="24"/>
        </w:rPr>
        <w:t xml:space="preserve">8 </w:t>
      </w:r>
      <w:r w:rsidR="00CD0385" w:rsidRPr="00B629B2">
        <w:rPr>
          <w:szCs w:val="24"/>
        </w:rPr>
        <w:t>dB could be experienced by receivers situated off axis from loudspeakers for different levels of occupancy at frequencies</w:t>
      </w:r>
      <w:r w:rsidR="00077314" w:rsidRPr="00B629B2">
        <w:rPr>
          <w:szCs w:val="24"/>
        </w:rPr>
        <w:t xml:space="preserve"> critical for </w:t>
      </w:r>
      <w:r w:rsidR="00CD0385" w:rsidRPr="00B629B2">
        <w:rPr>
          <w:szCs w:val="24"/>
        </w:rPr>
        <w:t>intelligibility frequency</w:t>
      </w:r>
      <w:r w:rsidR="00077314" w:rsidRPr="00B629B2">
        <w:rPr>
          <w:szCs w:val="24"/>
        </w:rPr>
        <w:t>. The effect was not observed for receivers on axis.</w:t>
      </w:r>
    </w:p>
    <w:p w14:paraId="77788BAE" w14:textId="08DC5B4E" w:rsidR="00370132" w:rsidRPr="00B629B2" w:rsidRDefault="00370132">
      <w:pPr>
        <w:spacing w:after="0" w:line="240" w:lineRule="auto"/>
        <w:jc w:val="both"/>
        <w:rPr>
          <w:szCs w:val="24"/>
        </w:rPr>
      </w:pPr>
      <w:r w:rsidRPr="00B629B2">
        <w:rPr>
          <w:szCs w:val="24"/>
        </w:rPr>
        <w:tab/>
        <w:t xml:space="preserve">The STI has been predicted in all scenarios with the same background noise level It is likely that the background noise will vary with increased occupancy density, so a forthcoming </w:t>
      </w:r>
      <w:r w:rsidR="00E52CFB" w:rsidRPr="00B629B2">
        <w:rPr>
          <w:szCs w:val="24"/>
        </w:rPr>
        <w:t>study</w:t>
      </w:r>
      <w:r w:rsidRPr="00B629B2">
        <w:rPr>
          <w:szCs w:val="24"/>
        </w:rPr>
        <w:t xml:space="preserve"> will investigate the impact of increase</w:t>
      </w:r>
      <w:r w:rsidR="00E52CFB" w:rsidRPr="00B629B2">
        <w:rPr>
          <w:szCs w:val="24"/>
        </w:rPr>
        <w:t>d</w:t>
      </w:r>
      <w:r w:rsidRPr="00B629B2">
        <w:rPr>
          <w:szCs w:val="24"/>
        </w:rPr>
        <w:t xml:space="preserve"> noise from higher occupancy densities. </w:t>
      </w:r>
    </w:p>
    <w:p w14:paraId="22BBB395" w14:textId="46169FE5" w:rsidR="00370132" w:rsidRPr="00B629B2" w:rsidRDefault="00370132">
      <w:pPr>
        <w:spacing w:after="0" w:line="240" w:lineRule="auto"/>
        <w:jc w:val="both"/>
        <w:rPr>
          <w:szCs w:val="24"/>
        </w:rPr>
      </w:pPr>
      <w:r w:rsidRPr="00B629B2">
        <w:rPr>
          <w:szCs w:val="24"/>
        </w:rPr>
        <w:tab/>
        <w:t xml:space="preserve">In addition, modelling a low occupancy density with a single block over the audience area may not be appropriate. There will be a significant reduction in the volume of the space when modelling as a single block which would not be present with a low occupancy density. A new way of modelling low densities of standing audiences will also be investigated. </w:t>
      </w:r>
    </w:p>
    <w:p w14:paraId="553377C7" w14:textId="77777777" w:rsidR="00E45CD5" w:rsidRDefault="00E45CD5">
      <w:pPr>
        <w:spacing w:after="0" w:line="240" w:lineRule="auto"/>
        <w:jc w:val="both"/>
        <w:rPr>
          <w:b/>
          <w:szCs w:val="24"/>
        </w:rPr>
      </w:pPr>
    </w:p>
    <w:p w14:paraId="11163D28" w14:textId="77777777" w:rsidR="00D10155" w:rsidRDefault="00D10155">
      <w:pPr>
        <w:spacing w:after="0" w:line="240" w:lineRule="auto"/>
        <w:jc w:val="both"/>
        <w:rPr>
          <w:b/>
          <w:szCs w:val="24"/>
        </w:rPr>
      </w:pPr>
    </w:p>
    <w:p w14:paraId="1D34EAD2" w14:textId="77777777" w:rsidR="00D10155" w:rsidRDefault="00D10155">
      <w:pPr>
        <w:spacing w:after="0" w:line="240" w:lineRule="auto"/>
        <w:jc w:val="both"/>
        <w:rPr>
          <w:b/>
          <w:szCs w:val="24"/>
        </w:rPr>
      </w:pPr>
    </w:p>
    <w:p w14:paraId="1221321D" w14:textId="77777777" w:rsidR="00D10155" w:rsidRDefault="00D10155">
      <w:pPr>
        <w:spacing w:after="0" w:line="240" w:lineRule="auto"/>
        <w:jc w:val="both"/>
        <w:rPr>
          <w:b/>
          <w:szCs w:val="24"/>
        </w:rPr>
      </w:pPr>
    </w:p>
    <w:p w14:paraId="1E8C4260" w14:textId="77777777" w:rsidR="00D10155" w:rsidRPr="00B629B2" w:rsidRDefault="00D10155">
      <w:pPr>
        <w:spacing w:after="0" w:line="240" w:lineRule="auto"/>
        <w:jc w:val="both"/>
        <w:rPr>
          <w:b/>
          <w:szCs w:val="24"/>
        </w:rPr>
      </w:pPr>
    </w:p>
    <w:p w14:paraId="4C4788DA" w14:textId="0C3E82FA" w:rsidR="00E12B0C" w:rsidRPr="00B629B2" w:rsidRDefault="001276DC">
      <w:pPr>
        <w:spacing w:after="0" w:line="240" w:lineRule="auto"/>
        <w:jc w:val="both"/>
        <w:rPr>
          <w:b/>
          <w:szCs w:val="24"/>
        </w:rPr>
      </w:pPr>
      <w:r w:rsidRPr="00B629B2">
        <w:rPr>
          <w:b/>
          <w:szCs w:val="24"/>
        </w:rPr>
        <w:lastRenderedPageBreak/>
        <w:t>7.  REFERENCES</w:t>
      </w:r>
    </w:p>
    <w:p w14:paraId="6F59E7DD" w14:textId="77777777" w:rsidR="000B3B98" w:rsidRPr="00B629B2" w:rsidRDefault="000B3B98">
      <w:pPr>
        <w:spacing w:after="0" w:line="240" w:lineRule="auto"/>
        <w:jc w:val="both"/>
        <w:rPr>
          <w:b/>
          <w:szCs w:val="24"/>
        </w:rPr>
      </w:pPr>
    </w:p>
    <w:p w14:paraId="6720ECDD" w14:textId="5330369C" w:rsidR="000B3B98" w:rsidRPr="00B629B2" w:rsidRDefault="000B3B98">
      <w:pPr>
        <w:spacing w:after="0" w:line="240" w:lineRule="auto"/>
        <w:jc w:val="both"/>
        <w:rPr>
          <w:szCs w:val="24"/>
        </w:rPr>
      </w:pPr>
      <w:r w:rsidRPr="00B629B2">
        <w:rPr>
          <w:szCs w:val="24"/>
        </w:rPr>
        <w:t xml:space="preserve">1. </w:t>
      </w:r>
      <w:r w:rsidR="008B518A" w:rsidRPr="00B629B2">
        <w:rPr>
          <w:szCs w:val="24"/>
        </w:rPr>
        <w:t xml:space="preserve">U. </w:t>
      </w:r>
      <w:r w:rsidRPr="00B629B2">
        <w:rPr>
          <w:szCs w:val="24"/>
        </w:rPr>
        <w:t xml:space="preserve">Kath </w:t>
      </w:r>
      <w:r w:rsidR="008B518A" w:rsidRPr="00B629B2">
        <w:rPr>
          <w:szCs w:val="24"/>
        </w:rPr>
        <w:t xml:space="preserve">and W. </w:t>
      </w:r>
      <w:proofErr w:type="spellStart"/>
      <w:r w:rsidRPr="00B629B2">
        <w:rPr>
          <w:szCs w:val="24"/>
        </w:rPr>
        <w:t>Kuhl</w:t>
      </w:r>
      <w:proofErr w:type="spellEnd"/>
      <w:r w:rsidR="008B518A" w:rsidRPr="00B629B2">
        <w:rPr>
          <w:szCs w:val="24"/>
        </w:rPr>
        <w:t>, “</w:t>
      </w:r>
      <w:proofErr w:type="spellStart"/>
      <w:r w:rsidR="008B518A" w:rsidRPr="00B629B2">
        <w:rPr>
          <w:i/>
          <w:szCs w:val="24"/>
        </w:rPr>
        <w:t>Messungen</w:t>
      </w:r>
      <w:proofErr w:type="spellEnd"/>
      <w:r w:rsidR="008B518A" w:rsidRPr="00B629B2">
        <w:rPr>
          <w:i/>
          <w:szCs w:val="24"/>
        </w:rPr>
        <w:t xml:space="preserve"> </w:t>
      </w:r>
      <w:proofErr w:type="spellStart"/>
      <w:r w:rsidR="008B518A" w:rsidRPr="00B629B2">
        <w:rPr>
          <w:i/>
          <w:szCs w:val="24"/>
        </w:rPr>
        <w:t>zur</w:t>
      </w:r>
      <w:proofErr w:type="spellEnd"/>
      <w:r w:rsidR="008B518A" w:rsidRPr="00B629B2">
        <w:rPr>
          <w:i/>
          <w:szCs w:val="24"/>
        </w:rPr>
        <w:t xml:space="preserve"> </w:t>
      </w:r>
      <w:proofErr w:type="spellStart"/>
      <w:r w:rsidR="008B518A" w:rsidRPr="00B629B2">
        <w:rPr>
          <w:i/>
          <w:szCs w:val="24"/>
        </w:rPr>
        <w:t>schallabsorption</w:t>
      </w:r>
      <w:proofErr w:type="spellEnd"/>
      <w:r w:rsidR="008B518A" w:rsidRPr="00B629B2">
        <w:rPr>
          <w:i/>
          <w:szCs w:val="24"/>
        </w:rPr>
        <w:t xml:space="preserve"> von </w:t>
      </w:r>
      <w:proofErr w:type="spellStart"/>
      <w:r w:rsidR="008B518A" w:rsidRPr="00B629B2">
        <w:rPr>
          <w:i/>
          <w:szCs w:val="24"/>
        </w:rPr>
        <w:t>peronen</w:t>
      </w:r>
      <w:proofErr w:type="spellEnd"/>
      <w:r w:rsidR="008B518A" w:rsidRPr="00B629B2">
        <w:rPr>
          <w:i/>
          <w:szCs w:val="24"/>
        </w:rPr>
        <w:t xml:space="preserve"> auf</w:t>
      </w:r>
      <w:r w:rsidR="003E40C5" w:rsidRPr="00B629B2">
        <w:rPr>
          <w:i/>
          <w:szCs w:val="24"/>
        </w:rPr>
        <w:br/>
      </w:r>
      <w:r w:rsidR="008B518A" w:rsidRPr="00B629B2">
        <w:rPr>
          <w:i/>
          <w:szCs w:val="24"/>
        </w:rPr>
        <w:t xml:space="preserve"> </w:t>
      </w:r>
      <w:proofErr w:type="spellStart"/>
      <w:r w:rsidR="008B518A" w:rsidRPr="00B629B2">
        <w:rPr>
          <w:i/>
          <w:szCs w:val="24"/>
        </w:rPr>
        <w:t>ungerpolsterten</w:t>
      </w:r>
      <w:proofErr w:type="spellEnd"/>
      <w:r w:rsidR="008B518A" w:rsidRPr="00B629B2">
        <w:rPr>
          <w:i/>
          <w:szCs w:val="24"/>
        </w:rPr>
        <w:t xml:space="preserve"> (Measurements of sound absorption of audience on upholstered seats)”</w:t>
      </w:r>
      <w:r w:rsidR="008B518A" w:rsidRPr="00B629B2">
        <w:rPr>
          <w:szCs w:val="24"/>
        </w:rPr>
        <w:t xml:space="preserve">, Acustica, 14 pp. 50-55 </w:t>
      </w:r>
      <w:r w:rsidR="009632F7" w:rsidRPr="00B629B2">
        <w:rPr>
          <w:szCs w:val="24"/>
        </w:rPr>
        <w:t>(</w:t>
      </w:r>
      <w:r w:rsidR="008B518A" w:rsidRPr="00B629B2">
        <w:rPr>
          <w:szCs w:val="24"/>
        </w:rPr>
        <w:t>1964</w:t>
      </w:r>
      <w:r w:rsidR="009632F7" w:rsidRPr="00B629B2">
        <w:rPr>
          <w:szCs w:val="24"/>
        </w:rPr>
        <w:t>)</w:t>
      </w:r>
    </w:p>
    <w:p w14:paraId="752BC38E" w14:textId="790835FC" w:rsidR="000B3B98" w:rsidRPr="00B629B2" w:rsidRDefault="000B3B98">
      <w:pPr>
        <w:spacing w:after="0" w:line="240" w:lineRule="auto"/>
        <w:jc w:val="both"/>
        <w:rPr>
          <w:szCs w:val="24"/>
        </w:rPr>
      </w:pPr>
      <w:r w:rsidRPr="00B629B2">
        <w:rPr>
          <w:szCs w:val="24"/>
        </w:rPr>
        <w:t xml:space="preserve">2. </w:t>
      </w:r>
      <w:r w:rsidR="008B518A" w:rsidRPr="00B629B2">
        <w:rPr>
          <w:szCs w:val="24"/>
        </w:rPr>
        <w:t xml:space="preserve">M. </w:t>
      </w:r>
      <w:r w:rsidRPr="00B629B2">
        <w:rPr>
          <w:szCs w:val="24"/>
        </w:rPr>
        <w:t>Barron</w:t>
      </w:r>
      <w:r w:rsidR="008B518A" w:rsidRPr="00B629B2">
        <w:rPr>
          <w:szCs w:val="24"/>
        </w:rPr>
        <w:t>, “</w:t>
      </w:r>
      <w:r w:rsidR="008B518A" w:rsidRPr="00B629B2">
        <w:rPr>
          <w:i/>
          <w:szCs w:val="24"/>
        </w:rPr>
        <w:t>Auditorium Acoustics and Architectural Design</w:t>
      </w:r>
      <w:r w:rsidR="008B518A" w:rsidRPr="00B629B2">
        <w:rPr>
          <w:szCs w:val="24"/>
        </w:rPr>
        <w:t>”, Spoon Press/Taylor &amp; Francis</w:t>
      </w:r>
      <w:r w:rsidR="008B518A" w:rsidRPr="00B629B2">
        <w:rPr>
          <w:i/>
          <w:szCs w:val="24"/>
        </w:rPr>
        <w:t xml:space="preserve"> </w:t>
      </w:r>
      <w:r w:rsidR="008B518A" w:rsidRPr="00B629B2">
        <w:rPr>
          <w:szCs w:val="24"/>
        </w:rPr>
        <w:t>(</w:t>
      </w:r>
      <w:r w:rsidRPr="00B629B2">
        <w:rPr>
          <w:szCs w:val="24"/>
        </w:rPr>
        <w:t>2010</w:t>
      </w:r>
      <w:r w:rsidR="008B518A" w:rsidRPr="00B629B2">
        <w:rPr>
          <w:szCs w:val="24"/>
        </w:rPr>
        <w:t>)</w:t>
      </w:r>
    </w:p>
    <w:p w14:paraId="2AFA26A8" w14:textId="3784C8B2" w:rsidR="000B3B98" w:rsidRPr="00B629B2" w:rsidRDefault="000B3B98">
      <w:pPr>
        <w:spacing w:after="0" w:line="240" w:lineRule="auto"/>
        <w:jc w:val="both"/>
        <w:rPr>
          <w:szCs w:val="24"/>
        </w:rPr>
      </w:pPr>
      <w:r w:rsidRPr="00B629B2">
        <w:rPr>
          <w:szCs w:val="24"/>
        </w:rPr>
        <w:t xml:space="preserve">3. </w:t>
      </w:r>
      <w:r w:rsidR="008B518A" w:rsidRPr="00B629B2">
        <w:rPr>
          <w:szCs w:val="24"/>
        </w:rPr>
        <w:t xml:space="preserve">L. </w:t>
      </w:r>
      <w:r w:rsidRPr="00B629B2">
        <w:rPr>
          <w:szCs w:val="24"/>
        </w:rPr>
        <w:t>Beranek</w:t>
      </w:r>
      <w:r w:rsidR="002D0A09" w:rsidRPr="00B629B2">
        <w:rPr>
          <w:szCs w:val="24"/>
        </w:rPr>
        <w:t>,</w:t>
      </w:r>
      <w:r w:rsidRPr="00B629B2">
        <w:rPr>
          <w:szCs w:val="24"/>
        </w:rPr>
        <w:t xml:space="preserve"> </w:t>
      </w:r>
      <w:r w:rsidR="008B518A" w:rsidRPr="00B629B2">
        <w:rPr>
          <w:szCs w:val="24"/>
        </w:rPr>
        <w:t>“</w:t>
      </w:r>
      <w:r w:rsidR="008B518A" w:rsidRPr="00B629B2">
        <w:rPr>
          <w:i/>
          <w:szCs w:val="24"/>
        </w:rPr>
        <w:t>Audience and Chair Absorption in Large Halls”</w:t>
      </w:r>
      <w:r w:rsidR="002D0A09" w:rsidRPr="00B629B2">
        <w:rPr>
          <w:i/>
          <w:szCs w:val="24"/>
        </w:rPr>
        <w:t>,</w:t>
      </w:r>
      <w:r w:rsidR="008B518A" w:rsidRPr="00B629B2">
        <w:rPr>
          <w:i/>
          <w:szCs w:val="24"/>
        </w:rPr>
        <w:t xml:space="preserve"> </w:t>
      </w:r>
      <w:r w:rsidR="002D0A09" w:rsidRPr="00B629B2">
        <w:rPr>
          <w:szCs w:val="24"/>
        </w:rPr>
        <w:t>The Journal of the Acoustical Society of America, 45 (1), pp. 13-19 (</w:t>
      </w:r>
      <w:r w:rsidRPr="00B629B2">
        <w:rPr>
          <w:szCs w:val="24"/>
        </w:rPr>
        <w:t>1969</w:t>
      </w:r>
      <w:r w:rsidR="002D0A09" w:rsidRPr="00B629B2">
        <w:rPr>
          <w:szCs w:val="24"/>
        </w:rPr>
        <w:t>)</w:t>
      </w:r>
    </w:p>
    <w:p w14:paraId="59A9CF79" w14:textId="7C142AFA" w:rsidR="000B3B98" w:rsidRPr="00B629B2" w:rsidRDefault="000B3B98">
      <w:pPr>
        <w:spacing w:after="0" w:line="240" w:lineRule="auto"/>
        <w:jc w:val="both"/>
        <w:rPr>
          <w:szCs w:val="24"/>
        </w:rPr>
      </w:pPr>
      <w:r w:rsidRPr="00B629B2">
        <w:rPr>
          <w:szCs w:val="24"/>
        </w:rPr>
        <w:t xml:space="preserve">4. </w:t>
      </w:r>
      <w:r w:rsidR="002D0A09" w:rsidRPr="00B629B2">
        <w:rPr>
          <w:szCs w:val="24"/>
        </w:rPr>
        <w:t xml:space="preserve">J. </w:t>
      </w:r>
      <w:r w:rsidRPr="00B629B2">
        <w:rPr>
          <w:szCs w:val="24"/>
        </w:rPr>
        <w:t>Bradley</w:t>
      </w:r>
      <w:r w:rsidR="002D0A09" w:rsidRPr="00B629B2">
        <w:rPr>
          <w:szCs w:val="24"/>
        </w:rPr>
        <w:t>, “</w:t>
      </w:r>
      <w:r w:rsidR="002D0A09" w:rsidRPr="00B629B2">
        <w:rPr>
          <w:i/>
          <w:szCs w:val="24"/>
        </w:rPr>
        <w:t>Predicting Theatre Chair Absorption from Reverberation Chamber Measurements”,</w:t>
      </w:r>
      <w:r w:rsidR="002D0A09" w:rsidRPr="00B629B2">
        <w:rPr>
          <w:szCs w:val="24"/>
        </w:rPr>
        <w:t xml:space="preserve"> The Journal of the Acoustical Society of America, 91 (3), pp. 1514-1524 (</w:t>
      </w:r>
      <w:r w:rsidRPr="00B629B2">
        <w:rPr>
          <w:szCs w:val="24"/>
        </w:rPr>
        <w:t>1992</w:t>
      </w:r>
      <w:r w:rsidR="002D0A09" w:rsidRPr="00B629B2">
        <w:rPr>
          <w:szCs w:val="24"/>
        </w:rPr>
        <w:t>)</w:t>
      </w:r>
    </w:p>
    <w:p w14:paraId="628949FE" w14:textId="3B9E0078" w:rsidR="000B3B98" w:rsidRPr="00B629B2" w:rsidRDefault="000B3B98">
      <w:pPr>
        <w:spacing w:after="0" w:line="240" w:lineRule="auto"/>
        <w:jc w:val="both"/>
        <w:rPr>
          <w:szCs w:val="24"/>
        </w:rPr>
      </w:pPr>
      <w:r w:rsidRPr="00B629B2">
        <w:rPr>
          <w:szCs w:val="24"/>
        </w:rPr>
        <w:t xml:space="preserve">5. </w:t>
      </w:r>
      <w:r w:rsidR="002D0A09" w:rsidRPr="00B629B2">
        <w:rPr>
          <w:szCs w:val="24"/>
        </w:rPr>
        <w:t xml:space="preserve">J. </w:t>
      </w:r>
      <w:r w:rsidRPr="00B629B2">
        <w:rPr>
          <w:szCs w:val="24"/>
        </w:rPr>
        <w:t xml:space="preserve">Bradley, </w:t>
      </w:r>
      <w:r w:rsidR="002D0A09" w:rsidRPr="00B629B2">
        <w:rPr>
          <w:szCs w:val="24"/>
        </w:rPr>
        <w:t>“</w:t>
      </w:r>
      <w:r w:rsidR="002D0A09" w:rsidRPr="00B629B2">
        <w:rPr>
          <w:i/>
          <w:szCs w:val="24"/>
        </w:rPr>
        <w:t>The Sound Absorption of Occupied Auditorium Seating”</w:t>
      </w:r>
      <w:r w:rsidR="002D0A09" w:rsidRPr="00B629B2">
        <w:rPr>
          <w:szCs w:val="24"/>
        </w:rPr>
        <w:t>, The Journal of the Acoustical Society of America, 99 (2), pp. 990-995 (</w:t>
      </w:r>
      <w:r w:rsidRPr="00B629B2">
        <w:rPr>
          <w:szCs w:val="24"/>
        </w:rPr>
        <w:t>1996</w:t>
      </w:r>
      <w:r w:rsidR="002D0A09" w:rsidRPr="00B629B2">
        <w:rPr>
          <w:szCs w:val="24"/>
        </w:rPr>
        <w:t>)</w:t>
      </w:r>
    </w:p>
    <w:p w14:paraId="47E88AD6" w14:textId="12C26F46" w:rsidR="000B3B98" w:rsidRPr="00B629B2" w:rsidRDefault="000B3B98">
      <w:pPr>
        <w:spacing w:after="0" w:line="240" w:lineRule="auto"/>
        <w:jc w:val="both"/>
        <w:rPr>
          <w:szCs w:val="24"/>
        </w:rPr>
      </w:pPr>
      <w:r w:rsidRPr="00B629B2">
        <w:rPr>
          <w:szCs w:val="24"/>
        </w:rPr>
        <w:t xml:space="preserve">6. </w:t>
      </w:r>
      <w:r w:rsidR="002D0A09" w:rsidRPr="00B629B2">
        <w:rPr>
          <w:szCs w:val="24"/>
        </w:rPr>
        <w:t xml:space="preserve">W. </w:t>
      </w:r>
      <w:r w:rsidRPr="00B629B2">
        <w:rPr>
          <w:szCs w:val="24"/>
        </w:rPr>
        <w:t>Davies</w:t>
      </w:r>
      <w:r w:rsidR="002D0A09" w:rsidRPr="00B629B2">
        <w:rPr>
          <w:szCs w:val="24"/>
        </w:rPr>
        <w:t>, R. Orlowski, Y. Lam, “</w:t>
      </w:r>
      <w:r w:rsidR="002D0A09" w:rsidRPr="00B629B2">
        <w:rPr>
          <w:i/>
          <w:szCs w:val="24"/>
        </w:rPr>
        <w:t>Measuring Auditorium Seat Absorption”</w:t>
      </w:r>
      <w:r w:rsidR="002D0A09" w:rsidRPr="00B629B2">
        <w:rPr>
          <w:szCs w:val="24"/>
        </w:rPr>
        <w:t>, The Journal of the Acoustical Society of America, 96 (2), pp. 879-888</w:t>
      </w:r>
      <w:r w:rsidRPr="00B629B2">
        <w:rPr>
          <w:szCs w:val="24"/>
        </w:rPr>
        <w:t xml:space="preserve"> </w:t>
      </w:r>
      <w:r w:rsidR="002D0A09" w:rsidRPr="00B629B2">
        <w:rPr>
          <w:szCs w:val="24"/>
        </w:rPr>
        <w:t>(</w:t>
      </w:r>
      <w:r w:rsidRPr="00B629B2">
        <w:rPr>
          <w:szCs w:val="24"/>
        </w:rPr>
        <w:t>1994</w:t>
      </w:r>
      <w:r w:rsidR="002D0A09" w:rsidRPr="00B629B2">
        <w:rPr>
          <w:szCs w:val="24"/>
        </w:rPr>
        <w:t>)</w:t>
      </w:r>
    </w:p>
    <w:p w14:paraId="3F230D5B" w14:textId="5888CBA6" w:rsidR="000B3B98" w:rsidRPr="00B629B2" w:rsidRDefault="000B3B98">
      <w:pPr>
        <w:spacing w:after="0" w:line="240" w:lineRule="auto"/>
        <w:jc w:val="both"/>
        <w:rPr>
          <w:szCs w:val="24"/>
        </w:rPr>
      </w:pPr>
      <w:r w:rsidRPr="00B629B2">
        <w:rPr>
          <w:szCs w:val="24"/>
        </w:rPr>
        <w:t xml:space="preserve">7. </w:t>
      </w:r>
      <w:r w:rsidR="009632F7" w:rsidRPr="00B629B2">
        <w:rPr>
          <w:szCs w:val="24"/>
        </w:rPr>
        <w:t xml:space="preserve">H. </w:t>
      </w:r>
      <w:proofErr w:type="spellStart"/>
      <w:r w:rsidRPr="00B629B2">
        <w:rPr>
          <w:szCs w:val="24"/>
        </w:rPr>
        <w:t>Kuttruff</w:t>
      </w:r>
      <w:proofErr w:type="spellEnd"/>
      <w:r w:rsidR="009632F7" w:rsidRPr="00B629B2">
        <w:rPr>
          <w:szCs w:val="24"/>
        </w:rPr>
        <w:t>, “</w:t>
      </w:r>
      <w:r w:rsidR="009632F7" w:rsidRPr="00B629B2">
        <w:rPr>
          <w:i/>
          <w:szCs w:val="24"/>
        </w:rPr>
        <w:t>Room Acoustics”</w:t>
      </w:r>
      <w:r w:rsidR="009632F7" w:rsidRPr="00B629B2">
        <w:rPr>
          <w:szCs w:val="24"/>
        </w:rPr>
        <w:t xml:space="preserve">, </w:t>
      </w:r>
      <w:proofErr w:type="spellStart"/>
      <w:r w:rsidR="009632F7" w:rsidRPr="00B629B2">
        <w:rPr>
          <w:szCs w:val="24"/>
        </w:rPr>
        <w:t>Spon</w:t>
      </w:r>
      <w:proofErr w:type="spellEnd"/>
      <w:r w:rsidR="009632F7" w:rsidRPr="00B629B2">
        <w:rPr>
          <w:szCs w:val="24"/>
        </w:rPr>
        <w:t xml:space="preserve"> Press/Taylor &amp; Francis</w:t>
      </w:r>
      <w:r w:rsidR="009632F7" w:rsidRPr="00B629B2">
        <w:rPr>
          <w:i/>
          <w:szCs w:val="24"/>
        </w:rPr>
        <w:t xml:space="preserve"> </w:t>
      </w:r>
      <w:r w:rsidR="009632F7" w:rsidRPr="00B629B2">
        <w:rPr>
          <w:szCs w:val="24"/>
        </w:rPr>
        <w:t>(</w:t>
      </w:r>
      <w:r w:rsidRPr="00B629B2">
        <w:rPr>
          <w:szCs w:val="24"/>
        </w:rPr>
        <w:t>2009</w:t>
      </w:r>
      <w:r w:rsidR="009632F7" w:rsidRPr="00B629B2">
        <w:rPr>
          <w:szCs w:val="24"/>
        </w:rPr>
        <w:t>)</w:t>
      </w:r>
    </w:p>
    <w:p w14:paraId="3EC43F30" w14:textId="16D20D41" w:rsidR="000B3B98" w:rsidRPr="00B629B2" w:rsidRDefault="000B3B98">
      <w:pPr>
        <w:spacing w:after="0" w:line="240" w:lineRule="auto"/>
        <w:jc w:val="both"/>
        <w:rPr>
          <w:szCs w:val="24"/>
        </w:rPr>
      </w:pPr>
      <w:r w:rsidRPr="00B629B2">
        <w:rPr>
          <w:szCs w:val="24"/>
        </w:rPr>
        <w:t xml:space="preserve">8. </w:t>
      </w:r>
      <w:r w:rsidR="009632F7" w:rsidRPr="00B629B2">
        <w:rPr>
          <w:szCs w:val="24"/>
        </w:rPr>
        <w:t xml:space="preserve">D. </w:t>
      </w:r>
      <w:r w:rsidRPr="00B629B2">
        <w:rPr>
          <w:szCs w:val="24"/>
        </w:rPr>
        <w:t>Templeton</w:t>
      </w:r>
      <w:r w:rsidR="009632F7" w:rsidRPr="00B629B2">
        <w:rPr>
          <w:szCs w:val="24"/>
        </w:rPr>
        <w:t>, “</w:t>
      </w:r>
      <w:r w:rsidR="009632F7" w:rsidRPr="00B629B2">
        <w:rPr>
          <w:i/>
          <w:szCs w:val="24"/>
        </w:rPr>
        <w:t>Acoustics in the Built Environment: Advice for the Design Team”</w:t>
      </w:r>
      <w:r w:rsidR="009632F7" w:rsidRPr="00B629B2">
        <w:rPr>
          <w:szCs w:val="24"/>
        </w:rPr>
        <w:t>, Butterworth Architecture</w:t>
      </w:r>
      <w:r w:rsidRPr="00B629B2">
        <w:rPr>
          <w:szCs w:val="24"/>
        </w:rPr>
        <w:t xml:space="preserve"> </w:t>
      </w:r>
      <w:r w:rsidR="009632F7" w:rsidRPr="00B629B2">
        <w:rPr>
          <w:szCs w:val="24"/>
        </w:rPr>
        <w:t>(</w:t>
      </w:r>
      <w:r w:rsidRPr="00B629B2">
        <w:rPr>
          <w:szCs w:val="24"/>
        </w:rPr>
        <w:t>1993</w:t>
      </w:r>
      <w:r w:rsidR="009632F7" w:rsidRPr="00B629B2">
        <w:rPr>
          <w:szCs w:val="24"/>
        </w:rPr>
        <w:t>)</w:t>
      </w:r>
    </w:p>
    <w:p w14:paraId="09B8FA32" w14:textId="5A8C988E" w:rsidR="000B3B98" w:rsidRPr="00B629B2" w:rsidRDefault="000B3B98">
      <w:pPr>
        <w:spacing w:after="0" w:line="240" w:lineRule="auto"/>
        <w:jc w:val="both"/>
        <w:rPr>
          <w:szCs w:val="24"/>
        </w:rPr>
      </w:pPr>
      <w:r w:rsidRPr="00B629B2">
        <w:rPr>
          <w:szCs w:val="24"/>
        </w:rPr>
        <w:t xml:space="preserve">9. </w:t>
      </w:r>
      <w:r w:rsidR="009632F7" w:rsidRPr="00B629B2">
        <w:rPr>
          <w:szCs w:val="24"/>
        </w:rPr>
        <w:t xml:space="preserve">N. </w:t>
      </w:r>
      <w:r w:rsidRPr="00B629B2">
        <w:rPr>
          <w:szCs w:val="24"/>
        </w:rPr>
        <w:t>Adelman-Larsen</w:t>
      </w:r>
      <w:r w:rsidR="009632F7" w:rsidRPr="00B629B2">
        <w:rPr>
          <w:szCs w:val="24"/>
        </w:rPr>
        <w:t xml:space="preserve">, A. </w:t>
      </w:r>
      <w:proofErr w:type="spellStart"/>
      <w:r w:rsidR="009632F7" w:rsidRPr="00B629B2">
        <w:rPr>
          <w:szCs w:val="24"/>
        </w:rPr>
        <w:t>Gade</w:t>
      </w:r>
      <w:proofErr w:type="spellEnd"/>
      <w:r w:rsidR="009632F7" w:rsidRPr="00B629B2">
        <w:rPr>
          <w:szCs w:val="24"/>
        </w:rPr>
        <w:t>, E. Thompson “</w:t>
      </w:r>
      <w:r w:rsidR="009632F7" w:rsidRPr="00B629B2">
        <w:rPr>
          <w:i/>
          <w:szCs w:val="24"/>
        </w:rPr>
        <w:t>Acoustics in Rock and Pop Music Halls”</w:t>
      </w:r>
      <w:r w:rsidR="009632F7" w:rsidRPr="00B629B2">
        <w:rPr>
          <w:szCs w:val="24"/>
        </w:rPr>
        <w:t xml:space="preserve">, </w:t>
      </w:r>
      <w:proofErr w:type="spellStart"/>
      <w:r w:rsidR="009632F7" w:rsidRPr="00B629B2">
        <w:rPr>
          <w:szCs w:val="24"/>
        </w:rPr>
        <w:t>Audion</w:t>
      </w:r>
      <w:proofErr w:type="spellEnd"/>
      <w:r w:rsidR="009632F7" w:rsidRPr="00B629B2">
        <w:rPr>
          <w:szCs w:val="24"/>
        </w:rPr>
        <w:t xml:space="preserve"> Engineering Society Convention 122</w:t>
      </w:r>
      <w:r w:rsidRPr="00B629B2">
        <w:rPr>
          <w:szCs w:val="24"/>
        </w:rPr>
        <w:t xml:space="preserve"> </w:t>
      </w:r>
      <w:r w:rsidR="009632F7" w:rsidRPr="00B629B2">
        <w:rPr>
          <w:szCs w:val="24"/>
        </w:rPr>
        <w:t>(</w:t>
      </w:r>
      <w:r w:rsidRPr="00B629B2">
        <w:rPr>
          <w:szCs w:val="24"/>
        </w:rPr>
        <w:t>2007</w:t>
      </w:r>
      <w:r w:rsidR="009632F7" w:rsidRPr="00B629B2">
        <w:rPr>
          <w:szCs w:val="24"/>
        </w:rPr>
        <w:t>)</w:t>
      </w:r>
    </w:p>
    <w:p w14:paraId="1862F6E8" w14:textId="77C02A2E" w:rsidR="000B3B98" w:rsidRPr="00B629B2" w:rsidRDefault="000B3B98">
      <w:pPr>
        <w:spacing w:after="0" w:line="240" w:lineRule="auto"/>
        <w:jc w:val="both"/>
        <w:rPr>
          <w:szCs w:val="24"/>
        </w:rPr>
      </w:pPr>
      <w:r w:rsidRPr="00B629B2">
        <w:rPr>
          <w:szCs w:val="24"/>
        </w:rPr>
        <w:t xml:space="preserve">10. </w:t>
      </w:r>
      <w:r w:rsidR="009632F7" w:rsidRPr="00B629B2">
        <w:rPr>
          <w:szCs w:val="24"/>
        </w:rPr>
        <w:t>British Standards Institute “</w:t>
      </w:r>
      <w:r w:rsidR="009632F7" w:rsidRPr="00B629B2">
        <w:rPr>
          <w:i/>
          <w:szCs w:val="24"/>
        </w:rPr>
        <w:t>BS EN 60268-16:2011 Sound System Equipment. Part 16: Objective Rating of Speech Intelligibility by Speech Transmission Index”</w:t>
      </w:r>
      <w:r w:rsidR="009632F7" w:rsidRPr="00B629B2">
        <w:rPr>
          <w:szCs w:val="24"/>
        </w:rPr>
        <w:t xml:space="preserve"> BSI (2011)</w:t>
      </w:r>
    </w:p>
    <w:p w14:paraId="0CD42FBF" w14:textId="65218709" w:rsidR="00843002" w:rsidRPr="00B629B2" w:rsidRDefault="00843002" w:rsidP="00843002">
      <w:pPr>
        <w:spacing w:after="0" w:line="240" w:lineRule="auto"/>
        <w:jc w:val="both"/>
        <w:rPr>
          <w:szCs w:val="24"/>
        </w:rPr>
      </w:pPr>
      <w:r w:rsidRPr="00B629B2">
        <w:rPr>
          <w:szCs w:val="24"/>
        </w:rPr>
        <w:t xml:space="preserve">11 L. Gomez-Agustina, </w:t>
      </w:r>
      <w:r w:rsidRPr="00B629B2">
        <w:rPr>
          <w:i/>
          <w:szCs w:val="24"/>
        </w:rPr>
        <w:t>Improvement of Voice Alarm systems in underground stations</w:t>
      </w:r>
      <w:r w:rsidRPr="00B629B2">
        <w:rPr>
          <w:szCs w:val="24"/>
        </w:rPr>
        <w:t xml:space="preserve">, Reproduced Sound 2013, Proceeding of Institute of Acoustics Vol 35, Manchester, (Nov 2013) </w:t>
      </w:r>
    </w:p>
    <w:p w14:paraId="27A6D23D" w14:textId="63B221A3" w:rsidR="00B55DF4" w:rsidRPr="00B629B2" w:rsidRDefault="00B55DF4">
      <w:pPr>
        <w:spacing w:after="0" w:line="240" w:lineRule="auto"/>
        <w:jc w:val="both"/>
        <w:rPr>
          <w:szCs w:val="24"/>
        </w:rPr>
      </w:pPr>
      <w:r w:rsidRPr="00B629B2">
        <w:rPr>
          <w:szCs w:val="24"/>
        </w:rPr>
        <w:t>1</w:t>
      </w:r>
      <w:r w:rsidR="00153C1D" w:rsidRPr="00B629B2">
        <w:rPr>
          <w:szCs w:val="24"/>
        </w:rPr>
        <w:t>2</w:t>
      </w:r>
      <w:r w:rsidRPr="00B629B2">
        <w:rPr>
          <w:szCs w:val="24"/>
        </w:rPr>
        <w:t xml:space="preserve">. </w:t>
      </w:r>
      <w:r w:rsidR="009632F7" w:rsidRPr="00B629B2">
        <w:rPr>
          <w:szCs w:val="24"/>
        </w:rPr>
        <w:t xml:space="preserve">F. </w:t>
      </w:r>
      <w:proofErr w:type="spellStart"/>
      <w:r w:rsidRPr="00B629B2">
        <w:rPr>
          <w:szCs w:val="24"/>
        </w:rPr>
        <w:t>Martellota</w:t>
      </w:r>
      <w:proofErr w:type="spellEnd"/>
      <w:r w:rsidR="009632F7" w:rsidRPr="00B629B2">
        <w:rPr>
          <w:szCs w:val="24"/>
        </w:rPr>
        <w:t>, E. Cirillo “</w:t>
      </w:r>
      <w:r w:rsidR="009632F7" w:rsidRPr="00B629B2">
        <w:rPr>
          <w:i/>
          <w:szCs w:val="24"/>
        </w:rPr>
        <w:t>Experimental Studies of Sound Absorption by Church Pews”</w:t>
      </w:r>
      <w:r w:rsidR="009632F7" w:rsidRPr="00B629B2">
        <w:rPr>
          <w:szCs w:val="24"/>
        </w:rPr>
        <w:t xml:space="preserve"> </w:t>
      </w:r>
      <w:r w:rsidR="003E40C5" w:rsidRPr="00B629B2">
        <w:rPr>
          <w:szCs w:val="24"/>
        </w:rPr>
        <w:t>Applied Acoustics, 70 (3), pp. 441-449 (2009)</w:t>
      </w:r>
      <w:r w:rsidRPr="00B629B2">
        <w:rPr>
          <w:szCs w:val="24"/>
        </w:rPr>
        <w:t xml:space="preserve"> </w:t>
      </w:r>
    </w:p>
    <w:p w14:paraId="45DC2B3A" w14:textId="43C14541" w:rsidR="00B55DF4" w:rsidRPr="00B629B2" w:rsidRDefault="00B55DF4">
      <w:pPr>
        <w:spacing w:after="0" w:line="240" w:lineRule="auto"/>
        <w:jc w:val="both"/>
        <w:rPr>
          <w:szCs w:val="24"/>
        </w:rPr>
      </w:pPr>
      <w:r w:rsidRPr="00B629B2">
        <w:rPr>
          <w:szCs w:val="24"/>
        </w:rPr>
        <w:t>1</w:t>
      </w:r>
      <w:r w:rsidR="00153C1D" w:rsidRPr="00B629B2">
        <w:rPr>
          <w:szCs w:val="24"/>
        </w:rPr>
        <w:t>3</w:t>
      </w:r>
      <w:r w:rsidRPr="00B629B2">
        <w:rPr>
          <w:szCs w:val="24"/>
        </w:rPr>
        <w:t xml:space="preserve">. </w:t>
      </w:r>
      <w:r w:rsidR="003E40C5" w:rsidRPr="00B629B2">
        <w:rPr>
          <w:szCs w:val="24"/>
        </w:rPr>
        <w:t xml:space="preserve">F. </w:t>
      </w:r>
      <w:r w:rsidRPr="00B629B2">
        <w:rPr>
          <w:szCs w:val="24"/>
        </w:rPr>
        <w:t>Martellotta</w:t>
      </w:r>
      <w:r w:rsidR="003E40C5" w:rsidRPr="00B629B2">
        <w:rPr>
          <w:szCs w:val="24"/>
        </w:rPr>
        <w:t xml:space="preserve">, S. </w:t>
      </w:r>
      <w:proofErr w:type="spellStart"/>
      <w:r w:rsidR="003E40C5" w:rsidRPr="00B629B2">
        <w:rPr>
          <w:szCs w:val="24"/>
        </w:rPr>
        <w:t>Crociata</w:t>
      </w:r>
      <w:proofErr w:type="spellEnd"/>
      <w:r w:rsidR="003E40C5" w:rsidRPr="00B629B2">
        <w:rPr>
          <w:szCs w:val="24"/>
        </w:rPr>
        <w:t xml:space="preserve">, M. </w:t>
      </w:r>
      <w:proofErr w:type="spellStart"/>
      <w:r w:rsidR="003E40C5" w:rsidRPr="00B629B2">
        <w:rPr>
          <w:szCs w:val="24"/>
        </w:rPr>
        <w:t>D’Alba</w:t>
      </w:r>
      <w:proofErr w:type="spellEnd"/>
      <w:r w:rsidR="003E40C5" w:rsidRPr="00B629B2">
        <w:rPr>
          <w:szCs w:val="24"/>
        </w:rPr>
        <w:t xml:space="preserve"> “</w:t>
      </w:r>
      <w:r w:rsidR="003E40C5" w:rsidRPr="00B629B2">
        <w:rPr>
          <w:i/>
          <w:szCs w:val="24"/>
        </w:rPr>
        <w:t xml:space="preserve">On Site Validation of Sound Absorption Measurements of </w:t>
      </w:r>
      <w:proofErr w:type="spellStart"/>
      <w:r w:rsidR="003E40C5" w:rsidRPr="00B629B2">
        <w:rPr>
          <w:i/>
          <w:szCs w:val="24"/>
        </w:rPr>
        <w:t>Occipues</w:t>
      </w:r>
      <w:proofErr w:type="spellEnd"/>
      <w:r w:rsidR="003E40C5" w:rsidRPr="00B629B2">
        <w:rPr>
          <w:i/>
          <w:szCs w:val="24"/>
        </w:rPr>
        <w:t xml:space="preserve"> Pews”</w:t>
      </w:r>
      <w:r w:rsidR="003E40C5" w:rsidRPr="00B629B2">
        <w:rPr>
          <w:szCs w:val="24"/>
        </w:rPr>
        <w:t xml:space="preserve"> Applied Acoustics, 72 (12), pp. 923-933 (2011)</w:t>
      </w:r>
    </w:p>
    <w:p w14:paraId="2A732B56" w14:textId="688A9CB0" w:rsidR="009B5F77" w:rsidRPr="00B629B2" w:rsidRDefault="009B5F77">
      <w:pPr>
        <w:spacing w:after="0" w:line="240" w:lineRule="auto"/>
        <w:jc w:val="both"/>
        <w:rPr>
          <w:szCs w:val="24"/>
        </w:rPr>
      </w:pPr>
      <w:r w:rsidRPr="00B629B2">
        <w:rPr>
          <w:szCs w:val="24"/>
        </w:rPr>
        <w:t>1</w:t>
      </w:r>
      <w:r w:rsidR="00E70092" w:rsidRPr="00B629B2">
        <w:rPr>
          <w:szCs w:val="24"/>
        </w:rPr>
        <w:t>4</w:t>
      </w:r>
      <w:r w:rsidRPr="00B629B2">
        <w:rPr>
          <w:szCs w:val="24"/>
        </w:rPr>
        <w:t xml:space="preserve">. </w:t>
      </w:r>
      <w:r w:rsidR="003E40C5" w:rsidRPr="00B629B2">
        <w:rPr>
          <w:szCs w:val="24"/>
        </w:rPr>
        <w:t>British Standards Institute “</w:t>
      </w:r>
      <w:r w:rsidR="003E40C5" w:rsidRPr="00B629B2">
        <w:rPr>
          <w:i/>
          <w:szCs w:val="24"/>
        </w:rPr>
        <w:t>BS 5839-8:2013 Fire Detection and Fire Alarm Systems for Buildings – Part 8: Code of Practice for the Design, Installation, Commissioning and Maintenance of Voice Alarm Systems”</w:t>
      </w:r>
      <w:r w:rsidR="003E40C5" w:rsidRPr="00B629B2">
        <w:rPr>
          <w:szCs w:val="24"/>
        </w:rPr>
        <w:t>, BSI (2013)</w:t>
      </w:r>
    </w:p>
    <w:p w14:paraId="41A4CB55" w14:textId="60145F3C" w:rsidR="008E386F" w:rsidRPr="00B629B2" w:rsidRDefault="008E386F" w:rsidP="008E386F">
      <w:pPr>
        <w:spacing w:after="0" w:line="240" w:lineRule="auto"/>
        <w:jc w:val="both"/>
        <w:rPr>
          <w:szCs w:val="24"/>
        </w:rPr>
      </w:pPr>
      <w:r w:rsidRPr="00B629B2">
        <w:rPr>
          <w:szCs w:val="24"/>
        </w:rPr>
        <w:t>15. CATT “</w:t>
      </w:r>
      <w:r w:rsidRPr="00B629B2">
        <w:rPr>
          <w:i/>
          <w:szCs w:val="24"/>
        </w:rPr>
        <w:t>CATT-A v9.0 User’s Manual”</w:t>
      </w:r>
      <w:r w:rsidRPr="00B629B2">
        <w:rPr>
          <w:szCs w:val="24"/>
        </w:rPr>
        <w:t xml:space="preserve"> CATT (2011)</w:t>
      </w:r>
    </w:p>
    <w:p w14:paraId="348436BF" w14:textId="28A9F01E" w:rsidR="00777FF3" w:rsidRPr="00B629B2" w:rsidRDefault="00777FF3">
      <w:pPr>
        <w:spacing w:after="0" w:line="240" w:lineRule="auto"/>
        <w:jc w:val="both"/>
        <w:rPr>
          <w:szCs w:val="24"/>
        </w:rPr>
      </w:pPr>
      <w:r w:rsidRPr="00B629B2">
        <w:rPr>
          <w:szCs w:val="24"/>
        </w:rPr>
        <w:t>1</w:t>
      </w:r>
      <w:r w:rsidR="008E386F" w:rsidRPr="00B629B2">
        <w:rPr>
          <w:szCs w:val="24"/>
        </w:rPr>
        <w:t>6</w:t>
      </w:r>
      <w:r w:rsidRPr="00B629B2">
        <w:rPr>
          <w:szCs w:val="24"/>
        </w:rPr>
        <w:t>. British Standards Institute “</w:t>
      </w:r>
      <w:r w:rsidRPr="00B629B2">
        <w:rPr>
          <w:i/>
          <w:szCs w:val="24"/>
        </w:rPr>
        <w:t>BS EN 50849:2017. Sound systems for emergency purposes”</w:t>
      </w:r>
      <w:r w:rsidRPr="00B629B2">
        <w:rPr>
          <w:szCs w:val="24"/>
        </w:rPr>
        <w:t xml:space="preserve"> BSI (2017)</w:t>
      </w:r>
    </w:p>
    <w:p w14:paraId="1F523EDD" w14:textId="5B2A6C78" w:rsidR="003F4C9B" w:rsidRPr="00B629B2" w:rsidRDefault="003F4C9B">
      <w:pPr>
        <w:spacing w:after="0" w:line="240" w:lineRule="auto"/>
        <w:jc w:val="both"/>
        <w:rPr>
          <w:szCs w:val="24"/>
        </w:rPr>
      </w:pPr>
      <w:r w:rsidRPr="00B629B2">
        <w:rPr>
          <w:szCs w:val="24"/>
        </w:rPr>
        <w:t>1</w:t>
      </w:r>
      <w:r w:rsidR="008E386F" w:rsidRPr="00B629B2">
        <w:rPr>
          <w:szCs w:val="24"/>
        </w:rPr>
        <w:t>7</w:t>
      </w:r>
      <w:r w:rsidRPr="00B629B2">
        <w:rPr>
          <w:szCs w:val="24"/>
        </w:rPr>
        <w:t xml:space="preserve">. </w:t>
      </w:r>
      <w:r w:rsidR="003E40C5" w:rsidRPr="00B629B2">
        <w:rPr>
          <w:szCs w:val="24"/>
        </w:rPr>
        <w:t xml:space="preserve">T. </w:t>
      </w:r>
      <w:r w:rsidRPr="00B629B2">
        <w:rPr>
          <w:szCs w:val="24"/>
        </w:rPr>
        <w:t>Cox</w:t>
      </w:r>
      <w:r w:rsidR="003E40C5" w:rsidRPr="00B629B2">
        <w:rPr>
          <w:szCs w:val="24"/>
        </w:rPr>
        <w:t>, P.</w:t>
      </w:r>
      <w:r w:rsidRPr="00B629B2">
        <w:rPr>
          <w:szCs w:val="24"/>
        </w:rPr>
        <w:t xml:space="preserve"> </w:t>
      </w:r>
      <w:proofErr w:type="spellStart"/>
      <w:r w:rsidRPr="00B629B2">
        <w:rPr>
          <w:szCs w:val="24"/>
        </w:rPr>
        <w:t>D’Antonio</w:t>
      </w:r>
      <w:proofErr w:type="spellEnd"/>
      <w:r w:rsidR="003E40C5" w:rsidRPr="00B629B2">
        <w:rPr>
          <w:szCs w:val="24"/>
        </w:rPr>
        <w:t xml:space="preserve"> “</w:t>
      </w:r>
      <w:r w:rsidR="003E40C5" w:rsidRPr="00B629B2">
        <w:rPr>
          <w:i/>
          <w:szCs w:val="24"/>
        </w:rPr>
        <w:t>Acoustic Absorbers and Diffusers: Theory, Design and Application”,</w:t>
      </w:r>
      <w:r w:rsidR="003E40C5" w:rsidRPr="00B629B2">
        <w:rPr>
          <w:szCs w:val="24"/>
        </w:rPr>
        <w:t xml:space="preserve"> Taylor and Francis (2009)</w:t>
      </w:r>
    </w:p>
    <w:p w14:paraId="314255BD" w14:textId="593B91C6" w:rsidR="003F4C9B" w:rsidRPr="00B629B2" w:rsidRDefault="003F4C9B">
      <w:pPr>
        <w:spacing w:after="0" w:line="240" w:lineRule="auto"/>
        <w:jc w:val="both"/>
        <w:rPr>
          <w:szCs w:val="24"/>
        </w:rPr>
      </w:pPr>
      <w:r w:rsidRPr="00B629B2">
        <w:rPr>
          <w:szCs w:val="24"/>
        </w:rPr>
        <w:t>1</w:t>
      </w:r>
      <w:r w:rsidR="008E386F" w:rsidRPr="00B629B2">
        <w:rPr>
          <w:szCs w:val="24"/>
        </w:rPr>
        <w:t>8</w:t>
      </w:r>
      <w:r w:rsidRPr="00B629B2">
        <w:rPr>
          <w:szCs w:val="24"/>
        </w:rPr>
        <w:t xml:space="preserve">. </w:t>
      </w:r>
      <w:r w:rsidR="003E40C5" w:rsidRPr="00B629B2">
        <w:rPr>
          <w:szCs w:val="24"/>
        </w:rPr>
        <w:t>British Standards Institute “</w:t>
      </w:r>
      <w:r w:rsidR="003E40C5" w:rsidRPr="00B629B2">
        <w:rPr>
          <w:i/>
          <w:szCs w:val="24"/>
        </w:rPr>
        <w:t xml:space="preserve">BS 9999:2017 Fire Safety in the Design, Management and Use of Buildings – Code of Practice” </w:t>
      </w:r>
      <w:r w:rsidR="003E40C5" w:rsidRPr="00B629B2">
        <w:rPr>
          <w:szCs w:val="24"/>
        </w:rPr>
        <w:t>BSI (2017)</w:t>
      </w:r>
    </w:p>
    <w:p w14:paraId="764125C9" w14:textId="5D544786" w:rsidR="00E932C8" w:rsidRPr="00B629B2" w:rsidRDefault="00E932C8">
      <w:pPr>
        <w:spacing w:after="0" w:line="240" w:lineRule="auto"/>
        <w:jc w:val="both"/>
        <w:rPr>
          <w:szCs w:val="24"/>
        </w:rPr>
      </w:pPr>
      <w:r w:rsidRPr="00B629B2">
        <w:rPr>
          <w:szCs w:val="24"/>
        </w:rPr>
        <w:t>1</w:t>
      </w:r>
      <w:r w:rsidR="008E386F" w:rsidRPr="00B629B2">
        <w:rPr>
          <w:szCs w:val="24"/>
        </w:rPr>
        <w:t>9</w:t>
      </w:r>
      <w:r w:rsidRPr="00B629B2">
        <w:rPr>
          <w:szCs w:val="24"/>
        </w:rPr>
        <w:t>. London Underground “</w:t>
      </w:r>
      <w:r w:rsidRPr="00B629B2">
        <w:rPr>
          <w:i/>
          <w:szCs w:val="24"/>
        </w:rPr>
        <w:t>S1371 A6 Station Planning”</w:t>
      </w:r>
      <w:r w:rsidRPr="00B629B2">
        <w:rPr>
          <w:szCs w:val="24"/>
        </w:rPr>
        <w:t xml:space="preserve"> Transport for London, (2016)</w:t>
      </w:r>
    </w:p>
    <w:p w14:paraId="12A54DD5" w14:textId="5609E68F" w:rsidR="00E932C8" w:rsidRPr="00B629B2" w:rsidRDefault="002A05AA">
      <w:pPr>
        <w:spacing w:after="0" w:line="240" w:lineRule="auto"/>
        <w:jc w:val="both"/>
        <w:rPr>
          <w:szCs w:val="24"/>
        </w:rPr>
      </w:pPr>
      <w:r w:rsidRPr="00B629B2">
        <w:rPr>
          <w:szCs w:val="24"/>
        </w:rPr>
        <w:t>20</w:t>
      </w:r>
      <w:r w:rsidR="00E932C8" w:rsidRPr="00B629B2">
        <w:rPr>
          <w:szCs w:val="24"/>
        </w:rPr>
        <w:t xml:space="preserve">. J. </w:t>
      </w:r>
      <w:proofErr w:type="spellStart"/>
      <w:r w:rsidR="00E932C8" w:rsidRPr="00B629B2">
        <w:rPr>
          <w:szCs w:val="24"/>
        </w:rPr>
        <w:t>Fruin</w:t>
      </w:r>
      <w:proofErr w:type="spellEnd"/>
      <w:r w:rsidR="00E932C8" w:rsidRPr="00B629B2">
        <w:rPr>
          <w:szCs w:val="24"/>
        </w:rPr>
        <w:t>, “</w:t>
      </w:r>
      <w:r w:rsidR="00E932C8" w:rsidRPr="00B629B2">
        <w:rPr>
          <w:i/>
          <w:szCs w:val="24"/>
        </w:rPr>
        <w:t>Designing for pedestrians. A level-of-service concept”</w:t>
      </w:r>
      <w:r w:rsidR="00E932C8" w:rsidRPr="00B629B2">
        <w:rPr>
          <w:szCs w:val="24"/>
        </w:rPr>
        <w:t xml:space="preserve">, Metropolitan Associate of Urban Designer and Environmental Planners (1971) </w:t>
      </w:r>
    </w:p>
    <w:p w14:paraId="77B6B2EE" w14:textId="545AFB79" w:rsidR="00E12B0C" w:rsidRPr="00B629B2" w:rsidRDefault="00E932C8" w:rsidP="00B0089B">
      <w:pPr>
        <w:rPr>
          <w:szCs w:val="24"/>
        </w:rPr>
      </w:pPr>
      <w:r w:rsidRPr="00B629B2">
        <w:rPr>
          <w:szCs w:val="24"/>
        </w:rPr>
        <w:t>2</w:t>
      </w:r>
      <w:r w:rsidR="00777FF3" w:rsidRPr="00B629B2">
        <w:rPr>
          <w:szCs w:val="24"/>
        </w:rPr>
        <w:t>1</w:t>
      </w:r>
      <w:r w:rsidR="00CA0CD0" w:rsidRPr="00B629B2">
        <w:rPr>
          <w:szCs w:val="24"/>
        </w:rPr>
        <w:t>. L. Gomez-Agustina, S. Dance, B. Shield “</w:t>
      </w:r>
      <w:r w:rsidR="00CA0CD0" w:rsidRPr="00B629B2">
        <w:rPr>
          <w:i/>
          <w:szCs w:val="24"/>
        </w:rPr>
        <w:t>The effects of air temperature and humidity on the acoustic design of voice alarm systems on underground stations”</w:t>
      </w:r>
      <w:r w:rsidR="00CA0CD0" w:rsidRPr="00B629B2">
        <w:rPr>
          <w:szCs w:val="24"/>
        </w:rPr>
        <w:t xml:space="preserve"> Applied Acoustics, 76 262-273 (2014)</w:t>
      </w:r>
    </w:p>
    <w:sectPr w:rsidR="00E12B0C" w:rsidRPr="00B629B2" w:rsidSect="00C51217">
      <w:footerReference w:type="default" r:id="rId2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0688D" w14:textId="77777777" w:rsidR="00D94272" w:rsidRDefault="00D94272">
      <w:pPr>
        <w:spacing w:after="0" w:line="240" w:lineRule="auto"/>
      </w:pPr>
      <w:r>
        <w:separator/>
      </w:r>
    </w:p>
  </w:endnote>
  <w:endnote w:type="continuationSeparator" w:id="0">
    <w:p w14:paraId="6BDF4668" w14:textId="77777777" w:rsidR="00D94272" w:rsidRDefault="00D9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8401" w14:textId="77777777" w:rsidR="003F59C8" w:rsidRDefault="003F59C8">
    <w:pPr>
      <w:pBdr>
        <w:top w:val="nil"/>
        <w:left w:val="nil"/>
        <w:bottom w:val="nil"/>
        <w:right w:val="nil"/>
        <w:between w:val="nil"/>
      </w:pBdr>
      <w:tabs>
        <w:tab w:val="center" w:pos="4513"/>
        <w:tab w:val="right" w:pos="9026"/>
      </w:tabs>
      <w:spacing w:after="0" w:line="240" w:lineRule="auto"/>
      <w:rPr>
        <w:color w:val="000000"/>
      </w:rPr>
    </w:pPr>
    <w:r>
      <w:rPr>
        <w:color w:val="000000"/>
      </w:rPr>
      <w:t>_______________________________</w:t>
    </w:r>
  </w:p>
  <w:p w14:paraId="6053D3E8" w14:textId="3A754565" w:rsidR="003F59C8" w:rsidRDefault="003F59C8">
    <w:pPr>
      <w:pBdr>
        <w:top w:val="nil"/>
        <w:left w:val="nil"/>
        <w:bottom w:val="nil"/>
        <w:right w:val="nil"/>
        <w:between w:val="nil"/>
      </w:pBdr>
      <w:tabs>
        <w:tab w:val="center" w:pos="4513"/>
        <w:tab w:val="right" w:pos="9026"/>
      </w:tabs>
      <w:spacing w:after="0" w:line="240" w:lineRule="auto"/>
      <w:rPr>
        <w:color w:val="000000"/>
      </w:rPr>
    </w:pPr>
    <w:r>
      <w:rPr>
        <w:color w:val="000000"/>
      </w:rPr>
      <w:t xml:space="preserve">1 </w:t>
    </w:r>
    <w:r w:rsidRPr="00E93046">
      <w:rPr>
        <w:color w:val="000000"/>
      </w:rPr>
      <w:t>graeme.littleford@gmail.com</w:t>
    </w:r>
    <w:r>
      <w:rPr>
        <w:color w:val="000000"/>
      </w:rPr>
      <w:t xml:space="preserve"> </w:t>
    </w:r>
  </w:p>
  <w:p w14:paraId="0AF5584F" w14:textId="77777777" w:rsidR="003F59C8" w:rsidRDefault="003F59C8">
    <w:pPr>
      <w:pBdr>
        <w:top w:val="nil"/>
        <w:left w:val="nil"/>
        <w:bottom w:val="nil"/>
        <w:right w:val="nil"/>
        <w:between w:val="nil"/>
      </w:pBdr>
      <w:tabs>
        <w:tab w:val="center" w:pos="4513"/>
        <w:tab w:val="right" w:pos="9026"/>
      </w:tabs>
      <w:spacing w:after="0" w:line="240" w:lineRule="auto"/>
      <w:rPr>
        <w:color w:val="000000"/>
      </w:rPr>
    </w:pPr>
    <w:r>
      <w:rPr>
        <w:color w:val="000000"/>
      </w:rPr>
      <w:t>2 gomezagl@lsbu.ac.uk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2656F" w14:textId="77777777" w:rsidR="003F59C8" w:rsidRPr="009B5F77" w:rsidRDefault="003F59C8" w:rsidP="009B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CECBA" w14:textId="77777777" w:rsidR="00D94272" w:rsidRDefault="00D94272">
      <w:pPr>
        <w:spacing w:after="0" w:line="240" w:lineRule="auto"/>
      </w:pPr>
      <w:r>
        <w:separator/>
      </w:r>
    </w:p>
  </w:footnote>
  <w:footnote w:type="continuationSeparator" w:id="0">
    <w:p w14:paraId="5C55BCE9" w14:textId="77777777" w:rsidR="00D94272" w:rsidRDefault="00D9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79ED"/>
    <w:multiLevelType w:val="hybridMultilevel"/>
    <w:tmpl w:val="A48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72231"/>
    <w:multiLevelType w:val="hybridMultilevel"/>
    <w:tmpl w:val="F66C3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8C4388"/>
    <w:multiLevelType w:val="hybridMultilevel"/>
    <w:tmpl w:val="E536D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2B0C"/>
    <w:rsid w:val="000012D4"/>
    <w:rsid w:val="00026D53"/>
    <w:rsid w:val="0004603A"/>
    <w:rsid w:val="0005720B"/>
    <w:rsid w:val="000709A8"/>
    <w:rsid w:val="00077314"/>
    <w:rsid w:val="000A4D93"/>
    <w:rsid w:val="000B3B98"/>
    <w:rsid w:val="000D3DD6"/>
    <w:rsid w:val="000D55A2"/>
    <w:rsid w:val="00107C65"/>
    <w:rsid w:val="001276DC"/>
    <w:rsid w:val="00153C1D"/>
    <w:rsid w:val="00157BD2"/>
    <w:rsid w:val="00172CEF"/>
    <w:rsid w:val="0017683F"/>
    <w:rsid w:val="001A73FB"/>
    <w:rsid w:val="001E4B0A"/>
    <w:rsid w:val="00202B2F"/>
    <w:rsid w:val="00206C13"/>
    <w:rsid w:val="00213F95"/>
    <w:rsid w:val="00244B52"/>
    <w:rsid w:val="00291275"/>
    <w:rsid w:val="002A05AA"/>
    <w:rsid w:val="002A2747"/>
    <w:rsid w:val="002A3DEA"/>
    <w:rsid w:val="002B3E39"/>
    <w:rsid w:val="002D0A09"/>
    <w:rsid w:val="002D22E5"/>
    <w:rsid w:val="002F0DD4"/>
    <w:rsid w:val="002F3B52"/>
    <w:rsid w:val="003033DB"/>
    <w:rsid w:val="00315A45"/>
    <w:rsid w:val="003169E0"/>
    <w:rsid w:val="003366F3"/>
    <w:rsid w:val="003432BE"/>
    <w:rsid w:val="00344702"/>
    <w:rsid w:val="0036216A"/>
    <w:rsid w:val="00362A8C"/>
    <w:rsid w:val="00370132"/>
    <w:rsid w:val="003C176D"/>
    <w:rsid w:val="003D7785"/>
    <w:rsid w:val="003E40C5"/>
    <w:rsid w:val="003E6082"/>
    <w:rsid w:val="003F4C9B"/>
    <w:rsid w:val="003F59C8"/>
    <w:rsid w:val="00412277"/>
    <w:rsid w:val="00417E7C"/>
    <w:rsid w:val="0043683D"/>
    <w:rsid w:val="00491097"/>
    <w:rsid w:val="004D4973"/>
    <w:rsid w:val="0053460F"/>
    <w:rsid w:val="005575AC"/>
    <w:rsid w:val="005942EF"/>
    <w:rsid w:val="005B149D"/>
    <w:rsid w:val="005B5B2F"/>
    <w:rsid w:val="005D5345"/>
    <w:rsid w:val="006138F0"/>
    <w:rsid w:val="00661FBF"/>
    <w:rsid w:val="00671396"/>
    <w:rsid w:val="00686ECD"/>
    <w:rsid w:val="006B794F"/>
    <w:rsid w:val="006F6AC9"/>
    <w:rsid w:val="007001A4"/>
    <w:rsid w:val="00702267"/>
    <w:rsid w:val="00762A32"/>
    <w:rsid w:val="00767F9F"/>
    <w:rsid w:val="00777FF3"/>
    <w:rsid w:val="00786F95"/>
    <w:rsid w:val="0078784E"/>
    <w:rsid w:val="00791F6C"/>
    <w:rsid w:val="007A7911"/>
    <w:rsid w:val="007C15B2"/>
    <w:rsid w:val="00820FB0"/>
    <w:rsid w:val="00830233"/>
    <w:rsid w:val="00843002"/>
    <w:rsid w:val="008537E8"/>
    <w:rsid w:val="00864E80"/>
    <w:rsid w:val="0087367A"/>
    <w:rsid w:val="00894DB6"/>
    <w:rsid w:val="008B518A"/>
    <w:rsid w:val="008D398E"/>
    <w:rsid w:val="008E386F"/>
    <w:rsid w:val="009122CB"/>
    <w:rsid w:val="00945B2D"/>
    <w:rsid w:val="009632F7"/>
    <w:rsid w:val="00980529"/>
    <w:rsid w:val="00992ABA"/>
    <w:rsid w:val="009A1A9D"/>
    <w:rsid w:val="009B5F77"/>
    <w:rsid w:val="009C111E"/>
    <w:rsid w:val="00A01E73"/>
    <w:rsid w:val="00A06209"/>
    <w:rsid w:val="00A07FD1"/>
    <w:rsid w:val="00A10AC1"/>
    <w:rsid w:val="00A415E8"/>
    <w:rsid w:val="00A4352B"/>
    <w:rsid w:val="00A6099B"/>
    <w:rsid w:val="00A64AA8"/>
    <w:rsid w:val="00A76731"/>
    <w:rsid w:val="00AA190E"/>
    <w:rsid w:val="00AB2512"/>
    <w:rsid w:val="00AE11A0"/>
    <w:rsid w:val="00AF62FE"/>
    <w:rsid w:val="00B0089B"/>
    <w:rsid w:val="00B20059"/>
    <w:rsid w:val="00B235A8"/>
    <w:rsid w:val="00B44609"/>
    <w:rsid w:val="00B5328B"/>
    <w:rsid w:val="00B55DF4"/>
    <w:rsid w:val="00B629B2"/>
    <w:rsid w:val="00BB5A10"/>
    <w:rsid w:val="00BD0AB8"/>
    <w:rsid w:val="00BD3450"/>
    <w:rsid w:val="00BE5A03"/>
    <w:rsid w:val="00C0391F"/>
    <w:rsid w:val="00C32194"/>
    <w:rsid w:val="00C51217"/>
    <w:rsid w:val="00C771A7"/>
    <w:rsid w:val="00C86A5C"/>
    <w:rsid w:val="00C918DF"/>
    <w:rsid w:val="00C92CCB"/>
    <w:rsid w:val="00CA0CD0"/>
    <w:rsid w:val="00CB261D"/>
    <w:rsid w:val="00CB4EFC"/>
    <w:rsid w:val="00CC168A"/>
    <w:rsid w:val="00CD0385"/>
    <w:rsid w:val="00CE5271"/>
    <w:rsid w:val="00D06AAC"/>
    <w:rsid w:val="00D10155"/>
    <w:rsid w:val="00D460A5"/>
    <w:rsid w:val="00D518AA"/>
    <w:rsid w:val="00D676DD"/>
    <w:rsid w:val="00D67C52"/>
    <w:rsid w:val="00D82C20"/>
    <w:rsid w:val="00D902EC"/>
    <w:rsid w:val="00D94272"/>
    <w:rsid w:val="00DB12B2"/>
    <w:rsid w:val="00DC76DD"/>
    <w:rsid w:val="00DF69F0"/>
    <w:rsid w:val="00E12B0C"/>
    <w:rsid w:val="00E157E8"/>
    <w:rsid w:val="00E2068C"/>
    <w:rsid w:val="00E22C03"/>
    <w:rsid w:val="00E45CD5"/>
    <w:rsid w:val="00E461EE"/>
    <w:rsid w:val="00E52CFB"/>
    <w:rsid w:val="00E531B2"/>
    <w:rsid w:val="00E64CEC"/>
    <w:rsid w:val="00E70092"/>
    <w:rsid w:val="00E93046"/>
    <w:rsid w:val="00E932C8"/>
    <w:rsid w:val="00ED06B8"/>
    <w:rsid w:val="00ED7209"/>
    <w:rsid w:val="00EE496D"/>
    <w:rsid w:val="00F225B7"/>
    <w:rsid w:val="00F2547E"/>
    <w:rsid w:val="00F34489"/>
    <w:rsid w:val="00F42EAC"/>
    <w:rsid w:val="00F53CE6"/>
    <w:rsid w:val="00F61CD4"/>
    <w:rsid w:val="00F7258B"/>
    <w:rsid w:val="00F92078"/>
    <w:rsid w:val="00FB3C47"/>
    <w:rsid w:val="00FC02AA"/>
    <w:rsid w:val="00FD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E8"/>
    <w:pPr>
      <w:tabs>
        <w:tab w:val="left" w:pos="284"/>
      </w:tabs>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Arial" w:eastAsia="Arial" w:hAnsi="Arial" w:cs="Arial"/>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Arial" w:eastAsia="Arial" w:hAnsi="Arial" w:cs="Arial"/>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5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4D93"/>
    <w:rPr>
      <w:color w:val="808080"/>
    </w:rPr>
  </w:style>
  <w:style w:type="paragraph" w:styleId="BalloonText">
    <w:name w:val="Balloon Text"/>
    <w:basedOn w:val="Normal"/>
    <w:link w:val="BalloonTextChar"/>
    <w:uiPriority w:val="99"/>
    <w:semiHidden/>
    <w:unhideWhenUsed/>
    <w:rsid w:val="0036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6A"/>
    <w:rPr>
      <w:rFonts w:ascii="Segoe UI" w:hAnsi="Segoe UI" w:cs="Segoe UI"/>
      <w:sz w:val="18"/>
      <w:szCs w:val="18"/>
    </w:rPr>
  </w:style>
  <w:style w:type="paragraph" w:styleId="ListParagraph">
    <w:name w:val="List Paragraph"/>
    <w:basedOn w:val="Normal"/>
    <w:uiPriority w:val="34"/>
    <w:qFormat/>
    <w:rsid w:val="003C176D"/>
    <w:pPr>
      <w:ind w:left="720"/>
      <w:contextualSpacing/>
    </w:pPr>
  </w:style>
  <w:style w:type="paragraph" w:styleId="Header">
    <w:name w:val="header"/>
    <w:basedOn w:val="Normal"/>
    <w:link w:val="HeaderChar"/>
    <w:uiPriority w:val="99"/>
    <w:unhideWhenUsed/>
    <w:rsid w:val="00C51217"/>
    <w:pPr>
      <w:tabs>
        <w:tab w:val="clear" w:pos="284"/>
        <w:tab w:val="center" w:pos="4513"/>
        <w:tab w:val="right" w:pos="9026"/>
      </w:tabs>
      <w:spacing w:after="0" w:line="240" w:lineRule="auto"/>
    </w:pPr>
  </w:style>
  <w:style w:type="character" w:customStyle="1" w:styleId="HeaderChar">
    <w:name w:val="Header Char"/>
    <w:basedOn w:val="DefaultParagraphFont"/>
    <w:link w:val="Header"/>
    <w:uiPriority w:val="99"/>
    <w:rsid w:val="00C51217"/>
    <w:rPr>
      <w:sz w:val="24"/>
    </w:rPr>
  </w:style>
  <w:style w:type="paragraph" w:styleId="Footer">
    <w:name w:val="footer"/>
    <w:basedOn w:val="Normal"/>
    <w:link w:val="FooterChar"/>
    <w:uiPriority w:val="99"/>
    <w:unhideWhenUsed/>
    <w:rsid w:val="00C51217"/>
    <w:pPr>
      <w:tabs>
        <w:tab w:val="clear" w:pos="284"/>
        <w:tab w:val="center" w:pos="4513"/>
        <w:tab w:val="right" w:pos="9026"/>
      </w:tabs>
      <w:spacing w:after="0" w:line="240" w:lineRule="auto"/>
    </w:pPr>
  </w:style>
  <w:style w:type="character" w:customStyle="1" w:styleId="FooterChar">
    <w:name w:val="Footer Char"/>
    <w:basedOn w:val="DefaultParagraphFont"/>
    <w:link w:val="Footer"/>
    <w:uiPriority w:val="99"/>
    <w:rsid w:val="00C51217"/>
    <w:rPr>
      <w:sz w:val="24"/>
    </w:rPr>
  </w:style>
  <w:style w:type="character" w:styleId="CommentReference">
    <w:name w:val="annotation reference"/>
    <w:basedOn w:val="DefaultParagraphFont"/>
    <w:uiPriority w:val="99"/>
    <w:semiHidden/>
    <w:unhideWhenUsed/>
    <w:rsid w:val="00B0089B"/>
    <w:rPr>
      <w:sz w:val="16"/>
      <w:szCs w:val="16"/>
    </w:rPr>
  </w:style>
  <w:style w:type="paragraph" w:styleId="CommentText">
    <w:name w:val="annotation text"/>
    <w:basedOn w:val="Normal"/>
    <w:link w:val="CommentTextChar"/>
    <w:uiPriority w:val="99"/>
    <w:semiHidden/>
    <w:unhideWhenUsed/>
    <w:rsid w:val="00B0089B"/>
    <w:pPr>
      <w:spacing w:line="240" w:lineRule="auto"/>
    </w:pPr>
    <w:rPr>
      <w:sz w:val="20"/>
      <w:szCs w:val="20"/>
    </w:rPr>
  </w:style>
  <w:style w:type="character" w:customStyle="1" w:styleId="CommentTextChar">
    <w:name w:val="Comment Text Char"/>
    <w:basedOn w:val="DefaultParagraphFont"/>
    <w:link w:val="CommentText"/>
    <w:uiPriority w:val="99"/>
    <w:semiHidden/>
    <w:rsid w:val="00B0089B"/>
    <w:rPr>
      <w:sz w:val="20"/>
      <w:szCs w:val="20"/>
    </w:rPr>
  </w:style>
  <w:style w:type="paragraph" w:styleId="CommentSubject">
    <w:name w:val="annotation subject"/>
    <w:basedOn w:val="CommentText"/>
    <w:next w:val="CommentText"/>
    <w:link w:val="CommentSubjectChar"/>
    <w:uiPriority w:val="99"/>
    <w:semiHidden/>
    <w:unhideWhenUsed/>
    <w:rsid w:val="00B0089B"/>
    <w:rPr>
      <w:b/>
      <w:bCs/>
    </w:rPr>
  </w:style>
  <w:style w:type="character" w:customStyle="1" w:styleId="CommentSubjectChar">
    <w:name w:val="Comment Subject Char"/>
    <w:basedOn w:val="CommentTextChar"/>
    <w:link w:val="CommentSubject"/>
    <w:uiPriority w:val="99"/>
    <w:semiHidden/>
    <w:rsid w:val="00B0089B"/>
    <w:rPr>
      <w:b/>
      <w:bCs/>
      <w:sz w:val="20"/>
      <w:szCs w:val="20"/>
    </w:rPr>
  </w:style>
  <w:style w:type="paragraph" w:styleId="EndnoteText">
    <w:name w:val="endnote text"/>
    <w:basedOn w:val="Normal"/>
    <w:link w:val="EndnoteTextChar"/>
    <w:uiPriority w:val="99"/>
    <w:semiHidden/>
    <w:unhideWhenUsed/>
    <w:rsid w:val="000B3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B98"/>
    <w:rPr>
      <w:sz w:val="20"/>
      <w:szCs w:val="20"/>
    </w:rPr>
  </w:style>
  <w:style w:type="character" w:styleId="EndnoteReference">
    <w:name w:val="endnote reference"/>
    <w:basedOn w:val="DefaultParagraphFont"/>
    <w:uiPriority w:val="99"/>
    <w:semiHidden/>
    <w:unhideWhenUsed/>
    <w:rsid w:val="000B3B98"/>
    <w:rPr>
      <w:vertAlign w:val="superscript"/>
    </w:rPr>
  </w:style>
  <w:style w:type="character" w:styleId="Hyperlink">
    <w:name w:val="Hyperlink"/>
    <w:basedOn w:val="DefaultParagraphFont"/>
    <w:uiPriority w:val="99"/>
    <w:unhideWhenUsed/>
    <w:rsid w:val="00C771A7"/>
    <w:rPr>
      <w:color w:val="0000FF" w:themeColor="hyperlink"/>
      <w:u w:val="single"/>
    </w:rPr>
  </w:style>
  <w:style w:type="character" w:customStyle="1" w:styleId="UnresolvedMention1">
    <w:name w:val="Unresolved Mention1"/>
    <w:basedOn w:val="DefaultParagraphFont"/>
    <w:uiPriority w:val="99"/>
    <w:semiHidden/>
    <w:unhideWhenUsed/>
    <w:rsid w:val="00C771A7"/>
    <w:rPr>
      <w:color w:val="605E5C"/>
      <w:shd w:val="clear" w:color="auto" w:fill="E1DFDD"/>
    </w:rPr>
  </w:style>
  <w:style w:type="paragraph" w:styleId="Revision">
    <w:name w:val="Revision"/>
    <w:hidden/>
    <w:uiPriority w:val="99"/>
    <w:semiHidden/>
    <w:rsid w:val="003F59C8"/>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E8"/>
    <w:pPr>
      <w:tabs>
        <w:tab w:val="left" w:pos="284"/>
      </w:tabs>
    </w:pPr>
    <w:rPr>
      <w:sz w:val="24"/>
    </w:rPr>
  </w:style>
  <w:style w:type="paragraph" w:styleId="Heading1">
    <w:name w:val="heading 1"/>
    <w:basedOn w:val="Normal"/>
    <w:next w:val="Normal"/>
    <w:uiPriority w:val="9"/>
    <w:qFormat/>
    <w:pPr>
      <w:keepNext/>
      <w:keepLines/>
      <w:spacing w:before="480" w:after="0"/>
      <w:outlineLvl w:val="0"/>
    </w:pPr>
    <w:rPr>
      <w:rFonts w:ascii="Arial" w:eastAsia="Arial" w:hAnsi="Arial" w:cs="Arial"/>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Arial" w:eastAsia="Arial" w:hAnsi="Arial" w:cs="Arial"/>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Arial" w:eastAsia="Arial" w:hAnsi="Arial" w:cs="Arial"/>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5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4D93"/>
    <w:rPr>
      <w:color w:val="808080"/>
    </w:rPr>
  </w:style>
  <w:style w:type="paragraph" w:styleId="BalloonText">
    <w:name w:val="Balloon Text"/>
    <w:basedOn w:val="Normal"/>
    <w:link w:val="BalloonTextChar"/>
    <w:uiPriority w:val="99"/>
    <w:semiHidden/>
    <w:unhideWhenUsed/>
    <w:rsid w:val="0036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6A"/>
    <w:rPr>
      <w:rFonts w:ascii="Segoe UI" w:hAnsi="Segoe UI" w:cs="Segoe UI"/>
      <w:sz w:val="18"/>
      <w:szCs w:val="18"/>
    </w:rPr>
  </w:style>
  <w:style w:type="paragraph" w:styleId="ListParagraph">
    <w:name w:val="List Paragraph"/>
    <w:basedOn w:val="Normal"/>
    <w:uiPriority w:val="34"/>
    <w:qFormat/>
    <w:rsid w:val="003C176D"/>
    <w:pPr>
      <w:ind w:left="720"/>
      <w:contextualSpacing/>
    </w:pPr>
  </w:style>
  <w:style w:type="paragraph" w:styleId="Header">
    <w:name w:val="header"/>
    <w:basedOn w:val="Normal"/>
    <w:link w:val="HeaderChar"/>
    <w:uiPriority w:val="99"/>
    <w:unhideWhenUsed/>
    <w:rsid w:val="00C51217"/>
    <w:pPr>
      <w:tabs>
        <w:tab w:val="clear" w:pos="284"/>
        <w:tab w:val="center" w:pos="4513"/>
        <w:tab w:val="right" w:pos="9026"/>
      </w:tabs>
      <w:spacing w:after="0" w:line="240" w:lineRule="auto"/>
    </w:pPr>
  </w:style>
  <w:style w:type="character" w:customStyle="1" w:styleId="HeaderChar">
    <w:name w:val="Header Char"/>
    <w:basedOn w:val="DefaultParagraphFont"/>
    <w:link w:val="Header"/>
    <w:uiPriority w:val="99"/>
    <w:rsid w:val="00C51217"/>
    <w:rPr>
      <w:sz w:val="24"/>
    </w:rPr>
  </w:style>
  <w:style w:type="paragraph" w:styleId="Footer">
    <w:name w:val="footer"/>
    <w:basedOn w:val="Normal"/>
    <w:link w:val="FooterChar"/>
    <w:uiPriority w:val="99"/>
    <w:unhideWhenUsed/>
    <w:rsid w:val="00C51217"/>
    <w:pPr>
      <w:tabs>
        <w:tab w:val="clear" w:pos="284"/>
        <w:tab w:val="center" w:pos="4513"/>
        <w:tab w:val="right" w:pos="9026"/>
      </w:tabs>
      <w:spacing w:after="0" w:line="240" w:lineRule="auto"/>
    </w:pPr>
  </w:style>
  <w:style w:type="character" w:customStyle="1" w:styleId="FooterChar">
    <w:name w:val="Footer Char"/>
    <w:basedOn w:val="DefaultParagraphFont"/>
    <w:link w:val="Footer"/>
    <w:uiPriority w:val="99"/>
    <w:rsid w:val="00C51217"/>
    <w:rPr>
      <w:sz w:val="24"/>
    </w:rPr>
  </w:style>
  <w:style w:type="character" w:styleId="CommentReference">
    <w:name w:val="annotation reference"/>
    <w:basedOn w:val="DefaultParagraphFont"/>
    <w:uiPriority w:val="99"/>
    <w:semiHidden/>
    <w:unhideWhenUsed/>
    <w:rsid w:val="00B0089B"/>
    <w:rPr>
      <w:sz w:val="16"/>
      <w:szCs w:val="16"/>
    </w:rPr>
  </w:style>
  <w:style w:type="paragraph" w:styleId="CommentText">
    <w:name w:val="annotation text"/>
    <w:basedOn w:val="Normal"/>
    <w:link w:val="CommentTextChar"/>
    <w:uiPriority w:val="99"/>
    <w:semiHidden/>
    <w:unhideWhenUsed/>
    <w:rsid w:val="00B0089B"/>
    <w:pPr>
      <w:spacing w:line="240" w:lineRule="auto"/>
    </w:pPr>
    <w:rPr>
      <w:sz w:val="20"/>
      <w:szCs w:val="20"/>
    </w:rPr>
  </w:style>
  <w:style w:type="character" w:customStyle="1" w:styleId="CommentTextChar">
    <w:name w:val="Comment Text Char"/>
    <w:basedOn w:val="DefaultParagraphFont"/>
    <w:link w:val="CommentText"/>
    <w:uiPriority w:val="99"/>
    <w:semiHidden/>
    <w:rsid w:val="00B0089B"/>
    <w:rPr>
      <w:sz w:val="20"/>
      <w:szCs w:val="20"/>
    </w:rPr>
  </w:style>
  <w:style w:type="paragraph" w:styleId="CommentSubject">
    <w:name w:val="annotation subject"/>
    <w:basedOn w:val="CommentText"/>
    <w:next w:val="CommentText"/>
    <w:link w:val="CommentSubjectChar"/>
    <w:uiPriority w:val="99"/>
    <w:semiHidden/>
    <w:unhideWhenUsed/>
    <w:rsid w:val="00B0089B"/>
    <w:rPr>
      <w:b/>
      <w:bCs/>
    </w:rPr>
  </w:style>
  <w:style w:type="character" w:customStyle="1" w:styleId="CommentSubjectChar">
    <w:name w:val="Comment Subject Char"/>
    <w:basedOn w:val="CommentTextChar"/>
    <w:link w:val="CommentSubject"/>
    <w:uiPriority w:val="99"/>
    <w:semiHidden/>
    <w:rsid w:val="00B0089B"/>
    <w:rPr>
      <w:b/>
      <w:bCs/>
      <w:sz w:val="20"/>
      <w:szCs w:val="20"/>
    </w:rPr>
  </w:style>
  <w:style w:type="paragraph" w:styleId="EndnoteText">
    <w:name w:val="endnote text"/>
    <w:basedOn w:val="Normal"/>
    <w:link w:val="EndnoteTextChar"/>
    <w:uiPriority w:val="99"/>
    <w:semiHidden/>
    <w:unhideWhenUsed/>
    <w:rsid w:val="000B3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B98"/>
    <w:rPr>
      <w:sz w:val="20"/>
      <w:szCs w:val="20"/>
    </w:rPr>
  </w:style>
  <w:style w:type="character" w:styleId="EndnoteReference">
    <w:name w:val="endnote reference"/>
    <w:basedOn w:val="DefaultParagraphFont"/>
    <w:uiPriority w:val="99"/>
    <w:semiHidden/>
    <w:unhideWhenUsed/>
    <w:rsid w:val="000B3B98"/>
    <w:rPr>
      <w:vertAlign w:val="superscript"/>
    </w:rPr>
  </w:style>
  <w:style w:type="character" w:styleId="Hyperlink">
    <w:name w:val="Hyperlink"/>
    <w:basedOn w:val="DefaultParagraphFont"/>
    <w:uiPriority w:val="99"/>
    <w:unhideWhenUsed/>
    <w:rsid w:val="00C771A7"/>
    <w:rPr>
      <w:color w:val="0000FF" w:themeColor="hyperlink"/>
      <w:u w:val="single"/>
    </w:rPr>
  </w:style>
  <w:style w:type="character" w:customStyle="1" w:styleId="UnresolvedMention1">
    <w:name w:val="Unresolved Mention1"/>
    <w:basedOn w:val="DefaultParagraphFont"/>
    <w:uiPriority w:val="99"/>
    <w:semiHidden/>
    <w:unhideWhenUsed/>
    <w:rsid w:val="00C771A7"/>
    <w:rPr>
      <w:color w:val="605E5C"/>
      <w:shd w:val="clear" w:color="auto" w:fill="E1DFDD"/>
    </w:rPr>
  </w:style>
  <w:style w:type="paragraph" w:styleId="Revision">
    <w:name w:val="Revision"/>
    <w:hidden/>
    <w:uiPriority w:val="99"/>
    <w:semiHidden/>
    <w:rsid w:val="003F59C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em\Google%20Drive\01%20Uni\04%20Papers\00%20Internoise%202019\181212%20Martellota%20abs%20cal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aem\Google%20Drive\01%20Uni\04%20Papers\00%20Internoise%202019\High%20noise%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TT3935\Downloads\High%20noise%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8cbc493e2618d585/Documents/High%20noise%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8cbc493e2618d585/Documents/High%20nois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a:t>Equivalent</a:t>
            </a:r>
            <a:r>
              <a:rPr lang="en-GB" sz="1200" b="1"/>
              <a:t> Absorption</a:t>
            </a:r>
            <a:r>
              <a:rPr lang="en-GB" sz="1200" b="1" baseline="0"/>
              <a:t> Area</a:t>
            </a:r>
            <a:endParaRPr lang="en-GB" sz="1200" b="1"/>
          </a:p>
        </c:rich>
      </c:tx>
      <c:layout>
        <c:manualLayout>
          <c:xMode val="edge"/>
          <c:yMode val="edge"/>
          <c:x val="0.26141408202263705"/>
          <c:y val="5.250721974271462E-3"/>
        </c:manualLayout>
      </c:layout>
      <c:overlay val="0"/>
      <c:spPr>
        <a:noFill/>
        <a:ln>
          <a:noFill/>
        </a:ln>
        <a:effectLst/>
      </c:spPr>
    </c:title>
    <c:autoTitleDeleted val="0"/>
    <c:plotArea>
      <c:layout>
        <c:manualLayout>
          <c:layoutTarget val="inner"/>
          <c:xMode val="edge"/>
          <c:yMode val="edge"/>
          <c:x val="0.10499894689886384"/>
          <c:y val="0.11381003770467778"/>
          <c:w val="0.87308804299783016"/>
          <c:h val="0.69625191521110608"/>
        </c:manualLayout>
      </c:layout>
      <c:lineChart>
        <c:grouping val="standard"/>
        <c:varyColors val="0"/>
        <c:ser>
          <c:idx val="0"/>
          <c:order val="0"/>
          <c:tx>
            <c:strRef>
              <c:f>Predictions!$A$24</c:f>
              <c:strCache>
                <c:ptCount val="1"/>
                <c:pt idx="0">
                  <c:v>0.88</c:v>
                </c:pt>
              </c:strCache>
            </c:strRef>
          </c:tx>
          <c:spPr>
            <a:ln w="12700" cap="rnd">
              <a:solidFill>
                <a:schemeClr val="accent5"/>
              </a:solidFill>
              <a:round/>
            </a:ln>
            <a:effectLst/>
          </c:spPr>
          <c:marker>
            <c:symbol val="square"/>
            <c:size val="5"/>
            <c:spPr>
              <a:solidFill>
                <a:schemeClr val="accent5"/>
              </a:solidFill>
              <a:ln w="9525">
                <a:solidFill>
                  <a:schemeClr val="accent5"/>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Predictions!$B$24:$H$24</c:f>
              <c:numCache>
                <c:formatCode>0.00</c:formatCode>
                <c:ptCount val="7"/>
                <c:pt idx="0">
                  <c:v>0.14199999999999999</c:v>
                </c:pt>
                <c:pt idx="1">
                  <c:v>0.23899999999999996</c:v>
                </c:pt>
                <c:pt idx="2">
                  <c:v>0.58881818181818191</c:v>
                </c:pt>
                <c:pt idx="3">
                  <c:v>1.0271818181818182</c:v>
                </c:pt>
                <c:pt idx="4">
                  <c:v>1.0448181818181819</c:v>
                </c:pt>
                <c:pt idx="5">
                  <c:v>1.040090909090909</c:v>
                </c:pt>
                <c:pt idx="6">
                  <c:v>1.040090909090909</c:v>
                </c:pt>
              </c:numCache>
            </c:numRef>
          </c:val>
          <c:smooth val="0"/>
          <c:extLst xmlns:c16r2="http://schemas.microsoft.com/office/drawing/2015/06/chart">
            <c:ext xmlns:c16="http://schemas.microsoft.com/office/drawing/2014/chart" uri="{C3380CC4-5D6E-409C-BE32-E72D297353CC}">
              <c16:uniqueId val="{00000000-1E5F-4186-B6A0-60D1D5F3EC47}"/>
            </c:ext>
          </c:extLst>
        </c:ser>
        <c:ser>
          <c:idx val="1"/>
          <c:order val="1"/>
          <c:tx>
            <c:strRef>
              <c:f>Predictions!$A$25</c:f>
              <c:strCache>
                <c:ptCount val="1"/>
                <c:pt idx="0">
                  <c:v>1.17</c:v>
                </c:pt>
              </c:strCache>
            </c:strRef>
          </c:tx>
          <c:spPr>
            <a:ln w="12700" cap="rnd">
              <a:solidFill>
                <a:schemeClr val="accent6">
                  <a:lumMod val="75000"/>
                </a:schemeClr>
              </a:solidFill>
              <a:round/>
            </a:ln>
            <a:effectLst/>
          </c:spPr>
          <c:marker>
            <c:symbol val="square"/>
            <c:size val="5"/>
            <c:spPr>
              <a:solidFill>
                <a:schemeClr val="accent6">
                  <a:lumMod val="75000"/>
                </a:schemeClr>
              </a:solidFill>
              <a:ln w="9525">
                <a:solidFill>
                  <a:schemeClr val="accent6">
                    <a:lumMod val="75000"/>
                  </a:schemeClr>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Predictions!$B$25:$H$25</c:f>
              <c:numCache>
                <c:formatCode>0.00</c:formatCode>
                <c:ptCount val="7"/>
                <c:pt idx="0">
                  <c:v>0.14199999999999999</c:v>
                </c:pt>
                <c:pt idx="1">
                  <c:v>0.23900000000000002</c:v>
                </c:pt>
                <c:pt idx="2">
                  <c:v>0.57473504273504283</c:v>
                </c:pt>
                <c:pt idx="3">
                  <c:v>0.94831623931623932</c:v>
                </c:pt>
                <c:pt idx="4">
                  <c:v>0.96876923076923072</c:v>
                </c:pt>
                <c:pt idx="5">
                  <c:v>0.9696752136752137</c:v>
                </c:pt>
                <c:pt idx="6">
                  <c:v>0.9696752136752137</c:v>
                </c:pt>
              </c:numCache>
            </c:numRef>
          </c:val>
          <c:smooth val="0"/>
          <c:extLst xmlns:c16r2="http://schemas.microsoft.com/office/drawing/2015/06/chart">
            <c:ext xmlns:c16="http://schemas.microsoft.com/office/drawing/2014/chart" uri="{C3380CC4-5D6E-409C-BE32-E72D297353CC}">
              <c16:uniqueId val="{00000001-1E5F-4186-B6A0-60D1D5F3EC47}"/>
            </c:ext>
          </c:extLst>
        </c:ser>
        <c:ser>
          <c:idx val="2"/>
          <c:order val="2"/>
          <c:tx>
            <c:strRef>
              <c:f>Predictions!$A$26</c:f>
              <c:strCache>
                <c:ptCount val="1"/>
                <c:pt idx="0">
                  <c:v>1.47</c:v>
                </c:pt>
              </c:strCache>
            </c:strRef>
          </c:tx>
          <c:spPr>
            <a:ln w="12700" cap="rnd">
              <a:solidFill>
                <a:schemeClr val="accent3"/>
              </a:solidFill>
              <a:round/>
            </a:ln>
            <a:effectLst/>
          </c:spPr>
          <c:marker>
            <c:symbol val="circle"/>
            <c:size val="5"/>
            <c:spPr>
              <a:solidFill>
                <a:schemeClr val="accent3"/>
              </a:solidFill>
              <a:ln w="9525">
                <a:solidFill>
                  <a:schemeClr val="accent3"/>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Predictions!$B$26:$H$26</c:f>
              <c:numCache>
                <c:formatCode>0.00</c:formatCode>
                <c:ptCount val="7"/>
                <c:pt idx="0">
                  <c:v>0.14199999999999999</c:v>
                </c:pt>
                <c:pt idx="1">
                  <c:v>0.23899999999999999</c:v>
                </c:pt>
                <c:pt idx="2">
                  <c:v>0.56601360544217694</c:v>
                </c:pt>
                <c:pt idx="3">
                  <c:v>0.89947619047619054</c:v>
                </c:pt>
                <c:pt idx="4">
                  <c:v>0.92167346938775507</c:v>
                </c:pt>
                <c:pt idx="5">
                  <c:v>0.92606802721088444</c:v>
                </c:pt>
                <c:pt idx="6">
                  <c:v>0.92606802721088444</c:v>
                </c:pt>
              </c:numCache>
            </c:numRef>
          </c:val>
          <c:smooth val="0"/>
          <c:extLst xmlns:c16r2="http://schemas.microsoft.com/office/drawing/2015/06/chart">
            <c:ext xmlns:c16="http://schemas.microsoft.com/office/drawing/2014/chart" uri="{C3380CC4-5D6E-409C-BE32-E72D297353CC}">
              <c16:uniqueId val="{00000002-1E5F-4186-B6A0-60D1D5F3EC47}"/>
            </c:ext>
          </c:extLst>
        </c:ser>
        <c:ser>
          <c:idx val="3"/>
          <c:order val="3"/>
          <c:tx>
            <c:strRef>
              <c:f>Predictions!$A$27</c:f>
              <c:strCache>
                <c:ptCount val="1"/>
                <c:pt idx="0">
                  <c:v>1.76</c:v>
                </c:pt>
              </c:strCache>
            </c:strRef>
          </c:tx>
          <c:spPr>
            <a:ln w="12700" cap="rnd">
              <a:solidFill>
                <a:srgbClr val="FFC000"/>
              </a:solidFill>
              <a:round/>
            </a:ln>
            <a:effectLst/>
          </c:spPr>
          <c:marker>
            <c:symbol val="circle"/>
            <c:size val="5"/>
            <c:spPr>
              <a:solidFill>
                <a:srgbClr val="FFC000"/>
              </a:solidFill>
              <a:ln w="9525">
                <a:solidFill>
                  <a:srgbClr val="FFC000"/>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Predictions!$B$27:$H$27</c:f>
              <c:numCache>
                <c:formatCode>0.00</c:formatCode>
                <c:ptCount val="7"/>
                <c:pt idx="0">
                  <c:v>0.14199999999999999</c:v>
                </c:pt>
                <c:pt idx="1">
                  <c:v>0.23899999999999996</c:v>
                </c:pt>
                <c:pt idx="2">
                  <c:v>0.56040909090909097</c:v>
                </c:pt>
                <c:pt idx="3">
                  <c:v>0.86809090909090902</c:v>
                </c:pt>
                <c:pt idx="4">
                  <c:v>0.89140909090909093</c:v>
                </c:pt>
                <c:pt idx="5">
                  <c:v>0.89804545454545448</c:v>
                </c:pt>
                <c:pt idx="6">
                  <c:v>0.89804545454545448</c:v>
                </c:pt>
              </c:numCache>
            </c:numRef>
          </c:val>
          <c:smooth val="0"/>
          <c:extLst xmlns:c16r2="http://schemas.microsoft.com/office/drawing/2015/06/chart">
            <c:ext xmlns:c16="http://schemas.microsoft.com/office/drawing/2014/chart" uri="{C3380CC4-5D6E-409C-BE32-E72D297353CC}">
              <c16:uniqueId val="{00000003-1E5F-4186-B6A0-60D1D5F3EC47}"/>
            </c:ext>
          </c:extLst>
        </c:ser>
        <c:ser>
          <c:idx val="4"/>
          <c:order val="4"/>
          <c:tx>
            <c:strRef>
              <c:f>Predictions!$A$28</c:f>
              <c:strCache>
                <c:ptCount val="1"/>
                <c:pt idx="0">
                  <c:v>2.06</c:v>
                </c:pt>
              </c:strCache>
            </c:strRef>
          </c:tx>
          <c:spPr>
            <a:ln w="12700" cap="rnd">
              <a:solidFill>
                <a:schemeClr val="accent4"/>
              </a:solidFill>
              <a:round/>
            </a:ln>
            <a:effectLst/>
          </c:spPr>
          <c:marker>
            <c:symbol val="triangle"/>
            <c:size val="5"/>
            <c:spPr>
              <a:solidFill>
                <a:schemeClr val="accent4"/>
              </a:solidFill>
              <a:ln w="9525">
                <a:solidFill>
                  <a:schemeClr val="accent4"/>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Predictions!$B$28:$H$28</c:f>
              <c:numCache>
                <c:formatCode>0.00</c:formatCode>
                <c:ptCount val="7"/>
                <c:pt idx="0">
                  <c:v>0.14199999999999999</c:v>
                </c:pt>
                <c:pt idx="1">
                  <c:v>0.23899999999999999</c:v>
                </c:pt>
                <c:pt idx="2">
                  <c:v>0.55627184466019419</c:v>
                </c:pt>
                <c:pt idx="3">
                  <c:v>0.84492233009708739</c:v>
                </c:pt>
                <c:pt idx="4">
                  <c:v>0.86906796116504859</c:v>
                </c:pt>
                <c:pt idx="5">
                  <c:v>0.87735922330097094</c:v>
                </c:pt>
                <c:pt idx="6">
                  <c:v>0.87735922330097094</c:v>
                </c:pt>
              </c:numCache>
            </c:numRef>
          </c:val>
          <c:smooth val="0"/>
          <c:extLst xmlns:c16r2="http://schemas.microsoft.com/office/drawing/2015/06/chart">
            <c:ext xmlns:c16="http://schemas.microsoft.com/office/drawing/2014/chart" uri="{C3380CC4-5D6E-409C-BE32-E72D297353CC}">
              <c16:uniqueId val="{00000004-1E5F-4186-B6A0-60D1D5F3EC47}"/>
            </c:ext>
          </c:extLst>
        </c:ser>
        <c:ser>
          <c:idx val="5"/>
          <c:order val="5"/>
          <c:tx>
            <c:strRef>
              <c:f>Predictions!$A$29</c:f>
              <c:strCache>
                <c:ptCount val="1"/>
                <c:pt idx="0">
                  <c:v>2.34</c:v>
                </c:pt>
              </c:strCache>
            </c:strRef>
          </c:tx>
          <c:spPr>
            <a:ln w="12700" cap="rnd">
              <a:solidFill>
                <a:schemeClr val="accent1"/>
              </a:solidFill>
              <a:round/>
            </a:ln>
            <a:effectLst/>
          </c:spPr>
          <c:marker>
            <c:symbol val="triangle"/>
            <c:size val="5"/>
            <c:spPr>
              <a:solidFill>
                <a:schemeClr val="accent1"/>
              </a:solidFill>
              <a:ln w="9525">
                <a:solidFill>
                  <a:schemeClr val="accent1"/>
                </a:solidFill>
              </a:ln>
              <a:effectLst/>
            </c:spPr>
          </c:marker>
          <c:cat>
            <c:numRef>
              <c:f>Predictions!$B$23:$H$23</c:f>
              <c:numCache>
                <c:formatCode>General</c:formatCode>
                <c:ptCount val="7"/>
                <c:pt idx="0">
                  <c:v>125</c:v>
                </c:pt>
                <c:pt idx="1">
                  <c:v>250</c:v>
                </c:pt>
                <c:pt idx="2">
                  <c:v>500</c:v>
                </c:pt>
                <c:pt idx="3">
                  <c:v>1000</c:v>
                </c:pt>
                <c:pt idx="4">
                  <c:v>2000</c:v>
                </c:pt>
                <c:pt idx="5">
                  <c:v>4000</c:v>
                </c:pt>
                <c:pt idx="6">
                  <c:v>8000</c:v>
                </c:pt>
              </c:numCache>
            </c:numRef>
          </c:cat>
          <c:val>
            <c:numRef>
              <c:f>Predictions!$B$29:$H$29</c:f>
              <c:numCache>
                <c:formatCode>0.00</c:formatCode>
                <c:ptCount val="7"/>
                <c:pt idx="0">
                  <c:v>0.14199999999999999</c:v>
                </c:pt>
                <c:pt idx="1">
                  <c:v>0.23900000000000002</c:v>
                </c:pt>
                <c:pt idx="2">
                  <c:v>0.55336752136752143</c:v>
                </c:pt>
                <c:pt idx="3">
                  <c:v>0.82865811965811964</c:v>
                </c:pt>
                <c:pt idx="4">
                  <c:v>0.85338461538461541</c:v>
                </c:pt>
                <c:pt idx="5">
                  <c:v>0.86283760683760691</c:v>
                </c:pt>
                <c:pt idx="6">
                  <c:v>0.86283760683760691</c:v>
                </c:pt>
              </c:numCache>
            </c:numRef>
          </c:val>
          <c:smooth val="0"/>
          <c:extLst xmlns:c16r2="http://schemas.microsoft.com/office/drawing/2015/06/chart">
            <c:ext xmlns:c16="http://schemas.microsoft.com/office/drawing/2014/chart" uri="{C3380CC4-5D6E-409C-BE32-E72D297353CC}">
              <c16:uniqueId val="{00000005-1E5F-4186-B6A0-60D1D5F3EC47}"/>
            </c:ext>
          </c:extLst>
        </c:ser>
        <c:dLbls>
          <c:showLegendKey val="0"/>
          <c:showVal val="0"/>
          <c:showCatName val="0"/>
          <c:showSerName val="0"/>
          <c:showPercent val="0"/>
          <c:showBubbleSize val="0"/>
        </c:dLbls>
        <c:marker val="1"/>
        <c:smooth val="0"/>
        <c:axId val="217447808"/>
        <c:axId val="314128256"/>
      </c:lineChart>
      <c:catAx>
        <c:axId val="217447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Octave</a:t>
                </a:r>
                <a:r>
                  <a:rPr lang="en-GB" baseline="0"/>
                  <a:t> band centre frequency (Hz)</a:t>
                </a:r>
                <a:endParaRPr lang="en-GB"/>
              </a:p>
            </c:rich>
          </c:tx>
          <c:layout>
            <c:manualLayout>
              <c:xMode val="edge"/>
              <c:yMode val="edge"/>
              <c:x val="0.32327146083073588"/>
              <c:y val="0.919338160965636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4128256"/>
        <c:crosses val="autoZero"/>
        <c:auto val="1"/>
        <c:lblAlgn val="ctr"/>
        <c:lblOffset val="100"/>
        <c:noMultiLvlLbl val="0"/>
      </c:catAx>
      <c:valAx>
        <c:axId val="3141282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Equivalent</a:t>
                </a:r>
                <a:r>
                  <a:rPr lang="en-GB" baseline="0"/>
                  <a:t> absorption area (m</a:t>
                </a:r>
                <a:r>
                  <a:rPr lang="en-GB" baseline="30000"/>
                  <a:t>2</a:t>
                </a:r>
                <a:r>
                  <a:rPr lang="en-GB" baseline="0"/>
                  <a:t>)</a:t>
                </a:r>
                <a:endParaRPr lang="en-GB"/>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7447808"/>
        <c:crosses val="autoZero"/>
        <c:crossBetween val="between"/>
        <c:minorUnit val="5.000000000000001E-2"/>
      </c:valAx>
      <c:spPr>
        <a:noFill/>
        <a:ln>
          <a:noFill/>
        </a:ln>
        <a:effectLst/>
      </c:spPr>
    </c:plotArea>
    <c:legend>
      <c:legendPos val="b"/>
      <c:layout>
        <c:manualLayout>
          <c:xMode val="edge"/>
          <c:yMode val="edge"/>
          <c:x val="0.11091229975563398"/>
          <c:y val="0.14885054809325304"/>
          <c:w val="0.16897977192506108"/>
          <c:h val="0.421539678863671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baseline="0"/>
              <a:t>Change in SPL(A) Due to Increased Occupancy Density</a:t>
            </a:r>
            <a:endParaRPr lang="en-GB" sz="1100" b="1"/>
          </a:p>
        </c:rich>
      </c:tx>
      <c:layout>
        <c:manualLayout>
          <c:xMode val="edge"/>
          <c:yMode val="edge"/>
          <c:x val="0.1043951198000882"/>
          <c:y val="2.0161290322580645E-2"/>
        </c:manualLayout>
      </c:layout>
      <c:overlay val="0"/>
      <c:spPr>
        <a:noFill/>
        <a:ln>
          <a:noFill/>
        </a:ln>
        <a:effectLst/>
      </c:spPr>
    </c:title>
    <c:autoTitleDeleted val="0"/>
    <c:plotArea>
      <c:layout>
        <c:manualLayout>
          <c:layoutTarget val="inner"/>
          <c:xMode val="edge"/>
          <c:yMode val="edge"/>
          <c:x val="0.12834286865104672"/>
          <c:y val="0.16454152908305816"/>
          <c:w val="0.80624481325399522"/>
          <c:h val="0.6576569246888494"/>
        </c:manualLayout>
      </c:layout>
      <c:lineChart>
        <c:grouping val="standard"/>
        <c:varyColors val="0"/>
        <c:ser>
          <c:idx val="2"/>
          <c:order val="0"/>
          <c:tx>
            <c:v>0.0</c:v>
          </c:tx>
          <c:spPr>
            <a:ln w="12700">
              <a:solidFill>
                <a:schemeClr val="accent1"/>
              </a:solidFill>
            </a:ln>
          </c:spPr>
          <c:marker>
            <c:symbol val="triangle"/>
            <c:size val="8"/>
            <c:spPr>
              <a:solidFill>
                <a:schemeClr val="accent1"/>
              </a:solidFill>
              <a:ln w="9525">
                <a:solidFill>
                  <a:schemeClr val="accent1"/>
                </a:solidFill>
              </a:ln>
              <a:effectLst/>
            </c:spPr>
          </c:marker>
          <c:cat>
            <c:numRef>
              <c:f>INTERNOISE!$L$39:$R$39</c:f>
              <c:numCache>
                <c:formatCode>General</c:formatCode>
                <c:ptCount val="7"/>
                <c:pt idx="0">
                  <c:v>125</c:v>
                </c:pt>
                <c:pt idx="1">
                  <c:v>250</c:v>
                </c:pt>
                <c:pt idx="2">
                  <c:v>500</c:v>
                </c:pt>
                <c:pt idx="3">
                  <c:v>1000</c:v>
                </c:pt>
                <c:pt idx="4">
                  <c:v>2000</c:v>
                </c:pt>
                <c:pt idx="5">
                  <c:v>4000</c:v>
                </c:pt>
                <c:pt idx="6">
                  <c:v>8000</c:v>
                </c:pt>
              </c:numCache>
            </c:numRef>
          </c:cat>
          <c:val>
            <c:numRef>
              <c:f>INTERNOISE!$L$40:$R$40</c:f>
              <c:numCache>
                <c:formatCode>General</c:formatCode>
                <c:ptCount val="7"/>
                <c:pt idx="0">
                  <c:v>81.589333333333343</c:v>
                </c:pt>
                <c:pt idx="1">
                  <c:v>89.723333333333315</c:v>
                </c:pt>
                <c:pt idx="2">
                  <c:v>84.609333333333353</c:v>
                </c:pt>
                <c:pt idx="3">
                  <c:v>80.233999999999995</c:v>
                </c:pt>
                <c:pt idx="4">
                  <c:v>73.328666666666649</c:v>
                </c:pt>
                <c:pt idx="5">
                  <c:v>64.147333333333322</c:v>
                </c:pt>
                <c:pt idx="6">
                  <c:v>54.267333333333326</c:v>
                </c:pt>
              </c:numCache>
            </c:numRef>
          </c:val>
          <c:smooth val="0"/>
          <c:extLst xmlns:c16r2="http://schemas.microsoft.com/office/drawing/2015/06/chart">
            <c:ext xmlns:c16="http://schemas.microsoft.com/office/drawing/2014/chart" uri="{C3380CC4-5D6E-409C-BE32-E72D297353CC}">
              <c16:uniqueId val="{00000000-6078-4FFD-8511-5117082169AE}"/>
            </c:ext>
          </c:extLst>
        </c:ser>
        <c:ser>
          <c:idx val="0"/>
          <c:order val="1"/>
          <c:tx>
            <c:v>1.0</c:v>
          </c:tx>
          <c:spPr>
            <a:ln w="12700">
              <a:solidFill>
                <a:schemeClr val="accent3"/>
              </a:solidFill>
            </a:ln>
          </c:spPr>
          <c:marker>
            <c:symbol val="triangle"/>
            <c:size val="8"/>
            <c:spPr>
              <a:solidFill>
                <a:schemeClr val="accent3"/>
              </a:solidFill>
              <a:ln w="9525">
                <a:solidFill>
                  <a:schemeClr val="accent3"/>
                </a:solidFill>
              </a:ln>
              <a:effectLst/>
            </c:spPr>
          </c:marker>
          <c:cat>
            <c:numRef>
              <c:f>INTERNOISE!$L$39:$R$39</c:f>
              <c:numCache>
                <c:formatCode>General</c:formatCode>
                <c:ptCount val="7"/>
                <c:pt idx="0">
                  <c:v>125</c:v>
                </c:pt>
                <c:pt idx="1">
                  <c:v>250</c:v>
                </c:pt>
                <c:pt idx="2">
                  <c:v>500</c:v>
                </c:pt>
                <c:pt idx="3">
                  <c:v>1000</c:v>
                </c:pt>
                <c:pt idx="4">
                  <c:v>2000</c:v>
                </c:pt>
                <c:pt idx="5">
                  <c:v>4000</c:v>
                </c:pt>
                <c:pt idx="6">
                  <c:v>8000</c:v>
                </c:pt>
              </c:numCache>
            </c:numRef>
          </c:cat>
          <c:val>
            <c:numRef>
              <c:f>INTERNOISE!$L$63:$R$63</c:f>
              <c:numCache>
                <c:formatCode>General</c:formatCode>
                <c:ptCount val="7"/>
                <c:pt idx="0">
                  <c:v>83.10333333333331</c:v>
                </c:pt>
                <c:pt idx="1">
                  <c:v>90.382666666666665</c:v>
                </c:pt>
                <c:pt idx="2">
                  <c:v>82.950000000000017</c:v>
                </c:pt>
                <c:pt idx="3">
                  <c:v>76.479333333333344</c:v>
                </c:pt>
                <c:pt idx="4">
                  <c:v>70.213999999999999</c:v>
                </c:pt>
                <c:pt idx="5">
                  <c:v>61.76333333333335</c:v>
                </c:pt>
                <c:pt idx="6">
                  <c:v>52.122</c:v>
                </c:pt>
              </c:numCache>
            </c:numRef>
          </c:val>
          <c:smooth val="0"/>
          <c:extLst xmlns:c16r2="http://schemas.microsoft.com/office/drawing/2015/06/chart">
            <c:ext xmlns:c16="http://schemas.microsoft.com/office/drawing/2014/chart" uri="{C3380CC4-5D6E-409C-BE32-E72D297353CC}">
              <c16:uniqueId val="{00000001-6078-4FFD-8511-5117082169AE}"/>
            </c:ext>
          </c:extLst>
        </c:ser>
        <c:ser>
          <c:idx val="1"/>
          <c:order val="2"/>
          <c:tx>
            <c:v>3.3</c:v>
          </c:tx>
          <c:spPr>
            <a:ln w="12700">
              <a:solidFill>
                <a:schemeClr val="accent6"/>
              </a:solidFill>
            </a:ln>
          </c:spPr>
          <c:marker>
            <c:symbol val="circle"/>
            <c:size val="5"/>
            <c:spPr>
              <a:solidFill>
                <a:schemeClr val="accent6"/>
              </a:solidFill>
              <a:ln>
                <a:solidFill>
                  <a:schemeClr val="accent6"/>
                </a:solidFill>
              </a:ln>
            </c:spPr>
          </c:marker>
          <c:cat>
            <c:numRef>
              <c:f>INTERNOISE!$L$39:$R$39</c:f>
              <c:numCache>
                <c:formatCode>General</c:formatCode>
                <c:ptCount val="7"/>
                <c:pt idx="0">
                  <c:v>125</c:v>
                </c:pt>
                <c:pt idx="1">
                  <c:v>250</c:v>
                </c:pt>
                <c:pt idx="2">
                  <c:v>500</c:v>
                </c:pt>
                <c:pt idx="3">
                  <c:v>1000</c:v>
                </c:pt>
                <c:pt idx="4">
                  <c:v>2000</c:v>
                </c:pt>
                <c:pt idx="5">
                  <c:v>4000</c:v>
                </c:pt>
                <c:pt idx="6">
                  <c:v>8000</c:v>
                </c:pt>
              </c:numCache>
            </c:numRef>
          </c:cat>
          <c:val>
            <c:numRef>
              <c:f>INTERNOISE!$L$83:$R$83</c:f>
              <c:numCache>
                <c:formatCode>General</c:formatCode>
                <c:ptCount val="7"/>
                <c:pt idx="0">
                  <c:v>81.273333333333326</c:v>
                </c:pt>
                <c:pt idx="1">
                  <c:v>88.595999999999989</c:v>
                </c:pt>
                <c:pt idx="2">
                  <c:v>81.710666666666683</c:v>
                </c:pt>
                <c:pt idx="3">
                  <c:v>76.962000000000003</c:v>
                </c:pt>
                <c:pt idx="4">
                  <c:v>70.638666666666651</c:v>
                </c:pt>
                <c:pt idx="5">
                  <c:v>62.141333333333343</c:v>
                </c:pt>
                <c:pt idx="6">
                  <c:v>53.428000000000004</c:v>
                </c:pt>
              </c:numCache>
            </c:numRef>
          </c:val>
          <c:smooth val="0"/>
          <c:extLst xmlns:c16r2="http://schemas.microsoft.com/office/drawing/2015/06/chart">
            <c:ext xmlns:c16="http://schemas.microsoft.com/office/drawing/2014/chart" uri="{C3380CC4-5D6E-409C-BE32-E72D297353CC}">
              <c16:uniqueId val="{00000002-6078-4FFD-8511-5117082169AE}"/>
            </c:ext>
          </c:extLst>
        </c:ser>
        <c:dLbls>
          <c:showLegendKey val="0"/>
          <c:showVal val="0"/>
          <c:showCatName val="0"/>
          <c:showSerName val="0"/>
          <c:showPercent val="0"/>
          <c:showBubbleSize val="0"/>
        </c:dLbls>
        <c:marker val="1"/>
        <c:smooth val="0"/>
        <c:axId val="318821504"/>
        <c:axId val="318823808"/>
      </c:lineChart>
      <c:catAx>
        <c:axId val="3188215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Occupancy Density (p/m</a:t>
                </a:r>
                <a:r>
                  <a:rPr lang="en-GB" baseline="30000"/>
                  <a:t>2</a:t>
                </a:r>
                <a:r>
                  <a:rPr lang="en-GB" baseline="0"/>
                  <a:t>)</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823808"/>
        <c:crosses val="autoZero"/>
        <c:auto val="1"/>
        <c:lblAlgn val="ctr"/>
        <c:lblOffset val="100"/>
        <c:noMultiLvlLbl val="1"/>
      </c:catAx>
      <c:valAx>
        <c:axId val="318823808"/>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aseline="0"/>
                  <a:t>Predicted  SPL(A) (dB)</a:t>
                </a:r>
                <a:endParaRPr lang="en-GB"/>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821504"/>
        <c:crosses val="autoZero"/>
        <c:crossBetween val="between"/>
      </c:valAx>
      <c:spPr>
        <a:noFill/>
        <a:ln>
          <a:noFill/>
        </a:ln>
        <a:effectLst/>
      </c:spPr>
    </c:plotArea>
    <c:legend>
      <c:legendPos val="b"/>
      <c:layout>
        <c:manualLayout>
          <c:xMode val="edge"/>
          <c:yMode val="edge"/>
          <c:x val="0.55379967846515132"/>
          <c:y val="0.15844670751841503"/>
          <c:w val="0.38630016169337061"/>
          <c:h val="8.5504905384810773E-2"/>
        </c:manualLayout>
      </c:layout>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100" b="1" baseline="0"/>
              <a:t>Change in STI Due to Increased Occupancy Density</a:t>
            </a:r>
            <a:endParaRPr lang="en-GB" sz="1100" b="1"/>
          </a:p>
        </c:rich>
      </c:tx>
      <c:overlay val="0"/>
      <c:spPr>
        <a:noFill/>
        <a:ln>
          <a:noFill/>
        </a:ln>
        <a:effectLst/>
      </c:spPr>
    </c:title>
    <c:autoTitleDeleted val="0"/>
    <c:plotArea>
      <c:layout/>
      <c:scatterChart>
        <c:scatterStyle val="lineMarker"/>
        <c:varyColors val="0"/>
        <c:ser>
          <c:idx val="2"/>
          <c:order val="0"/>
          <c:spPr>
            <a:ln w="15875" cap="rnd">
              <a:solidFill>
                <a:schemeClr val="accent1"/>
              </a:solidFill>
              <a:prstDash val="solid"/>
              <a:round/>
            </a:ln>
            <a:effectLst/>
          </c:spPr>
          <c:marker>
            <c:symbol val="triangle"/>
            <c:size val="8"/>
            <c:spPr>
              <a:solidFill>
                <a:schemeClr val="accent1"/>
              </a:solidFill>
              <a:ln w="9525">
                <a:solidFill>
                  <a:schemeClr val="accent1"/>
                </a:solidFill>
              </a:ln>
              <a:effectLst/>
            </c:spPr>
          </c:marker>
          <c:errBars>
            <c:errDir val="y"/>
            <c:errBarType val="both"/>
            <c:errValType val="cust"/>
            <c:noEndCap val="0"/>
            <c:plus>
              <c:numRef>
                <c:f>'[High noise results.xlsx]INTERNOISE'!$D$26:$F$26</c:f>
                <c:numCache>
                  <c:formatCode>General</c:formatCode>
                  <c:ptCount val="3"/>
                  <c:pt idx="0">
                    <c:v>3.3333333333333437E-2</c:v>
                  </c:pt>
                  <c:pt idx="1">
                    <c:v>4.8666666666666747E-2</c:v>
                  </c:pt>
                  <c:pt idx="2">
                    <c:v>3.7999999999999923E-2</c:v>
                  </c:pt>
                </c:numCache>
              </c:numRef>
            </c:plus>
            <c:minus>
              <c:numRef>
                <c:f>'[High noise results.xlsx]INTERNOISE'!$D$27:$F$27</c:f>
                <c:numCache>
                  <c:formatCode>General</c:formatCode>
                  <c:ptCount val="3"/>
                  <c:pt idx="0">
                    <c:v>2.6666666666666616E-2</c:v>
                  </c:pt>
                  <c:pt idx="1">
                    <c:v>6.133333333333324E-2</c:v>
                  </c:pt>
                  <c:pt idx="2">
                    <c:v>6.2000000000000055E-2</c:v>
                  </c:pt>
                </c:numCache>
              </c:numRef>
            </c:minus>
            <c:spPr>
              <a:noFill/>
              <a:ln w="12700" cap="flat" cmpd="sng" algn="ctr">
                <a:solidFill>
                  <a:schemeClr val="tx1"/>
                </a:solidFill>
                <a:round/>
              </a:ln>
              <a:effectLst/>
            </c:spPr>
          </c:errBars>
          <c:xVal>
            <c:numRef>
              <c:f>'[High noise results.xlsx]INTERNOISE'!$D$24:$F$24</c:f>
              <c:numCache>
                <c:formatCode>0.00</c:formatCode>
                <c:ptCount val="3"/>
                <c:pt idx="0" formatCode="General">
                  <c:v>0</c:v>
                </c:pt>
                <c:pt idx="1">
                  <c:v>1</c:v>
                </c:pt>
                <c:pt idx="2" formatCode="General">
                  <c:v>3.3</c:v>
                </c:pt>
              </c:numCache>
            </c:numRef>
          </c:xVal>
          <c:yVal>
            <c:numRef>
              <c:f>'[High noise results.xlsx]INTERNOISE'!$D$25:$F$25</c:f>
              <c:numCache>
                <c:formatCode>0.00</c:formatCode>
                <c:ptCount val="3"/>
                <c:pt idx="0">
                  <c:v>0.5066666666666666</c:v>
                </c:pt>
                <c:pt idx="1">
                  <c:v>0.61133333333333328</c:v>
                </c:pt>
                <c:pt idx="2">
                  <c:v>0.70200000000000007</c:v>
                </c:pt>
              </c:numCache>
            </c:numRef>
          </c:yVal>
          <c:smooth val="0"/>
          <c:extLst xmlns:c16r2="http://schemas.microsoft.com/office/drawing/2015/06/chart">
            <c:ext xmlns:c16="http://schemas.microsoft.com/office/drawing/2014/chart" uri="{C3380CC4-5D6E-409C-BE32-E72D297353CC}">
              <c16:uniqueId val="{00000002-1E5F-4D79-A238-FE6D44981AA8}"/>
            </c:ext>
          </c:extLst>
        </c:ser>
        <c:dLbls>
          <c:showLegendKey val="0"/>
          <c:showVal val="0"/>
          <c:showCatName val="0"/>
          <c:showSerName val="0"/>
          <c:showPercent val="0"/>
          <c:showBubbleSize val="0"/>
        </c:dLbls>
        <c:axId val="398356480"/>
        <c:axId val="398358400"/>
      </c:scatterChart>
      <c:valAx>
        <c:axId val="3983564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Occupancy Density (p/m</a:t>
                </a:r>
                <a:r>
                  <a:rPr lang="en-GB" baseline="30000"/>
                  <a:t>2</a:t>
                </a:r>
                <a:r>
                  <a:rPr lang="en-GB" baseline="0"/>
                  <a:t>)</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58400"/>
        <c:crosses val="autoZero"/>
        <c:crossBetween val="midCat"/>
      </c:valAx>
      <c:valAx>
        <c:axId val="398358400"/>
        <c:scaling>
          <c:orientation val="minMax"/>
          <c:max val="0.8"/>
          <c:min val="0.4"/>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baseline="0"/>
                  <a:t> Predicted  STI</a:t>
                </a:r>
                <a:endParaRPr lang="en-GB"/>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835648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b="1"/>
              <a:t>SPL Off</a:t>
            </a:r>
            <a:r>
              <a:rPr lang="en-GB" sz="1200" b="1" baseline="0"/>
              <a:t> axis</a:t>
            </a:r>
            <a:r>
              <a:rPr lang="en-GB" sz="1200" b="1"/>
              <a:t> at Varying Occupancy</a:t>
            </a:r>
            <a:r>
              <a:rPr lang="en-GB" sz="1200" b="1" baseline="0"/>
              <a:t> Densities</a:t>
            </a:r>
            <a:endParaRPr lang="en-GB" sz="1200" b="1"/>
          </a:p>
        </c:rich>
      </c:tx>
      <c:overlay val="0"/>
      <c:spPr>
        <a:noFill/>
        <a:ln>
          <a:noFill/>
        </a:ln>
        <a:effectLst/>
      </c:spPr>
    </c:title>
    <c:autoTitleDeleted val="0"/>
    <c:plotArea>
      <c:layout>
        <c:manualLayout>
          <c:layoutTarget val="inner"/>
          <c:xMode val="edge"/>
          <c:yMode val="edge"/>
          <c:x val="0.10632996866581103"/>
          <c:y val="0.16041063415460161"/>
          <c:w val="0.84295719466053076"/>
          <c:h val="0.67244984446911849"/>
        </c:manualLayout>
      </c:layout>
      <c:lineChart>
        <c:grouping val="standard"/>
        <c:varyColors val="0"/>
        <c:ser>
          <c:idx val="0"/>
          <c:order val="0"/>
          <c:tx>
            <c:v>0.0</c:v>
          </c:tx>
          <c:spPr>
            <a:ln w="12700" cap="rnd">
              <a:solidFill>
                <a:schemeClr val="accent1"/>
              </a:solidFill>
              <a:prstDash val="solid"/>
              <a:round/>
            </a:ln>
            <a:effectLst/>
          </c:spPr>
          <c:marker>
            <c:symbol val="triangle"/>
            <c:size val="5"/>
            <c:spPr>
              <a:solidFill>
                <a:schemeClr val="accent1"/>
              </a:solidFill>
              <a:ln w="9525">
                <a:solidFill>
                  <a:schemeClr val="accent1"/>
                </a:solidFill>
              </a:ln>
              <a:effectLst/>
            </c:spPr>
          </c:marker>
          <c:cat>
            <c:numRef>
              <c:f>'[High noise results.xlsx]INTERNOISE'!$L$39:$R$39</c:f>
              <c:numCache>
                <c:formatCode>General</c:formatCode>
                <c:ptCount val="7"/>
                <c:pt idx="0">
                  <c:v>125</c:v>
                </c:pt>
                <c:pt idx="1">
                  <c:v>250</c:v>
                </c:pt>
                <c:pt idx="2">
                  <c:v>500</c:v>
                </c:pt>
                <c:pt idx="3">
                  <c:v>1000</c:v>
                </c:pt>
                <c:pt idx="4">
                  <c:v>2000</c:v>
                </c:pt>
                <c:pt idx="5">
                  <c:v>4000</c:v>
                </c:pt>
                <c:pt idx="6">
                  <c:v>8000</c:v>
                </c:pt>
              </c:numCache>
            </c:numRef>
          </c:cat>
          <c:val>
            <c:numRef>
              <c:f>'[High noise results.xlsx]INTERNOISE'!$L$48:$R$48</c:f>
              <c:numCache>
                <c:formatCode>General</c:formatCode>
                <c:ptCount val="7"/>
                <c:pt idx="0">
                  <c:v>81.33</c:v>
                </c:pt>
                <c:pt idx="1">
                  <c:v>91.13</c:v>
                </c:pt>
                <c:pt idx="2">
                  <c:v>85.42</c:v>
                </c:pt>
                <c:pt idx="3">
                  <c:v>79.260000000000005</c:v>
                </c:pt>
                <c:pt idx="4">
                  <c:v>73.23</c:v>
                </c:pt>
                <c:pt idx="5">
                  <c:v>63.4</c:v>
                </c:pt>
                <c:pt idx="6">
                  <c:v>53.99</c:v>
                </c:pt>
              </c:numCache>
            </c:numRef>
          </c:val>
          <c:smooth val="0"/>
          <c:extLst xmlns:c16r2="http://schemas.microsoft.com/office/drawing/2015/06/chart">
            <c:ext xmlns:c16="http://schemas.microsoft.com/office/drawing/2014/chart" uri="{C3380CC4-5D6E-409C-BE32-E72D297353CC}">
              <c16:uniqueId val="{00000000-3572-4A13-BE5E-60970B952757}"/>
            </c:ext>
          </c:extLst>
        </c:ser>
        <c:ser>
          <c:idx val="1"/>
          <c:order val="1"/>
          <c:tx>
            <c:v>1.0</c:v>
          </c:tx>
          <c:spPr>
            <a:ln w="12700" cap="rnd">
              <a:solidFill>
                <a:schemeClr val="accent3"/>
              </a:solidFill>
              <a:round/>
            </a:ln>
            <a:effectLst/>
          </c:spPr>
          <c:marker>
            <c:symbol val="triangle"/>
            <c:size val="5"/>
            <c:spPr>
              <a:solidFill>
                <a:schemeClr val="accent3"/>
              </a:solidFill>
              <a:ln w="9525">
                <a:solidFill>
                  <a:schemeClr val="accent3"/>
                </a:solidFill>
              </a:ln>
              <a:effectLst/>
            </c:spPr>
          </c:marker>
          <c:cat>
            <c:numRef>
              <c:f>'[High noise results.xlsx]INTERNOISE'!$L$39:$R$39</c:f>
              <c:numCache>
                <c:formatCode>General</c:formatCode>
                <c:ptCount val="7"/>
                <c:pt idx="0">
                  <c:v>125</c:v>
                </c:pt>
                <c:pt idx="1">
                  <c:v>250</c:v>
                </c:pt>
                <c:pt idx="2">
                  <c:v>500</c:v>
                </c:pt>
                <c:pt idx="3">
                  <c:v>1000</c:v>
                </c:pt>
                <c:pt idx="4">
                  <c:v>2000</c:v>
                </c:pt>
                <c:pt idx="5">
                  <c:v>4000</c:v>
                </c:pt>
                <c:pt idx="6">
                  <c:v>8000</c:v>
                </c:pt>
              </c:numCache>
            </c:numRef>
          </c:cat>
          <c:val>
            <c:numRef>
              <c:f>'[High noise results.xlsx]INTERNOISE'!$L$71:$R$71</c:f>
              <c:numCache>
                <c:formatCode>General</c:formatCode>
                <c:ptCount val="7"/>
                <c:pt idx="0">
                  <c:v>83.56</c:v>
                </c:pt>
                <c:pt idx="1">
                  <c:v>91.32</c:v>
                </c:pt>
                <c:pt idx="2">
                  <c:v>84.21</c:v>
                </c:pt>
                <c:pt idx="3">
                  <c:v>72.319999999999993</c:v>
                </c:pt>
                <c:pt idx="4">
                  <c:v>69.61</c:v>
                </c:pt>
                <c:pt idx="5">
                  <c:v>59.54</c:v>
                </c:pt>
                <c:pt idx="6">
                  <c:v>50</c:v>
                </c:pt>
              </c:numCache>
            </c:numRef>
          </c:val>
          <c:smooth val="0"/>
          <c:extLst xmlns:c16r2="http://schemas.microsoft.com/office/drawing/2015/06/chart">
            <c:ext xmlns:c16="http://schemas.microsoft.com/office/drawing/2014/chart" uri="{C3380CC4-5D6E-409C-BE32-E72D297353CC}">
              <c16:uniqueId val="{00000001-3572-4A13-BE5E-60970B952757}"/>
            </c:ext>
          </c:extLst>
        </c:ser>
        <c:ser>
          <c:idx val="2"/>
          <c:order val="2"/>
          <c:tx>
            <c:v>3.3</c:v>
          </c:tx>
          <c:spPr>
            <a:ln w="12700" cap="rnd">
              <a:solidFill>
                <a:schemeClr val="accent6"/>
              </a:solidFill>
              <a:prstDash val="solid"/>
              <a:round/>
            </a:ln>
            <a:effectLst/>
          </c:spPr>
          <c:marker>
            <c:symbol val="circle"/>
            <c:size val="5"/>
            <c:spPr>
              <a:solidFill>
                <a:schemeClr val="accent6"/>
              </a:solidFill>
              <a:ln w="9525">
                <a:solidFill>
                  <a:schemeClr val="accent6"/>
                </a:solidFill>
              </a:ln>
              <a:effectLst/>
            </c:spPr>
          </c:marker>
          <c:cat>
            <c:numRef>
              <c:f>'[High noise results.xlsx]INTERNOISE'!$L$39:$R$39</c:f>
              <c:numCache>
                <c:formatCode>General</c:formatCode>
                <c:ptCount val="7"/>
                <c:pt idx="0">
                  <c:v>125</c:v>
                </c:pt>
                <c:pt idx="1">
                  <c:v>250</c:v>
                </c:pt>
                <c:pt idx="2">
                  <c:v>500</c:v>
                </c:pt>
                <c:pt idx="3">
                  <c:v>1000</c:v>
                </c:pt>
                <c:pt idx="4">
                  <c:v>2000</c:v>
                </c:pt>
                <c:pt idx="5">
                  <c:v>4000</c:v>
                </c:pt>
                <c:pt idx="6">
                  <c:v>8000</c:v>
                </c:pt>
              </c:numCache>
            </c:numRef>
          </c:cat>
          <c:val>
            <c:numRef>
              <c:f>'[High noise results.xlsx]INTERNOISE'!$L$91:$R$91</c:f>
              <c:numCache>
                <c:formatCode>General</c:formatCode>
                <c:ptCount val="7"/>
                <c:pt idx="0">
                  <c:v>81.84</c:v>
                </c:pt>
                <c:pt idx="1">
                  <c:v>89.45</c:v>
                </c:pt>
                <c:pt idx="2">
                  <c:v>80.78</c:v>
                </c:pt>
                <c:pt idx="3">
                  <c:v>71.11</c:v>
                </c:pt>
                <c:pt idx="4">
                  <c:v>70.599999999999994</c:v>
                </c:pt>
                <c:pt idx="5">
                  <c:v>60.6</c:v>
                </c:pt>
                <c:pt idx="6">
                  <c:v>51.53</c:v>
                </c:pt>
              </c:numCache>
            </c:numRef>
          </c:val>
          <c:smooth val="0"/>
          <c:extLst xmlns:c16r2="http://schemas.microsoft.com/office/drawing/2015/06/chart">
            <c:ext xmlns:c16="http://schemas.microsoft.com/office/drawing/2014/chart" uri="{C3380CC4-5D6E-409C-BE32-E72D297353CC}">
              <c16:uniqueId val="{00000002-3572-4A13-BE5E-60970B952757}"/>
            </c:ext>
          </c:extLst>
        </c:ser>
        <c:dLbls>
          <c:showLegendKey val="0"/>
          <c:showVal val="0"/>
          <c:showCatName val="0"/>
          <c:showSerName val="0"/>
          <c:showPercent val="0"/>
          <c:showBubbleSize val="0"/>
        </c:dLbls>
        <c:marker val="1"/>
        <c:smooth val="0"/>
        <c:axId val="217346816"/>
        <c:axId val="217349120"/>
      </c:lineChart>
      <c:catAx>
        <c:axId val="217346816"/>
        <c:scaling>
          <c:orientation val="minMax"/>
        </c:scaling>
        <c:delete val="0"/>
        <c:axPos val="b"/>
        <c:majorGridlines>
          <c:spPr>
            <a:ln>
              <a:solidFill>
                <a:schemeClr val="bg1">
                  <a:lumMod val="75000"/>
                </a:schemeClr>
              </a:solidFill>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Frequency (Hz)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7349120"/>
        <c:crosses val="autoZero"/>
        <c:auto val="1"/>
        <c:lblAlgn val="ctr"/>
        <c:lblOffset val="100"/>
        <c:noMultiLvlLbl val="1"/>
      </c:catAx>
      <c:valAx>
        <c:axId val="217349120"/>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Total SPL (dB)</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7346816"/>
        <c:crosses val="autoZero"/>
        <c:crossBetween val="between"/>
      </c:valAx>
      <c:spPr>
        <a:noFill/>
        <a:ln>
          <a:noFill/>
        </a:ln>
        <a:effectLst/>
      </c:spPr>
    </c:plotArea>
    <c:legend>
      <c:legendPos val="b"/>
      <c:layout>
        <c:manualLayout>
          <c:xMode val="edge"/>
          <c:yMode val="edge"/>
          <c:x val="0.55741556534508074"/>
          <c:y val="0.17854436656128422"/>
          <c:w val="0.37307070410113186"/>
          <c:h val="8.53894205097344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b="1"/>
              <a:t>SPL On Axis at</a:t>
            </a:r>
            <a:r>
              <a:rPr lang="en-GB" sz="1200" b="1" baseline="0"/>
              <a:t> Varying Occupancy Densities</a:t>
            </a:r>
            <a:endParaRPr lang="en-GB" sz="1200" b="1"/>
          </a:p>
        </c:rich>
      </c:tx>
      <c:overlay val="0"/>
      <c:spPr>
        <a:noFill/>
        <a:ln>
          <a:noFill/>
        </a:ln>
        <a:effectLst/>
      </c:spPr>
    </c:title>
    <c:autoTitleDeleted val="0"/>
    <c:plotArea>
      <c:layout>
        <c:manualLayout>
          <c:layoutTarget val="inner"/>
          <c:xMode val="edge"/>
          <c:yMode val="edge"/>
          <c:x val="0.10732618775076024"/>
          <c:y val="0.14936532539731745"/>
          <c:w val="0.8420130192976979"/>
          <c:h val="0.68074095233363974"/>
        </c:manualLayout>
      </c:layout>
      <c:lineChart>
        <c:grouping val="standard"/>
        <c:varyColors val="0"/>
        <c:ser>
          <c:idx val="0"/>
          <c:order val="0"/>
          <c:tx>
            <c:v>0</c:v>
          </c:tx>
          <c:spPr>
            <a:ln w="12700" cap="rnd">
              <a:solidFill>
                <a:schemeClr val="accent1"/>
              </a:solidFill>
              <a:prstDash val="solid"/>
              <a:round/>
            </a:ln>
            <a:effectLst/>
          </c:spPr>
          <c:marker>
            <c:symbol val="triangle"/>
            <c:size val="5"/>
            <c:spPr>
              <a:solidFill>
                <a:schemeClr val="accent1"/>
              </a:solidFill>
              <a:ln w="9525">
                <a:solidFill>
                  <a:schemeClr val="accent1"/>
                </a:solidFill>
              </a:ln>
              <a:effectLst/>
            </c:spPr>
          </c:marker>
          <c:cat>
            <c:numRef>
              <c:f>'[High noise results.xlsx]INTERNOISE'!$L$82:$R$82</c:f>
              <c:numCache>
                <c:formatCode>General</c:formatCode>
                <c:ptCount val="7"/>
                <c:pt idx="0">
                  <c:v>125</c:v>
                </c:pt>
                <c:pt idx="1">
                  <c:v>250</c:v>
                </c:pt>
                <c:pt idx="2">
                  <c:v>500</c:v>
                </c:pt>
                <c:pt idx="3">
                  <c:v>1000</c:v>
                </c:pt>
                <c:pt idx="4">
                  <c:v>2000</c:v>
                </c:pt>
                <c:pt idx="5">
                  <c:v>4000</c:v>
                </c:pt>
                <c:pt idx="6">
                  <c:v>8000</c:v>
                </c:pt>
              </c:numCache>
            </c:numRef>
          </c:cat>
          <c:val>
            <c:numRef>
              <c:f>'[High noise results.xlsx]INTERNOISE'!$L$46:$R$46</c:f>
              <c:numCache>
                <c:formatCode>General</c:formatCode>
                <c:ptCount val="7"/>
                <c:pt idx="0">
                  <c:v>82.42</c:v>
                </c:pt>
                <c:pt idx="1">
                  <c:v>90.66</c:v>
                </c:pt>
                <c:pt idx="2">
                  <c:v>84.95</c:v>
                </c:pt>
                <c:pt idx="3">
                  <c:v>81.03</c:v>
                </c:pt>
                <c:pt idx="4">
                  <c:v>73.67</c:v>
                </c:pt>
                <c:pt idx="5">
                  <c:v>64.84</c:v>
                </c:pt>
                <c:pt idx="6">
                  <c:v>56.35</c:v>
                </c:pt>
              </c:numCache>
            </c:numRef>
          </c:val>
          <c:smooth val="0"/>
          <c:extLst xmlns:c16r2="http://schemas.microsoft.com/office/drawing/2015/06/chart">
            <c:ext xmlns:c16="http://schemas.microsoft.com/office/drawing/2014/chart" uri="{C3380CC4-5D6E-409C-BE32-E72D297353CC}">
              <c16:uniqueId val="{00000000-DE31-4B20-A858-923FA270AC9F}"/>
            </c:ext>
          </c:extLst>
        </c:ser>
        <c:ser>
          <c:idx val="1"/>
          <c:order val="1"/>
          <c:tx>
            <c:v>1</c:v>
          </c:tx>
          <c:spPr>
            <a:ln w="12700" cap="rnd">
              <a:solidFill>
                <a:schemeClr val="accent3">
                  <a:lumMod val="75000"/>
                </a:schemeClr>
              </a:solidFill>
              <a:round/>
            </a:ln>
            <a:effectLst/>
          </c:spPr>
          <c:marker>
            <c:symbol val="triangle"/>
            <c:size val="5"/>
            <c:spPr>
              <a:solidFill>
                <a:schemeClr val="accent3">
                  <a:lumMod val="75000"/>
                </a:schemeClr>
              </a:solidFill>
              <a:ln w="9525">
                <a:solidFill>
                  <a:schemeClr val="accent3">
                    <a:lumMod val="75000"/>
                  </a:schemeClr>
                </a:solidFill>
              </a:ln>
              <a:effectLst/>
            </c:spPr>
          </c:marker>
          <c:cat>
            <c:numRef>
              <c:f>'[High noise results.xlsx]INTERNOISE'!$L$82:$R$82</c:f>
              <c:numCache>
                <c:formatCode>General</c:formatCode>
                <c:ptCount val="7"/>
                <c:pt idx="0">
                  <c:v>125</c:v>
                </c:pt>
                <c:pt idx="1">
                  <c:v>250</c:v>
                </c:pt>
                <c:pt idx="2">
                  <c:v>500</c:v>
                </c:pt>
                <c:pt idx="3">
                  <c:v>1000</c:v>
                </c:pt>
                <c:pt idx="4">
                  <c:v>2000</c:v>
                </c:pt>
                <c:pt idx="5">
                  <c:v>4000</c:v>
                </c:pt>
                <c:pt idx="6">
                  <c:v>8000</c:v>
                </c:pt>
              </c:numCache>
            </c:numRef>
          </c:cat>
          <c:val>
            <c:numRef>
              <c:f>'[High noise results.xlsx]INTERNOISE'!$L$69:$R$69</c:f>
              <c:numCache>
                <c:formatCode>General</c:formatCode>
                <c:ptCount val="7"/>
                <c:pt idx="0">
                  <c:v>85.78</c:v>
                </c:pt>
                <c:pt idx="1">
                  <c:v>91.11</c:v>
                </c:pt>
                <c:pt idx="2">
                  <c:v>80.61</c:v>
                </c:pt>
                <c:pt idx="3">
                  <c:v>79.95</c:v>
                </c:pt>
                <c:pt idx="4">
                  <c:v>70.319999999999993</c:v>
                </c:pt>
                <c:pt idx="5">
                  <c:v>63.32</c:v>
                </c:pt>
                <c:pt idx="6">
                  <c:v>55.26</c:v>
                </c:pt>
              </c:numCache>
            </c:numRef>
          </c:val>
          <c:smooth val="0"/>
          <c:extLst xmlns:c16r2="http://schemas.microsoft.com/office/drawing/2015/06/chart">
            <c:ext xmlns:c16="http://schemas.microsoft.com/office/drawing/2014/chart" uri="{C3380CC4-5D6E-409C-BE32-E72D297353CC}">
              <c16:uniqueId val="{00000001-DE31-4B20-A858-923FA270AC9F}"/>
            </c:ext>
          </c:extLst>
        </c:ser>
        <c:ser>
          <c:idx val="2"/>
          <c:order val="2"/>
          <c:tx>
            <c:v>3.3</c:v>
          </c:tx>
          <c:spPr>
            <a:ln w="12700" cap="rnd">
              <a:solidFill>
                <a:srgbClr val="FFC000"/>
              </a:solidFill>
              <a:prstDash val="solid"/>
              <a:round/>
            </a:ln>
            <a:effectLst/>
          </c:spPr>
          <c:marker>
            <c:symbol val="circle"/>
            <c:size val="5"/>
            <c:spPr>
              <a:solidFill>
                <a:schemeClr val="accent6">
                  <a:alpha val="91000"/>
                </a:schemeClr>
              </a:solidFill>
              <a:ln w="9525">
                <a:solidFill>
                  <a:schemeClr val="accent6"/>
                </a:solidFill>
              </a:ln>
              <a:effectLst/>
            </c:spPr>
          </c:marker>
          <c:cat>
            <c:numRef>
              <c:f>'[High noise results.xlsx]INTERNOISE'!$L$82:$R$82</c:f>
              <c:numCache>
                <c:formatCode>General</c:formatCode>
                <c:ptCount val="7"/>
                <c:pt idx="0">
                  <c:v>125</c:v>
                </c:pt>
                <c:pt idx="1">
                  <c:v>250</c:v>
                </c:pt>
                <c:pt idx="2">
                  <c:v>500</c:v>
                </c:pt>
                <c:pt idx="3">
                  <c:v>1000</c:v>
                </c:pt>
                <c:pt idx="4">
                  <c:v>2000</c:v>
                </c:pt>
                <c:pt idx="5">
                  <c:v>4000</c:v>
                </c:pt>
                <c:pt idx="6">
                  <c:v>8000</c:v>
                </c:pt>
              </c:numCache>
            </c:numRef>
          </c:cat>
          <c:val>
            <c:numRef>
              <c:f>'[High noise results.xlsx]INTERNOISE'!$L$89:$R$89</c:f>
              <c:numCache>
                <c:formatCode>General</c:formatCode>
                <c:ptCount val="7"/>
                <c:pt idx="0">
                  <c:v>83.75</c:v>
                </c:pt>
                <c:pt idx="1">
                  <c:v>90.04</c:v>
                </c:pt>
                <c:pt idx="2">
                  <c:v>82.7</c:v>
                </c:pt>
                <c:pt idx="3">
                  <c:v>79.44</c:v>
                </c:pt>
                <c:pt idx="4">
                  <c:v>71.239999999999995</c:v>
                </c:pt>
                <c:pt idx="5">
                  <c:v>63.78</c:v>
                </c:pt>
                <c:pt idx="6">
                  <c:v>56.37</c:v>
                </c:pt>
              </c:numCache>
            </c:numRef>
          </c:val>
          <c:smooth val="0"/>
          <c:extLst xmlns:c16r2="http://schemas.microsoft.com/office/drawing/2015/06/chart">
            <c:ext xmlns:c16="http://schemas.microsoft.com/office/drawing/2014/chart" uri="{C3380CC4-5D6E-409C-BE32-E72D297353CC}">
              <c16:uniqueId val="{00000002-DE31-4B20-A858-923FA270AC9F}"/>
            </c:ext>
          </c:extLst>
        </c:ser>
        <c:dLbls>
          <c:showLegendKey val="0"/>
          <c:showVal val="0"/>
          <c:showCatName val="0"/>
          <c:showSerName val="0"/>
          <c:showPercent val="0"/>
          <c:showBubbleSize val="0"/>
        </c:dLbls>
        <c:marker val="1"/>
        <c:smooth val="0"/>
        <c:axId val="217372928"/>
        <c:axId val="321782528"/>
      </c:lineChart>
      <c:catAx>
        <c:axId val="217372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a:t>Frequency (Hz)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782528"/>
        <c:crosses val="autoZero"/>
        <c:auto val="1"/>
        <c:lblAlgn val="ctr"/>
        <c:lblOffset val="100"/>
        <c:noMultiLvlLbl val="1"/>
      </c:catAx>
      <c:valAx>
        <c:axId val="321782528"/>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900"/>
                  <a:t>Total SPL (dB)</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7372928"/>
        <c:crosses val="autoZero"/>
        <c:crossBetween val="between"/>
      </c:valAx>
      <c:spPr>
        <a:noFill/>
        <a:ln>
          <a:noFill/>
        </a:ln>
        <a:effectLst/>
      </c:spPr>
    </c:plotArea>
    <c:legend>
      <c:legendPos val="b"/>
      <c:layout>
        <c:manualLayout>
          <c:xMode val="edge"/>
          <c:yMode val="edge"/>
          <c:x val="0.61938325991189425"/>
          <c:y val="0.18241635410715618"/>
          <c:w val="0.32544465676907247"/>
          <c:h val="8.34140606241254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D934-0CD8-4CCD-9911-9C447529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2</cp:revision>
  <cp:lastPrinted>2019-03-02T16:09:00Z</cp:lastPrinted>
  <dcterms:created xsi:type="dcterms:W3CDTF">2019-04-08T13:39:00Z</dcterms:created>
  <dcterms:modified xsi:type="dcterms:W3CDTF">2019-04-08T13:39:00Z</dcterms:modified>
</cp:coreProperties>
</file>