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4F96A" w14:textId="77777777" w:rsidR="009C41A6" w:rsidRPr="00506803" w:rsidRDefault="009C41A6" w:rsidP="009C41A6">
      <w:pPr>
        <w:rPr>
          <w:b/>
          <w:sz w:val="28"/>
          <w:szCs w:val="28"/>
        </w:rPr>
      </w:pPr>
      <w:r w:rsidRPr="00506803">
        <w:rPr>
          <w:b/>
          <w:sz w:val="28"/>
          <w:szCs w:val="28"/>
        </w:rPr>
        <w:t>Michael Sampson</w:t>
      </w:r>
    </w:p>
    <w:p w14:paraId="63014C05" w14:textId="109B9E0C" w:rsidR="009C41A6" w:rsidRDefault="009C41A6" w:rsidP="009C41A6">
      <w:pPr>
        <w:rPr>
          <w:b/>
          <w:sz w:val="28"/>
          <w:szCs w:val="28"/>
        </w:rPr>
      </w:pPr>
      <w:r w:rsidRPr="00506803">
        <w:rPr>
          <w:b/>
          <w:sz w:val="28"/>
          <w:szCs w:val="28"/>
        </w:rPr>
        <w:t>Antiarrhythmic drugs</w:t>
      </w:r>
      <w:r>
        <w:rPr>
          <w:b/>
          <w:sz w:val="28"/>
          <w:szCs w:val="28"/>
        </w:rPr>
        <w:t xml:space="preserve">. Part </w:t>
      </w:r>
      <w:r>
        <w:rPr>
          <w:b/>
          <w:sz w:val="28"/>
          <w:szCs w:val="28"/>
        </w:rPr>
        <w:t>2</w:t>
      </w:r>
      <w:r>
        <w:rPr>
          <w:b/>
          <w:sz w:val="28"/>
          <w:szCs w:val="28"/>
        </w:rPr>
        <w:t xml:space="preserve">: </w:t>
      </w:r>
      <w:r>
        <w:rPr>
          <w:b/>
          <w:sz w:val="28"/>
          <w:szCs w:val="28"/>
        </w:rPr>
        <w:t>rhythm control drugs</w:t>
      </w:r>
    </w:p>
    <w:p w14:paraId="0056657A" w14:textId="12D20C5C" w:rsidR="009C41A6" w:rsidRPr="0058485F" w:rsidRDefault="009C41A6" w:rsidP="009C41A6">
      <w:pPr>
        <w:spacing w:after="360"/>
        <w:rPr>
          <w:rFonts w:ascii="Calibri" w:eastAsia="Times New Roman" w:hAnsi="Calibri" w:cs="Times New Roman"/>
          <w:b/>
          <w:bCs/>
          <w:sz w:val="24"/>
          <w:szCs w:val="24"/>
        </w:rPr>
      </w:pPr>
      <w:r w:rsidRPr="0058485F">
        <w:rPr>
          <w:b/>
          <w:bCs/>
        </w:rPr>
        <w:t xml:space="preserve">British Journal of </w:t>
      </w:r>
      <w:r w:rsidRPr="009C41A6">
        <w:rPr>
          <w:b/>
          <w:bCs/>
        </w:rPr>
        <w:t>Cardiac Nursing [</w:t>
      </w:r>
      <w:r w:rsidRPr="009C41A6">
        <w:rPr>
          <w:b/>
          <w:bCs/>
        </w:rPr>
        <w:t>2019</w:t>
      </w:r>
      <w:r w:rsidRPr="009C41A6">
        <w:rPr>
          <w:b/>
          <w:bCs/>
        </w:rPr>
        <w:t>] 14(</w:t>
      </w:r>
      <w:r w:rsidRPr="009C41A6">
        <w:rPr>
          <w:b/>
          <w:bCs/>
        </w:rPr>
        <w:t>10</w:t>
      </w:r>
      <w:r w:rsidRPr="009C41A6">
        <w:rPr>
          <w:b/>
          <w:bCs/>
        </w:rPr>
        <w:t>)1–1</w:t>
      </w:r>
      <w:r w:rsidRPr="009C41A6">
        <w:rPr>
          <w:b/>
          <w:bCs/>
        </w:rPr>
        <w:t>1</w:t>
      </w:r>
      <w:r w:rsidRPr="009C41A6">
        <w:rPr>
          <w:b/>
          <w:bCs/>
        </w:rPr>
        <w:t xml:space="preserve">. </w:t>
      </w:r>
      <w:hyperlink r:id="rId7" w:history="1">
        <w:r w:rsidRPr="009C41A6">
          <w:rPr>
            <w:rStyle w:val="Hyperlink"/>
            <w:rFonts w:cs="Times LT Std"/>
            <w:b/>
            <w:bCs/>
          </w:rPr>
          <w:t>https://doi.org/10.12968/bjca.2019.0067</w:t>
        </w:r>
      </w:hyperlink>
      <w:r>
        <w:rPr>
          <w:rFonts w:cs="Times LT Std"/>
          <w:color w:val="000000"/>
        </w:rPr>
        <w:t xml:space="preserve"> </w:t>
      </w:r>
    </w:p>
    <w:tbl>
      <w:tblPr>
        <w:tblStyle w:val="TableGrid"/>
        <w:tblW w:w="0" w:type="auto"/>
        <w:tblLook w:val="04A0" w:firstRow="1" w:lastRow="0" w:firstColumn="1" w:lastColumn="0" w:noHBand="0" w:noVBand="1"/>
      </w:tblPr>
      <w:tblGrid>
        <w:gridCol w:w="9016"/>
      </w:tblGrid>
      <w:tr w:rsidR="009C41A6" w14:paraId="223B4287" w14:textId="77777777" w:rsidTr="00AA1D7B">
        <w:tc>
          <w:tcPr>
            <w:tcW w:w="9016" w:type="dxa"/>
          </w:tcPr>
          <w:p w14:paraId="5B8541D4" w14:textId="1B02A738" w:rsidR="009C41A6" w:rsidRPr="00E9284C" w:rsidRDefault="009C41A6" w:rsidP="00AA1D7B">
            <w:pPr>
              <w:rPr>
                <w:i/>
              </w:rPr>
            </w:pPr>
            <w:r w:rsidRPr="007B3716">
              <w:rPr>
                <w:i/>
              </w:rPr>
              <w:t>This is the accepted manuscript version of a published work that appeared in final form in the British Journal of Cardiac Nursing, copyright (c) MA Healthcare, after technical editing by the publisher. To access the final edited and published work see</w:t>
            </w:r>
            <w:r w:rsidRPr="002F5E13">
              <w:t xml:space="preserve"> </w:t>
            </w:r>
            <w:hyperlink r:id="rId8" w:history="1">
              <w:r>
                <w:rPr>
                  <w:rStyle w:val="Hyperlink"/>
                </w:rPr>
                <w:t>https://www.magonlinelibrary.com/doi/abs/10.12968/bjca.2019.0067</w:t>
              </w:r>
            </w:hyperlink>
            <w:r>
              <w:t xml:space="preserve">. </w:t>
            </w:r>
            <w:r w:rsidRPr="007B3716">
              <w:rPr>
                <w:i/>
              </w:rPr>
              <w:t xml:space="preserve">Originally published </w:t>
            </w:r>
            <w:r>
              <w:rPr>
                <w:i/>
              </w:rPr>
              <w:t>October</w:t>
            </w:r>
            <w:r>
              <w:rPr>
                <w:i/>
              </w:rPr>
              <w:t xml:space="preserve"> </w:t>
            </w:r>
            <w:r w:rsidRPr="007B3716">
              <w:rPr>
                <w:i/>
              </w:rPr>
              <w:t>201</w:t>
            </w:r>
            <w:r>
              <w:rPr>
                <w:i/>
              </w:rPr>
              <w:t>9</w:t>
            </w:r>
            <w:r w:rsidRPr="007B3716">
              <w:rPr>
                <w:i/>
              </w:rPr>
              <w:t xml:space="preserve">. </w:t>
            </w:r>
          </w:p>
        </w:tc>
      </w:tr>
    </w:tbl>
    <w:p w14:paraId="5673E6B8" w14:textId="6A294447" w:rsidR="009C41A6" w:rsidRDefault="009C41A6" w:rsidP="009C41A6">
      <w:pPr>
        <w:rPr>
          <w:b/>
        </w:rPr>
      </w:pPr>
    </w:p>
    <w:p w14:paraId="1C7B1647" w14:textId="77777777" w:rsidR="004F6D3A" w:rsidRDefault="004F6D3A" w:rsidP="009C41A6">
      <w:pPr>
        <w:rPr>
          <w:b/>
        </w:rPr>
      </w:pPr>
    </w:p>
    <w:p w14:paraId="2FC8C8F6" w14:textId="5E4DE43C" w:rsidR="00805503" w:rsidRPr="00A66F99" w:rsidRDefault="00805503" w:rsidP="00805503">
      <w:pPr>
        <w:rPr>
          <w:b/>
          <w:sz w:val="28"/>
          <w:szCs w:val="28"/>
          <w:lang w:val="en-US"/>
        </w:rPr>
      </w:pPr>
      <w:r w:rsidRPr="00A66F99">
        <w:rPr>
          <w:b/>
          <w:sz w:val="28"/>
          <w:szCs w:val="28"/>
          <w:lang w:val="en-US"/>
        </w:rPr>
        <w:t>Introduction</w:t>
      </w:r>
    </w:p>
    <w:p w14:paraId="396DDBD1" w14:textId="3930CE73" w:rsidR="00B308B3" w:rsidRPr="00CC680F" w:rsidRDefault="00B308B3" w:rsidP="00B308B3">
      <w:pPr>
        <w:rPr>
          <w:lang w:val="en-US"/>
        </w:rPr>
      </w:pPr>
      <w:r w:rsidRPr="00CC680F">
        <w:rPr>
          <w:lang w:val="en-US"/>
        </w:rPr>
        <w:t xml:space="preserve">In the first article of this three-part series, we discussed how antiarrhythmic drugs affect cardiac electrical activity, and outlined the key aspects of safe practice for the drug group as a whole.  We also discussed drug classification, outlined the drugs commonly encountered in UK clinical practice, </w:t>
      </w:r>
      <w:r w:rsidR="00DB5930" w:rsidRPr="00CC680F">
        <w:rPr>
          <w:lang w:val="en-US"/>
        </w:rPr>
        <w:t>and</w:t>
      </w:r>
      <w:r w:rsidRPr="00CC680F">
        <w:rPr>
          <w:lang w:val="en-US"/>
        </w:rPr>
        <w:t xml:space="preserve"> described the difference between rate and rhythm control agents.  In this second article, we examine rhythm control drugs in more detail.  </w:t>
      </w:r>
    </w:p>
    <w:p w14:paraId="4696AE07" w14:textId="77777777" w:rsidR="00B308B3" w:rsidRPr="00CC680F" w:rsidRDefault="00B308B3" w:rsidP="00B308B3">
      <w:pPr>
        <w:rPr>
          <w:lang w:val="en-US"/>
        </w:rPr>
      </w:pPr>
      <w:r w:rsidRPr="00CC680F">
        <w:rPr>
          <w:lang w:val="en-US"/>
        </w:rPr>
        <w:t xml:space="preserve">Rhythm control drugs are medications that are used to terminate arrhythmias, and/or to prevent their recurrence (Bennett, 2013).  Although they have a broadly similar function, the individual drugs in this group are highly variable, with some having very specific uses, and others having a wide range of indications.  Rhythm control drugs also display considerable variety in their mechanisms of action, pharmacology, and safety profiles (Dan et al, 2018).  One feature that they share is the potential for adverse effects; a sound knowledge of their features is therefore essential for any practitioner involved in their use.  </w:t>
      </w:r>
    </w:p>
    <w:p w14:paraId="1D9F18DD" w14:textId="77777777" w:rsidR="00B308B3" w:rsidRPr="00CC680F" w:rsidRDefault="00B308B3" w:rsidP="00B308B3">
      <w:pPr>
        <w:rPr>
          <w:lang w:val="en-US"/>
        </w:rPr>
      </w:pPr>
      <w:r w:rsidRPr="00CC680F">
        <w:rPr>
          <w:lang w:val="en-US"/>
        </w:rPr>
        <w:t xml:space="preserve">In this article, we focus on three of the most widely used drugs; adenosine, amiodarone and flecainide.  For each drug, we discuss its pharmacology and mechanism of action, consider how and when it might be used, and identify important practice points.  The focus throughout is on identifying the practices that contribute to safe drug administration and prescribing in these commonly used agents.    </w:t>
      </w:r>
    </w:p>
    <w:p w14:paraId="11EB5F1E" w14:textId="2542968E" w:rsidR="00805503" w:rsidRDefault="00805503" w:rsidP="00805503">
      <w:pPr>
        <w:rPr>
          <w:lang w:val="en-US"/>
        </w:rPr>
      </w:pPr>
    </w:p>
    <w:p w14:paraId="0DACBDEB" w14:textId="77777777" w:rsidR="00805503" w:rsidRPr="00CC680F" w:rsidRDefault="00805503" w:rsidP="00805503">
      <w:pPr>
        <w:rPr>
          <w:b/>
          <w:bCs/>
          <w:sz w:val="28"/>
          <w:szCs w:val="28"/>
          <w:lang w:val="en-US"/>
        </w:rPr>
      </w:pPr>
      <w:r w:rsidRPr="00CC680F">
        <w:rPr>
          <w:b/>
          <w:bCs/>
          <w:sz w:val="28"/>
          <w:szCs w:val="28"/>
          <w:lang w:val="en-US"/>
        </w:rPr>
        <w:t>Adenosine</w:t>
      </w:r>
    </w:p>
    <w:p w14:paraId="3948942A" w14:textId="5AAB97F5" w:rsidR="00D33DA1" w:rsidRPr="00CC680F" w:rsidRDefault="0021675E" w:rsidP="00805503">
      <w:pPr>
        <w:rPr>
          <w:b/>
          <w:bCs/>
        </w:rPr>
      </w:pPr>
      <w:r w:rsidRPr="00CC680F">
        <w:rPr>
          <w:b/>
          <w:bCs/>
        </w:rPr>
        <w:t>Overview</w:t>
      </w:r>
      <w:r w:rsidR="0082345E" w:rsidRPr="00CC680F">
        <w:rPr>
          <w:b/>
          <w:bCs/>
        </w:rPr>
        <w:t xml:space="preserve"> and </w:t>
      </w:r>
      <w:r w:rsidR="00D33DA1" w:rsidRPr="00CC680F">
        <w:rPr>
          <w:b/>
          <w:bCs/>
        </w:rPr>
        <w:t>indications</w:t>
      </w:r>
    </w:p>
    <w:p w14:paraId="36FEA6CE" w14:textId="665F717F" w:rsidR="00805503" w:rsidRPr="00CC680F" w:rsidRDefault="00805503" w:rsidP="00805503">
      <w:pPr>
        <w:rPr>
          <w:rFonts w:cstheme="minorHAnsi"/>
        </w:rPr>
      </w:pPr>
      <w:r w:rsidRPr="00CC680F">
        <w:t xml:space="preserve">Adenosine is </w:t>
      </w:r>
      <w:r w:rsidR="009B650E" w:rsidRPr="00CC680F">
        <w:t xml:space="preserve">a </w:t>
      </w:r>
      <w:r w:rsidRPr="00CC680F">
        <w:t>naturally occurring molecule in the human body, with roles including energy transfer, vasodilatation and regulation of autonomic function (Layland et al, 2014).  Its vasodilatory properties are widely exploited in the assessment of coronary artery disease, for example during stress testing. Adenosine also slows electrical conduction through the atrioventricular (AV) node, a property that makes it useful in the diagnosis of arrhythmias, and in the acute termination of supraventricular tachycardia</w:t>
      </w:r>
      <w:r w:rsidR="00D33DA1" w:rsidRPr="00CC680F">
        <w:t xml:space="preserve"> (SVT)</w:t>
      </w:r>
      <w:r w:rsidRPr="00CC680F">
        <w:t xml:space="preserve"> (</w:t>
      </w:r>
      <w:r w:rsidRPr="00CC680F">
        <w:rPr>
          <w:rFonts w:cstheme="minorHAnsi"/>
        </w:rPr>
        <w:t>Fogoros and Mandrola, 2018).  It has no other uses in arrhythmia management.</w:t>
      </w:r>
    </w:p>
    <w:p w14:paraId="4CFF6633" w14:textId="3721BB82" w:rsidR="00D33DA1" w:rsidRPr="00CC680F" w:rsidRDefault="00805503" w:rsidP="00805503">
      <w:r w:rsidRPr="00CC680F">
        <w:t xml:space="preserve">SVT describes a regular, narrow complex tachycardia in which atrial activity cannot be determined (Page et al, 2015).  Although rapidly conducted atrial tachycardia or flutter account for a small proportion of cases, more than 90% is caused by one of two reentrant arrhythmias whose circuits include the AV node; AV nodal reentrant tachycardia (AVNRT) and atrioventricular reentrant tachycardia (AVRT).  </w:t>
      </w:r>
      <w:r w:rsidR="00D33DA1" w:rsidRPr="00CC680F">
        <w:t xml:space="preserve">These re-entrant SVTs </w:t>
      </w:r>
      <w:r w:rsidR="004A5D97" w:rsidRPr="00CC680F">
        <w:t xml:space="preserve">are </w:t>
      </w:r>
      <w:r w:rsidR="004A5D97" w:rsidRPr="00CC680F">
        <w:lastRenderedPageBreak/>
        <w:t xml:space="preserve">caused by minor congenital abnormalities in the cardiac conduction system; unlike atrial fibrillation (AF) or flutter they are not associated with underlying heart disease, and </w:t>
      </w:r>
      <w:r w:rsidR="00D33DA1" w:rsidRPr="00CC680F">
        <w:t>often affect young, healthy people</w:t>
      </w:r>
      <w:r w:rsidR="004A5D97" w:rsidRPr="00CC680F">
        <w:t xml:space="preserve"> (Whinnet et al, 2012).  </w:t>
      </w:r>
    </w:p>
    <w:p w14:paraId="1A6BD46F" w14:textId="5F87102A" w:rsidR="00D33DA1" w:rsidRPr="00CC680F" w:rsidRDefault="004A5D97" w:rsidP="00805503">
      <w:r w:rsidRPr="00CC680F">
        <w:t xml:space="preserve">In the acute setting, re-entrant SVT can be terminated by briefly slowing electrical conduction through the AV node (Bennett, 2013).  The initial approach recommended by clinical guidelines is to use vagal </w:t>
      </w:r>
      <w:r w:rsidR="00D8377C" w:rsidRPr="00CC680F">
        <w:t>techniques</w:t>
      </w:r>
      <w:r w:rsidRPr="00CC680F">
        <w:t xml:space="preserve"> such as the Valsalva</w:t>
      </w:r>
      <w:r w:rsidR="00D8377C" w:rsidRPr="00CC680F">
        <w:t xml:space="preserve"> manoeuvre</w:t>
      </w:r>
      <w:r w:rsidRPr="00CC680F">
        <w:t xml:space="preserve">; these non-pharmacological therapies can be used rapidly, do not require </w:t>
      </w:r>
      <w:r w:rsidR="00EA2F92" w:rsidRPr="00CC680F">
        <w:t xml:space="preserve">venous </w:t>
      </w:r>
      <w:r w:rsidRPr="00CC680F">
        <w:t>cannulation, and have few side effects (</w:t>
      </w:r>
      <w:r w:rsidR="00A67992" w:rsidRPr="00CC680F">
        <w:t xml:space="preserve">Page et al, 2015; Pitcher and Nolan, 2015).  </w:t>
      </w:r>
      <w:r w:rsidRPr="00CC680F">
        <w:t>Unfortunately, the</w:t>
      </w:r>
      <w:r w:rsidR="00D8377C" w:rsidRPr="00CC680F">
        <w:t xml:space="preserve">y </w:t>
      </w:r>
      <w:r w:rsidRPr="00CC680F">
        <w:t>are successful in less than half of individuals, meaning that drug therapy is</w:t>
      </w:r>
      <w:r w:rsidR="00D8377C" w:rsidRPr="00CC680F">
        <w:t xml:space="preserve"> often</w:t>
      </w:r>
      <w:r w:rsidRPr="00CC680F">
        <w:t xml:space="preserve"> needed; guidelines suggest adenosine as the first </w:t>
      </w:r>
      <w:r w:rsidR="00A67992" w:rsidRPr="00CC680F">
        <w:t>choice</w:t>
      </w:r>
      <w:r w:rsidRPr="00CC680F">
        <w:t xml:space="preserve"> when vagal manoeuvres have f</w:t>
      </w:r>
      <w:r w:rsidR="00A67992" w:rsidRPr="00CC680F">
        <w:t xml:space="preserve">ailed (Appelboam et al, 2015).  </w:t>
      </w:r>
    </w:p>
    <w:p w14:paraId="58BC3CA2" w14:textId="278EA980" w:rsidR="00331CB4" w:rsidRPr="00CC680F" w:rsidRDefault="00F43E70" w:rsidP="00331CB4">
      <w:r w:rsidRPr="00CC680F">
        <w:t>The efficacy</w:t>
      </w:r>
      <w:r w:rsidR="00A67992" w:rsidRPr="00CC680F">
        <w:t xml:space="preserve"> of adenosine in th</w:t>
      </w:r>
      <w:r w:rsidR="004D14CB" w:rsidRPr="00CC680F">
        <w:t xml:space="preserve">e acute termination of SVT </w:t>
      </w:r>
      <w:r w:rsidR="00A67992" w:rsidRPr="00CC680F">
        <w:t xml:space="preserve">is well-established.  </w:t>
      </w:r>
      <w:r w:rsidR="00805503" w:rsidRPr="00CC680F">
        <w:t>In a double blinded, randomised controlled trial, adenosine successfully terminated SVT in 91% of individuals, compared to only 16% using placebo (DiMarco et al, 1990).  More recently, a Cochrane review evaluated the results of seven clinical trials comparing adenosine to intravenous calcium channel blockers (diltiazem or verapamil) in the termination of SVT (Alabed et al, 2017).  The overall success rate was 92.9% for adenosine and 89.7% for calcium channel blockers</w:t>
      </w:r>
      <w:r w:rsidR="00A67992" w:rsidRPr="00CC680F">
        <w:t xml:space="preserve">, suggesting </w:t>
      </w:r>
      <w:r w:rsidR="00D03E2C" w:rsidRPr="00CC680F">
        <w:t xml:space="preserve">that both drugs were highly effective.  </w:t>
      </w:r>
      <w:r w:rsidR="00A67992" w:rsidRPr="00CC680F">
        <w:t>In UK guidelines, verapamil is recommended as an alternative when adenosine is contraindicated</w:t>
      </w:r>
      <w:r w:rsidR="00331CB4" w:rsidRPr="00CC680F">
        <w:t xml:space="preserve"> (Pitcher </w:t>
      </w:r>
      <w:r w:rsidR="00C3527C" w:rsidRPr="00CC680F">
        <w:t>a</w:t>
      </w:r>
      <w:r w:rsidR="00331CB4" w:rsidRPr="00CC680F">
        <w:t>nd Nolan, 2015).  Verapamil is associated with fewer unpleasant side-effects than adenosine but is more likely to cause hypotension (Alabed et al, 2017).  It</w:t>
      </w:r>
      <w:r w:rsidR="00EA2F92" w:rsidRPr="00CC680F">
        <w:t xml:space="preserve"> also</w:t>
      </w:r>
      <w:r w:rsidR="00331CB4" w:rsidRPr="00CC680F">
        <w:t xml:space="preserve"> has a longer duration of action</w:t>
      </w:r>
      <w:r w:rsidR="005551A4" w:rsidRPr="00CC680F">
        <w:t xml:space="preserve"> </w:t>
      </w:r>
      <w:r w:rsidR="00EA2F92" w:rsidRPr="00CC680F">
        <w:t xml:space="preserve">than adenosine; although this </w:t>
      </w:r>
      <w:r w:rsidR="005551A4" w:rsidRPr="00CC680F">
        <w:t>may prevent recurrent SVT in the acute setting</w:t>
      </w:r>
      <w:r w:rsidR="00EA2F92" w:rsidRPr="00CC680F">
        <w:t xml:space="preserve">, adverse effects will also last longer, potentially </w:t>
      </w:r>
      <w:r w:rsidR="005551A4" w:rsidRPr="00CC680F">
        <w:t xml:space="preserve">leading to a longer stay in hospital </w:t>
      </w:r>
      <w:r w:rsidR="00331CB4" w:rsidRPr="00CC680F">
        <w:t xml:space="preserve">(Alabed et al, 2017).  </w:t>
      </w:r>
    </w:p>
    <w:p w14:paraId="6251FCC8" w14:textId="6E3F129C" w:rsidR="00805503" w:rsidRPr="00CC680F" w:rsidRDefault="00805503" w:rsidP="00805503"/>
    <w:p w14:paraId="637E6C26" w14:textId="4695D97F" w:rsidR="00A67992" w:rsidRPr="00CC680F" w:rsidRDefault="00A67992" w:rsidP="00805503">
      <w:pPr>
        <w:rPr>
          <w:b/>
          <w:bCs/>
        </w:rPr>
      </w:pPr>
      <w:r w:rsidRPr="00CC680F">
        <w:rPr>
          <w:b/>
          <w:bCs/>
        </w:rPr>
        <w:t>Dosing and administration</w:t>
      </w:r>
    </w:p>
    <w:p w14:paraId="7826B8FF" w14:textId="1BAC9260" w:rsidR="00D8377C" w:rsidRPr="00CC680F" w:rsidRDefault="009846B2" w:rsidP="00805503">
      <w:r w:rsidRPr="00CC680F">
        <w:t>In the management of SVT, a</w:t>
      </w:r>
      <w:r w:rsidR="00805503" w:rsidRPr="00CC680F">
        <w:t xml:space="preserve">denosine is </w:t>
      </w:r>
      <w:r w:rsidRPr="00CC680F">
        <w:t>administered</w:t>
      </w:r>
      <w:r w:rsidR="00805503" w:rsidRPr="00CC680F">
        <w:t xml:space="preserve"> as an intravenous (IV) bolus of 6mg, followed by further boluses of 12mg if this is unsuccessful (Pitcher and Nolan, 2015).  The drug has a half-life of less than 10 seconds, so it must be given quickly via a large, proximal vein, followed immediately by a rapid saline flush (Wockhardt UK Ltd, 2015).  The use of a three-way tap can facilitate rapid administration by ensuring that both syringes are connected to the IV line and can be given one after the other with minimal delay. </w:t>
      </w:r>
    </w:p>
    <w:p w14:paraId="34F3B258" w14:textId="6F062725" w:rsidR="00D8377C" w:rsidRDefault="00805503" w:rsidP="00805503">
      <w:r w:rsidRPr="00CC680F">
        <w:t xml:space="preserve">During drug administration, </w:t>
      </w:r>
      <w:r w:rsidR="00C5437E" w:rsidRPr="00CC680F">
        <w:t xml:space="preserve">vital signs should be monitored and </w:t>
      </w:r>
      <w:r w:rsidRPr="00CC680F">
        <w:t xml:space="preserve">a continuous rhythm strip recorded to capture electrical events (Mullord and Sargent, 2011).  </w:t>
      </w:r>
      <w:r w:rsidR="00C5437E" w:rsidRPr="00CC680F">
        <w:t xml:space="preserve">Resuscitation equipment should be at the bedside as hypotension and ventricular arrhythmia are potential complications (Whinnet et al, 2015).  </w:t>
      </w:r>
      <w:r w:rsidRPr="00CC680F">
        <w:t xml:space="preserve">In AVNRT or AVRT, an effective drug bolus will cause a brief pause in electrical activity followed by the return of sinus rhythm, often interspersed with </w:t>
      </w:r>
      <w:r w:rsidR="002E51EC" w:rsidRPr="00CC680F">
        <w:t>ectopic</w:t>
      </w:r>
      <w:r w:rsidRPr="00CC680F">
        <w:t xml:space="preserve"> beats for the first few seconds (See figure 1).  If the rhythm is not re-entrant SVT, slowing of AV node conduction should reveal underlying atrial activity, for example flutter waves, making adenosine a useful aid to diagnosis (Wockhardt UK Ltd, 2015).  </w:t>
      </w:r>
    </w:p>
    <w:p w14:paraId="6FAA9661" w14:textId="06755F5C" w:rsidR="005F1AD7" w:rsidRDefault="00C44AE6" w:rsidP="00805503">
      <w:r>
        <w:rPr>
          <w:noProof/>
        </w:rPr>
        <w:drawing>
          <wp:inline distT="0" distB="0" distL="0" distR="0" wp14:anchorId="7C64FF99" wp14:editId="6AE85B5E">
            <wp:extent cx="6188710" cy="1456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1456690"/>
                    </a:xfrm>
                    <a:prstGeom prst="rect">
                      <a:avLst/>
                    </a:prstGeom>
                    <a:noFill/>
                    <a:ln>
                      <a:noFill/>
                    </a:ln>
                  </pic:spPr>
                </pic:pic>
              </a:graphicData>
            </a:graphic>
          </wp:inline>
        </w:drawing>
      </w:r>
    </w:p>
    <w:p w14:paraId="663DB698" w14:textId="797C0D7C" w:rsidR="00C44AE6" w:rsidRPr="00C44AE6" w:rsidRDefault="00C44AE6" w:rsidP="00805503">
      <w:pPr>
        <w:rPr>
          <w:b/>
          <w:bCs/>
        </w:rPr>
      </w:pPr>
      <w:r w:rsidRPr="00C44AE6">
        <w:rPr>
          <w:b/>
          <w:bCs/>
        </w:rPr>
        <w:t xml:space="preserve">Figure 1. </w:t>
      </w:r>
      <w:r>
        <w:rPr>
          <w:b/>
          <w:bCs/>
        </w:rPr>
        <w:t>Termination of SVT following adenosine administration</w:t>
      </w:r>
    </w:p>
    <w:p w14:paraId="0D540327" w14:textId="2CB319F4" w:rsidR="005F1AD7" w:rsidRPr="00CC680F" w:rsidRDefault="004D14CB" w:rsidP="00805503">
      <w:pPr>
        <w:rPr>
          <w:b/>
          <w:bCs/>
        </w:rPr>
      </w:pPr>
      <w:r w:rsidRPr="00CC680F">
        <w:rPr>
          <w:b/>
          <w:bCs/>
        </w:rPr>
        <w:t>S</w:t>
      </w:r>
      <w:r w:rsidR="005F1AD7" w:rsidRPr="00CC680F">
        <w:rPr>
          <w:b/>
          <w:bCs/>
        </w:rPr>
        <w:t>afe</w:t>
      </w:r>
      <w:r w:rsidRPr="00CC680F">
        <w:rPr>
          <w:b/>
          <w:bCs/>
        </w:rPr>
        <w:t>ty</w:t>
      </w:r>
    </w:p>
    <w:p w14:paraId="5D09DB3E" w14:textId="22200E65" w:rsidR="005F1AD7" w:rsidRPr="00CC680F" w:rsidRDefault="00C5437E" w:rsidP="009B45C4">
      <w:r w:rsidRPr="00CC680F">
        <w:t xml:space="preserve">Following </w:t>
      </w:r>
      <w:r w:rsidR="0010188F" w:rsidRPr="00CC680F">
        <w:t xml:space="preserve">IV </w:t>
      </w:r>
      <w:r w:rsidRPr="00CC680F">
        <w:t xml:space="preserve">administration, adenosine is rapidly deactivated within vascular endothelial cells and erythrocytes by adenosine deaminase (Layland et al, 2015).  </w:t>
      </w:r>
      <w:r w:rsidR="00805503" w:rsidRPr="00CC680F">
        <w:t xml:space="preserve">Because its metabolism does not rely on renal or hepatic function, </w:t>
      </w:r>
      <w:r w:rsidR="0010188F" w:rsidRPr="00CC680F">
        <w:t>it</w:t>
      </w:r>
      <w:r w:rsidR="005F1AD7" w:rsidRPr="00CC680F">
        <w:t xml:space="preserve"> </w:t>
      </w:r>
      <w:r w:rsidR="00805503" w:rsidRPr="00CC680F">
        <w:t xml:space="preserve">can be given safely to people with </w:t>
      </w:r>
      <w:r w:rsidR="00EA2F92" w:rsidRPr="00CC680F">
        <w:t xml:space="preserve">impaired </w:t>
      </w:r>
      <w:r w:rsidR="00805503" w:rsidRPr="00CC680F">
        <w:t>kidney or liver f</w:t>
      </w:r>
      <w:r w:rsidR="00EA2F92" w:rsidRPr="00CC680F">
        <w:t>unction</w:t>
      </w:r>
      <w:r w:rsidR="00805503" w:rsidRPr="00CC680F">
        <w:t xml:space="preserve"> (</w:t>
      </w:r>
      <w:proofErr w:type="spellStart"/>
      <w:r w:rsidR="00805503" w:rsidRPr="00CC680F">
        <w:t>Wockhardt</w:t>
      </w:r>
      <w:proofErr w:type="spellEnd"/>
      <w:r w:rsidR="00805503" w:rsidRPr="00CC680F">
        <w:t xml:space="preserve"> et al, 2015).  </w:t>
      </w:r>
      <w:r w:rsidR="0010188F" w:rsidRPr="00CC680F">
        <w:t xml:space="preserve">Adenosine </w:t>
      </w:r>
      <w:r w:rsidR="005F1AD7" w:rsidRPr="00CC680F">
        <w:t xml:space="preserve">is contraindicated in asthma because it can cause bronchospasm; verapamil </w:t>
      </w:r>
      <w:r w:rsidR="004D14CB" w:rsidRPr="00CC680F">
        <w:t>can be used instead (Whinnet et al, 2015)</w:t>
      </w:r>
      <w:r w:rsidR="005F1AD7" w:rsidRPr="00CC680F">
        <w:t xml:space="preserve">.  </w:t>
      </w:r>
      <w:r w:rsidR="004D14CB" w:rsidRPr="00CC680F">
        <w:t xml:space="preserve">Adenosine </w:t>
      </w:r>
      <w:r w:rsidR="005F1AD7" w:rsidRPr="00CC680F">
        <w:t xml:space="preserve">should be avoided in patients who are haemodynamically unstable, for example due to hypotension or heart failure; </w:t>
      </w:r>
      <w:r w:rsidR="004D14CB" w:rsidRPr="00CC680F">
        <w:t xml:space="preserve">in these cases, </w:t>
      </w:r>
      <w:r w:rsidR="005F1AD7" w:rsidRPr="00CC680F">
        <w:t xml:space="preserve">direct current (DC) cardioversion is a safer </w:t>
      </w:r>
      <w:r w:rsidR="004D14CB" w:rsidRPr="00CC680F">
        <w:t>alternative</w:t>
      </w:r>
      <w:r w:rsidR="005F1AD7" w:rsidRPr="00CC680F">
        <w:t xml:space="preserve"> (Pitcher and Nolan, 2015).  Other contraindications are listed in table 1.</w:t>
      </w:r>
    </w:p>
    <w:p w14:paraId="252FE8E3" w14:textId="547FF058" w:rsidR="00EA2F92" w:rsidRDefault="00EA2F92" w:rsidP="00EA2F92">
      <w:r w:rsidRPr="00CC680F">
        <w:lastRenderedPageBreak/>
        <w:t xml:space="preserve">Because of its short half-life and non-haptic elimination, adenosine has few important interactions with other drugs.  </w:t>
      </w:r>
      <w:r w:rsidR="009B45C4" w:rsidRPr="00CC680F">
        <w:t xml:space="preserve">Caffeine, theophylline and aminophylline block adenosine receptors, </w:t>
      </w:r>
      <w:r w:rsidRPr="00CC680F">
        <w:t>which may r</w:t>
      </w:r>
      <w:r w:rsidR="009B45C4" w:rsidRPr="00CC680F">
        <w:t xml:space="preserve">educe the </w:t>
      </w:r>
      <w:r w:rsidRPr="00CC680F">
        <w:t>efficacy</w:t>
      </w:r>
      <w:r w:rsidR="009B45C4" w:rsidRPr="00CC680F">
        <w:t xml:space="preserve"> of the drug</w:t>
      </w:r>
      <w:r w:rsidR="00FB4525" w:rsidRPr="00CC680F">
        <w:t xml:space="preserve">.  </w:t>
      </w:r>
      <w:r w:rsidRPr="00CC680F">
        <w:t>D</w:t>
      </w:r>
      <w:r w:rsidR="009B45C4" w:rsidRPr="00CC680F">
        <w:t>ipyridamole inhibits the action of adenosine deaminase</w:t>
      </w:r>
      <w:r w:rsidRPr="00CC680F">
        <w:t>, slowing down the elimination of adenosine and potentiating its effects</w:t>
      </w:r>
      <w:r w:rsidR="00C5437E" w:rsidRPr="00CC680F">
        <w:t xml:space="preserve"> (Layland et al, 2015).  </w:t>
      </w:r>
      <w:r w:rsidR="0010188F" w:rsidRPr="00CC680F">
        <w:t>It should be noted that a</w:t>
      </w:r>
      <w:r w:rsidRPr="00CC680F">
        <w:t xml:space="preserve">denosine </w:t>
      </w:r>
      <w:r w:rsidR="0010188F" w:rsidRPr="00CC680F">
        <w:t>administration often</w:t>
      </w:r>
      <w:r w:rsidRPr="00CC680F">
        <w:t xml:space="preserve"> cause</w:t>
      </w:r>
      <w:r w:rsidR="0010188F" w:rsidRPr="00CC680F">
        <w:t>s</w:t>
      </w:r>
      <w:r w:rsidRPr="00CC680F">
        <w:t xml:space="preserve"> transient but highly unpleasant side effects including chest pain and breathlessness; the patient should be warned about these </w:t>
      </w:r>
      <w:r w:rsidR="00580063" w:rsidRPr="00CC680F">
        <w:t xml:space="preserve">before the drug is given </w:t>
      </w:r>
      <w:r w:rsidRPr="00CC680F">
        <w:t>(</w:t>
      </w:r>
      <w:proofErr w:type="spellStart"/>
      <w:r w:rsidRPr="00CC680F">
        <w:t>Appelboam</w:t>
      </w:r>
      <w:proofErr w:type="spellEnd"/>
      <w:r w:rsidRPr="00CC680F">
        <w:t xml:space="preserve"> et al, 2015). Flushing and headache are also common; see table 1 for a full list of common side effects.  </w:t>
      </w:r>
    </w:p>
    <w:p w14:paraId="4B3435E9" w14:textId="77777777" w:rsidR="00B43B78" w:rsidRPr="00CC680F" w:rsidRDefault="00B43B78" w:rsidP="00EA2F92"/>
    <w:tbl>
      <w:tblPr>
        <w:tblStyle w:val="TableGrid"/>
        <w:tblW w:w="9525" w:type="dxa"/>
        <w:tblLook w:val="04A0" w:firstRow="1" w:lastRow="0" w:firstColumn="1" w:lastColumn="0" w:noHBand="0" w:noVBand="1"/>
      </w:tblPr>
      <w:tblGrid>
        <w:gridCol w:w="3175"/>
        <w:gridCol w:w="3175"/>
        <w:gridCol w:w="3175"/>
      </w:tblGrid>
      <w:tr w:rsidR="00B43B78" w14:paraId="2095A728" w14:textId="77777777" w:rsidTr="00AA1D7B">
        <w:tc>
          <w:tcPr>
            <w:tcW w:w="3175" w:type="dxa"/>
          </w:tcPr>
          <w:p w14:paraId="7623582E" w14:textId="77777777" w:rsidR="00B43B78" w:rsidRPr="00714D09" w:rsidRDefault="00B43B78" w:rsidP="00AA1D7B">
            <w:pPr>
              <w:rPr>
                <w:b/>
                <w:bCs/>
              </w:rPr>
            </w:pPr>
            <w:r w:rsidRPr="00714D09">
              <w:rPr>
                <w:b/>
                <w:bCs/>
              </w:rPr>
              <w:t>Contraindications</w:t>
            </w:r>
          </w:p>
        </w:tc>
        <w:tc>
          <w:tcPr>
            <w:tcW w:w="3175" w:type="dxa"/>
          </w:tcPr>
          <w:p w14:paraId="44FAD439" w14:textId="77777777" w:rsidR="00B43B78" w:rsidRPr="00714D09" w:rsidRDefault="00B43B78" w:rsidP="00AA1D7B">
            <w:pPr>
              <w:rPr>
                <w:b/>
                <w:bCs/>
              </w:rPr>
            </w:pPr>
            <w:r w:rsidRPr="00714D09">
              <w:rPr>
                <w:b/>
                <w:bCs/>
              </w:rPr>
              <w:t>Cautions</w:t>
            </w:r>
          </w:p>
        </w:tc>
        <w:tc>
          <w:tcPr>
            <w:tcW w:w="3175" w:type="dxa"/>
          </w:tcPr>
          <w:p w14:paraId="65AC5DC1" w14:textId="77777777" w:rsidR="00B43B78" w:rsidRPr="00714D09" w:rsidRDefault="00B43B78" w:rsidP="00AA1D7B">
            <w:pPr>
              <w:rPr>
                <w:b/>
                <w:bCs/>
              </w:rPr>
            </w:pPr>
            <w:r>
              <w:rPr>
                <w:b/>
                <w:bCs/>
              </w:rPr>
              <w:t>Common s</w:t>
            </w:r>
            <w:r w:rsidRPr="00714D09">
              <w:rPr>
                <w:b/>
                <w:bCs/>
              </w:rPr>
              <w:t>ide effects</w:t>
            </w:r>
          </w:p>
        </w:tc>
      </w:tr>
      <w:tr w:rsidR="00B43B78" w14:paraId="6E5579B8" w14:textId="77777777" w:rsidTr="00AA1D7B">
        <w:tc>
          <w:tcPr>
            <w:tcW w:w="3175" w:type="dxa"/>
          </w:tcPr>
          <w:p w14:paraId="283A6E8B" w14:textId="77777777" w:rsidR="00B43B78" w:rsidRDefault="00B43B78" w:rsidP="00B43B78">
            <w:pPr>
              <w:pStyle w:val="ListParagraph"/>
              <w:numPr>
                <w:ilvl w:val="0"/>
                <w:numId w:val="10"/>
              </w:numPr>
            </w:pPr>
            <w:r>
              <w:t>Asthma or chronic obstructive pulmonary disease</w:t>
            </w:r>
          </w:p>
          <w:p w14:paraId="64AF8922" w14:textId="77777777" w:rsidR="00B43B78" w:rsidRDefault="00B43B78" w:rsidP="00AA1D7B">
            <w:pPr>
              <w:pStyle w:val="ListParagraph"/>
              <w:ind w:left="360"/>
            </w:pPr>
          </w:p>
          <w:p w14:paraId="3D2CD7DC" w14:textId="77777777" w:rsidR="00B43B78" w:rsidRDefault="00B43B78" w:rsidP="00B43B78">
            <w:pPr>
              <w:pStyle w:val="ListParagraph"/>
              <w:numPr>
                <w:ilvl w:val="0"/>
                <w:numId w:val="10"/>
              </w:numPr>
            </w:pPr>
            <w:r>
              <w:t>Sinus node disease or second / third degree AV block (unless pacemaker present)</w:t>
            </w:r>
          </w:p>
          <w:p w14:paraId="7C61EC15" w14:textId="77777777" w:rsidR="00B43B78" w:rsidRDefault="00B43B78" w:rsidP="00AA1D7B">
            <w:pPr>
              <w:pStyle w:val="ListParagraph"/>
            </w:pPr>
          </w:p>
          <w:p w14:paraId="53AAE7AD" w14:textId="77777777" w:rsidR="00B43B78" w:rsidRDefault="00B43B78" w:rsidP="00B43B78">
            <w:pPr>
              <w:pStyle w:val="ListParagraph"/>
              <w:numPr>
                <w:ilvl w:val="0"/>
                <w:numId w:val="10"/>
              </w:numPr>
            </w:pPr>
            <w:r>
              <w:t>Decompensated heart failure</w:t>
            </w:r>
          </w:p>
          <w:p w14:paraId="5E86B009" w14:textId="77777777" w:rsidR="00B43B78" w:rsidRDefault="00B43B78" w:rsidP="00AA1D7B">
            <w:pPr>
              <w:pStyle w:val="ListParagraph"/>
            </w:pPr>
          </w:p>
          <w:p w14:paraId="701C4174" w14:textId="77777777" w:rsidR="00B43B78" w:rsidRDefault="00B43B78" w:rsidP="00B43B78">
            <w:pPr>
              <w:pStyle w:val="ListParagraph"/>
              <w:numPr>
                <w:ilvl w:val="0"/>
                <w:numId w:val="10"/>
              </w:numPr>
            </w:pPr>
            <w:r>
              <w:t>Severe hypotension</w:t>
            </w:r>
          </w:p>
          <w:p w14:paraId="0707E678" w14:textId="77777777" w:rsidR="00B43B78" w:rsidRDefault="00B43B78" w:rsidP="00AA1D7B">
            <w:pPr>
              <w:pStyle w:val="ListParagraph"/>
            </w:pPr>
          </w:p>
          <w:p w14:paraId="55214FA7" w14:textId="77777777" w:rsidR="00B43B78" w:rsidRDefault="00B43B78" w:rsidP="00B43B78">
            <w:pPr>
              <w:pStyle w:val="ListParagraph"/>
              <w:numPr>
                <w:ilvl w:val="0"/>
                <w:numId w:val="10"/>
              </w:numPr>
            </w:pPr>
            <w:r>
              <w:t>Long QT syndrome</w:t>
            </w:r>
          </w:p>
          <w:p w14:paraId="79F98D23" w14:textId="77777777" w:rsidR="00B43B78" w:rsidRDefault="00B43B78" w:rsidP="00AA1D7B">
            <w:pPr>
              <w:pStyle w:val="ListParagraph"/>
            </w:pPr>
          </w:p>
          <w:p w14:paraId="75A85EE3" w14:textId="77777777" w:rsidR="00B43B78" w:rsidRDefault="00B43B78" w:rsidP="00AA1D7B">
            <w:pPr>
              <w:pStyle w:val="ListParagraph"/>
              <w:ind w:left="360"/>
            </w:pPr>
          </w:p>
        </w:tc>
        <w:tc>
          <w:tcPr>
            <w:tcW w:w="3175" w:type="dxa"/>
          </w:tcPr>
          <w:p w14:paraId="574D2F50" w14:textId="77777777" w:rsidR="00B43B78" w:rsidRDefault="00B43B78" w:rsidP="00B43B78">
            <w:pPr>
              <w:pStyle w:val="ListParagraph"/>
              <w:numPr>
                <w:ilvl w:val="0"/>
                <w:numId w:val="10"/>
              </w:numPr>
            </w:pPr>
            <w:r>
              <w:t>Likely to tolerate hypotension poorly, e.g. hypovolaemia, heart failure, recent myocardial infarction, left main coronary stenosis, severe aortic stenosis.</w:t>
            </w:r>
          </w:p>
          <w:p w14:paraId="471CEBD9" w14:textId="77777777" w:rsidR="00B43B78" w:rsidRDefault="00B43B78" w:rsidP="00AA1D7B">
            <w:pPr>
              <w:pStyle w:val="ListParagraph"/>
              <w:ind w:left="360"/>
            </w:pPr>
          </w:p>
          <w:p w14:paraId="3B90D13A" w14:textId="77777777" w:rsidR="00B43B78" w:rsidRDefault="00B43B78" w:rsidP="00B43B78">
            <w:pPr>
              <w:pStyle w:val="ListParagraph"/>
              <w:numPr>
                <w:ilvl w:val="0"/>
                <w:numId w:val="10"/>
              </w:numPr>
            </w:pPr>
            <w:r>
              <w:t>First degree AV block or bundle branch block.</w:t>
            </w:r>
          </w:p>
          <w:p w14:paraId="3DB77F67" w14:textId="77777777" w:rsidR="00B43B78" w:rsidRDefault="00B43B78" w:rsidP="00AA1D7B">
            <w:pPr>
              <w:pStyle w:val="ListParagraph"/>
            </w:pPr>
          </w:p>
          <w:p w14:paraId="439F6A62" w14:textId="77777777" w:rsidR="00B43B78" w:rsidRDefault="00B43B78" w:rsidP="00B43B78">
            <w:pPr>
              <w:pStyle w:val="ListParagraph"/>
              <w:numPr>
                <w:ilvl w:val="0"/>
                <w:numId w:val="10"/>
              </w:numPr>
            </w:pPr>
            <w:r>
              <w:t>Atrial fibrillation or flutter in the presence of an accessory pathway.</w:t>
            </w:r>
          </w:p>
          <w:p w14:paraId="55C114E1" w14:textId="77777777" w:rsidR="00B43B78" w:rsidRDefault="00B43B78" w:rsidP="00AA1D7B">
            <w:pPr>
              <w:pStyle w:val="ListParagraph"/>
            </w:pPr>
          </w:p>
          <w:p w14:paraId="6B4AEF6D" w14:textId="77777777" w:rsidR="00B43B78" w:rsidRDefault="00B43B78" w:rsidP="00B43B78">
            <w:pPr>
              <w:pStyle w:val="ListParagraph"/>
              <w:numPr>
                <w:ilvl w:val="0"/>
                <w:numId w:val="10"/>
              </w:numPr>
            </w:pPr>
            <w:r>
              <w:t>Increased effects following heart transplant or use of dipyridamole</w:t>
            </w:r>
          </w:p>
          <w:p w14:paraId="34D013D2" w14:textId="77777777" w:rsidR="00B43B78" w:rsidRDefault="00B43B78" w:rsidP="00AA1D7B">
            <w:pPr>
              <w:pStyle w:val="ListParagraph"/>
            </w:pPr>
          </w:p>
          <w:p w14:paraId="2D95366F" w14:textId="77777777" w:rsidR="00B43B78" w:rsidRDefault="00B43B78" w:rsidP="00B43B78">
            <w:pPr>
              <w:pStyle w:val="ListParagraph"/>
              <w:numPr>
                <w:ilvl w:val="0"/>
                <w:numId w:val="10"/>
              </w:numPr>
            </w:pPr>
            <w:r>
              <w:t>Prolonged QT interval</w:t>
            </w:r>
          </w:p>
          <w:p w14:paraId="0DE3E0B9" w14:textId="77777777" w:rsidR="00B43B78" w:rsidRDefault="00B43B78" w:rsidP="00AA1D7B"/>
        </w:tc>
        <w:tc>
          <w:tcPr>
            <w:tcW w:w="3175" w:type="dxa"/>
          </w:tcPr>
          <w:p w14:paraId="7A30D9F1" w14:textId="77777777" w:rsidR="00B43B78" w:rsidRDefault="00B43B78" w:rsidP="00B43B78">
            <w:pPr>
              <w:pStyle w:val="ListParagraph"/>
              <w:numPr>
                <w:ilvl w:val="0"/>
                <w:numId w:val="10"/>
              </w:numPr>
            </w:pPr>
            <w:r>
              <w:t>Bradycardia, AV block, ectopic beats</w:t>
            </w:r>
          </w:p>
          <w:p w14:paraId="3F25F05B" w14:textId="77777777" w:rsidR="00B43B78" w:rsidRDefault="00B43B78" w:rsidP="00AA1D7B">
            <w:pPr>
              <w:pStyle w:val="ListParagraph"/>
              <w:ind w:left="360"/>
            </w:pPr>
          </w:p>
          <w:p w14:paraId="2D82AC00" w14:textId="77777777" w:rsidR="00B43B78" w:rsidRDefault="00B43B78" w:rsidP="00B43B78">
            <w:pPr>
              <w:pStyle w:val="ListParagraph"/>
              <w:numPr>
                <w:ilvl w:val="0"/>
                <w:numId w:val="10"/>
              </w:numPr>
            </w:pPr>
            <w:r>
              <w:t>Chest pain or pressure</w:t>
            </w:r>
          </w:p>
          <w:p w14:paraId="090D46C8" w14:textId="77777777" w:rsidR="00B43B78" w:rsidRDefault="00B43B78" w:rsidP="00AA1D7B">
            <w:pPr>
              <w:pStyle w:val="ListParagraph"/>
            </w:pPr>
          </w:p>
          <w:p w14:paraId="5D6124C5" w14:textId="77777777" w:rsidR="00B43B78" w:rsidRDefault="00B43B78" w:rsidP="00B43B78">
            <w:pPr>
              <w:pStyle w:val="ListParagraph"/>
              <w:numPr>
                <w:ilvl w:val="0"/>
                <w:numId w:val="10"/>
              </w:numPr>
            </w:pPr>
            <w:r>
              <w:t>Dyspnoea</w:t>
            </w:r>
          </w:p>
          <w:p w14:paraId="72CC89A8" w14:textId="77777777" w:rsidR="00B43B78" w:rsidRDefault="00B43B78" w:rsidP="00AA1D7B">
            <w:pPr>
              <w:pStyle w:val="ListParagraph"/>
            </w:pPr>
          </w:p>
          <w:p w14:paraId="2BC9E80B" w14:textId="77777777" w:rsidR="00B43B78" w:rsidRDefault="00B43B78" w:rsidP="00B43B78">
            <w:pPr>
              <w:pStyle w:val="ListParagraph"/>
              <w:numPr>
                <w:ilvl w:val="0"/>
                <w:numId w:val="10"/>
              </w:numPr>
            </w:pPr>
            <w:r>
              <w:t>Flushing</w:t>
            </w:r>
          </w:p>
          <w:p w14:paraId="7BD7CB21" w14:textId="77777777" w:rsidR="00B43B78" w:rsidRDefault="00B43B78" w:rsidP="00AA1D7B">
            <w:pPr>
              <w:pStyle w:val="ListParagraph"/>
            </w:pPr>
          </w:p>
          <w:p w14:paraId="2098A8BA" w14:textId="77777777" w:rsidR="00B43B78" w:rsidRDefault="00B43B78" w:rsidP="00B43B78">
            <w:pPr>
              <w:pStyle w:val="ListParagraph"/>
              <w:numPr>
                <w:ilvl w:val="0"/>
                <w:numId w:val="10"/>
              </w:numPr>
            </w:pPr>
            <w:r>
              <w:t>Headache</w:t>
            </w:r>
          </w:p>
          <w:p w14:paraId="1B8DA53D" w14:textId="77777777" w:rsidR="00B43B78" w:rsidRDefault="00B43B78" w:rsidP="00AA1D7B">
            <w:pPr>
              <w:pStyle w:val="ListParagraph"/>
            </w:pPr>
          </w:p>
          <w:p w14:paraId="2408DB72" w14:textId="77777777" w:rsidR="00B43B78" w:rsidRDefault="00B43B78" w:rsidP="00B43B78">
            <w:pPr>
              <w:pStyle w:val="ListParagraph"/>
              <w:numPr>
                <w:ilvl w:val="0"/>
                <w:numId w:val="10"/>
              </w:numPr>
            </w:pPr>
            <w:r>
              <w:t>Dizziness</w:t>
            </w:r>
          </w:p>
          <w:p w14:paraId="02D7666E" w14:textId="77777777" w:rsidR="00B43B78" w:rsidRDefault="00B43B78" w:rsidP="00AA1D7B"/>
          <w:p w14:paraId="1C813E6A" w14:textId="77777777" w:rsidR="00B43B78" w:rsidRDefault="00B43B78" w:rsidP="00B43B78">
            <w:pPr>
              <w:pStyle w:val="ListParagraph"/>
              <w:numPr>
                <w:ilvl w:val="0"/>
                <w:numId w:val="10"/>
              </w:numPr>
            </w:pPr>
            <w:r>
              <w:t>Nausea</w:t>
            </w:r>
          </w:p>
          <w:p w14:paraId="254421AF" w14:textId="77777777" w:rsidR="00B43B78" w:rsidRDefault="00B43B78" w:rsidP="00AA1D7B">
            <w:pPr>
              <w:pStyle w:val="ListParagraph"/>
            </w:pPr>
          </w:p>
          <w:p w14:paraId="41CCF165" w14:textId="77777777" w:rsidR="00B43B78" w:rsidRDefault="00B43B78" w:rsidP="00B43B78">
            <w:pPr>
              <w:pStyle w:val="ListParagraph"/>
              <w:numPr>
                <w:ilvl w:val="0"/>
                <w:numId w:val="10"/>
              </w:numPr>
            </w:pPr>
            <w:r>
              <w:t>Apprehension</w:t>
            </w:r>
          </w:p>
        </w:tc>
      </w:tr>
    </w:tbl>
    <w:p w14:paraId="39EE0A82" w14:textId="77777777" w:rsidR="00B43B78" w:rsidRPr="00B43B78" w:rsidRDefault="00B43B78" w:rsidP="00B43B78">
      <w:pPr>
        <w:spacing w:before="120"/>
        <w:rPr>
          <w:b/>
          <w:bCs/>
        </w:rPr>
      </w:pPr>
      <w:r w:rsidRPr="00B43B78">
        <w:rPr>
          <w:b/>
          <w:bCs/>
        </w:rPr>
        <w:t>Table 1. Adenosine: contraindications, cautions and common side effects (</w:t>
      </w:r>
      <w:proofErr w:type="spellStart"/>
      <w:r w:rsidRPr="00B43B78">
        <w:rPr>
          <w:b/>
          <w:bCs/>
        </w:rPr>
        <w:t>Wockhardt</w:t>
      </w:r>
      <w:proofErr w:type="spellEnd"/>
      <w:r w:rsidRPr="00B43B78">
        <w:rPr>
          <w:b/>
          <w:bCs/>
        </w:rPr>
        <w:t xml:space="preserve"> UK Ltd, 2015)</w:t>
      </w:r>
    </w:p>
    <w:p w14:paraId="4978CA19" w14:textId="41645320" w:rsidR="00B43B78" w:rsidRDefault="00B43B78" w:rsidP="009B45C4"/>
    <w:p w14:paraId="40D5CA24" w14:textId="64B8A6E9" w:rsidR="0045305B" w:rsidRDefault="0045305B" w:rsidP="009B45C4"/>
    <w:p w14:paraId="1AE81EB3" w14:textId="55EE7BA3" w:rsidR="0045305B" w:rsidRDefault="0045305B" w:rsidP="009B45C4"/>
    <w:p w14:paraId="390A0869" w14:textId="50F18912" w:rsidR="0045305B" w:rsidRDefault="0045305B" w:rsidP="009B45C4"/>
    <w:p w14:paraId="5D246B14" w14:textId="77777777" w:rsidR="0045305B" w:rsidRDefault="0045305B" w:rsidP="009B45C4"/>
    <w:p w14:paraId="18C5CA1F" w14:textId="62AF9A8E" w:rsidR="00805503" w:rsidRPr="00CC680F" w:rsidRDefault="00805503" w:rsidP="00805503">
      <w:pPr>
        <w:rPr>
          <w:b/>
          <w:bCs/>
          <w:sz w:val="28"/>
          <w:szCs w:val="28"/>
        </w:rPr>
      </w:pPr>
      <w:r w:rsidRPr="00CC680F">
        <w:rPr>
          <w:b/>
          <w:bCs/>
          <w:sz w:val="28"/>
          <w:szCs w:val="28"/>
        </w:rPr>
        <w:t>Amiodarone</w:t>
      </w:r>
    </w:p>
    <w:p w14:paraId="128CF9A3" w14:textId="0C2DB77B" w:rsidR="0082345E" w:rsidRPr="00CC680F" w:rsidRDefault="0082345E" w:rsidP="0082345E">
      <w:pPr>
        <w:rPr>
          <w:b/>
          <w:bCs/>
        </w:rPr>
      </w:pPr>
      <w:r w:rsidRPr="00CC680F">
        <w:rPr>
          <w:b/>
          <w:bCs/>
        </w:rPr>
        <w:t>Overview and indications</w:t>
      </w:r>
    </w:p>
    <w:p w14:paraId="76E7B4D1" w14:textId="77777777" w:rsidR="00805503" w:rsidRPr="00CC680F" w:rsidRDefault="00805503" w:rsidP="00805503">
      <w:r w:rsidRPr="00CC680F">
        <w:t xml:space="preserve">Amiodarone is an iodinated benzofuran, initially developed for the management of angina (Connolly, 1999).  Although its principal effect is potassium channel blockade, making it a class III drug, it also blocks sodium and calcium channels, as well as alpha- and beta-adrenergic receptors (Dan et al, 2018).  It prolongs the action potential and repolarisation time, widening the QRS and prolonging the QT interval.  Its calcium channel and beta-blocking effects slow depolarisation of the sinus and AV nodes, reducing heart rate during sinus rhythm and atrial arrhythmia, and prolonging the PR interval (Zaidel, 2019).  </w:t>
      </w:r>
    </w:p>
    <w:p w14:paraId="3210A08D" w14:textId="713F65C1" w:rsidR="00805503" w:rsidRPr="00CC680F" w:rsidRDefault="00805503" w:rsidP="00805503">
      <w:r w:rsidRPr="00CC680F">
        <w:t>The multiple physiological effects of amiodarone give it a wide range of antiarrhythmic activity against both atrial and ventricular arrhythmias.  It is widely used to terminate AF after cardiac surgery, to prevent paroxysmal AF, and to prevent AF recurrence following DC cardioversion (</w:t>
      </w:r>
      <w:proofErr w:type="spellStart"/>
      <w:r w:rsidRPr="00CC680F">
        <w:t>Kirchof</w:t>
      </w:r>
      <w:proofErr w:type="spellEnd"/>
      <w:r w:rsidRPr="00CC680F">
        <w:t xml:space="preserve"> et al, 2016).   Evidence from multiple, small clinical trials suggests that it has a similar efficacy to other rhythm control drugs in AF management, although in cardioversion of acute AF it is both slower and less effective than flecainide (Aliot </w:t>
      </w:r>
      <w:r w:rsidRPr="00CC680F">
        <w:lastRenderedPageBreak/>
        <w:t xml:space="preserve">et al, 2011; Connolly, 1999).  Despite its efficacy in AF management, its use is </w:t>
      </w:r>
      <w:r w:rsidR="004A7A9E" w:rsidRPr="00CC680F">
        <w:t>often</w:t>
      </w:r>
      <w:r w:rsidRPr="00CC680F">
        <w:t xml:space="preserve"> limited to patients with structural heart disease, for reasons that are discussed below.</w:t>
      </w:r>
    </w:p>
    <w:p w14:paraId="42EC06FB" w14:textId="000DFB20" w:rsidR="00805503" w:rsidRPr="00CC680F" w:rsidRDefault="00805503" w:rsidP="00805503">
      <w:r w:rsidRPr="00CC680F">
        <w:t xml:space="preserve">In ventricular arrhythmia, amiodarone is recommended for the acute management of ventricular tachycardia, and is part of the treatment algorithm for cardiac arrest due to shockable rhythm (Pitcher and Nolan, 2015; Resuscitation Council UK, 2016).  There is limited evidence for these indications, although the existing data, alongside clinical experience, suggests that amiodarone is as effective as other drugs and has a better safety profile (Connolly, 1999).  This is largely due to a lack of significant negative inotropic effect, and a low risk of proarrhythmia, even in individuals with impaired left ventricular (LV) function or cardiomyopathy (Zaidel, 2019).   These properties are in stark contrast to the other rhythm control drugs, making amiodarone the drug of choice in patients with structural heart disease.  In the long-term prevention of sudden cardiac death, amiodarone is modestly effective, but was </w:t>
      </w:r>
      <w:r w:rsidR="009846B2" w:rsidRPr="00CC680F">
        <w:t>inferior to</w:t>
      </w:r>
      <w:r w:rsidRPr="00CC680F">
        <w:t xml:space="preserve"> implantable cardioverter defibrillator (ICD) therapy in clinical trials (Priori et al, 2015). In patients with an ICD, amiodarone is widely used in the management of frequent shocks.  </w:t>
      </w:r>
    </w:p>
    <w:p w14:paraId="56DA0DCD" w14:textId="77777777" w:rsidR="0082345E" w:rsidRPr="00CC680F" w:rsidRDefault="0082345E" w:rsidP="00805503"/>
    <w:p w14:paraId="4ACCE98C" w14:textId="77777777" w:rsidR="0082345E" w:rsidRPr="00CC680F" w:rsidRDefault="0082345E" w:rsidP="0082345E">
      <w:pPr>
        <w:rPr>
          <w:b/>
          <w:bCs/>
        </w:rPr>
      </w:pPr>
      <w:r w:rsidRPr="00CC680F">
        <w:rPr>
          <w:b/>
          <w:bCs/>
        </w:rPr>
        <w:t>Dosing and administration</w:t>
      </w:r>
    </w:p>
    <w:p w14:paraId="73D4A924" w14:textId="6699F3DF" w:rsidR="00805503" w:rsidRPr="00CC680F" w:rsidRDefault="00805503" w:rsidP="00805503">
      <w:r w:rsidRPr="00CC680F">
        <w:t xml:space="preserve">Amiodarone is highly lipophilic, and has a large volume of distribution (Goldschlager et al, 2000).  It is extensively stored in adipose tissue as well as the heart, lungs, liver and skin.  </w:t>
      </w:r>
      <w:r w:rsidR="0082345E" w:rsidRPr="00CC680F">
        <w:t xml:space="preserve">Because of this widespread </w:t>
      </w:r>
      <w:r w:rsidRPr="00CC680F">
        <w:t>storage of the drug</w:t>
      </w:r>
      <w:r w:rsidR="0082345E" w:rsidRPr="00CC680F">
        <w:t xml:space="preserve">, </w:t>
      </w:r>
      <w:r w:rsidRPr="00CC680F">
        <w:t xml:space="preserve">it takes a significant time to achieve steady state plasma levels, even when loading regimes are used (Zaidel, 2019).  </w:t>
      </w:r>
    </w:p>
    <w:p w14:paraId="4028EE18" w14:textId="07A23F22" w:rsidR="001807B1" w:rsidRPr="00CC680F" w:rsidRDefault="001807B1" w:rsidP="001807B1">
      <w:r w:rsidRPr="00CC680F">
        <w:t xml:space="preserve">In acute administration, amiodarone can be given IV with a typical dose of 300mg over one hour, followed by 900mg over a further 23 hours (Joint Formulary Committee, 2019).  </w:t>
      </w:r>
      <w:r w:rsidR="00427425" w:rsidRPr="00CC680F">
        <w:t xml:space="preserve">The drug </w:t>
      </w:r>
      <w:r w:rsidR="00331FA7" w:rsidRPr="00CC680F">
        <w:t xml:space="preserve">can </w:t>
      </w:r>
      <w:r w:rsidR="00427425" w:rsidRPr="00CC680F">
        <w:t>cause phlebitis</w:t>
      </w:r>
      <w:r w:rsidR="00331FA7" w:rsidRPr="00CC680F">
        <w:t xml:space="preserve"> when given peripherally</w:t>
      </w:r>
      <w:r w:rsidR="00427425" w:rsidRPr="00CC680F">
        <w:t xml:space="preserve"> so </w:t>
      </w:r>
      <w:r w:rsidR="00331FA7" w:rsidRPr="00CC680F">
        <w:t xml:space="preserve">administration via a central line is recommended; </w:t>
      </w:r>
      <w:r w:rsidR="00427425" w:rsidRPr="00CC680F">
        <w:t xml:space="preserve">if this is not possible, it should be </w:t>
      </w:r>
      <w:r w:rsidR="00331FA7" w:rsidRPr="00CC680F">
        <w:t>well-</w:t>
      </w:r>
      <w:r w:rsidR="00427425" w:rsidRPr="00CC680F">
        <w:t xml:space="preserve">diluted (Norton et </w:t>
      </w:r>
      <w:r w:rsidR="00331FA7" w:rsidRPr="00CC680F">
        <w:t>a</w:t>
      </w:r>
      <w:r w:rsidR="00427425" w:rsidRPr="00CC680F">
        <w:t xml:space="preserve">l, 2013).  </w:t>
      </w:r>
      <w:r w:rsidRPr="00CC680F">
        <w:t xml:space="preserve">Serious adverse events are rare during acute use of the drug, although hypotension due to vasodilatation can be a problem (Zaidel, 2019).  This is linked to speed of administration; rapid bolusing should be avoided except during resuscitation.  In cardiac arrest, a rapid bolus of 300mg is given following three unsuccessful shocks (Resuscitation Council UK, 2016).  Like all antiarrhythmic drugs, amiodarone can cause bradycardia and heart block, so continuous monitoring of ECG and vital signs are essential during IV administration (Sandau et al, 2017).  </w:t>
      </w:r>
    </w:p>
    <w:p w14:paraId="3B2DAFE4" w14:textId="7BA0F687" w:rsidR="0082345E" w:rsidRPr="00CC680F" w:rsidRDefault="001807B1" w:rsidP="001807B1">
      <w:r w:rsidRPr="00CC680F">
        <w:t>In oral drug initiation, a loading regime is usually employed to achieve steady state plasma levels more quickly</w:t>
      </w:r>
      <w:r w:rsidR="00331FA7" w:rsidRPr="00CC680F">
        <w:t xml:space="preserve">; eight to ten grams of drug are usually required to achieve adequate loading (Fogoros and Mandrola, 2018).  </w:t>
      </w:r>
      <w:r w:rsidRPr="00CC680F">
        <w:t xml:space="preserve">Typically, 200mg is given three times daily for one week, followed by 200mg twice daily for a further week.  The usual maintenance dose is 200mg once daily, although higher doses may be used, especially in intractable ventricular arrhythmias (Joint Formulary Committee, 2019).  Observational data suggests that as little as 100mg daily may be effective in maintaining sinus rhythm in patients with atrial fibrillation (Memom et al, 2018).   </w:t>
      </w:r>
    </w:p>
    <w:p w14:paraId="628F53F3" w14:textId="2F947A2E" w:rsidR="0082345E" w:rsidRPr="00CC680F" w:rsidRDefault="0082345E" w:rsidP="00805503"/>
    <w:p w14:paraId="38CA4273" w14:textId="1B2C5468" w:rsidR="0082345E" w:rsidRPr="00CC680F" w:rsidRDefault="0082345E" w:rsidP="00805503">
      <w:pPr>
        <w:rPr>
          <w:b/>
          <w:bCs/>
        </w:rPr>
      </w:pPr>
      <w:r w:rsidRPr="00CC680F">
        <w:rPr>
          <w:b/>
          <w:bCs/>
        </w:rPr>
        <w:t>Safety</w:t>
      </w:r>
    </w:p>
    <w:p w14:paraId="775FA51F" w14:textId="3458B57E" w:rsidR="00404A32" w:rsidRPr="00CC680F" w:rsidRDefault="00404A32" w:rsidP="00404A32">
      <w:r w:rsidRPr="00CC680F">
        <w:t xml:space="preserve">The chemical structure of amiodarone and its widespread organ storage give rise to </w:t>
      </w:r>
      <w:r w:rsidR="00A6209B" w:rsidRPr="00CC680F">
        <w:t>multiple</w:t>
      </w:r>
      <w:r w:rsidRPr="00CC680F">
        <w:t xml:space="preserve"> potential </w:t>
      </w:r>
      <w:r w:rsidR="00CB6F15" w:rsidRPr="00CC680F">
        <w:t xml:space="preserve">unwanted </w:t>
      </w:r>
      <w:r w:rsidRPr="00CC680F">
        <w:t xml:space="preserve">effects (see table 2).  Of these, pulmonary and liver toxicity are probably the most feared as they </w:t>
      </w:r>
      <w:r w:rsidR="00A6209B" w:rsidRPr="00CC680F">
        <w:t>can</w:t>
      </w:r>
      <w:r w:rsidRPr="00CC680F">
        <w:t xml:space="preserve"> lead to organ failure (</w:t>
      </w:r>
      <w:r w:rsidR="00CB6F15" w:rsidRPr="00CC680F">
        <w:t>Goldschlager et al, 2000</w:t>
      </w:r>
      <w:r w:rsidRPr="00CC680F">
        <w:t xml:space="preserve">).  The risk of </w:t>
      </w:r>
      <w:r w:rsidR="00CB6F15" w:rsidRPr="00CC680F">
        <w:t xml:space="preserve">significant complications </w:t>
      </w:r>
      <w:r w:rsidRPr="00CC680F">
        <w:t xml:space="preserve">increases with larger doses and longer duration of treatment; </w:t>
      </w:r>
      <w:r w:rsidR="00CB6F15" w:rsidRPr="00CC680F">
        <w:t xml:space="preserve">using the smallest effective dose and limiting the duration of therapy therefore reduces risk (Bennett, 2013).  </w:t>
      </w:r>
      <w:r w:rsidRPr="00CC680F">
        <w:t xml:space="preserve">The risks of treatment must be weighed against potential benefits; long term therapy is easier to justify if there is life threatening arrhythmia or a risk of deteriorating </w:t>
      </w:r>
      <w:r w:rsidRPr="00CC680F">
        <w:lastRenderedPageBreak/>
        <w:t xml:space="preserve">heart function, and harder if the sole aim is symptom management (Bennett, 2013).  Alternative options such as pacing and ablation should always be explored.   </w:t>
      </w:r>
      <w:r w:rsidR="00CB6F15" w:rsidRPr="00CC680F">
        <w:t xml:space="preserve">It should be noted that amiodarone has an elimination half-life of </w:t>
      </w:r>
      <w:r w:rsidR="009846B2" w:rsidRPr="00CC680F">
        <w:t xml:space="preserve">approximately </w:t>
      </w:r>
      <w:r w:rsidR="00CB6F15" w:rsidRPr="00CC680F">
        <w:t xml:space="preserve">50 days; therapeutic and unwanted effects will therefore persist for weeks after administration ceases (Accord Healthcare Ltd, 2017).  </w:t>
      </w:r>
    </w:p>
    <w:p w14:paraId="5743BA4F" w14:textId="77777777" w:rsidR="00CB6F15" w:rsidRPr="00CC680F" w:rsidRDefault="00CB6F15" w:rsidP="00CB6F15">
      <w:r w:rsidRPr="00CC680F">
        <w:t>Prior to long term drug initiation, a number of baseline investigations are recommended (Goldschlager et al, 2000).  These include physical examination, 12-lead ECG, chest x-ray, lung function tests, and ophthalmologic examination (Goldschlager et al, 2000).  Blood should be taken for liver, thyroid and renal function.  Ongoing surveillance measures are described in table 2.  There is evidence that screening is poorly adhered to in practice; although blood tests are often organised, ophthalmic and pulmonary tests are less commonly perfomed (Lavon and Goldman, 2019).  Although guidelines suggest a yearly ECG, earlier surveillance is suggested as the maximal effects of amiodarone at the sinus and AV node may be apparent within two weeks of drug initiation (Connolly, 1999).  Patients should be counselled about the risks of treatment, and the symptoms that should trigger urgent evaluation.</w:t>
      </w:r>
    </w:p>
    <w:p w14:paraId="2B4739D4" w14:textId="3367B25F" w:rsidR="00CB6F15" w:rsidRPr="00CC680F" w:rsidRDefault="00404A32" w:rsidP="00805503">
      <w:r w:rsidRPr="00CC680F">
        <w:t xml:space="preserve">Amiodarone is contraindicated in bradycardia or severe conduction system disease (unless a pacemaker is present), in iodine sensitivity, known thyroid disease, and pregnancy/lactation (Joint Formulary Committee, 2019).  </w:t>
      </w:r>
      <w:r w:rsidR="00CB6F15" w:rsidRPr="00CC680F">
        <w:t xml:space="preserve">The drug </w:t>
      </w:r>
      <w:r w:rsidRPr="00CC680F">
        <w:t xml:space="preserve">is metabolised in the liver by CYP3A4 and CYP2C8 to form an active metabolite, desethylamiodarone (DEA), and is excreted in the bile and faeces (Zaidel, 2019).  No dose reduction is required in renal impairment although serum potassium should be monitored as hypokalaemia increases the risk of proarrhythmia (Joint Formulary Committee, 2019).  Amiodarone and DEA inhibit multiple hepatic pathways, increasing the plasma levels of some drugs when co-administered (Zaidel, 2019).  Table 3 outlines the interactions most relevant to cardiac patients.  Grapefruit juice inhibits the metabolism of amiodarone, increasing plasma levels; it should therefore be avoided (Accord Healthcare Ltd, 2017).     </w:t>
      </w:r>
    </w:p>
    <w:p w14:paraId="2C32C5C0" w14:textId="202D1343" w:rsidR="009846B2" w:rsidRDefault="009846B2" w:rsidP="00805503"/>
    <w:p w14:paraId="7C48A1F7" w14:textId="097A7C84" w:rsidR="00B43B78" w:rsidRDefault="00B43B78" w:rsidP="00805503"/>
    <w:p w14:paraId="3B078A20" w14:textId="7D87601F" w:rsidR="00B43B78" w:rsidRDefault="00B43B78" w:rsidP="00805503"/>
    <w:p w14:paraId="4D7F76B4" w14:textId="2DF9B188" w:rsidR="008A07CC" w:rsidRDefault="008A07CC" w:rsidP="00805503"/>
    <w:p w14:paraId="5F1C7596" w14:textId="61D7EAC2" w:rsidR="008A07CC" w:rsidRDefault="008A07CC" w:rsidP="00805503"/>
    <w:tbl>
      <w:tblPr>
        <w:tblStyle w:val="TableGrid"/>
        <w:tblW w:w="9610" w:type="dxa"/>
        <w:tblInd w:w="-147" w:type="dxa"/>
        <w:tblLook w:val="04A0" w:firstRow="1" w:lastRow="0" w:firstColumn="1" w:lastColumn="0" w:noHBand="0" w:noVBand="1"/>
      </w:tblPr>
      <w:tblGrid>
        <w:gridCol w:w="1684"/>
        <w:gridCol w:w="1718"/>
        <w:gridCol w:w="1089"/>
        <w:gridCol w:w="2535"/>
        <w:gridCol w:w="2584"/>
      </w:tblGrid>
      <w:tr w:rsidR="00B43B78" w14:paraId="7729E06E" w14:textId="77777777" w:rsidTr="00AA1D7B">
        <w:tc>
          <w:tcPr>
            <w:tcW w:w="1684" w:type="dxa"/>
          </w:tcPr>
          <w:p w14:paraId="67194373" w14:textId="77777777" w:rsidR="00B43B78" w:rsidRPr="00216F0B" w:rsidRDefault="00B43B78" w:rsidP="00AA1D7B">
            <w:pPr>
              <w:rPr>
                <w:b/>
                <w:bCs/>
              </w:rPr>
            </w:pPr>
            <w:r w:rsidRPr="00216F0B">
              <w:rPr>
                <w:b/>
                <w:bCs/>
              </w:rPr>
              <w:t>Organ</w:t>
            </w:r>
          </w:p>
        </w:tc>
        <w:tc>
          <w:tcPr>
            <w:tcW w:w="1718" w:type="dxa"/>
          </w:tcPr>
          <w:p w14:paraId="4F3D88CA" w14:textId="77777777" w:rsidR="00B43B78" w:rsidRPr="00216F0B" w:rsidRDefault="00B43B78" w:rsidP="00AA1D7B">
            <w:pPr>
              <w:rPr>
                <w:b/>
                <w:bCs/>
              </w:rPr>
            </w:pPr>
            <w:r w:rsidRPr="00216F0B">
              <w:rPr>
                <w:b/>
                <w:bCs/>
              </w:rPr>
              <w:t>Adverse effect</w:t>
            </w:r>
            <w:r>
              <w:rPr>
                <w:b/>
                <w:bCs/>
              </w:rPr>
              <w:t xml:space="preserve"> </w:t>
            </w:r>
          </w:p>
        </w:tc>
        <w:tc>
          <w:tcPr>
            <w:tcW w:w="1089" w:type="dxa"/>
          </w:tcPr>
          <w:p w14:paraId="06B58A73" w14:textId="77777777" w:rsidR="00B43B78" w:rsidRPr="00216F0B" w:rsidRDefault="00B43B78" w:rsidP="00AA1D7B">
            <w:pPr>
              <w:rPr>
                <w:b/>
                <w:bCs/>
              </w:rPr>
            </w:pPr>
            <w:r>
              <w:rPr>
                <w:b/>
                <w:bCs/>
              </w:rPr>
              <w:t>Incidence</w:t>
            </w:r>
          </w:p>
        </w:tc>
        <w:tc>
          <w:tcPr>
            <w:tcW w:w="2535" w:type="dxa"/>
          </w:tcPr>
          <w:p w14:paraId="7D8D01D0" w14:textId="77777777" w:rsidR="00B43B78" w:rsidRPr="00216F0B" w:rsidRDefault="00B43B78" w:rsidP="00AA1D7B">
            <w:pPr>
              <w:rPr>
                <w:b/>
                <w:bCs/>
              </w:rPr>
            </w:pPr>
            <w:r>
              <w:rPr>
                <w:b/>
                <w:bCs/>
              </w:rPr>
              <w:t>Diagnosis</w:t>
            </w:r>
          </w:p>
        </w:tc>
        <w:tc>
          <w:tcPr>
            <w:tcW w:w="2584" w:type="dxa"/>
          </w:tcPr>
          <w:p w14:paraId="258B96EE" w14:textId="77777777" w:rsidR="00B43B78" w:rsidRPr="00216F0B" w:rsidRDefault="00B43B78" w:rsidP="00AA1D7B">
            <w:pPr>
              <w:rPr>
                <w:b/>
                <w:bCs/>
              </w:rPr>
            </w:pPr>
            <w:r w:rsidRPr="00216F0B">
              <w:rPr>
                <w:b/>
                <w:bCs/>
              </w:rPr>
              <w:t>Surveillance / comments</w:t>
            </w:r>
          </w:p>
        </w:tc>
      </w:tr>
      <w:tr w:rsidR="00B43B78" w14:paraId="224FF5B3" w14:textId="77777777" w:rsidTr="00AA1D7B">
        <w:tc>
          <w:tcPr>
            <w:tcW w:w="1684" w:type="dxa"/>
          </w:tcPr>
          <w:p w14:paraId="1C93D01A" w14:textId="77777777" w:rsidR="00B43B78" w:rsidRPr="004E32C2" w:rsidRDefault="00B43B78" w:rsidP="00AA1D7B">
            <w:pPr>
              <w:rPr>
                <w:b/>
                <w:bCs/>
              </w:rPr>
            </w:pPr>
            <w:r w:rsidRPr="004E32C2">
              <w:rPr>
                <w:b/>
                <w:bCs/>
              </w:rPr>
              <w:t>Heart</w:t>
            </w:r>
          </w:p>
          <w:p w14:paraId="6DA33DE6" w14:textId="77777777" w:rsidR="00B43B78" w:rsidRDefault="00B43B78" w:rsidP="00AA1D7B"/>
        </w:tc>
        <w:tc>
          <w:tcPr>
            <w:tcW w:w="1718" w:type="dxa"/>
          </w:tcPr>
          <w:p w14:paraId="2A8A9332" w14:textId="77777777" w:rsidR="00B43B78" w:rsidRDefault="00B43B78" w:rsidP="00AA1D7B">
            <w:r>
              <w:t>Bradycardia, heart block.</w:t>
            </w:r>
          </w:p>
        </w:tc>
        <w:tc>
          <w:tcPr>
            <w:tcW w:w="1089" w:type="dxa"/>
          </w:tcPr>
          <w:p w14:paraId="213DBBB5" w14:textId="77777777" w:rsidR="00B43B78" w:rsidRDefault="00B43B78" w:rsidP="00AA1D7B">
            <w:r>
              <w:t>5%</w:t>
            </w:r>
          </w:p>
        </w:tc>
        <w:tc>
          <w:tcPr>
            <w:tcW w:w="2535" w:type="dxa"/>
          </w:tcPr>
          <w:p w14:paraId="5856E0B9" w14:textId="77777777" w:rsidR="00B43B78" w:rsidRDefault="00B43B78" w:rsidP="00AA1D7B">
            <w:r>
              <w:t>Slow pulse, dizziness, fatigue, breathlessness. 12-lead or ambulatory ECG.</w:t>
            </w:r>
          </w:p>
        </w:tc>
        <w:tc>
          <w:tcPr>
            <w:tcW w:w="2584" w:type="dxa"/>
          </w:tcPr>
          <w:p w14:paraId="17F80E79" w14:textId="77777777" w:rsidR="00B43B78" w:rsidRDefault="00B43B78" w:rsidP="00AA1D7B">
            <w:r>
              <w:t>ECG at baseline and then yearly. More likely if co-administered with other anti-arrhythmic drugs. Stop drug or implant pacemaker.</w:t>
            </w:r>
          </w:p>
        </w:tc>
      </w:tr>
      <w:tr w:rsidR="00B43B78" w14:paraId="1E4F6B65" w14:textId="77777777" w:rsidTr="00AA1D7B">
        <w:tc>
          <w:tcPr>
            <w:tcW w:w="1684" w:type="dxa"/>
          </w:tcPr>
          <w:p w14:paraId="7091A147" w14:textId="77777777" w:rsidR="00B43B78" w:rsidRPr="004E32C2" w:rsidRDefault="00B43B78" w:rsidP="00AA1D7B">
            <w:pPr>
              <w:rPr>
                <w:b/>
                <w:bCs/>
              </w:rPr>
            </w:pPr>
            <w:r w:rsidRPr="004E32C2">
              <w:rPr>
                <w:b/>
                <w:bCs/>
              </w:rPr>
              <w:t>Lung</w:t>
            </w:r>
          </w:p>
        </w:tc>
        <w:tc>
          <w:tcPr>
            <w:tcW w:w="1718" w:type="dxa"/>
          </w:tcPr>
          <w:p w14:paraId="1DE5050D" w14:textId="77777777" w:rsidR="00B43B78" w:rsidRDefault="00B43B78" w:rsidP="00AA1D7B">
            <w:r>
              <w:t xml:space="preserve">Pulmonary toxicity </w:t>
            </w:r>
          </w:p>
        </w:tc>
        <w:tc>
          <w:tcPr>
            <w:tcW w:w="1089" w:type="dxa"/>
          </w:tcPr>
          <w:p w14:paraId="75FF78B2" w14:textId="77777777" w:rsidR="00B43B78" w:rsidRDefault="00B43B78" w:rsidP="00AA1D7B">
            <w:r>
              <w:t>1-20%</w:t>
            </w:r>
          </w:p>
        </w:tc>
        <w:tc>
          <w:tcPr>
            <w:tcW w:w="2535" w:type="dxa"/>
          </w:tcPr>
          <w:p w14:paraId="64C62E9C" w14:textId="77777777" w:rsidR="00B43B78" w:rsidRDefault="00B43B78" w:rsidP="00AA1D7B">
            <w:r>
              <w:t>Dyspnoea, dry cough, crackles, fever, weight loss. Pulmonary infiltrates on chest x-ray / reduced DLCO at lung function test.</w:t>
            </w:r>
          </w:p>
        </w:tc>
        <w:tc>
          <w:tcPr>
            <w:tcW w:w="2584" w:type="dxa"/>
          </w:tcPr>
          <w:p w14:paraId="21F710E2" w14:textId="77777777" w:rsidR="00B43B78" w:rsidRDefault="00B43B78" w:rsidP="00AA1D7B">
            <w:r>
              <w:t>Chest x-ray and lung function test at baseline. Yearly chest x-ray. Repeat lung function test if symptoms develop. Stop drug and initiate corticosteroids.</w:t>
            </w:r>
          </w:p>
        </w:tc>
      </w:tr>
      <w:tr w:rsidR="00B43B78" w14:paraId="3E63E3AD" w14:textId="77777777" w:rsidTr="00AA1D7B">
        <w:tc>
          <w:tcPr>
            <w:tcW w:w="1684" w:type="dxa"/>
            <w:vMerge w:val="restart"/>
          </w:tcPr>
          <w:p w14:paraId="67D7CB7E" w14:textId="77777777" w:rsidR="00B43B78" w:rsidRPr="004E32C2" w:rsidRDefault="00B43B78" w:rsidP="00AA1D7B">
            <w:pPr>
              <w:rPr>
                <w:b/>
                <w:bCs/>
              </w:rPr>
            </w:pPr>
            <w:r>
              <w:rPr>
                <w:b/>
                <w:bCs/>
              </w:rPr>
              <w:t>Gastrointestinal</w:t>
            </w:r>
          </w:p>
        </w:tc>
        <w:tc>
          <w:tcPr>
            <w:tcW w:w="1718" w:type="dxa"/>
          </w:tcPr>
          <w:p w14:paraId="5CA69DC1" w14:textId="77777777" w:rsidR="00B43B78" w:rsidRDefault="00B43B78" w:rsidP="00AA1D7B">
            <w:r>
              <w:t>Side effects</w:t>
            </w:r>
          </w:p>
        </w:tc>
        <w:tc>
          <w:tcPr>
            <w:tcW w:w="1089" w:type="dxa"/>
          </w:tcPr>
          <w:p w14:paraId="7EFECE0D" w14:textId="77777777" w:rsidR="00B43B78" w:rsidRDefault="00B43B78" w:rsidP="00AA1D7B">
            <w:r>
              <w:t>30%</w:t>
            </w:r>
          </w:p>
        </w:tc>
        <w:tc>
          <w:tcPr>
            <w:tcW w:w="2535" w:type="dxa"/>
          </w:tcPr>
          <w:p w14:paraId="1033B9DE" w14:textId="77777777" w:rsidR="00B43B78" w:rsidRDefault="00B43B78" w:rsidP="00AA1D7B">
            <w:r>
              <w:t xml:space="preserve">Nausea, anorexia, constipation.  </w:t>
            </w:r>
          </w:p>
        </w:tc>
        <w:tc>
          <w:tcPr>
            <w:tcW w:w="2584" w:type="dxa"/>
          </w:tcPr>
          <w:p w14:paraId="2B6E37EA" w14:textId="77777777" w:rsidR="00B43B78" w:rsidRDefault="00B43B78" w:rsidP="00AA1D7B">
            <w:r>
              <w:t>Common cause of drug intolerance</w:t>
            </w:r>
          </w:p>
        </w:tc>
      </w:tr>
      <w:tr w:rsidR="00B43B78" w14:paraId="52B805F5" w14:textId="77777777" w:rsidTr="00AA1D7B">
        <w:tc>
          <w:tcPr>
            <w:tcW w:w="1684" w:type="dxa"/>
            <w:vMerge/>
          </w:tcPr>
          <w:p w14:paraId="19222B42" w14:textId="77777777" w:rsidR="00B43B78" w:rsidRDefault="00B43B78" w:rsidP="00AA1D7B">
            <w:pPr>
              <w:rPr>
                <w:b/>
                <w:bCs/>
              </w:rPr>
            </w:pPr>
          </w:p>
        </w:tc>
        <w:tc>
          <w:tcPr>
            <w:tcW w:w="1718" w:type="dxa"/>
          </w:tcPr>
          <w:p w14:paraId="4EE23A6C" w14:textId="77777777" w:rsidR="00B43B78" w:rsidRDefault="00B43B78" w:rsidP="00AA1D7B">
            <w:r>
              <w:t>Liver toxicity</w:t>
            </w:r>
          </w:p>
        </w:tc>
        <w:tc>
          <w:tcPr>
            <w:tcW w:w="1089" w:type="dxa"/>
          </w:tcPr>
          <w:p w14:paraId="57E82AF5" w14:textId="77777777" w:rsidR="00B43B78" w:rsidRDefault="00B43B78" w:rsidP="00AA1D7B">
            <w:r>
              <w:t>&lt;3%</w:t>
            </w:r>
          </w:p>
        </w:tc>
        <w:tc>
          <w:tcPr>
            <w:tcW w:w="2535" w:type="dxa"/>
          </w:tcPr>
          <w:p w14:paraId="00C4DE29" w14:textId="77777777" w:rsidR="00B43B78" w:rsidRDefault="00B43B78" w:rsidP="00AA1D7B">
            <w:r>
              <w:t>Increase in liver enzymes (small rise expected). Hepatic failure rare but potentially fatal.</w:t>
            </w:r>
          </w:p>
        </w:tc>
        <w:tc>
          <w:tcPr>
            <w:tcW w:w="2584" w:type="dxa"/>
          </w:tcPr>
          <w:p w14:paraId="1B8B869D" w14:textId="77777777" w:rsidR="00B43B78" w:rsidRDefault="00B43B78" w:rsidP="00AA1D7B">
            <w:r>
              <w:t xml:space="preserve">Liver function test at baseline and 6 </w:t>
            </w:r>
            <w:proofErr w:type="gramStart"/>
            <w:r>
              <w:t>monthly</w:t>
            </w:r>
            <w:proofErr w:type="gramEnd"/>
            <w:r>
              <w:t>. Stop drug if ALT &gt; 3 times baseline value</w:t>
            </w:r>
          </w:p>
        </w:tc>
      </w:tr>
      <w:tr w:rsidR="00B43B78" w14:paraId="59BD2BD5" w14:textId="77777777" w:rsidTr="00AA1D7B">
        <w:tc>
          <w:tcPr>
            <w:tcW w:w="1684" w:type="dxa"/>
            <w:vMerge w:val="restart"/>
          </w:tcPr>
          <w:p w14:paraId="78C973EF" w14:textId="77777777" w:rsidR="00B43B78" w:rsidRPr="004E32C2" w:rsidRDefault="00B43B78" w:rsidP="00AA1D7B">
            <w:pPr>
              <w:rPr>
                <w:b/>
                <w:bCs/>
              </w:rPr>
            </w:pPr>
            <w:r w:rsidRPr="004E32C2">
              <w:rPr>
                <w:b/>
                <w:bCs/>
              </w:rPr>
              <w:t>Thyroid</w:t>
            </w:r>
          </w:p>
          <w:p w14:paraId="63719DF2" w14:textId="77777777" w:rsidR="00B43B78" w:rsidRPr="004E32C2" w:rsidRDefault="00B43B78" w:rsidP="00AA1D7B">
            <w:pPr>
              <w:rPr>
                <w:b/>
                <w:bCs/>
              </w:rPr>
            </w:pPr>
          </w:p>
        </w:tc>
        <w:tc>
          <w:tcPr>
            <w:tcW w:w="1718" w:type="dxa"/>
          </w:tcPr>
          <w:p w14:paraId="18C52C27" w14:textId="77777777" w:rsidR="00B43B78" w:rsidRDefault="00B43B78" w:rsidP="00AA1D7B">
            <w:r>
              <w:t xml:space="preserve">Hypothyroidism </w:t>
            </w:r>
          </w:p>
        </w:tc>
        <w:tc>
          <w:tcPr>
            <w:tcW w:w="1089" w:type="dxa"/>
          </w:tcPr>
          <w:p w14:paraId="5F3B8279" w14:textId="77777777" w:rsidR="00B43B78" w:rsidRDefault="00B43B78" w:rsidP="00AA1D7B">
            <w:r>
              <w:t>1-22%</w:t>
            </w:r>
          </w:p>
        </w:tc>
        <w:tc>
          <w:tcPr>
            <w:tcW w:w="2535" w:type="dxa"/>
          </w:tcPr>
          <w:p w14:paraId="09093F8A" w14:textId="77777777" w:rsidR="00B43B78" w:rsidRDefault="00B43B78" w:rsidP="00AA1D7B">
            <w:r>
              <w:t>Fatigue, weight gain, cold intolerance, constipation, dry skin, depression. Raised TSH and low T4.</w:t>
            </w:r>
          </w:p>
        </w:tc>
        <w:tc>
          <w:tcPr>
            <w:tcW w:w="2584" w:type="dxa"/>
          </w:tcPr>
          <w:p w14:paraId="42D753F8" w14:textId="77777777" w:rsidR="00B43B78" w:rsidRDefault="00B43B78" w:rsidP="00AA1D7B">
            <w:r>
              <w:t xml:space="preserve">Thyroid function test at baseline and 6 </w:t>
            </w:r>
            <w:proofErr w:type="gramStart"/>
            <w:r>
              <w:t>monthly</w:t>
            </w:r>
            <w:proofErr w:type="gramEnd"/>
            <w:r>
              <w:t>. Can continue amiodarone and give levothyroxine.</w:t>
            </w:r>
          </w:p>
        </w:tc>
      </w:tr>
      <w:tr w:rsidR="00B43B78" w14:paraId="29526B71" w14:textId="77777777" w:rsidTr="00AA1D7B">
        <w:tc>
          <w:tcPr>
            <w:tcW w:w="1684" w:type="dxa"/>
            <w:vMerge/>
          </w:tcPr>
          <w:p w14:paraId="494762F2" w14:textId="77777777" w:rsidR="00B43B78" w:rsidRDefault="00B43B78" w:rsidP="00AA1D7B"/>
        </w:tc>
        <w:tc>
          <w:tcPr>
            <w:tcW w:w="1718" w:type="dxa"/>
          </w:tcPr>
          <w:p w14:paraId="52ABAC37" w14:textId="77777777" w:rsidR="00B43B78" w:rsidRDefault="00B43B78" w:rsidP="00AA1D7B">
            <w:r>
              <w:t>Hyperthyroidism</w:t>
            </w:r>
          </w:p>
        </w:tc>
        <w:tc>
          <w:tcPr>
            <w:tcW w:w="1089" w:type="dxa"/>
          </w:tcPr>
          <w:p w14:paraId="1EFA8CB4" w14:textId="77777777" w:rsidR="00B43B78" w:rsidRDefault="00B43B78" w:rsidP="00AA1D7B">
            <w:r>
              <w:t>&lt;3%</w:t>
            </w:r>
          </w:p>
        </w:tc>
        <w:tc>
          <w:tcPr>
            <w:tcW w:w="2535" w:type="dxa"/>
          </w:tcPr>
          <w:p w14:paraId="0CF49D40" w14:textId="77777777" w:rsidR="00B43B78" w:rsidRDefault="00B43B78" w:rsidP="00AA1D7B">
            <w:r>
              <w:t>Weight loss, heat intolerance, anxiety, exacerbation of arrhythmia/angina/heart failure. Low TSH with raised T4 and T3.</w:t>
            </w:r>
          </w:p>
        </w:tc>
        <w:tc>
          <w:tcPr>
            <w:tcW w:w="2584" w:type="dxa"/>
          </w:tcPr>
          <w:p w14:paraId="1F415B25" w14:textId="77777777" w:rsidR="00B43B78" w:rsidRDefault="00B43B78" w:rsidP="00AA1D7B">
            <w:r>
              <w:t>Drug usually stopped. Carbamazepine or steroids required depending on underlying pathology.  Urgent thyroidectomy if severe cardiac impairment.</w:t>
            </w:r>
          </w:p>
        </w:tc>
      </w:tr>
      <w:tr w:rsidR="00B43B78" w14:paraId="48F4DACB" w14:textId="77777777" w:rsidTr="00AA1D7B">
        <w:tc>
          <w:tcPr>
            <w:tcW w:w="1684" w:type="dxa"/>
            <w:vMerge w:val="restart"/>
          </w:tcPr>
          <w:p w14:paraId="59F08F16" w14:textId="77777777" w:rsidR="00B43B78" w:rsidRPr="00B322E6" w:rsidRDefault="00B43B78" w:rsidP="00AA1D7B">
            <w:pPr>
              <w:rPr>
                <w:b/>
                <w:bCs/>
              </w:rPr>
            </w:pPr>
            <w:r w:rsidRPr="00B322E6">
              <w:rPr>
                <w:b/>
                <w:bCs/>
              </w:rPr>
              <w:t>Skin</w:t>
            </w:r>
          </w:p>
          <w:p w14:paraId="7CAE324E" w14:textId="77777777" w:rsidR="00B43B78" w:rsidRDefault="00B43B78" w:rsidP="00AA1D7B"/>
        </w:tc>
        <w:tc>
          <w:tcPr>
            <w:tcW w:w="1718" w:type="dxa"/>
          </w:tcPr>
          <w:p w14:paraId="41CCC915" w14:textId="77777777" w:rsidR="00B43B78" w:rsidRDefault="00B43B78" w:rsidP="00AA1D7B">
            <w:r>
              <w:t xml:space="preserve">Photosensitivity </w:t>
            </w:r>
          </w:p>
        </w:tc>
        <w:tc>
          <w:tcPr>
            <w:tcW w:w="1089" w:type="dxa"/>
          </w:tcPr>
          <w:p w14:paraId="684AF016" w14:textId="77777777" w:rsidR="00B43B78" w:rsidRDefault="00B43B78" w:rsidP="00AA1D7B">
            <w:r>
              <w:t>25-75%</w:t>
            </w:r>
          </w:p>
        </w:tc>
        <w:tc>
          <w:tcPr>
            <w:tcW w:w="2535" w:type="dxa"/>
          </w:tcPr>
          <w:p w14:paraId="1DE96472" w14:textId="77777777" w:rsidR="00B43B78" w:rsidRDefault="00B43B78" w:rsidP="00AA1D7B">
            <w:r>
              <w:t xml:space="preserve">Sunburn with less than normal exposure </w:t>
            </w:r>
          </w:p>
        </w:tc>
        <w:tc>
          <w:tcPr>
            <w:tcW w:w="2584" w:type="dxa"/>
          </w:tcPr>
          <w:p w14:paraId="1DBF24D6" w14:textId="77777777" w:rsidR="00B43B78" w:rsidRDefault="00B43B78" w:rsidP="00AA1D7B">
            <w:r>
              <w:t>Patients should cover up and use sun block.</w:t>
            </w:r>
          </w:p>
        </w:tc>
      </w:tr>
      <w:tr w:rsidR="00B43B78" w14:paraId="55A3E21B" w14:textId="77777777" w:rsidTr="00AA1D7B">
        <w:tc>
          <w:tcPr>
            <w:tcW w:w="1684" w:type="dxa"/>
            <w:vMerge/>
          </w:tcPr>
          <w:p w14:paraId="747A684C" w14:textId="77777777" w:rsidR="00B43B78" w:rsidRDefault="00B43B78" w:rsidP="00AA1D7B"/>
        </w:tc>
        <w:tc>
          <w:tcPr>
            <w:tcW w:w="1718" w:type="dxa"/>
          </w:tcPr>
          <w:p w14:paraId="1700218D" w14:textId="77777777" w:rsidR="00B43B78" w:rsidRDefault="00B43B78" w:rsidP="00AA1D7B">
            <w:r>
              <w:t>Phototoxicity</w:t>
            </w:r>
          </w:p>
        </w:tc>
        <w:tc>
          <w:tcPr>
            <w:tcW w:w="1089" w:type="dxa"/>
          </w:tcPr>
          <w:p w14:paraId="7B13CE19" w14:textId="77777777" w:rsidR="00B43B78" w:rsidRDefault="00B43B78" w:rsidP="00AA1D7B">
            <w:r>
              <w:t>&lt;10%</w:t>
            </w:r>
          </w:p>
        </w:tc>
        <w:tc>
          <w:tcPr>
            <w:tcW w:w="2535" w:type="dxa"/>
          </w:tcPr>
          <w:p w14:paraId="41D697E8" w14:textId="77777777" w:rsidR="00B43B78" w:rsidRDefault="00B43B78" w:rsidP="00AA1D7B">
            <w:r>
              <w:t>Blue-grey discolouration of skin exposed to sunlight (mostly face)</w:t>
            </w:r>
          </w:p>
        </w:tc>
        <w:tc>
          <w:tcPr>
            <w:tcW w:w="2584" w:type="dxa"/>
          </w:tcPr>
          <w:p w14:paraId="608E7ED0" w14:textId="77777777" w:rsidR="00B43B78" w:rsidRDefault="00B43B78" w:rsidP="00AA1D7B">
            <w:r>
              <w:t>Usually associated with longer term therapy and higher doses.</w:t>
            </w:r>
          </w:p>
        </w:tc>
      </w:tr>
      <w:tr w:rsidR="00B43B78" w14:paraId="0C28041C" w14:textId="77777777" w:rsidTr="00AA1D7B">
        <w:tc>
          <w:tcPr>
            <w:tcW w:w="1684" w:type="dxa"/>
          </w:tcPr>
          <w:p w14:paraId="0B25F8E8" w14:textId="77777777" w:rsidR="00B43B78" w:rsidRPr="00B322E6" w:rsidRDefault="00B43B78" w:rsidP="00AA1D7B">
            <w:pPr>
              <w:rPr>
                <w:b/>
                <w:bCs/>
              </w:rPr>
            </w:pPr>
            <w:r w:rsidRPr="00B322E6">
              <w:rPr>
                <w:b/>
                <w:bCs/>
              </w:rPr>
              <w:t>Central nervous system</w:t>
            </w:r>
          </w:p>
        </w:tc>
        <w:tc>
          <w:tcPr>
            <w:tcW w:w="1718" w:type="dxa"/>
          </w:tcPr>
          <w:p w14:paraId="4ACAA09E" w14:textId="77777777" w:rsidR="00B43B78" w:rsidRDefault="00B43B78" w:rsidP="00AA1D7B">
            <w:r>
              <w:t>Neurological toxicity</w:t>
            </w:r>
          </w:p>
        </w:tc>
        <w:tc>
          <w:tcPr>
            <w:tcW w:w="1089" w:type="dxa"/>
          </w:tcPr>
          <w:p w14:paraId="5A809A0C" w14:textId="77777777" w:rsidR="00B43B78" w:rsidRDefault="00B43B78" w:rsidP="00AA1D7B">
            <w:r>
              <w:t>3-30%</w:t>
            </w:r>
          </w:p>
        </w:tc>
        <w:tc>
          <w:tcPr>
            <w:tcW w:w="2535" w:type="dxa"/>
          </w:tcPr>
          <w:p w14:paraId="12A2B799" w14:textId="77777777" w:rsidR="00B43B78" w:rsidRDefault="00B43B78" w:rsidP="00AA1D7B">
            <w:r>
              <w:t>Ataxia, paraesthesia, peripheral neuropathy, memory problems, sleep disturbance, tremor.</w:t>
            </w:r>
          </w:p>
        </w:tc>
        <w:tc>
          <w:tcPr>
            <w:tcW w:w="2584" w:type="dxa"/>
          </w:tcPr>
          <w:p w14:paraId="076A1804" w14:textId="77777777" w:rsidR="00B43B78" w:rsidRDefault="00B43B78" w:rsidP="00AA1D7B">
            <w:r>
              <w:t>Common cause of drug intolerance.</w:t>
            </w:r>
          </w:p>
        </w:tc>
      </w:tr>
      <w:tr w:rsidR="00B43B78" w14:paraId="54174231" w14:textId="77777777" w:rsidTr="00AA1D7B">
        <w:tc>
          <w:tcPr>
            <w:tcW w:w="1684" w:type="dxa"/>
          </w:tcPr>
          <w:p w14:paraId="7632518D" w14:textId="77777777" w:rsidR="00B43B78" w:rsidRPr="00B322E6" w:rsidRDefault="00B43B78" w:rsidP="00AA1D7B">
            <w:pPr>
              <w:rPr>
                <w:b/>
                <w:bCs/>
              </w:rPr>
            </w:pPr>
            <w:r w:rsidRPr="00B322E6">
              <w:rPr>
                <w:b/>
                <w:bCs/>
              </w:rPr>
              <w:t>Eyes</w:t>
            </w:r>
          </w:p>
        </w:tc>
        <w:tc>
          <w:tcPr>
            <w:tcW w:w="1718" w:type="dxa"/>
          </w:tcPr>
          <w:p w14:paraId="036F94F3" w14:textId="77777777" w:rsidR="00B43B78" w:rsidRDefault="00B43B78" w:rsidP="00AA1D7B">
            <w:r>
              <w:t xml:space="preserve">Corneal microdeposits </w:t>
            </w:r>
          </w:p>
        </w:tc>
        <w:tc>
          <w:tcPr>
            <w:tcW w:w="1089" w:type="dxa"/>
          </w:tcPr>
          <w:p w14:paraId="6AB1D22A" w14:textId="77777777" w:rsidR="00B43B78" w:rsidRDefault="00B43B78" w:rsidP="00AA1D7B">
            <w:r>
              <w:t>&gt;90%</w:t>
            </w:r>
          </w:p>
        </w:tc>
        <w:tc>
          <w:tcPr>
            <w:tcW w:w="2535" w:type="dxa"/>
          </w:tcPr>
          <w:p w14:paraId="42D895AF" w14:textId="77777777" w:rsidR="00B43B78" w:rsidRDefault="00B43B78" w:rsidP="00AA1D7B">
            <w:r>
              <w:t xml:space="preserve">Usually asymptomatic; halo vision in &lt;5% makes night driving difficult.  </w:t>
            </w:r>
          </w:p>
        </w:tc>
        <w:tc>
          <w:tcPr>
            <w:tcW w:w="2584" w:type="dxa"/>
          </w:tcPr>
          <w:p w14:paraId="09F34128" w14:textId="77777777" w:rsidR="00B43B78" w:rsidRDefault="00B43B78" w:rsidP="00AA1D7B">
            <w:r>
              <w:t xml:space="preserve">Baseline ophthalmic evaluation, repeated if symptoms occur. Optic neuritis rare (1%). </w:t>
            </w:r>
          </w:p>
        </w:tc>
      </w:tr>
    </w:tbl>
    <w:p w14:paraId="4BF5C13B" w14:textId="77777777" w:rsidR="00B43B78" w:rsidRPr="00424B75" w:rsidRDefault="00B43B78" w:rsidP="00B43B78">
      <w:pPr>
        <w:spacing w:before="120"/>
        <w:rPr>
          <w:b/>
          <w:bCs/>
        </w:rPr>
      </w:pPr>
      <w:r w:rsidRPr="00424B75">
        <w:rPr>
          <w:b/>
          <w:bCs/>
        </w:rPr>
        <w:t xml:space="preserve">Table 2. </w:t>
      </w:r>
      <w:r>
        <w:rPr>
          <w:b/>
          <w:bCs/>
        </w:rPr>
        <w:t>Common a</w:t>
      </w:r>
      <w:r w:rsidRPr="00424B75">
        <w:rPr>
          <w:b/>
          <w:bCs/>
        </w:rPr>
        <w:t>dverse effects associated with amiodarone</w:t>
      </w:r>
      <w:r>
        <w:rPr>
          <w:b/>
          <w:bCs/>
        </w:rPr>
        <w:t xml:space="preserve"> (Accord Healthcare Ltd; </w:t>
      </w:r>
      <w:proofErr w:type="spellStart"/>
      <w:r>
        <w:rPr>
          <w:b/>
          <w:bCs/>
        </w:rPr>
        <w:t>Bartalena</w:t>
      </w:r>
      <w:proofErr w:type="spellEnd"/>
      <w:r>
        <w:rPr>
          <w:b/>
          <w:bCs/>
        </w:rPr>
        <w:t xml:space="preserve"> et al, 2018; </w:t>
      </w:r>
      <w:proofErr w:type="spellStart"/>
      <w:r>
        <w:rPr>
          <w:b/>
          <w:bCs/>
        </w:rPr>
        <w:t>Goldschlager</w:t>
      </w:r>
      <w:proofErr w:type="spellEnd"/>
      <w:r>
        <w:rPr>
          <w:b/>
          <w:bCs/>
        </w:rPr>
        <w:t xml:space="preserve"> et al, 2000). Incidence and surveillance from </w:t>
      </w:r>
      <w:proofErr w:type="spellStart"/>
      <w:r>
        <w:rPr>
          <w:b/>
          <w:bCs/>
        </w:rPr>
        <w:t>Goldschlager</w:t>
      </w:r>
      <w:proofErr w:type="spellEnd"/>
      <w:r>
        <w:rPr>
          <w:b/>
          <w:bCs/>
        </w:rPr>
        <w:t xml:space="preserve"> et al (2000). ALT = </w:t>
      </w:r>
      <w:r w:rsidRPr="004A6673">
        <w:rPr>
          <w:b/>
          <w:bCs/>
        </w:rPr>
        <w:t>Alanine aminotransferase</w:t>
      </w:r>
      <w:r>
        <w:rPr>
          <w:b/>
          <w:bCs/>
        </w:rPr>
        <w:t xml:space="preserve">; DLCO = </w:t>
      </w:r>
      <w:r w:rsidRPr="004A6673">
        <w:rPr>
          <w:b/>
          <w:bCs/>
        </w:rPr>
        <w:t>Diffusing capacity of the lungs for carbon monoxide</w:t>
      </w:r>
      <w:r>
        <w:rPr>
          <w:b/>
          <w:bCs/>
        </w:rPr>
        <w:t xml:space="preserve">; T3 = </w:t>
      </w:r>
      <w:r w:rsidRPr="004A6673">
        <w:rPr>
          <w:b/>
          <w:bCs/>
        </w:rPr>
        <w:t>Triiodothyronine</w:t>
      </w:r>
      <w:r>
        <w:rPr>
          <w:b/>
          <w:bCs/>
        </w:rPr>
        <w:t>; T4 = thyroxine; TSH = thyroid stimulating hormone.</w:t>
      </w:r>
    </w:p>
    <w:p w14:paraId="37692713" w14:textId="2E2B324A" w:rsidR="00B43B78" w:rsidRDefault="00B43B78" w:rsidP="00805503"/>
    <w:tbl>
      <w:tblPr>
        <w:tblStyle w:val="TableGrid"/>
        <w:tblW w:w="0" w:type="auto"/>
        <w:tblLook w:val="04A0" w:firstRow="1" w:lastRow="0" w:firstColumn="1" w:lastColumn="0" w:noHBand="0" w:noVBand="1"/>
      </w:tblPr>
      <w:tblGrid>
        <w:gridCol w:w="3005"/>
        <w:gridCol w:w="3005"/>
        <w:gridCol w:w="3006"/>
      </w:tblGrid>
      <w:tr w:rsidR="004F6D3A" w14:paraId="48799347" w14:textId="77777777" w:rsidTr="00AA1D7B">
        <w:tc>
          <w:tcPr>
            <w:tcW w:w="3005" w:type="dxa"/>
          </w:tcPr>
          <w:p w14:paraId="7182E60F" w14:textId="77777777" w:rsidR="004F6D3A" w:rsidRPr="00BB543E" w:rsidRDefault="004F6D3A" w:rsidP="00AA1D7B">
            <w:pPr>
              <w:rPr>
                <w:b/>
                <w:bCs/>
              </w:rPr>
            </w:pPr>
            <w:r w:rsidRPr="00BB543E">
              <w:rPr>
                <w:b/>
                <w:bCs/>
              </w:rPr>
              <w:lastRenderedPageBreak/>
              <w:t>Drug</w:t>
            </w:r>
          </w:p>
        </w:tc>
        <w:tc>
          <w:tcPr>
            <w:tcW w:w="3005" w:type="dxa"/>
          </w:tcPr>
          <w:p w14:paraId="45C0BEE4" w14:textId="77777777" w:rsidR="004F6D3A" w:rsidRPr="00BB543E" w:rsidRDefault="004F6D3A" w:rsidP="00AA1D7B">
            <w:pPr>
              <w:rPr>
                <w:b/>
                <w:bCs/>
              </w:rPr>
            </w:pPr>
            <w:r w:rsidRPr="00BB543E">
              <w:rPr>
                <w:b/>
                <w:bCs/>
              </w:rPr>
              <w:t>Effect of co-administration</w:t>
            </w:r>
          </w:p>
        </w:tc>
        <w:tc>
          <w:tcPr>
            <w:tcW w:w="3006" w:type="dxa"/>
          </w:tcPr>
          <w:p w14:paraId="0E680AF8" w14:textId="77777777" w:rsidR="004F6D3A" w:rsidRPr="00BB543E" w:rsidRDefault="004F6D3A" w:rsidP="00AA1D7B">
            <w:pPr>
              <w:rPr>
                <w:b/>
                <w:bCs/>
              </w:rPr>
            </w:pPr>
            <w:r w:rsidRPr="00BB543E">
              <w:rPr>
                <w:b/>
                <w:bCs/>
              </w:rPr>
              <w:t>Suggested action</w:t>
            </w:r>
          </w:p>
        </w:tc>
      </w:tr>
      <w:tr w:rsidR="004F6D3A" w14:paraId="685674F0" w14:textId="77777777" w:rsidTr="00AA1D7B">
        <w:tc>
          <w:tcPr>
            <w:tcW w:w="3005" w:type="dxa"/>
          </w:tcPr>
          <w:p w14:paraId="7B13D3B2" w14:textId="77777777" w:rsidR="004F6D3A" w:rsidRPr="00BB543E" w:rsidRDefault="004F6D3A" w:rsidP="00AA1D7B">
            <w:r w:rsidRPr="00BB543E">
              <w:t>Atorvastatin</w:t>
            </w:r>
            <w:r>
              <w:t>, simvastatin</w:t>
            </w:r>
          </w:p>
        </w:tc>
        <w:tc>
          <w:tcPr>
            <w:tcW w:w="3005" w:type="dxa"/>
          </w:tcPr>
          <w:p w14:paraId="42AD49C0" w14:textId="77777777" w:rsidR="004F6D3A" w:rsidRPr="00BB543E" w:rsidRDefault="004F6D3A" w:rsidP="00AA1D7B">
            <w:r w:rsidRPr="00BB543E">
              <w:t>Increased</w:t>
            </w:r>
            <w:r>
              <w:t xml:space="preserve"> statin</w:t>
            </w:r>
            <w:r w:rsidRPr="00BB543E">
              <w:t xml:space="preserve"> plasma levels</w:t>
            </w:r>
            <w:r>
              <w:t>; muscle toxicity possible</w:t>
            </w:r>
          </w:p>
        </w:tc>
        <w:tc>
          <w:tcPr>
            <w:tcW w:w="3006" w:type="dxa"/>
          </w:tcPr>
          <w:p w14:paraId="0CF32EC8" w14:textId="77777777" w:rsidR="004F6D3A" w:rsidRPr="00BB543E" w:rsidRDefault="004F6D3A" w:rsidP="00AA1D7B">
            <w:r>
              <w:t xml:space="preserve">Change to a different statin, e.g. </w:t>
            </w:r>
            <w:proofErr w:type="spellStart"/>
            <w:r w:rsidRPr="00D267FD">
              <w:t>fluvastatin</w:t>
            </w:r>
            <w:proofErr w:type="spellEnd"/>
            <w:r w:rsidRPr="00D267FD">
              <w:t>, pravastatin</w:t>
            </w:r>
            <w:r>
              <w:t>,</w:t>
            </w:r>
            <w:r w:rsidRPr="00D267FD">
              <w:t xml:space="preserve"> rosuvastatin</w:t>
            </w:r>
          </w:p>
        </w:tc>
      </w:tr>
      <w:tr w:rsidR="004F6D3A" w14:paraId="36C56000" w14:textId="77777777" w:rsidTr="00AA1D7B">
        <w:tc>
          <w:tcPr>
            <w:tcW w:w="3005" w:type="dxa"/>
          </w:tcPr>
          <w:p w14:paraId="57D10390" w14:textId="77777777" w:rsidR="004F6D3A" w:rsidRPr="00BB543E" w:rsidRDefault="004F6D3A" w:rsidP="00AA1D7B">
            <w:r>
              <w:t>Beta blockers, diltiazem, verapamil</w:t>
            </w:r>
          </w:p>
        </w:tc>
        <w:tc>
          <w:tcPr>
            <w:tcW w:w="3005" w:type="dxa"/>
          </w:tcPr>
          <w:p w14:paraId="08828621" w14:textId="77777777" w:rsidR="004F6D3A" w:rsidRDefault="004F6D3A" w:rsidP="00AA1D7B">
            <w:r>
              <w:t>Additive effect on sinus and AV node; risk of bradycardia and heart block</w:t>
            </w:r>
          </w:p>
          <w:p w14:paraId="12605929" w14:textId="77777777" w:rsidR="004F6D3A" w:rsidRPr="00BB543E" w:rsidRDefault="004F6D3A" w:rsidP="00AA1D7B"/>
        </w:tc>
        <w:tc>
          <w:tcPr>
            <w:tcW w:w="3006" w:type="dxa"/>
          </w:tcPr>
          <w:p w14:paraId="15494414" w14:textId="77777777" w:rsidR="004F6D3A" w:rsidRDefault="004F6D3A" w:rsidP="00AA1D7B">
            <w:r>
              <w:t>Avoid combined therapy or ensure regular monitoring of the ECG</w:t>
            </w:r>
          </w:p>
        </w:tc>
      </w:tr>
      <w:tr w:rsidR="004F6D3A" w14:paraId="28C01553" w14:textId="77777777" w:rsidTr="00AA1D7B">
        <w:tc>
          <w:tcPr>
            <w:tcW w:w="3005" w:type="dxa"/>
          </w:tcPr>
          <w:p w14:paraId="4D00A456" w14:textId="77777777" w:rsidR="004F6D3A" w:rsidRDefault="004F6D3A" w:rsidP="00AA1D7B">
            <w:r>
              <w:t>Dabigatran</w:t>
            </w:r>
          </w:p>
        </w:tc>
        <w:tc>
          <w:tcPr>
            <w:tcW w:w="3005" w:type="dxa"/>
          </w:tcPr>
          <w:p w14:paraId="2CAD43E5" w14:textId="77777777" w:rsidR="004F6D3A" w:rsidRDefault="004F6D3A" w:rsidP="00AA1D7B">
            <w:r>
              <w:t>Increased dabigatran plasma levels: risk of bleeding</w:t>
            </w:r>
          </w:p>
          <w:p w14:paraId="0E127B11" w14:textId="77777777" w:rsidR="004F6D3A" w:rsidRDefault="004F6D3A" w:rsidP="00AA1D7B"/>
        </w:tc>
        <w:tc>
          <w:tcPr>
            <w:tcW w:w="3006" w:type="dxa"/>
          </w:tcPr>
          <w:p w14:paraId="7607EA9A" w14:textId="77777777" w:rsidR="004F6D3A" w:rsidRDefault="004F6D3A" w:rsidP="00AA1D7B">
            <w:r>
              <w:t>Careful follow up; no dose reduction recommended</w:t>
            </w:r>
          </w:p>
        </w:tc>
      </w:tr>
      <w:tr w:rsidR="004F6D3A" w14:paraId="1B7051FF" w14:textId="77777777" w:rsidTr="00AA1D7B">
        <w:tc>
          <w:tcPr>
            <w:tcW w:w="3005" w:type="dxa"/>
          </w:tcPr>
          <w:p w14:paraId="6BFEE2E6" w14:textId="77777777" w:rsidR="004F6D3A" w:rsidRDefault="004F6D3A" w:rsidP="00AA1D7B">
            <w:r>
              <w:t>Digoxin</w:t>
            </w:r>
          </w:p>
        </w:tc>
        <w:tc>
          <w:tcPr>
            <w:tcW w:w="3005" w:type="dxa"/>
          </w:tcPr>
          <w:p w14:paraId="2C5371EA" w14:textId="77777777" w:rsidR="004F6D3A" w:rsidRDefault="004F6D3A" w:rsidP="00AA1D7B">
            <w:r>
              <w:t>Increased digoxin plasma levels: risk of bradycardia, heart block, digoxin toxicity.</w:t>
            </w:r>
          </w:p>
          <w:p w14:paraId="1845E844" w14:textId="77777777" w:rsidR="004F6D3A" w:rsidRDefault="004F6D3A" w:rsidP="00AA1D7B"/>
        </w:tc>
        <w:tc>
          <w:tcPr>
            <w:tcW w:w="3006" w:type="dxa"/>
          </w:tcPr>
          <w:p w14:paraId="4CEC2C67" w14:textId="77777777" w:rsidR="004F6D3A" w:rsidRDefault="004F6D3A" w:rsidP="00AA1D7B">
            <w:r>
              <w:t>Halve the dose of digoxin and monitor plasma levels</w:t>
            </w:r>
          </w:p>
        </w:tc>
      </w:tr>
      <w:tr w:rsidR="004F6D3A" w14:paraId="1FF2B905" w14:textId="77777777" w:rsidTr="00AA1D7B">
        <w:tc>
          <w:tcPr>
            <w:tcW w:w="3005" w:type="dxa"/>
          </w:tcPr>
          <w:p w14:paraId="3F0670AA" w14:textId="77777777" w:rsidR="004F6D3A" w:rsidRDefault="004F6D3A" w:rsidP="00AA1D7B">
            <w:r>
              <w:t>Drugs which prolong the QT interval</w:t>
            </w:r>
          </w:p>
        </w:tc>
        <w:tc>
          <w:tcPr>
            <w:tcW w:w="3005" w:type="dxa"/>
          </w:tcPr>
          <w:p w14:paraId="751CF91B" w14:textId="77777777" w:rsidR="004F6D3A" w:rsidRDefault="004F6D3A" w:rsidP="00AA1D7B">
            <w:r>
              <w:t>Increased risk of Torsades de Pointes</w:t>
            </w:r>
          </w:p>
          <w:p w14:paraId="738D685B" w14:textId="77777777" w:rsidR="004F6D3A" w:rsidRDefault="004F6D3A" w:rsidP="00AA1D7B"/>
        </w:tc>
        <w:tc>
          <w:tcPr>
            <w:tcW w:w="3006" w:type="dxa"/>
          </w:tcPr>
          <w:p w14:paraId="12E96C76" w14:textId="77777777" w:rsidR="004F6D3A" w:rsidRDefault="004F6D3A" w:rsidP="00AA1D7B">
            <w:r>
              <w:t>Avoid combined therapy</w:t>
            </w:r>
          </w:p>
        </w:tc>
      </w:tr>
      <w:tr w:rsidR="004F6D3A" w14:paraId="41C87BE7" w14:textId="77777777" w:rsidTr="00AA1D7B">
        <w:tc>
          <w:tcPr>
            <w:tcW w:w="3005" w:type="dxa"/>
          </w:tcPr>
          <w:p w14:paraId="3DB0B99A" w14:textId="77777777" w:rsidR="004F6D3A" w:rsidRDefault="004F6D3A" w:rsidP="00AA1D7B">
            <w:r>
              <w:t>Flecainide</w:t>
            </w:r>
          </w:p>
        </w:tc>
        <w:tc>
          <w:tcPr>
            <w:tcW w:w="3005" w:type="dxa"/>
          </w:tcPr>
          <w:p w14:paraId="3FCD190B" w14:textId="77777777" w:rsidR="004F6D3A" w:rsidRDefault="004F6D3A" w:rsidP="00AA1D7B">
            <w:r>
              <w:t>Increased flecainide plasma levels: increased risk of toxicity and ventricular arrhythmia</w:t>
            </w:r>
          </w:p>
        </w:tc>
        <w:tc>
          <w:tcPr>
            <w:tcW w:w="3006" w:type="dxa"/>
          </w:tcPr>
          <w:p w14:paraId="3A469B81" w14:textId="77777777" w:rsidR="004F6D3A" w:rsidRDefault="004F6D3A" w:rsidP="00AA1D7B">
            <w:r>
              <w:t>Avoid if possible, otherwise halve the dose. Monitor patient closely, consider plasma level monitoring.</w:t>
            </w:r>
          </w:p>
        </w:tc>
      </w:tr>
      <w:tr w:rsidR="004F6D3A" w14:paraId="5B0A3EF7" w14:textId="77777777" w:rsidTr="00AA1D7B">
        <w:tc>
          <w:tcPr>
            <w:tcW w:w="3005" w:type="dxa"/>
          </w:tcPr>
          <w:p w14:paraId="4346372B" w14:textId="77777777" w:rsidR="004F6D3A" w:rsidRDefault="004F6D3A" w:rsidP="00AA1D7B">
            <w:r>
              <w:t>Warfarin</w:t>
            </w:r>
          </w:p>
        </w:tc>
        <w:tc>
          <w:tcPr>
            <w:tcW w:w="3005" w:type="dxa"/>
          </w:tcPr>
          <w:p w14:paraId="77BF35D3" w14:textId="77777777" w:rsidR="004F6D3A" w:rsidRDefault="004F6D3A" w:rsidP="00AA1D7B">
            <w:r>
              <w:t>Increased warfarin plasma levels; increased INR and risk of bleeding</w:t>
            </w:r>
          </w:p>
          <w:p w14:paraId="7D80CB3F" w14:textId="77777777" w:rsidR="004F6D3A" w:rsidRDefault="004F6D3A" w:rsidP="00AA1D7B"/>
        </w:tc>
        <w:tc>
          <w:tcPr>
            <w:tcW w:w="3006" w:type="dxa"/>
          </w:tcPr>
          <w:p w14:paraId="510229CB" w14:textId="77777777" w:rsidR="004F6D3A" w:rsidRDefault="004F6D3A" w:rsidP="00AA1D7B">
            <w:r>
              <w:t>Reduce warfarin dose and check INR frequently until stable.</w:t>
            </w:r>
          </w:p>
        </w:tc>
      </w:tr>
    </w:tbl>
    <w:p w14:paraId="40653AE8" w14:textId="77777777" w:rsidR="004F6D3A" w:rsidRPr="000263AE" w:rsidRDefault="004F6D3A" w:rsidP="004F6D3A">
      <w:pPr>
        <w:spacing w:before="120"/>
        <w:rPr>
          <w:b/>
          <w:bCs/>
        </w:rPr>
      </w:pPr>
      <w:r w:rsidRPr="000263AE">
        <w:rPr>
          <w:b/>
          <w:bCs/>
        </w:rPr>
        <w:t xml:space="preserve">Table 3. </w:t>
      </w:r>
      <w:r>
        <w:rPr>
          <w:b/>
          <w:bCs/>
        </w:rPr>
        <w:t>Common a</w:t>
      </w:r>
      <w:r w:rsidRPr="000263AE">
        <w:rPr>
          <w:b/>
          <w:bCs/>
        </w:rPr>
        <w:t>miodarone interactions</w:t>
      </w:r>
      <w:r>
        <w:rPr>
          <w:b/>
          <w:bCs/>
        </w:rPr>
        <w:t xml:space="preserve"> in cardiac patients</w:t>
      </w:r>
      <w:r w:rsidRPr="000263AE">
        <w:rPr>
          <w:b/>
          <w:bCs/>
        </w:rPr>
        <w:t xml:space="preserve"> </w:t>
      </w:r>
      <w:r>
        <w:rPr>
          <w:b/>
          <w:bCs/>
        </w:rPr>
        <w:t>(Accord Healthcare Ltd, 2017)</w:t>
      </w:r>
    </w:p>
    <w:p w14:paraId="6156FC04" w14:textId="592CBB8D" w:rsidR="004F6D3A" w:rsidRDefault="004F6D3A" w:rsidP="00805503"/>
    <w:p w14:paraId="2423EF89" w14:textId="77777777" w:rsidR="0045305B" w:rsidRDefault="0045305B" w:rsidP="00805503"/>
    <w:p w14:paraId="3DE025B2" w14:textId="5139BBD8" w:rsidR="00805503" w:rsidRPr="00CC680F" w:rsidRDefault="00805503" w:rsidP="00805503">
      <w:pPr>
        <w:rPr>
          <w:b/>
          <w:bCs/>
          <w:sz w:val="28"/>
          <w:szCs w:val="28"/>
        </w:rPr>
      </w:pPr>
      <w:r w:rsidRPr="00CC680F">
        <w:rPr>
          <w:b/>
          <w:bCs/>
          <w:sz w:val="28"/>
          <w:szCs w:val="28"/>
        </w:rPr>
        <w:t>Flecainide</w:t>
      </w:r>
    </w:p>
    <w:p w14:paraId="19266E49" w14:textId="77777777" w:rsidR="00CB6F15" w:rsidRPr="00CC680F" w:rsidRDefault="00CB6F15" w:rsidP="00CB6F15">
      <w:pPr>
        <w:rPr>
          <w:b/>
          <w:bCs/>
        </w:rPr>
      </w:pPr>
      <w:r w:rsidRPr="00CC680F">
        <w:rPr>
          <w:b/>
          <w:bCs/>
        </w:rPr>
        <w:t>Overview and indications</w:t>
      </w:r>
    </w:p>
    <w:p w14:paraId="5B12FA93" w14:textId="4992ACEF" w:rsidR="00805503" w:rsidRPr="00CC680F" w:rsidRDefault="00805503" w:rsidP="00805503">
      <w:r w:rsidRPr="00CC680F">
        <w:t>Flecainide is a class IA antiarrhythmic drug introduced in 1982 (Aliot et al, 2011).  It blocks sodium channels, mildly prolonging the action potential and slowing conduction through atrial and ventricular m</w:t>
      </w:r>
      <w:r w:rsidR="00BC7E04" w:rsidRPr="00CC680F">
        <w:t>yocardium</w:t>
      </w:r>
      <w:r w:rsidRPr="00CC680F">
        <w:t xml:space="preserve"> (Fogoros and Mandrola, 2018).  It also slows conduction through the AV node and accessory pathways, although it has no effect on sinus rate.  On the ECG, a mild prolongation of the PR interval and QRS are seen (Bennett, 2013).  The QT interval is slightly prolonged because of QRS widening, but the JT component </w:t>
      </w:r>
      <w:r w:rsidR="00A00119" w:rsidRPr="00CC680F">
        <w:t xml:space="preserve">(the ST segment and T-wave) </w:t>
      </w:r>
      <w:r w:rsidRPr="00CC680F">
        <w:t>is not extended as the drug has no effect on repolarisation</w:t>
      </w:r>
      <w:r w:rsidR="002029D3" w:rsidRPr="00CC680F">
        <w:t xml:space="preserve"> (</w:t>
      </w:r>
      <w:r w:rsidR="00181B69" w:rsidRPr="00CC680F">
        <w:t>Alliot et al, 2011</w:t>
      </w:r>
      <w:r w:rsidR="002029D3" w:rsidRPr="00CC680F">
        <w:t>)</w:t>
      </w:r>
      <w:r w:rsidRPr="00CC680F">
        <w:t xml:space="preserve">.  </w:t>
      </w:r>
    </w:p>
    <w:p w14:paraId="34FD7048" w14:textId="77777777" w:rsidR="00A00119" w:rsidRPr="00CC680F" w:rsidRDefault="00805503" w:rsidP="00805503">
      <w:r w:rsidRPr="00CC680F">
        <w:t xml:space="preserve">Although flecainide is effective in both atria and ventricles, its principal use is in the acute management of AF, especially when the rhythm is paroxysmal (Aliot et al, 2011).  In acute onset AF, cardioversion to sinus rhythm can be achieved within an hour of IV flecainide infusion, with a randomised controlled trial showing a success rate of 90% compared to 72% for propafenone, and 64% for amiodarone (Martinez-Marcos et al, 2000).  Other trials have shown success rates between 52 and 95% (Aliot et al, 2011).  Cardioversion can also be achieved using oral flecainide, allowing selected patients with infrequent episodes of paroxysmal AF to manage their arrhythmia using a “pill in the pocket” approach; the drug is taken at symptom onset, potentially avoiding hospital attendance (Alboni et al, 2004).  </w:t>
      </w:r>
    </w:p>
    <w:p w14:paraId="37D9BB27" w14:textId="77777777" w:rsidR="00A00119" w:rsidRPr="00CC680F" w:rsidRDefault="00805503" w:rsidP="00805503">
      <w:r w:rsidRPr="00CC680F">
        <w:lastRenderedPageBreak/>
        <w:t xml:space="preserve">When AF is more frequent, flecainide taken daily has comparable success to other anti-arrhythmic drugs; in a meta-analysis by Hohnloser and Zabel (1992), long term rhythm control was achieved in 49% of patients.  Flecainide can also be used to prevent AF recurrence after DC cardioversion; to manage AV re-entrant arrhythmias; to slow or terminate pre-excited AF; and to supress frequent ventricular ectopy in structurally normal hearts (Bennett, 2013). </w:t>
      </w:r>
    </w:p>
    <w:p w14:paraId="0223BC3D" w14:textId="08378118" w:rsidR="00805503" w:rsidRPr="00CC680F" w:rsidRDefault="00A00119" w:rsidP="00805503">
      <w:pPr>
        <w:rPr>
          <w:rFonts w:cstheme="minorHAnsi"/>
        </w:rPr>
      </w:pPr>
      <w:r w:rsidRPr="00CC680F">
        <w:t xml:space="preserve">Flecainide </w:t>
      </w:r>
      <w:r w:rsidR="00805503" w:rsidRPr="00CC680F">
        <w:t>is rarely used in the management of sustained ventricular arrhythmia unless the heart is structurally normal</w:t>
      </w:r>
      <w:r w:rsidRPr="00CC680F">
        <w:t xml:space="preserve"> and the patient free of coronary artery disease</w:t>
      </w:r>
      <w:r w:rsidR="00805503" w:rsidRPr="00CC680F">
        <w:t xml:space="preserve"> (</w:t>
      </w:r>
      <w:r w:rsidR="00805503" w:rsidRPr="00CC680F">
        <w:rPr>
          <w:rFonts w:cstheme="minorHAnsi"/>
        </w:rPr>
        <w:t>Andrikopoulos et al, 2015).</w:t>
      </w:r>
    </w:p>
    <w:p w14:paraId="1808AD34" w14:textId="1FE95E90" w:rsidR="00FA47B8" w:rsidRPr="00CC680F" w:rsidRDefault="00FA47B8" w:rsidP="00805503">
      <w:pPr>
        <w:rPr>
          <w:rFonts w:cstheme="minorHAnsi"/>
        </w:rPr>
      </w:pPr>
    </w:p>
    <w:p w14:paraId="09144130" w14:textId="77777777" w:rsidR="00FA47B8" w:rsidRPr="00CC680F" w:rsidRDefault="00FA47B8" w:rsidP="00FA47B8">
      <w:pPr>
        <w:rPr>
          <w:b/>
          <w:bCs/>
        </w:rPr>
      </w:pPr>
      <w:r w:rsidRPr="00CC680F">
        <w:rPr>
          <w:b/>
          <w:bCs/>
        </w:rPr>
        <w:t>Dosing and administration</w:t>
      </w:r>
    </w:p>
    <w:p w14:paraId="2918CD57" w14:textId="280A95C0" w:rsidR="004550E3" w:rsidRPr="00CC680F" w:rsidRDefault="004550E3" w:rsidP="00805503">
      <w:r w:rsidRPr="00CC680F">
        <w:t xml:space="preserve">The intravenous dose of flecainide is 1-2mg/Kg body weight, given over 10 minutes (Bennett, 2013).  The drug </w:t>
      </w:r>
      <w:r w:rsidR="00805503" w:rsidRPr="00CC680F">
        <w:t xml:space="preserve">has excellent oral bioavailability, with around 90% of the drug reaching the circulation (Accord-UK Ltd, 2019).  It should be taken on an empty stomach.  </w:t>
      </w:r>
      <w:r w:rsidRPr="00CC680F">
        <w:t xml:space="preserve">Orally, the drug is typically started at 50mg twice daily, with a </w:t>
      </w:r>
      <w:r w:rsidR="002F5DE7" w:rsidRPr="00CC680F">
        <w:t xml:space="preserve">licensed </w:t>
      </w:r>
      <w:r w:rsidRPr="00CC680F">
        <w:t xml:space="preserve">maximum daily dose of 300mg </w:t>
      </w:r>
      <w:r w:rsidR="002F5DE7" w:rsidRPr="00CC680F">
        <w:t xml:space="preserve">in </w:t>
      </w:r>
      <w:r w:rsidRPr="00CC680F">
        <w:t xml:space="preserve">supraventricular arrhythmias and 400mg </w:t>
      </w:r>
      <w:r w:rsidR="002F5DE7" w:rsidRPr="00CC680F">
        <w:t xml:space="preserve">in </w:t>
      </w:r>
      <w:r w:rsidRPr="00CC680F">
        <w:t xml:space="preserve">ventricular arrhythmias (Joint Formulary Committee, 2019).  A once daily, 200mg sustained release capsule is available. </w:t>
      </w:r>
    </w:p>
    <w:p w14:paraId="5E04C785" w14:textId="054F702A" w:rsidR="004550E3" w:rsidRPr="00CC680F" w:rsidRDefault="00DC0C67" w:rsidP="00805503">
      <w:r w:rsidRPr="00CC680F">
        <w:t xml:space="preserve">Continuous monitoring of cardiac rhythm and frequent measurement of vital signs are recommended during in-hospital drug administration (Sandau et al, 2017).  This is not practical when the drug is started on an out-patient basis, however careful follow-up of the patient, with 12-lead ECG, should be organised.  </w:t>
      </w:r>
    </w:p>
    <w:p w14:paraId="538E9D6D" w14:textId="77777777" w:rsidR="00226DCF" w:rsidRPr="00CC680F" w:rsidRDefault="00226DCF" w:rsidP="00805503"/>
    <w:p w14:paraId="1E3375C6" w14:textId="77777777" w:rsidR="00C97280" w:rsidRPr="00CC680F" w:rsidRDefault="00C97280" w:rsidP="00C97280">
      <w:pPr>
        <w:rPr>
          <w:b/>
          <w:bCs/>
        </w:rPr>
      </w:pPr>
      <w:r w:rsidRPr="00CC680F">
        <w:rPr>
          <w:b/>
          <w:bCs/>
        </w:rPr>
        <w:t>Safety</w:t>
      </w:r>
    </w:p>
    <w:p w14:paraId="659D3B35" w14:textId="77777777" w:rsidR="00226DCF" w:rsidRPr="00CC680F" w:rsidRDefault="00C97280" w:rsidP="00C97280">
      <w:r w:rsidRPr="00CC680F">
        <w:t xml:space="preserve">In people with structurally normal hearts, flecainide has a good safety profile with a risk of ventricular arrhythmia below 3% (Aliot et al, 2011).  The drug is contraindicated in coronary artery disease and left ventricular impairment because of increased mortality seen during the CAST trial (CAST investigators, 1989).  </w:t>
      </w:r>
      <w:r w:rsidR="00226DCF" w:rsidRPr="00CC680F">
        <w:t xml:space="preserve">In this trial, flecainide was compared to placebo in the suppression of ventricular ectopy following myocardial infarction; an increase in mortality was seen in the treatment arm.  Flecainide </w:t>
      </w:r>
      <w:r w:rsidRPr="00CC680F">
        <w:t xml:space="preserve">has negative inotropic effects, so should be avoided in patients with heart failure or haemodynamic compromise (Bennett, 2013).  </w:t>
      </w:r>
    </w:p>
    <w:p w14:paraId="3739F0AA" w14:textId="5A416510" w:rsidR="00C97280" w:rsidRPr="00CC680F" w:rsidRDefault="00C97280" w:rsidP="00C97280">
      <w:r w:rsidRPr="00CC680F">
        <w:t>Other contraindications</w:t>
      </w:r>
      <w:r w:rsidR="00226DCF" w:rsidRPr="00CC680F">
        <w:t xml:space="preserve"> to flecainide use</w:t>
      </w:r>
      <w:r w:rsidRPr="00CC680F">
        <w:t xml:space="preserve"> include permanent AF; severe bradycardia; significant conduction system disease (unless a pacemaker is present); severe hypotension; haemodynamically significant valve disease; and Brugada syndrome (Joint Formulary Committee, 2019).  Flecainide will occasionally convert AF to atrial flutter, which may conduct 1:1 due to slowing of the flutter circuit.  Co-administration with an AV slowing agent (usually a beta-blocker) is common practice to reduce the risk of rapidly conducted flutter (Alliot et al, 2011).  </w:t>
      </w:r>
    </w:p>
    <w:p w14:paraId="0F4861B6" w14:textId="040071E3" w:rsidR="0042149A" w:rsidRPr="00CC680F" w:rsidRDefault="0042149A" w:rsidP="0042149A">
      <w:r w:rsidRPr="00CC680F">
        <w:t>The elimination half-life of flecainide is approximately 20 hours; the majority of the drug is metabolised in the liver prior to renal excretion, however 30% is excreted unchanged and 5% leaves the body in faeces (</w:t>
      </w:r>
      <w:r w:rsidRPr="00CC680F">
        <w:rPr>
          <w:rFonts w:cstheme="minorHAnsi"/>
        </w:rPr>
        <w:t>Andrikopoulos et al, 2015</w:t>
      </w:r>
      <w:r w:rsidRPr="00CC680F">
        <w:t xml:space="preserve">).  Elimination </w:t>
      </w:r>
      <w:r w:rsidR="00ED22FF" w:rsidRPr="00CC680F">
        <w:t>slows with increasing age and declining liver and kidney function.  A maximum daily dose of 100mg is suggested in the elderly</w:t>
      </w:r>
      <w:r w:rsidR="002F5DE7" w:rsidRPr="00CC680F">
        <w:t>;</w:t>
      </w:r>
      <w:r w:rsidR="00ED22FF" w:rsidRPr="00CC680F">
        <w:t xml:space="preserve"> in </w:t>
      </w:r>
      <w:r w:rsidR="002F5DE7" w:rsidRPr="00CC680F">
        <w:t xml:space="preserve">people </w:t>
      </w:r>
      <w:r w:rsidR="00ED22FF" w:rsidRPr="00CC680F">
        <w:t>with significant he</w:t>
      </w:r>
      <w:r w:rsidR="002F5DE7" w:rsidRPr="00CC680F">
        <w:t>p</w:t>
      </w:r>
      <w:r w:rsidR="00ED22FF" w:rsidRPr="00CC680F">
        <w:t>atic impairment</w:t>
      </w:r>
      <w:r w:rsidR="002F5DE7" w:rsidRPr="00CC680F">
        <w:t>;</w:t>
      </w:r>
      <w:r w:rsidR="00ED22FF" w:rsidRPr="00CC680F">
        <w:t xml:space="preserve"> </w:t>
      </w:r>
      <w:r w:rsidR="002F5DE7" w:rsidRPr="00CC680F">
        <w:t xml:space="preserve">and in individuals whose </w:t>
      </w:r>
      <w:r w:rsidR="00ED22FF" w:rsidRPr="00CC680F">
        <w:t xml:space="preserve">creatinine clearance </w:t>
      </w:r>
      <w:r w:rsidR="002F5DE7" w:rsidRPr="00CC680F">
        <w:t xml:space="preserve">is </w:t>
      </w:r>
      <w:r w:rsidR="00ED22FF" w:rsidRPr="00CC680F">
        <w:t>35 ml/min/1.73 m</w:t>
      </w:r>
      <w:r w:rsidR="00ED22FF" w:rsidRPr="00CC680F">
        <w:rPr>
          <w:vertAlign w:val="superscript"/>
        </w:rPr>
        <w:t>2</w:t>
      </w:r>
      <w:r w:rsidR="00ED22FF" w:rsidRPr="00CC680F">
        <w:t xml:space="preserve"> or less (Accord-UK Ltd, 2019).  </w:t>
      </w:r>
      <w:r w:rsidRPr="00CC680F">
        <w:t>Plasma level monitoring is suggested by the manufacturer when there is impaired hepatic or renal function</w:t>
      </w:r>
      <w:r w:rsidR="002F5DE7" w:rsidRPr="00CC680F">
        <w:t xml:space="preserve"> but </w:t>
      </w:r>
      <w:r w:rsidRPr="00CC680F">
        <w:t xml:space="preserve">this is rarely used in clinical practice (Accord-UK Ltd, 2019).  </w:t>
      </w:r>
    </w:p>
    <w:p w14:paraId="2FF913AD" w14:textId="6F1475D9" w:rsidR="00805503" w:rsidRPr="00CC680F" w:rsidRDefault="0042149A" w:rsidP="00805503">
      <w:r w:rsidRPr="00CC680F">
        <w:t xml:space="preserve">Flecainide has a narrow therapeutic index so toxic effects can develop quickly if over-dosing or drug accumulation occur.  Unwanted effects </w:t>
      </w:r>
      <w:r w:rsidR="00894772" w:rsidRPr="00CC680F">
        <w:t>include visual disturbance, dizziness and nausea</w:t>
      </w:r>
      <w:r w:rsidRPr="00CC680F">
        <w:t>; in severe overdose cardiac arrest can occur</w:t>
      </w:r>
      <w:r w:rsidR="00894772" w:rsidRPr="00CC680F">
        <w:t xml:space="preserve"> (Andrikopoulos et al, 2015).  QRS widening is an expected effect of the drug, but if </w:t>
      </w:r>
      <w:r w:rsidR="00894772" w:rsidRPr="00CC680F">
        <w:lastRenderedPageBreak/>
        <w:t xml:space="preserve">the increase is greater than 25% the risk of ventricular arrhythmia is increased, and dose reduction or drug cessation should be considered </w:t>
      </w:r>
      <w:r w:rsidR="00805503" w:rsidRPr="00CC680F">
        <w:t>(Bennett, 2013).  Important drug interactions are summarised in table 4.</w:t>
      </w:r>
    </w:p>
    <w:p w14:paraId="2BAB56B3" w14:textId="1319B016" w:rsidR="00226DCF" w:rsidRDefault="00226DCF" w:rsidP="00805503"/>
    <w:tbl>
      <w:tblPr>
        <w:tblStyle w:val="TableGrid"/>
        <w:tblW w:w="0" w:type="auto"/>
        <w:tblLook w:val="04A0" w:firstRow="1" w:lastRow="0" w:firstColumn="1" w:lastColumn="0" w:noHBand="0" w:noVBand="1"/>
      </w:tblPr>
      <w:tblGrid>
        <w:gridCol w:w="3005"/>
        <w:gridCol w:w="3005"/>
        <w:gridCol w:w="3006"/>
      </w:tblGrid>
      <w:tr w:rsidR="004F6D3A" w14:paraId="34B8E13A" w14:textId="77777777" w:rsidTr="00AA1D7B">
        <w:tc>
          <w:tcPr>
            <w:tcW w:w="3005" w:type="dxa"/>
          </w:tcPr>
          <w:p w14:paraId="2C304203" w14:textId="77777777" w:rsidR="004F6D3A" w:rsidRPr="00BB543E" w:rsidRDefault="004F6D3A" w:rsidP="00AA1D7B">
            <w:pPr>
              <w:rPr>
                <w:b/>
                <w:bCs/>
              </w:rPr>
            </w:pPr>
            <w:r w:rsidRPr="00BB543E">
              <w:rPr>
                <w:b/>
                <w:bCs/>
              </w:rPr>
              <w:t>Drug</w:t>
            </w:r>
          </w:p>
        </w:tc>
        <w:tc>
          <w:tcPr>
            <w:tcW w:w="3005" w:type="dxa"/>
          </w:tcPr>
          <w:p w14:paraId="526127C2" w14:textId="77777777" w:rsidR="004F6D3A" w:rsidRPr="00BB543E" w:rsidRDefault="004F6D3A" w:rsidP="00AA1D7B">
            <w:pPr>
              <w:rPr>
                <w:b/>
                <w:bCs/>
              </w:rPr>
            </w:pPr>
            <w:r w:rsidRPr="00BB543E">
              <w:rPr>
                <w:b/>
                <w:bCs/>
              </w:rPr>
              <w:t>Effect of coadministration</w:t>
            </w:r>
          </w:p>
        </w:tc>
        <w:tc>
          <w:tcPr>
            <w:tcW w:w="3006" w:type="dxa"/>
          </w:tcPr>
          <w:p w14:paraId="743F1FEE" w14:textId="77777777" w:rsidR="004F6D3A" w:rsidRPr="00BB543E" w:rsidRDefault="004F6D3A" w:rsidP="00AA1D7B">
            <w:pPr>
              <w:rPr>
                <w:b/>
                <w:bCs/>
              </w:rPr>
            </w:pPr>
            <w:r w:rsidRPr="00BB543E">
              <w:rPr>
                <w:b/>
                <w:bCs/>
              </w:rPr>
              <w:t>Suggested action</w:t>
            </w:r>
          </w:p>
        </w:tc>
      </w:tr>
      <w:tr w:rsidR="004F6D3A" w14:paraId="42F64870" w14:textId="77777777" w:rsidTr="00AA1D7B">
        <w:tc>
          <w:tcPr>
            <w:tcW w:w="3005" w:type="dxa"/>
          </w:tcPr>
          <w:p w14:paraId="33A539F9" w14:textId="77777777" w:rsidR="004F6D3A" w:rsidRPr="004523F0" w:rsidRDefault="004F6D3A" w:rsidP="00AA1D7B">
            <w:r w:rsidRPr="004523F0">
              <w:t xml:space="preserve">Amiodarone </w:t>
            </w:r>
          </w:p>
        </w:tc>
        <w:tc>
          <w:tcPr>
            <w:tcW w:w="3005" w:type="dxa"/>
          </w:tcPr>
          <w:p w14:paraId="64ADDF5E" w14:textId="77777777" w:rsidR="004F6D3A" w:rsidRPr="004523F0" w:rsidRDefault="004F6D3A" w:rsidP="00AA1D7B">
            <w:r w:rsidRPr="004523F0">
              <w:t>Increased plasma levels of flecainide</w:t>
            </w:r>
            <w:r>
              <w:t xml:space="preserve"> – risk of toxicity</w:t>
            </w:r>
          </w:p>
        </w:tc>
        <w:tc>
          <w:tcPr>
            <w:tcW w:w="3006" w:type="dxa"/>
          </w:tcPr>
          <w:p w14:paraId="7D5F1826" w14:textId="77777777" w:rsidR="004F6D3A" w:rsidRDefault="004F6D3A" w:rsidP="00AA1D7B">
            <w:r w:rsidRPr="004523F0">
              <w:t>Reduce flecainide dose by half and monitor plasma levels.</w:t>
            </w:r>
          </w:p>
          <w:p w14:paraId="442E6570" w14:textId="77777777" w:rsidR="004F6D3A" w:rsidRPr="004523F0" w:rsidRDefault="004F6D3A" w:rsidP="00AA1D7B"/>
        </w:tc>
      </w:tr>
      <w:tr w:rsidR="004F6D3A" w14:paraId="60AB0897" w14:textId="77777777" w:rsidTr="00AA1D7B">
        <w:tc>
          <w:tcPr>
            <w:tcW w:w="3005" w:type="dxa"/>
          </w:tcPr>
          <w:p w14:paraId="7D45C6DA" w14:textId="77777777" w:rsidR="004F6D3A" w:rsidRPr="004523F0" w:rsidRDefault="004F6D3A" w:rsidP="00AA1D7B">
            <w:r w:rsidRPr="005D5DA5">
              <w:t>Antidepressants</w:t>
            </w:r>
            <w:r>
              <w:t xml:space="preserve"> including f</w:t>
            </w:r>
            <w:r w:rsidRPr="005D5DA5">
              <w:t xml:space="preserve">luoxetine and </w:t>
            </w:r>
            <w:r>
              <w:t>p</w:t>
            </w:r>
            <w:r w:rsidRPr="005D5DA5">
              <w:t>aroxetine </w:t>
            </w:r>
          </w:p>
        </w:tc>
        <w:tc>
          <w:tcPr>
            <w:tcW w:w="3005" w:type="dxa"/>
          </w:tcPr>
          <w:p w14:paraId="78EA950C" w14:textId="77777777" w:rsidR="004F6D3A" w:rsidRDefault="004F6D3A" w:rsidP="00AA1D7B">
            <w:r w:rsidRPr="00CD7916">
              <w:t>Increased plasma levels of flecainide – risk of toxicity</w:t>
            </w:r>
          </w:p>
          <w:p w14:paraId="5A64F74D" w14:textId="77777777" w:rsidR="004F6D3A" w:rsidRPr="004523F0" w:rsidRDefault="004F6D3A" w:rsidP="00AA1D7B"/>
        </w:tc>
        <w:tc>
          <w:tcPr>
            <w:tcW w:w="3006" w:type="dxa"/>
          </w:tcPr>
          <w:p w14:paraId="6E702E3F" w14:textId="77777777" w:rsidR="004F6D3A" w:rsidRPr="004523F0" w:rsidRDefault="004F6D3A" w:rsidP="00AA1D7B">
            <w:r>
              <w:t>Avoid concomitant use</w:t>
            </w:r>
          </w:p>
        </w:tc>
      </w:tr>
      <w:tr w:rsidR="004F6D3A" w14:paraId="5A91AA60" w14:textId="77777777" w:rsidTr="00AA1D7B">
        <w:tc>
          <w:tcPr>
            <w:tcW w:w="3005" w:type="dxa"/>
          </w:tcPr>
          <w:p w14:paraId="1C7583AA" w14:textId="77777777" w:rsidR="004F6D3A" w:rsidRPr="005D5DA5" w:rsidRDefault="004F6D3A" w:rsidP="00AA1D7B">
            <w:r w:rsidRPr="005D5DA5">
              <w:t>Antiepileptics: phenytoin, phenobarbital, carbamazepine</w:t>
            </w:r>
          </w:p>
        </w:tc>
        <w:tc>
          <w:tcPr>
            <w:tcW w:w="3005" w:type="dxa"/>
          </w:tcPr>
          <w:p w14:paraId="6348DF6E" w14:textId="77777777" w:rsidR="004F6D3A" w:rsidRDefault="004F6D3A" w:rsidP="00AA1D7B">
            <w:r>
              <w:t>30% increase in flecainide elimination</w:t>
            </w:r>
          </w:p>
          <w:p w14:paraId="7DB07485" w14:textId="77777777" w:rsidR="004F6D3A" w:rsidRPr="00CD7916" w:rsidRDefault="004F6D3A" w:rsidP="00AA1D7B"/>
        </w:tc>
        <w:tc>
          <w:tcPr>
            <w:tcW w:w="3006" w:type="dxa"/>
          </w:tcPr>
          <w:p w14:paraId="7573124A" w14:textId="77777777" w:rsidR="004F6D3A" w:rsidRDefault="004F6D3A" w:rsidP="00AA1D7B">
            <w:r>
              <w:t>Monitor effectiveness</w:t>
            </w:r>
          </w:p>
        </w:tc>
      </w:tr>
      <w:tr w:rsidR="004F6D3A" w14:paraId="539A5E02" w14:textId="77777777" w:rsidTr="00AA1D7B">
        <w:tc>
          <w:tcPr>
            <w:tcW w:w="3005" w:type="dxa"/>
          </w:tcPr>
          <w:p w14:paraId="21420AB4" w14:textId="77777777" w:rsidR="004F6D3A" w:rsidRPr="004523F0" w:rsidRDefault="004F6D3A" w:rsidP="00AA1D7B">
            <w:r w:rsidRPr="00F17B28">
              <w:t xml:space="preserve">Antihistamines: </w:t>
            </w:r>
            <w:proofErr w:type="spellStart"/>
            <w:r>
              <w:t>m</w:t>
            </w:r>
            <w:r w:rsidRPr="00F17B28">
              <w:t>izolastine</w:t>
            </w:r>
            <w:proofErr w:type="spellEnd"/>
            <w:r w:rsidRPr="00F17B28">
              <w:t xml:space="preserve">, </w:t>
            </w:r>
            <w:proofErr w:type="spellStart"/>
            <w:r w:rsidRPr="00F17B28">
              <w:t>astemizole</w:t>
            </w:r>
            <w:proofErr w:type="spellEnd"/>
            <w:r w:rsidRPr="00F17B28">
              <w:t> and terfenadine</w:t>
            </w:r>
          </w:p>
        </w:tc>
        <w:tc>
          <w:tcPr>
            <w:tcW w:w="3005" w:type="dxa"/>
          </w:tcPr>
          <w:p w14:paraId="7DA16F75" w14:textId="77777777" w:rsidR="004F6D3A" w:rsidRDefault="004F6D3A" w:rsidP="00AA1D7B">
            <w:r w:rsidRPr="00CD7916">
              <w:t>Increased plasma levels of flecainide – risk of toxicity</w:t>
            </w:r>
          </w:p>
          <w:p w14:paraId="353DD411" w14:textId="77777777" w:rsidR="004F6D3A" w:rsidRPr="004523F0" w:rsidRDefault="004F6D3A" w:rsidP="00AA1D7B"/>
        </w:tc>
        <w:tc>
          <w:tcPr>
            <w:tcW w:w="3006" w:type="dxa"/>
          </w:tcPr>
          <w:p w14:paraId="1FFD4DB2" w14:textId="77777777" w:rsidR="004F6D3A" w:rsidRPr="004523F0" w:rsidRDefault="004F6D3A" w:rsidP="00AA1D7B">
            <w:r>
              <w:t>Avoid concomitant use</w:t>
            </w:r>
          </w:p>
        </w:tc>
      </w:tr>
      <w:tr w:rsidR="004F6D3A" w14:paraId="3925E841" w14:textId="77777777" w:rsidTr="00AA1D7B">
        <w:tc>
          <w:tcPr>
            <w:tcW w:w="3005" w:type="dxa"/>
          </w:tcPr>
          <w:p w14:paraId="64156358" w14:textId="77777777" w:rsidR="004F6D3A" w:rsidRPr="00F17B28" w:rsidRDefault="004F6D3A" w:rsidP="00AA1D7B">
            <w:r w:rsidRPr="00F17B28">
              <w:t xml:space="preserve">Antivirals:  </w:t>
            </w:r>
            <w:r>
              <w:t>r</w:t>
            </w:r>
            <w:r w:rsidRPr="00F17B28">
              <w:t>itonavir,</w:t>
            </w:r>
            <w:r>
              <w:t xml:space="preserve"> </w:t>
            </w:r>
            <w:r w:rsidRPr="00F17B28">
              <w:t>lopinavir and indinavir</w:t>
            </w:r>
          </w:p>
        </w:tc>
        <w:tc>
          <w:tcPr>
            <w:tcW w:w="3005" w:type="dxa"/>
          </w:tcPr>
          <w:p w14:paraId="23910109" w14:textId="77777777" w:rsidR="004F6D3A" w:rsidRDefault="004F6D3A" w:rsidP="00AA1D7B">
            <w:r w:rsidRPr="00CD7916">
              <w:t>Increased plasma levels of flecainide – risk of toxicity</w:t>
            </w:r>
          </w:p>
          <w:p w14:paraId="0CE1767D" w14:textId="77777777" w:rsidR="004F6D3A" w:rsidRDefault="004F6D3A" w:rsidP="00AA1D7B"/>
        </w:tc>
        <w:tc>
          <w:tcPr>
            <w:tcW w:w="3006" w:type="dxa"/>
          </w:tcPr>
          <w:p w14:paraId="408B4013" w14:textId="77777777" w:rsidR="004F6D3A" w:rsidRDefault="004F6D3A" w:rsidP="00AA1D7B">
            <w:r>
              <w:t>Avoid concomitant use</w:t>
            </w:r>
          </w:p>
        </w:tc>
      </w:tr>
      <w:tr w:rsidR="004F6D3A" w14:paraId="353F09E5" w14:textId="77777777" w:rsidTr="00AA1D7B">
        <w:tc>
          <w:tcPr>
            <w:tcW w:w="3005" w:type="dxa"/>
          </w:tcPr>
          <w:p w14:paraId="7E4BC6CC" w14:textId="77777777" w:rsidR="004F6D3A" w:rsidRPr="004523F0" w:rsidRDefault="004F6D3A" w:rsidP="00AA1D7B">
            <w:r>
              <w:t>Beta blockers</w:t>
            </w:r>
          </w:p>
        </w:tc>
        <w:tc>
          <w:tcPr>
            <w:tcW w:w="3005" w:type="dxa"/>
          </w:tcPr>
          <w:p w14:paraId="3C16815C" w14:textId="77777777" w:rsidR="004F6D3A" w:rsidRDefault="004F6D3A" w:rsidP="00AA1D7B">
            <w:r>
              <w:t>Additive negative inotropic effects.</w:t>
            </w:r>
          </w:p>
          <w:p w14:paraId="466D8D00" w14:textId="77777777" w:rsidR="004F6D3A" w:rsidRPr="004523F0" w:rsidRDefault="004F6D3A" w:rsidP="00AA1D7B"/>
        </w:tc>
        <w:tc>
          <w:tcPr>
            <w:tcW w:w="3006" w:type="dxa"/>
          </w:tcPr>
          <w:p w14:paraId="73C70606" w14:textId="77777777" w:rsidR="004F6D3A" w:rsidRPr="004523F0" w:rsidRDefault="004F6D3A" w:rsidP="00AA1D7B">
            <w:r>
              <w:t>Caution and careful patient assessment</w:t>
            </w:r>
          </w:p>
        </w:tc>
      </w:tr>
      <w:tr w:rsidR="004F6D3A" w14:paraId="270A0C33" w14:textId="77777777" w:rsidTr="00AA1D7B">
        <w:tc>
          <w:tcPr>
            <w:tcW w:w="3005" w:type="dxa"/>
          </w:tcPr>
          <w:p w14:paraId="4E6B5774" w14:textId="77777777" w:rsidR="004F6D3A" w:rsidRDefault="004F6D3A" w:rsidP="00AA1D7B">
            <w:r>
              <w:t>Bupropion</w:t>
            </w:r>
          </w:p>
        </w:tc>
        <w:tc>
          <w:tcPr>
            <w:tcW w:w="3005" w:type="dxa"/>
          </w:tcPr>
          <w:p w14:paraId="0706DF00" w14:textId="77777777" w:rsidR="004F6D3A" w:rsidRDefault="004F6D3A" w:rsidP="00AA1D7B">
            <w:r>
              <w:t>Increased plasma levels of flecainide.</w:t>
            </w:r>
          </w:p>
          <w:p w14:paraId="2DA5BF05" w14:textId="77777777" w:rsidR="004F6D3A" w:rsidRDefault="004F6D3A" w:rsidP="00AA1D7B"/>
        </w:tc>
        <w:tc>
          <w:tcPr>
            <w:tcW w:w="3006" w:type="dxa"/>
          </w:tcPr>
          <w:p w14:paraId="4A9DE940" w14:textId="77777777" w:rsidR="004F6D3A" w:rsidRDefault="004F6D3A" w:rsidP="00AA1D7B">
            <w:r>
              <w:t>Caution; consider dose reduction</w:t>
            </w:r>
          </w:p>
        </w:tc>
      </w:tr>
      <w:tr w:rsidR="004F6D3A" w14:paraId="6FD2D825" w14:textId="77777777" w:rsidTr="00AA1D7B">
        <w:tc>
          <w:tcPr>
            <w:tcW w:w="3005" w:type="dxa"/>
          </w:tcPr>
          <w:p w14:paraId="4782D319" w14:textId="77777777" w:rsidR="004F6D3A" w:rsidRPr="00BB543E" w:rsidRDefault="004F6D3A" w:rsidP="00AA1D7B">
            <w:r>
              <w:t>Class I antiarrhythmics</w:t>
            </w:r>
          </w:p>
        </w:tc>
        <w:tc>
          <w:tcPr>
            <w:tcW w:w="3005" w:type="dxa"/>
          </w:tcPr>
          <w:p w14:paraId="00E9465E" w14:textId="77777777" w:rsidR="004F6D3A" w:rsidRDefault="004F6D3A" w:rsidP="00AA1D7B">
            <w:r>
              <w:t xml:space="preserve">Additive effect increases risk of proarrhythmia.  </w:t>
            </w:r>
          </w:p>
          <w:p w14:paraId="103D474A" w14:textId="77777777" w:rsidR="004F6D3A" w:rsidRPr="00BB543E" w:rsidRDefault="004F6D3A" w:rsidP="00AA1D7B"/>
        </w:tc>
        <w:tc>
          <w:tcPr>
            <w:tcW w:w="3006" w:type="dxa"/>
          </w:tcPr>
          <w:p w14:paraId="19E48BC6" w14:textId="77777777" w:rsidR="004F6D3A" w:rsidRPr="00BB543E" w:rsidRDefault="004F6D3A" w:rsidP="00AA1D7B">
            <w:r>
              <w:t>Do not coadminister with other class I drugs.</w:t>
            </w:r>
          </w:p>
        </w:tc>
      </w:tr>
      <w:tr w:rsidR="004F6D3A" w14:paraId="792FE0E6" w14:textId="77777777" w:rsidTr="00AA1D7B">
        <w:tc>
          <w:tcPr>
            <w:tcW w:w="3005" w:type="dxa"/>
          </w:tcPr>
          <w:p w14:paraId="06BB0841" w14:textId="77777777" w:rsidR="004F6D3A" w:rsidRPr="00BB543E" w:rsidRDefault="004F6D3A" w:rsidP="00AA1D7B">
            <w:r>
              <w:t>Digoxin</w:t>
            </w:r>
          </w:p>
        </w:tc>
        <w:tc>
          <w:tcPr>
            <w:tcW w:w="3005" w:type="dxa"/>
          </w:tcPr>
          <w:p w14:paraId="50386AC5" w14:textId="77777777" w:rsidR="004F6D3A" w:rsidRDefault="004F6D3A" w:rsidP="00AA1D7B">
            <w:r>
              <w:t>Plasma levels of digoxin increased by 15%. Increased risk of digoxin toxicity.</w:t>
            </w:r>
          </w:p>
          <w:p w14:paraId="1F64FA82" w14:textId="77777777" w:rsidR="004F6D3A" w:rsidRPr="00BB543E" w:rsidRDefault="004F6D3A" w:rsidP="00AA1D7B"/>
        </w:tc>
        <w:tc>
          <w:tcPr>
            <w:tcW w:w="3006" w:type="dxa"/>
          </w:tcPr>
          <w:p w14:paraId="7FEB1920" w14:textId="77777777" w:rsidR="004F6D3A" w:rsidRDefault="004F6D3A" w:rsidP="00AA1D7B">
            <w:r>
              <w:t>Measure plasma level of digoxin at least six hours after administration.</w:t>
            </w:r>
          </w:p>
        </w:tc>
      </w:tr>
      <w:tr w:rsidR="004F6D3A" w14:paraId="27955C62" w14:textId="77777777" w:rsidTr="00AA1D7B">
        <w:tc>
          <w:tcPr>
            <w:tcW w:w="3005" w:type="dxa"/>
          </w:tcPr>
          <w:p w14:paraId="3CD3D68F" w14:textId="77777777" w:rsidR="004F6D3A" w:rsidRDefault="004F6D3A" w:rsidP="00AA1D7B">
            <w:r>
              <w:t>Diltiazem, verapamil</w:t>
            </w:r>
          </w:p>
        </w:tc>
        <w:tc>
          <w:tcPr>
            <w:tcW w:w="3005" w:type="dxa"/>
          </w:tcPr>
          <w:p w14:paraId="25DB014B" w14:textId="77777777" w:rsidR="004F6D3A" w:rsidRDefault="004F6D3A" w:rsidP="00AA1D7B">
            <w:r>
              <w:t>Additive negative inotropic effects.</w:t>
            </w:r>
          </w:p>
          <w:p w14:paraId="5DCD6FD0" w14:textId="77777777" w:rsidR="004F6D3A" w:rsidRDefault="004F6D3A" w:rsidP="00AA1D7B"/>
        </w:tc>
        <w:tc>
          <w:tcPr>
            <w:tcW w:w="3006" w:type="dxa"/>
          </w:tcPr>
          <w:p w14:paraId="2D476909" w14:textId="77777777" w:rsidR="004F6D3A" w:rsidRDefault="004F6D3A" w:rsidP="00AA1D7B">
            <w:r>
              <w:t>Coadministration is not recommended.</w:t>
            </w:r>
          </w:p>
        </w:tc>
      </w:tr>
      <w:tr w:rsidR="004F6D3A" w14:paraId="629F83F3" w14:textId="77777777" w:rsidTr="00AA1D7B">
        <w:tc>
          <w:tcPr>
            <w:tcW w:w="3005" w:type="dxa"/>
          </w:tcPr>
          <w:p w14:paraId="2805D479" w14:textId="77777777" w:rsidR="004F6D3A" w:rsidRDefault="004F6D3A" w:rsidP="00AA1D7B">
            <w:r>
              <w:t>Diuretics, corticosteroids, laxatives</w:t>
            </w:r>
          </w:p>
          <w:p w14:paraId="02B4FAA1" w14:textId="77777777" w:rsidR="004F6D3A" w:rsidRDefault="004F6D3A" w:rsidP="00AA1D7B"/>
        </w:tc>
        <w:tc>
          <w:tcPr>
            <w:tcW w:w="3005" w:type="dxa"/>
          </w:tcPr>
          <w:p w14:paraId="73FFAFB4" w14:textId="77777777" w:rsidR="004F6D3A" w:rsidRDefault="004F6D3A" w:rsidP="00AA1D7B">
            <w:r>
              <w:t>May cause hypokalaemia, increasing risk of ventricular arrhythmia</w:t>
            </w:r>
          </w:p>
          <w:p w14:paraId="33047598" w14:textId="77777777" w:rsidR="004F6D3A" w:rsidRDefault="004F6D3A" w:rsidP="00AA1D7B"/>
        </w:tc>
        <w:tc>
          <w:tcPr>
            <w:tcW w:w="3006" w:type="dxa"/>
          </w:tcPr>
          <w:p w14:paraId="4D2013AC" w14:textId="77777777" w:rsidR="004F6D3A" w:rsidRDefault="004F6D3A" w:rsidP="00AA1D7B">
            <w:r>
              <w:t xml:space="preserve">Monitor electrolyte levels </w:t>
            </w:r>
          </w:p>
        </w:tc>
      </w:tr>
    </w:tbl>
    <w:p w14:paraId="059E52DC" w14:textId="77777777" w:rsidR="004F6D3A" w:rsidRPr="000263AE" w:rsidRDefault="004F6D3A" w:rsidP="004F6D3A">
      <w:pPr>
        <w:spacing w:before="240"/>
        <w:rPr>
          <w:b/>
          <w:bCs/>
        </w:rPr>
      </w:pPr>
      <w:r w:rsidRPr="000263AE">
        <w:rPr>
          <w:b/>
          <w:bCs/>
        </w:rPr>
        <w:t xml:space="preserve">Table </w:t>
      </w:r>
      <w:r>
        <w:rPr>
          <w:b/>
          <w:bCs/>
        </w:rPr>
        <w:t>4</w:t>
      </w:r>
      <w:r w:rsidRPr="000263AE">
        <w:rPr>
          <w:b/>
          <w:bCs/>
        </w:rPr>
        <w:t xml:space="preserve">. </w:t>
      </w:r>
      <w:r>
        <w:rPr>
          <w:b/>
          <w:bCs/>
        </w:rPr>
        <w:t xml:space="preserve">Important flecainide </w:t>
      </w:r>
      <w:r w:rsidRPr="000263AE">
        <w:rPr>
          <w:b/>
          <w:bCs/>
        </w:rPr>
        <w:t xml:space="preserve">interactions </w:t>
      </w:r>
      <w:r>
        <w:rPr>
          <w:b/>
          <w:bCs/>
        </w:rPr>
        <w:t>(Accord-UK Ltd, 2019)</w:t>
      </w:r>
    </w:p>
    <w:p w14:paraId="5B84E4C0" w14:textId="2EE8303A" w:rsidR="00B43B78" w:rsidRDefault="00B43B78" w:rsidP="00805503"/>
    <w:p w14:paraId="1C8EE3FC" w14:textId="30CCF5E4" w:rsidR="0045305B" w:rsidRDefault="0045305B" w:rsidP="00805503"/>
    <w:p w14:paraId="42020046" w14:textId="61D14C1A" w:rsidR="0045305B" w:rsidRDefault="0045305B" w:rsidP="00805503"/>
    <w:p w14:paraId="35617702" w14:textId="771F6156" w:rsidR="0045305B" w:rsidRDefault="0045305B" w:rsidP="00805503"/>
    <w:p w14:paraId="09E629BD" w14:textId="77777777" w:rsidR="0045305B" w:rsidRDefault="0045305B" w:rsidP="00805503"/>
    <w:p w14:paraId="1220D62C" w14:textId="77777777" w:rsidR="00805503" w:rsidRPr="00CC680F" w:rsidRDefault="00805503" w:rsidP="00805503">
      <w:pPr>
        <w:rPr>
          <w:b/>
          <w:bCs/>
          <w:sz w:val="28"/>
          <w:szCs w:val="28"/>
        </w:rPr>
      </w:pPr>
      <w:r w:rsidRPr="00CC680F">
        <w:rPr>
          <w:b/>
          <w:bCs/>
          <w:sz w:val="28"/>
          <w:szCs w:val="28"/>
        </w:rPr>
        <w:t>Conclusion</w:t>
      </w:r>
    </w:p>
    <w:p w14:paraId="17931010" w14:textId="77777777" w:rsidR="00764FD2" w:rsidRPr="00CC680F" w:rsidRDefault="00805503" w:rsidP="00805503">
      <w:r w:rsidRPr="00CC680F">
        <w:t>Rhythm control drugs are a heterogenous group with a variety of uses including the acute termination of supraventricular and ventricular arrhythmias, and the prevention of their recurrence.  Some drugs, like adenosine, have a very narrow range of use, while other</w:t>
      </w:r>
      <w:r w:rsidR="00764FD2" w:rsidRPr="00CC680F">
        <w:t>s</w:t>
      </w:r>
      <w:r w:rsidRPr="00CC680F">
        <w:t xml:space="preserve">, such as amiodarone, </w:t>
      </w:r>
      <w:r w:rsidR="00764FD2" w:rsidRPr="00CC680F">
        <w:t xml:space="preserve">have numerous indications.  </w:t>
      </w:r>
      <w:r w:rsidRPr="00CC680F">
        <w:lastRenderedPageBreak/>
        <w:t xml:space="preserve">Their pharmacology is equally diverse, with a </w:t>
      </w:r>
      <w:r w:rsidR="00764FD2" w:rsidRPr="00CC680F">
        <w:t xml:space="preserve">variety of mechanisms of action and wide </w:t>
      </w:r>
      <w:r w:rsidRPr="00CC680F">
        <w:t xml:space="preserve">variation in half-life, elimination and dosing.  </w:t>
      </w:r>
    </w:p>
    <w:p w14:paraId="10C50BB6" w14:textId="1A41DD75" w:rsidR="00805503" w:rsidRPr="00CC680F" w:rsidRDefault="00764FD2" w:rsidP="00805503">
      <w:r w:rsidRPr="00CC680F">
        <w:t>The common factor in rhythm control drugs is t</w:t>
      </w:r>
      <w:r w:rsidR="00805503" w:rsidRPr="00CC680F">
        <w:t>he potential for serious adverse effects</w:t>
      </w:r>
      <w:r w:rsidRPr="00CC680F">
        <w:t>; d</w:t>
      </w:r>
      <w:r w:rsidR="00805503" w:rsidRPr="00CC680F">
        <w:t xml:space="preserve">rug selection must be guided by patient assessment, a knowledge of underlying cardiac function, and a careful weighing of risk and benefit. Renal and hepatic function are </w:t>
      </w:r>
      <w:r w:rsidRPr="00CC680F">
        <w:t xml:space="preserve">also </w:t>
      </w:r>
      <w:r w:rsidR="00805503" w:rsidRPr="00CC680F">
        <w:t xml:space="preserve">important in predicting safe therapy, and </w:t>
      </w:r>
      <w:r w:rsidRPr="00CC680F">
        <w:t>should</w:t>
      </w:r>
      <w:r w:rsidR="00805503" w:rsidRPr="00CC680F">
        <w:t xml:space="preserve"> be combined with a knowledge of pharmacokinetics and potential interactions with other drugs.  Careful monitoring is essential once drug therapy has been initiated, alongside patient education and advice on when to seek help.</w:t>
      </w:r>
    </w:p>
    <w:p w14:paraId="725F01A8" w14:textId="401A8183" w:rsidR="00805503" w:rsidRPr="00CC680F" w:rsidRDefault="00805503" w:rsidP="00805503">
      <w:r w:rsidRPr="00CC680F">
        <w:t xml:space="preserve">In the final article </w:t>
      </w:r>
      <w:r w:rsidR="00086089" w:rsidRPr="00CC680F">
        <w:t>of</w:t>
      </w:r>
      <w:r w:rsidRPr="00CC680F">
        <w:t xml:space="preserve"> this series</w:t>
      </w:r>
      <w:r w:rsidR="00086089" w:rsidRPr="00CC680F">
        <w:t xml:space="preserve"> on antiarrhythmic drug therapy</w:t>
      </w:r>
      <w:r w:rsidRPr="00CC680F">
        <w:t xml:space="preserve">, we turn our attention to the rate control </w:t>
      </w:r>
      <w:r w:rsidR="00086089" w:rsidRPr="00CC680F">
        <w:t>agents</w:t>
      </w:r>
      <w:r w:rsidR="00184DED" w:rsidRPr="00CC680F">
        <w:t xml:space="preserve">, evaluating three of the most commonly used </w:t>
      </w:r>
      <w:r w:rsidR="00086089" w:rsidRPr="00CC680F">
        <w:t>drugs</w:t>
      </w:r>
      <w:r w:rsidR="00184DED" w:rsidRPr="00CC680F">
        <w:t>.</w:t>
      </w:r>
      <w:r w:rsidRPr="00CC680F">
        <w:t xml:space="preserve">  </w:t>
      </w:r>
    </w:p>
    <w:p w14:paraId="06393FE2" w14:textId="5D546C2F" w:rsidR="003D46DE" w:rsidRPr="00CC680F" w:rsidRDefault="003D46DE" w:rsidP="00BD01CC"/>
    <w:p w14:paraId="2A7B3BC1" w14:textId="77777777" w:rsidR="00C97B7B" w:rsidRPr="00CC680F" w:rsidRDefault="00C97B7B" w:rsidP="00C97B7B">
      <w:pPr>
        <w:rPr>
          <w:b/>
          <w:sz w:val="28"/>
          <w:szCs w:val="28"/>
          <w:lang w:val="en-US"/>
        </w:rPr>
      </w:pPr>
      <w:r w:rsidRPr="00CC680F">
        <w:rPr>
          <w:b/>
          <w:sz w:val="28"/>
          <w:szCs w:val="28"/>
          <w:lang w:val="en-US"/>
        </w:rPr>
        <w:t>Key points</w:t>
      </w:r>
    </w:p>
    <w:p w14:paraId="54B01C9A" w14:textId="77777777" w:rsidR="00C97B7B" w:rsidRPr="00CC680F" w:rsidRDefault="00C97B7B" w:rsidP="00C97B7B">
      <w:pPr>
        <w:pStyle w:val="ListParagraph"/>
        <w:numPr>
          <w:ilvl w:val="0"/>
          <w:numId w:val="11"/>
        </w:numPr>
        <w:rPr>
          <w:bCs/>
          <w:lang w:val="en-US"/>
        </w:rPr>
      </w:pPr>
      <w:r w:rsidRPr="00CC680F">
        <w:rPr>
          <w:bCs/>
          <w:lang w:val="en-US"/>
        </w:rPr>
        <w:t xml:space="preserve">Rhythm control drugs are used to terminate arrhythmias and to prevent their recurrence. They are a heterogenous group of drugs with diverse indications, mechanisms and unique features. </w:t>
      </w:r>
    </w:p>
    <w:p w14:paraId="03461059" w14:textId="77777777" w:rsidR="00C97B7B" w:rsidRPr="00CC680F" w:rsidRDefault="00C97B7B" w:rsidP="00C97B7B">
      <w:pPr>
        <w:pStyle w:val="ListParagraph"/>
        <w:ind w:left="360"/>
        <w:rPr>
          <w:bCs/>
          <w:lang w:val="en-US"/>
        </w:rPr>
      </w:pPr>
      <w:r w:rsidRPr="00CC680F">
        <w:rPr>
          <w:bCs/>
          <w:lang w:val="en-US"/>
        </w:rPr>
        <w:t xml:space="preserve"> </w:t>
      </w:r>
    </w:p>
    <w:p w14:paraId="31EDD5FD" w14:textId="77777777" w:rsidR="00C97B7B" w:rsidRPr="00CC680F" w:rsidRDefault="00C97B7B" w:rsidP="00C97B7B">
      <w:pPr>
        <w:pStyle w:val="ListParagraph"/>
        <w:numPr>
          <w:ilvl w:val="0"/>
          <w:numId w:val="11"/>
        </w:numPr>
        <w:rPr>
          <w:bCs/>
          <w:lang w:val="en-US"/>
        </w:rPr>
      </w:pPr>
      <w:r w:rsidRPr="00CC680F">
        <w:rPr>
          <w:bCs/>
          <w:lang w:val="en-US"/>
        </w:rPr>
        <w:t>Adenosine is an ultra-short acting drug used to terminate re-entrant supraventricular tachycardia.  It also has a role in acute arrhythmia diagnosis. It should be avoided in asthma.</w:t>
      </w:r>
    </w:p>
    <w:p w14:paraId="0C371279" w14:textId="77777777" w:rsidR="00C97B7B" w:rsidRPr="00CC680F" w:rsidRDefault="00C97B7B" w:rsidP="00C97B7B">
      <w:pPr>
        <w:pStyle w:val="ListParagraph"/>
        <w:rPr>
          <w:bCs/>
          <w:lang w:val="en-US"/>
        </w:rPr>
      </w:pPr>
    </w:p>
    <w:p w14:paraId="37CC61FB" w14:textId="4B456954" w:rsidR="00C97B7B" w:rsidRPr="00CC680F" w:rsidRDefault="00C97B7B" w:rsidP="00C97B7B">
      <w:pPr>
        <w:pStyle w:val="ListParagraph"/>
        <w:numPr>
          <w:ilvl w:val="0"/>
          <w:numId w:val="11"/>
        </w:numPr>
        <w:rPr>
          <w:bCs/>
          <w:lang w:val="en-US"/>
        </w:rPr>
      </w:pPr>
      <w:r w:rsidRPr="00CC680F">
        <w:rPr>
          <w:bCs/>
          <w:lang w:val="en-US"/>
        </w:rPr>
        <w:t>Amiodarone is a very long acting drug that is extensively stored within the body.  It has a plethora of uses, and is the drug of choice when there is left ventricular systolic dysfunction or cardiomyopathy.  Multiple adverse effects are possible during long term use, which limit its use in patients with structurally normal hearts.</w:t>
      </w:r>
      <w:r w:rsidR="0083063F" w:rsidRPr="00CC680F">
        <w:rPr>
          <w:bCs/>
          <w:lang w:val="en-US"/>
        </w:rPr>
        <w:t xml:space="preserve">  In intravenous use it should be given via a central line whenever possible.</w:t>
      </w:r>
    </w:p>
    <w:p w14:paraId="36D7B29A" w14:textId="77777777" w:rsidR="00C97B7B" w:rsidRPr="00367357" w:rsidRDefault="00C97B7B" w:rsidP="00C97B7B">
      <w:pPr>
        <w:pStyle w:val="ListParagraph"/>
        <w:rPr>
          <w:bCs/>
          <w:lang w:val="en-US"/>
        </w:rPr>
      </w:pPr>
    </w:p>
    <w:p w14:paraId="0BEB7E50" w14:textId="77777777" w:rsidR="00C97B7B" w:rsidRDefault="00C97B7B" w:rsidP="00C97B7B">
      <w:pPr>
        <w:pStyle w:val="ListParagraph"/>
        <w:numPr>
          <w:ilvl w:val="0"/>
          <w:numId w:val="11"/>
        </w:numPr>
        <w:rPr>
          <w:bCs/>
          <w:lang w:val="en-US"/>
        </w:rPr>
      </w:pPr>
      <w:r>
        <w:rPr>
          <w:bCs/>
          <w:lang w:val="en-US"/>
        </w:rPr>
        <w:t xml:space="preserve">Flecainide is highly effective at terminating new-onset atrial fibrillation, and is widely used in the management of paroxysmal AF.  Adverse effects are rare in individuals with normal hearts, making it a good choice in this population.  It should be avoided if there is structural heart disease as increased mortality has been demonstrated in this patient group. </w:t>
      </w:r>
    </w:p>
    <w:p w14:paraId="645977A9" w14:textId="77777777" w:rsidR="00C97B7B" w:rsidRPr="00367357" w:rsidRDefault="00C97B7B" w:rsidP="00C97B7B">
      <w:pPr>
        <w:pStyle w:val="ListParagraph"/>
        <w:rPr>
          <w:bCs/>
          <w:lang w:val="en-US"/>
        </w:rPr>
      </w:pPr>
    </w:p>
    <w:p w14:paraId="57507BDD" w14:textId="77777777" w:rsidR="00C97B7B" w:rsidRPr="006E158E" w:rsidRDefault="00C97B7B" w:rsidP="00C97B7B">
      <w:pPr>
        <w:pStyle w:val="ListParagraph"/>
        <w:numPr>
          <w:ilvl w:val="0"/>
          <w:numId w:val="11"/>
        </w:numPr>
        <w:rPr>
          <w:bCs/>
          <w:lang w:val="en-US"/>
        </w:rPr>
      </w:pPr>
      <w:r>
        <w:rPr>
          <w:bCs/>
          <w:lang w:val="en-US"/>
        </w:rPr>
        <w:t xml:space="preserve">All rhythm control drugs have the potential for adverse effect, including fatal arrhythmia.  Careful patient assessment, monitoring and follow-up are required. </w:t>
      </w:r>
    </w:p>
    <w:p w14:paraId="45ACB596" w14:textId="5DDBF71F" w:rsidR="00C97B7B" w:rsidRDefault="00C97B7B" w:rsidP="00C97B7B">
      <w:pPr>
        <w:rPr>
          <w:bCs/>
          <w:lang w:val="en-US"/>
        </w:rPr>
      </w:pPr>
    </w:p>
    <w:p w14:paraId="5AA45AB1" w14:textId="6E3830DC" w:rsidR="0045305B" w:rsidRDefault="0045305B" w:rsidP="00C97B7B">
      <w:pPr>
        <w:rPr>
          <w:bCs/>
          <w:lang w:val="en-US"/>
        </w:rPr>
      </w:pPr>
    </w:p>
    <w:p w14:paraId="7CB74BB9" w14:textId="1EE0F650" w:rsidR="0045305B" w:rsidRDefault="0045305B" w:rsidP="00C97B7B">
      <w:pPr>
        <w:rPr>
          <w:bCs/>
          <w:lang w:val="en-US"/>
        </w:rPr>
      </w:pPr>
    </w:p>
    <w:p w14:paraId="37562983" w14:textId="7F83673E" w:rsidR="0045305B" w:rsidRDefault="0045305B" w:rsidP="00C97B7B">
      <w:pPr>
        <w:rPr>
          <w:bCs/>
          <w:lang w:val="en-US"/>
        </w:rPr>
      </w:pPr>
    </w:p>
    <w:p w14:paraId="6F1CC1DD" w14:textId="3D461D5E" w:rsidR="0045305B" w:rsidRDefault="0045305B" w:rsidP="00C97B7B">
      <w:pPr>
        <w:rPr>
          <w:bCs/>
          <w:lang w:val="en-US"/>
        </w:rPr>
      </w:pPr>
    </w:p>
    <w:p w14:paraId="45E17025" w14:textId="77777777" w:rsidR="0045305B" w:rsidRDefault="0045305B" w:rsidP="00C97B7B">
      <w:pPr>
        <w:rPr>
          <w:bCs/>
          <w:lang w:val="en-US"/>
        </w:rPr>
      </w:pPr>
    </w:p>
    <w:p w14:paraId="0DBF0F57" w14:textId="77777777" w:rsidR="00C97B7B" w:rsidRDefault="00C97B7B" w:rsidP="00C97B7B">
      <w:pPr>
        <w:rPr>
          <w:b/>
          <w:sz w:val="28"/>
          <w:szCs w:val="28"/>
          <w:lang w:val="en-US"/>
        </w:rPr>
      </w:pPr>
      <w:r w:rsidRPr="00552C46">
        <w:rPr>
          <w:b/>
          <w:sz w:val="28"/>
          <w:szCs w:val="28"/>
          <w:lang w:val="en-US"/>
        </w:rPr>
        <w:t xml:space="preserve">CPD </w:t>
      </w:r>
      <w:r>
        <w:rPr>
          <w:b/>
          <w:sz w:val="28"/>
          <w:szCs w:val="28"/>
          <w:lang w:val="en-US"/>
        </w:rPr>
        <w:t>questions</w:t>
      </w:r>
    </w:p>
    <w:p w14:paraId="75BC39E5" w14:textId="77777777" w:rsidR="00C97B7B" w:rsidRDefault="00C97B7B" w:rsidP="00C97B7B">
      <w:pPr>
        <w:pStyle w:val="ListParagraph"/>
        <w:numPr>
          <w:ilvl w:val="0"/>
          <w:numId w:val="12"/>
        </w:numPr>
      </w:pPr>
      <w:r>
        <w:t>The next time you care for a patient prescribed an antiarrhythmic drug, find out the indication for the drug and consider the patient’s medical history and test results.  Does the prescription seem appropriate in light of what you know about the drug?</w:t>
      </w:r>
    </w:p>
    <w:p w14:paraId="5105F65C" w14:textId="77777777" w:rsidR="00C97B7B" w:rsidRDefault="00C97B7B" w:rsidP="00C97B7B">
      <w:pPr>
        <w:pStyle w:val="ListParagraph"/>
        <w:ind w:left="360"/>
      </w:pPr>
    </w:p>
    <w:p w14:paraId="6CC8FE1D" w14:textId="77777777" w:rsidR="00C97B7B" w:rsidRDefault="00C97B7B" w:rsidP="00C97B7B">
      <w:pPr>
        <w:pStyle w:val="ListParagraph"/>
        <w:numPr>
          <w:ilvl w:val="0"/>
          <w:numId w:val="12"/>
        </w:numPr>
      </w:pPr>
      <w:r>
        <w:t>Evaluate the monitoring arrangements for patients administered antiarrhythmic drugs in your clinical area.  Are they adequate to detect adverse drug effects?  If not, how could monitoring be improved?</w:t>
      </w:r>
    </w:p>
    <w:p w14:paraId="75C97E71" w14:textId="77777777" w:rsidR="00C97B7B" w:rsidRDefault="00C97B7B" w:rsidP="00C97B7B">
      <w:pPr>
        <w:pStyle w:val="ListParagraph"/>
        <w:ind w:left="360"/>
      </w:pPr>
    </w:p>
    <w:p w14:paraId="4E04A212" w14:textId="77777777" w:rsidR="00C97B7B" w:rsidRDefault="00C97B7B" w:rsidP="00C97B7B">
      <w:pPr>
        <w:pStyle w:val="ListParagraph"/>
        <w:numPr>
          <w:ilvl w:val="0"/>
          <w:numId w:val="12"/>
        </w:numPr>
      </w:pPr>
      <w:r>
        <w:t>Make sure that you are familiar with the normal ranges for renal, thyroid and liver function tests, and can recognise the significance of changes in organ function.</w:t>
      </w:r>
    </w:p>
    <w:p w14:paraId="3C8C42E6" w14:textId="6BEF40AD" w:rsidR="00D4421D" w:rsidRDefault="00D4421D" w:rsidP="00BD01CC">
      <w:bookmarkStart w:id="0" w:name="_GoBack"/>
      <w:bookmarkEnd w:id="0"/>
    </w:p>
    <w:p w14:paraId="7EF947D5" w14:textId="77777777" w:rsidR="00C97B7B" w:rsidRPr="000F79ED" w:rsidRDefault="00C97B7B" w:rsidP="00C97B7B">
      <w:pPr>
        <w:rPr>
          <w:rFonts w:cstheme="minorHAnsi"/>
          <w:b/>
          <w:sz w:val="28"/>
          <w:szCs w:val="28"/>
        </w:rPr>
      </w:pPr>
      <w:r w:rsidRPr="000F79ED">
        <w:rPr>
          <w:rFonts w:cstheme="minorHAnsi"/>
          <w:b/>
          <w:sz w:val="28"/>
          <w:szCs w:val="28"/>
        </w:rPr>
        <w:lastRenderedPageBreak/>
        <w:t>References</w:t>
      </w:r>
    </w:p>
    <w:p w14:paraId="3C45B4B5" w14:textId="77777777" w:rsidR="00C97B7B" w:rsidRDefault="00C97B7B" w:rsidP="00C97B7B">
      <w:pPr>
        <w:pStyle w:val="reftext"/>
        <w:spacing w:after="0"/>
        <w:rPr>
          <w:rFonts w:asciiTheme="minorHAnsi" w:hAnsiTheme="minorHAnsi" w:cstheme="minorHAnsi"/>
          <w:color w:val="auto"/>
          <w:sz w:val="22"/>
          <w:szCs w:val="22"/>
        </w:rPr>
      </w:pPr>
      <w:r>
        <w:rPr>
          <w:rFonts w:asciiTheme="minorHAnsi" w:hAnsiTheme="minorHAnsi" w:cstheme="minorHAnsi"/>
          <w:color w:val="auto"/>
          <w:sz w:val="22"/>
          <w:szCs w:val="22"/>
          <w:lang w:val="en-GB"/>
        </w:rPr>
        <w:t xml:space="preserve">Accord Healthcare Ltd (2017) </w:t>
      </w:r>
      <w:r w:rsidRPr="00D00C92">
        <w:rPr>
          <w:rFonts w:asciiTheme="minorHAnsi" w:hAnsiTheme="minorHAnsi" w:cstheme="minorHAnsi"/>
          <w:i/>
          <w:iCs/>
          <w:color w:val="auto"/>
          <w:sz w:val="22"/>
          <w:szCs w:val="22"/>
        </w:rPr>
        <w:t>Amiodarone 200mg Tablets; Summary of product characteristics</w:t>
      </w:r>
      <w:r>
        <w:rPr>
          <w:rFonts w:asciiTheme="minorHAnsi" w:hAnsiTheme="minorHAnsi" w:cstheme="minorHAnsi"/>
          <w:color w:val="auto"/>
          <w:sz w:val="22"/>
          <w:szCs w:val="22"/>
        </w:rPr>
        <w:t xml:space="preserve">, </w:t>
      </w:r>
    </w:p>
    <w:p w14:paraId="5932672F" w14:textId="77777777" w:rsidR="00C97B7B" w:rsidRDefault="00C97B7B" w:rsidP="00C97B7B">
      <w:pPr>
        <w:pStyle w:val="reftext"/>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available at </w:t>
      </w:r>
      <w:hyperlink r:id="rId10" w:history="1">
        <w:r w:rsidRPr="00D00C92">
          <w:rPr>
            <w:rStyle w:val="Hyperlink"/>
            <w:rFonts w:asciiTheme="minorHAnsi" w:hAnsiTheme="minorHAnsi" w:cstheme="minorHAnsi"/>
            <w:sz w:val="22"/>
            <w:szCs w:val="22"/>
            <w:lang w:val="en-GB"/>
          </w:rPr>
          <w:t>https://www.medicines.org.uk/emc/product/6018/smpc</w:t>
        </w:r>
      </w:hyperlink>
      <w:r>
        <w:rPr>
          <w:rFonts w:asciiTheme="minorHAnsi" w:hAnsiTheme="minorHAnsi" w:cstheme="minorHAnsi"/>
          <w:color w:val="auto"/>
          <w:sz w:val="22"/>
          <w:szCs w:val="22"/>
        </w:rPr>
        <w:t>, accessed 02/07/2019.</w:t>
      </w:r>
    </w:p>
    <w:p w14:paraId="7DAD5155" w14:textId="77777777" w:rsidR="00C97B7B" w:rsidRDefault="00C97B7B" w:rsidP="00C97B7B">
      <w:pPr>
        <w:pStyle w:val="reftext"/>
        <w:spacing w:after="0"/>
        <w:rPr>
          <w:rFonts w:asciiTheme="minorHAnsi" w:hAnsiTheme="minorHAnsi" w:cstheme="minorHAnsi"/>
          <w:color w:val="auto"/>
          <w:sz w:val="22"/>
          <w:szCs w:val="22"/>
        </w:rPr>
      </w:pPr>
    </w:p>
    <w:p w14:paraId="7D163338" w14:textId="77777777" w:rsidR="00C97B7B" w:rsidRDefault="00C97B7B" w:rsidP="00C97B7B">
      <w:pPr>
        <w:pStyle w:val="reftext"/>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Accord-UK Ltd (2019) </w:t>
      </w:r>
      <w:r w:rsidRPr="00CA28A1">
        <w:rPr>
          <w:rFonts w:asciiTheme="minorHAnsi" w:hAnsiTheme="minorHAnsi" w:cstheme="minorHAnsi"/>
          <w:i/>
          <w:iCs/>
          <w:color w:val="auto"/>
          <w:sz w:val="22"/>
          <w:szCs w:val="22"/>
        </w:rPr>
        <w:t>Flecainide Acetate Tablets 100mg; Summary of product characteristics,</w:t>
      </w:r>
      <w:r>
        <w:rPr>
          <w:rFonts w:asciiTheme="minorHAnsi" w:hAnsiTheme="minorHAnsi" w:cstheme="minorHAnsi"/>
          <w:color w:val="auto"/>
          <w:sz w:val="22"/>
          <w:szCs w:val="22"/>
        </w:rPr>
        <w:t xml:space="preserve"> </w:t>
      </w:r>
    </w:p>
    <w:p w14:paraId="57B7E999" w14:textId="77777777" w:rsidR="00C97B7B" w:rsidRPr="00D00C92" w:rsidRDefault="00C97B7B" w:rsidP="00C97B7B">
      <w:pPr>
        <w:pStyle w:val="reftext"/>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available at </w:t>
      </w:r>
      <w:hyperlink r:id="rId11" w:history="1">
        <w:r w:rsidRPr="00CA28A1">
          <w:rPr>
            <w:rStyle w:val="Hyperlink"/>
            <w:rFonts w:asciiTheme="minorHAnsi" w:hAnsiTheme="minorHAnsi" w:cstheme="minorHAnsi"/>
            <w:sz w:val="22"/>
            <w:szCs w:val="22"/>
            <w:lang w:val="en-GB"/>
          </w:rPr>
          <w:t>https://www.medicines.org.uk/emc/product/4548/smpc</w:t>
        </w:r>
      </w:hyperlink>
      <w:r>
        <w:rPr>
          <w:rFonts w:asciiTheme="minorHAnsi" w:hAnsiTheme="minorHAnsi" w:cstheme="minorHAnsi"/>
          <w:color w:val="auto"/>
          <w:sz w:val="22"/>
          <w:szCs w:val="22"/>
        </w:rPr>
        <w:t>, accessed 03/07/2019.</w:t>
      </w:r>
    </w:p>
    <w:p w14:paraId="45896EF8"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4472F882"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roofErr w:type="spellStart"/>
      <w:r w:rsidRPr="00201B01">
        <w:rPr>
          <w:rFonts w:asciiTheme="minorHAnsi" w:hAnsiTheme="minorHAnsi" w:cstheme="minorHAnsi"/>
          <w:color w:val="auto"/>
          <w:sz w:val="22"/>
          <w:szCs w:val="22"/>
          <w:lang w:val="en-GB"/>
        </w:rPr>
        <w:t>Alabed</w:t>
      </w:r>
      <w:proofErr w:type="spellEnd"/>
      <w:r w:rsidRPr="00201B01">
        <w:rPr>
          <w:rFonts w:asciiTheme="minorHAnsi" w:hAnsiTheme="minorHAnsi" w:cstheme="minorHAnsi"/>
          <w:color w:val="auto"/>
          <w:sz w:val="22"/>
          <w:szCs w:val="22"/>
          <w:lang w:val="en-GB"/>
        </w:rPr>
        <w:t xml:space="preserve"> S, </w:t>
      </w:r>
      <w:proofErr w:type="spellStart"/>
      <w:r w:rsidRPr="00201B01">
        <w:rPr>
          <w:rFonts w:asciiTheme="minorHAnsi" w:hAnsiTheme="minorHAnsi" w:cstheme="minorHAnsi"/>
          <w:color w:val="auto"/>
          <w:sz w:val="22"/>
          <w:szCs w:val="22"/>
          <w:lang w:val="en-GB"/>
        </w:rPr>
        <w:t>Sabouni</w:t>
      </w:r>
      <w:proofErr w:type="spellEnd"/>
      <w:r w:rsidRPr="00201B01">
        <w:rPr>
          <w:rFonts w:asciiTheme="minorHAnsi" w:hAnsiTheme="minorHAnsi" w:cstheme="minorHAnsi"/>
          <w:color w:val="auto"/>
          <w:sz w:val="22"/>
          <w:szCs w:val="22"/>
          <w:lang w:val="en-GB"/>
        </w:rPr>
        <w:t xml:space="preserve"> A, Providencia R, </w:t>
      </w:r>
      <w:proofErr w:type="spellStart"/>
      <w:r w:rsidRPr="00201B01">
        <w:rPr>
          <w:rFonts w:asciiTheme="minorHAnsi" w:hAnsiTheme="minorHAnsi" w:cstheme="minorHAnsi"/>
          <w:color w:val="auto"/>
          <w:sz w:val="22"/>
          <w:szCs w:val="22"/>
          <w:lang w:val="en-GB"/>
        </w:rPr>
        <w:t>Atallah</w:t>
      </w:r>
      <w:proofErr w:type="spellEnd"/>
      <w:r w:rsidRPr="00201B01">
        <w:rPr>
          <w:rFonts w:asciiTheme="minorHAnsi" w:hAnsiTheme="minorHAnsi" w:cstheme="minorHAnsi"/>
          <w:color w:val="auto"/>
          <w:sz w:val="22"/>
          <w:szCs w:val="22"/>
          <w:lang w:val="en-GB"/>
        </w:rPr>
        <w:t xml:space="preserve"> E, </w:t>
      </w:r>
      <w:proofErr w:type="spellStart"/>
      <w:r w:rsidRPr="00201B01">
        <w:rPr>
          <w:rFonts w:asciiTheme="minorHAnsi" w:hAnsiTheme="minorHAnsi" w:cstheme="minorHAnsi"/>
          <w:color w:val="auto"/>
          <w:sz w:val="22"/>
          <w:szCs w:val="22"/>
          <w:lang w:val="en-GB"/>
        </w:rPr>
        <w:t>Qintar</w:t>
      </w:r>
      <w:proofErr w:type="spellEnd"/>
      <w:r w:rsidRPr="00201B01">
        <w:rPr>
          <w:rFonts w:asciiTheme="minorHAnsi" w:hAnsiTheme="minorHAnsi" w:cstheme="minorHAnsi"/>
          <w:color w:val="auto"/>
          <w:sz w:val="22"/>
          <w:szCs w:val="22"/>
          <w:lang w:val="en-GB"/>
        </w:rPr>
        <w:t xml:space="preserve"> M, Chico TJ.</w:t>
      </w:r>
      <w:r>
        <w:rPr>
          <w:rFonts w:asciiTheme="minorHAnsi" w:hAnsiTheme="minorHAnsi" w:cstheme="minorHAnsi"/>
          <w:color w:val="auto"/>
          <w:sz w:val="22"/>
          <w:szCs w:val="22"/>
          <w:lang w:val="en-GB"/>
        </w:rPr>
        <w:t xml:space="preserve"> (2017)</w:t>
      </w:r>
      <w:r w:rsidRPr="00201B01">
        <w:rPr>
          <w:rFonts w:asciiTheme="minorHAnsi" w:hAnsiTheme="minorHAnsi" w:cstheme="minorHAnsi"/>
          <w:color w:val="auto"/>
          <w:sz w:val="22"/>
          <w:szCs w:val="22"/>
          <w:lang w:val="en-GB"/>
        </w:rPr>
        <w:t xml:space="preserve"> Adenosine versus intravenous calcium channel antagonists for supraventricular tachycardia. </w:t>
      </w:r>
      <w:r w:rsidRPr="00201B01">
        <w:rPr>
          <w:rFonts w:asciiTheme="minorHAnsi" w:hAnsiTheme="minorHAnsi" w:cstheme="minorHAnsi"/>
          <w:i/>
          <w:iCs/>
          <w:color w:val="auto"/>
          <w:sz w:val="22"/>
          <w:szCs w:val="22"/>
          <w:lang w:val="en-GB"/>
        </w:rPr>
        <w:t>Cochrane Database of Systematic Reviews</w:t>
      </w:r>
      <w:r w:rsidRPr="00201B01">
        <w:rPr>
          <w:rFonts w:asciiTheme="minorHAnsi" w:hAnsiTheme="minorHAnsi" w:cstheme="minorHAnsi"/>
          <w:color w:val="auto"/>
          <w:sz w:val="22"/>
          <w:szCs w:val="22"/>
          <w:lang w:val="en-GB"/>
        </w:rPr>
        <w:t xml:space="preserve">. </w:t>
      </w:r>
      <w:hyperlink r:id="rId12" w:history="1">
        <w:r w:rsidRPr="00201B01">
          <w:rPr>
            <w:rStyle w:val="Hyperlink"/>
            <w:rFonts w:asciiTheme="minorHAnsi" w:hAnsiTheme="minorHAnsi" w:cstheme="minorHAnsi"/>
            <w:sz w:val="22"/>
            <w:szCs w:val="22"/>
            <w:lang w:val="en-GB"/>
          </w:rPr>
          <w:t>https://www.cochranelibrary.com/cdsr/doi/10.1002/14651858.CD005154.pub4/full</w:t>
        </w:r>
      </w:hyperlink>
      <w:r>
        <w:rPr>
          <w:rFonts w:asciiTheme="minorHAnsi" w:hAnsiTheme="minorHAnsi" w:cstheme="minorHAnsi"/>
          <w:color w:val="auto"/>
          <w:sz w:val="22"/>
          <w:szCs w:val="22"/>
          <w:lang w:val="en-GB"/>
        </w:rPr>
        <w:t xml:space="preserve"> (accessed 13/06/2019).</w:t>
      </w:r>
    </w:p>
    <w:p w14:paraId="09B479F5"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6BB7609A" w14:textId="77777777" w:rsidR="00C97B7B" w:rsidRDefault="00C97B7B" w:rsidP="00C97B7B">
      <w:pPr>
        <w:pStyle w:val="reftext"/>
        <w:spacing w:after="0"/>
        <w:rPr>
          <w:rFonts w:asciiTheme="minorHAnsi" w:hAnsiTheme="minorHAnsi" w:cstheme="minorHAnsi"/>
          <w:color w:val="auto"/>
          <w:sz w:val="22"/>
          <w:szCs w:val="22"/>
          <w:lang w:val="en-GB"/>
        </w:rPr>
      </w:pPr>
      <w:proofErr w:type="spellStart"/>
      <w:r w:rsidRPr="00A95EF8">
        <w:rPr>
          <w:rFonts w:asciiTheme="minorHAnsi" w:hAnsiTheme="minorHAnsi" w:cstheme="minorHAnsi"/>
          <w:color w:val="auto"/>
          <w:sz w:val="22"/>
          <w:szCs w:val="22"/>
          <w:lang w:val="en-GB"/>
        </w:rPr>
        <w:t>Alboni</w:t>
      </w:r>
      <w:proofErr w:type="spellEnd"/>
      <w:r w:rsidRPr="00A95EF8">
        <w:rPr>
          <w:rFonts w:asciiTheme="minorHAnsi" w:hAnsiTheme="minorHAnsi" w:cstheme="minorHAnsi"/>
          <w:color w:val="auto"/>
          <w:sz w:val="22"/>
          <w:szCs w:val="22"/>
          <w:lang w:val="en-GB"/>
        </w:rPr>
        <w:t xml:space="preserve"> P, </w:t>
      </w:r>
      <w:proofErr w:type="spellStart"/>
      <w:r w:rsidRPr="00A95EF8">
        <w:rPr>
          <w:rFonts w:asciiTheme="minorHAnsi" w:hAnsiTheme="minorHAnsi" w:cstheme="minorHAnsi"/>
          <w:color w:val="auto"/>
          <w:sz w:val="22"/>
          <w:szCs w:val="22"/>
          <w:lang w:val="en-GB"/>
        </w:rPr>
        <w:t>Botto</w:t>
      </w:r>
      <w:proofErr w:type="spellEnd"/>
      <w:r w:rsidRPr="00A95EF8">
        <w:rPr>
          <w:rFonts w:asciiTheme="minorHAnsi" w:hAnsiTheme="minorHAnsi" w:cstheme="minorHAnsi"/>
          <w:color w:val="auto"/>
          <w:sz w:val="22"/>
          <w:szCs w:val="22"/>
          <w:lang w:val="en-GB"/>
        </w:rPr>
        <w:t xml:space="preserve"> GL, </w:t>
      </w:r>
      <w:proofErr w:type="spellStart"/>
      <w:r w:rsidRPr="00A95EF8">
        <w:rPr>
          <w:rFonts w:asciiTheme="minorHAnsi" w:hAnsiTheme="minorHAnsi" w:cstheme="minorHAnsi"/>
          <w:color w:val="auto"/>
          <w:sz w:val="22"/>
          <w:szCs w:val="22"/>
          <w:lang w:val="en-GB"/>
        </w:rPr>
        <w:t>Baldi</w:t>
      </w:r>
      <w:proofErr w:type="spellEnd"/>
      <w:r w:rsidRPr="00A95EF8">
        <w:rPr>
          <w:rFonts w:asciiTheme="minorHAnsi" w:hAnsiTheme="minorHAnsi" w:cstheme="minorHAnsi"/>
          <w:color w:val="auto"/>
          <w:sz w:val="22"/>
          <w:szCs w:val="22"/>
          <w:lang w:val="en-GB"/>
        </w:rPr>
        <w:t xml:space="preserve"> N, </w:t>
      </w:r>
      <w:proofErr w:type="spellStart"/>
      <w:r w:rsidRPr="00A95EF8">
        <w:rPr>
          <w:rFonts w:asciiTheme="minorHAnsi" w:hAnsiTheme="minorHAnsi" w:cstheme="minorHAnsi"/>
          <w:color w:val="auto"/>
          <w:sz w:val="22"/>
          <w:szCs w:val="22"/>
          <w:lang w:val="en-GB"/>
        </w:rPr>
        <w:t>Luzi</w:t>
      </w:r>
      <w:proofErr w:type="spellEnd"/>
      <w:r w:rsidRPr="00A95EF8">
        <w:rPr>
          <w:rFonts w:asciiTheme="minorHAnsi" w:hAnsiTheme="minorHAnsi" w:cstheme="minorHAnsi"/>
          <w:color w:val="auto"/>
          <w:sz w:val="22"/>
          <w:szCs w:val="22"/>
          <w:lang w:val="en-GB"/>
        </w:rPr>
        <w:t xml:space="preserve"> M, Russo V, </w:t>
      </w:r>
      <w:proofErr w:type="spellStart"/>
      <w:r w:rsidRPr="00A95EF8">
        <w:rPr>
          <w:rFonts w:asciiTheme="minorHAnsi" w:hAnsiTheme="minorHAnsi" w:cstheme="minorHAnsi"/>
          <w:color w:val="auto"/>
          <w:sz w:val="22"/>
          <w:szCs w:val="22"/>
          <w:lang w:val="en-GB"/>
        </w:rPr>
        <w:t>Gianfranchi</w:t>
      </w:r>
      <w:proofErr w:type="spellEnd"/>
      <w:r w:rsidRPr="00A95EF8">
        <w:rPr>
          <w:rFonts w:asciiTheme="minorHAnsi" w:hAnsiTheme="minorHAnsi" w:cstheme="minorHAnsi"/>
          <w:color w:val="auto"/>
          <w:sz w:val="22"/>
          <w:szCs w:val="22"/>
          <w:lang w:val="en-GB"/>
        </w:rPr>
        <w:t xml:space="preserve"> L et al</w:t>
      </w:r>
      <w:r>
        <w:rPr>
          <w:rFonts w:asciiTheme="minorHAnsi" w:hAnsiTheme="minorHAnsi" w:cstheme="minorHAnsi"/>
          <w:color w:val="auto"/>
          <w:sz w:val="22"/>
          <w:szCs w:val="22"/>
          <w:lang w:val="en-GB"/>
        </w:rPr>
        <w:t xml:space="preserve"> (2004)</w:t>
      </w:r>
      <w:r w:rsidRPr="00A95EF8">
        <w:rPr>
          <w:rFonts w:asciiTheme="minorHAnsi" w:hAnsiTheme="minorHAnsi" w:cstheme="minorHAnsi"/>
          <w:color w:val="auto"/>
          <w:sz w:val="22"/>
          <w:szCs w:val="22"/>
          <w:lang w:val="en-GB"/>
        </w:rPr>
        <w:t xml:space="preserve"> Outpatient</w:t>
      </w:r>
      <w:r>
        <w:rPr>
          <w:rFonts w:asciiTheme="minorHAnsi" w:hAnsiTheme="minorHAnsi" w:cstheme="minorHAnsi"/>
          <w:color w:val="auto"/>
          <w:sz w:val="22"/>
          <w:szCs w:val="22"/>
          <w:lang w:val="en-GB"/>
        </w:rPr>
        <w:t xml:space="preserve"> </w:t>
      </w:r>
      <w:r w:rsidRPr="00A95EF8">
        <w:rPr>
          <w:rFonts w:asciiTheme="minorHAnsi" w:hAnsiTheme="minorHAnsi" w:cstheme="minorHAnsi"/>
          <w:color w:val="auto"/>
          <w:sz w:val="22"/>
          <w:szCs w:val="22"/>
          <w:lang w:val="en-GB"/>
        </w:rPr>
        <w:t xml:space="preserve">treatment of </w:t>
      </w:r>
    </w:p>
    <w:p w14:paraId="7501E16A" w14:textId="77777777" w:rsidR="00C97B7B" w:rsidRDefault="00C97B7B" w:rsidP="00C97B7B">
      <w:pPr>
        <w:pStyle w:val="reftext"/>
        <w:spacing w:after="0"/>
        <w:rPr>
          <w:rFonts w:asciiTheme="minorHAnsi" w:hAnsiTheme="minorHAnsi" w:cstheme="minorHAnsi"/>
          <w:i/>
          <w:iCs/>
          <w:color w:val="auto"/>
          <w:sz w:val="22"/>
          <w:szCs w:val="22"/>
          <w:lang w:val="en-GB"/>
        </w:rPr>
      </w:pPr>
      <w:r w:rsidRPr="00A95EF8">
        <w:rPr>
          <w:rFonts w:asciiTheme="minorHAnsi" w:hAnsiTheme="minorHAnsi" w:cstheme="minorHAnsi"/>
          <w:color w:val="auto"/>
          <w:sz w:val="22"/>
          <w:szCs w:val="22"/>
          <w:lang w:val="en-GB"/>
        </w:rPr>
        <w:t>recent-onset atrial fibrillation with the “pill-in-the-pocket"</w:t>
      </w:r>
      <w:r>
        <w:rPr>
          <w:rFonts w:asciiTheme="minorHAnsi" w:hAnsiTheme="minorHAnsi" w:cstheme="minorHAnsi"/>
          <w:color w:val="auto"/>
          <w:sz w:val="22"/>
          <w:szCs w:val="22"/>
          <w:lang w:val="en-GB"/>
        </w:rPr>
        <w:t xml:space="preserve"> </w:t>
      </w:r>
      <w:r w:rsidRPr="00A95EF8">
        <w:rPr>
          <w:rFonts w:asciiTheme="minorHAnsi" w:hAnsiTheme="minorHAnsi" w:cstheme="minorHAnsi"/>
          <w:color w:val="auto"/>
          <w:sz w:val="22"/>
          <w:szCs w:val="22"/>
          <w:lang w:val="en-GB"/>
        </w:rPr>
        <w:t>approach</w:t>
      </w:r>
      <w:r>
        <w:rPr>
          <w:rFonts w:asciiTheme="minorHAnsi" w:hAnsiTheme="minorHAnsi" w:cstheme="minorHAnsi"/>
          <w:color w:val="auto"/>
          <w:sz w:val="22"/>
          <w:szCs w:val="22"/>
          <w:lang w:val="en-GB"/>
        </w:rPr>
        <w:t>,</w:t>
      </w:r>
      <w:r w:rsidRPr="00A95EF8">
        <w:rPr>
          <w:rFonts w:asciiTheme="minorHAnsi" w:hAnsiTheme="minorHAnsi" w:cstheme="minorHAnsi"/>
          <w:color w:val="auto"/>
          <w:sz w:val="22"/>
          <w:szCs w:val="22"/>
          <w:lang w:val="en-GB"/>
        </w:rPr>
        <w:t xml:space="preserve"> </w:t>
      </w:r>
      <w:r w:rsidRPr="00A95EF8">
        <w:rPr>
          <w:rFonts w:asciiTheme="minorHAnsi" w:hAnsiTheme="minorHAnsi" w:cstheme="minorHAnsi"/>
          <w:i/>
          <w:iCs/>
          <w:color w:val="auto"/>
          <w:sz w:val="22"/>
          <w:szCs w:val="22"/>
          <w:lang w:val="en-GB"/>
        </w:rPr>
        <w:t xml:space="preserve">New England Journal of </w:t>
      </w:r>
    </w:p>
    <w:p w14:paraId="643187E2" w14:textId="77777777" w:rsidR="00C97B7B" w:rsidRDefault="00C97B7B" w:rsidP="00C97B7B">
      <w:pPr>
        <w:pStyle w:val="reftext"/>
        <w:spacing w:after="0"/>
        <w:rPr>
          <w:rFonts w:asciiTheme="minorHAnsi" w:hAnsiTheme="minorHAnsi" w:cstheme="minorHAnsi"/>
          <w:color w:val="auto"/>
          <w:sz w:val="22"/>
          <w:szCs w:val="22"/>
          <w:lang w:val="en-GB"/>
        </w:rPr>
      </w:pPr>
      <w:r w:rsidRPr="00A95EF8">
        <w:rPr>
          <w:rFonts w:asciiTheme="minorHAnsi" w:hAnsiTheme="minorHAnsi" w:cstheme="minorHAnsi"/>
          <w:i/>
          <w:iCs/>
          <w:color w:val="auto"/>
          <w:sz w:val="22"/>
          <w:szCs w:val="22"/>
          <w:lang w:val="en-GB"/>
        </w:rPr>
        <w:t>Medicine,</w:t>
      </w:r>
      <w:r>
        <w:rPr>
          <w:rFonts w:asciiTheme="minorHAnsi" w:hAnsiTheme="minorHAnsi" w:cstheme="minorHAnsi"/>
          <w:color w:val="auto"/>
          <w:sz w:val="22"/>
          <w:szCs w:val="22"/>
          <w:lang w:val="en-GB"/>
        </w:rPr>
        <w:t xml:space="preserve"> </w:t>
      </w:r>
      <w:r w:rsidRPr="00A95EF8">
        <w:rPr>
          <w:rFonts w:asciiTheme="minorHAnsi" w:hAnsiTheme="minorHAnsi" w:cstheme="minorHAnsi"/>
          <w:color w:val="auto"/>
          <w:sz w:val="22"/>
          <w:szCs w:val="22"/>
          <w:lang w:val="en-GB"/>
        </w:rPr>
        <w:t>351:2384–91.</w:t>
      </w:r>
    </w:p>
    <w:p w14:paraId="5B36C3FD"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5F09A769"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roofErr w:type="spellStart"/>
      <w:r w:rsidRPr="000B6DEC">
        <w:rPr>
          <w:rFonts w:asciiTheme="minorHAnsi" w:hAnsiTheme="minorHAnsi" w:cstheme="minorHAnsi"/>
          <w:color w:val="auto"/>
          <w:sz w:val="22"/>
          <w:szCs w:val="22"/>
          <w:lang w:val="en-GB"/>
        </w:rPr>
        <w:t>Aliot</w:t>
      </w:r>
      <w:proofErr w:type="spellEnd"/>
      <w:r w:rsidRPr="000B6DEC">
        <w:rPr>
          <w:rFonts w:asciiTheme="minorHAnsi" w:hAnsiTheme="minorHAnsi" w:cstheme="minorHAnsi"/>
          <w:color w:val="auto"/>
          <w:sz w:val="22"/>
          <w:szCs w:val="22"/>
          <w:lang w:val="en-GB"/>
        </w:rPr>
        <w:t xml:space="preserve"> E, </w:t>
      </w:r>
      <w:proofErr w:type="spellStart"/>
      <w:r w:rsidRPr="000B6DEC">
        <w:rPr>
          <w:rFonts w:asciiTheme="minorHAnsi" w:hAnsiTheme="minorHAnsi" w:cstheme="minorHAnsi"/>
          <w:color w:val="auto"/>
          <w:sz w:val="22"/>
          <w:szCs w:val="22"/>
          <w:lang w:val="en-GB"/>
        </w:rPr>
        <w:t>Capucci</w:t>
      </w:r>
      <w:proofErr w:type="spellEnd"/>
      <w:r w:rsidRPr="000B6DEC">
        <w:rPr>
          <w:rFonts w:asciiTheme="minorHAnsi" w:hAnsiTheme="minorHAnsi" w:cstheme="minorHAnsi"/>
          <w:color w:val="auto"/>
          <w:sz w:val="22"/>
          <w:szCs w:val="22"/>
          <w:lang w:val="en-GB"/>
        </w:rPr>
        <w:t xml:space="preserve"> A, </w:t>
      </w:r>
      <w:proofErr w:type="spellStart"/>
      <w:r w:rsidRPr="000B6DEC">
        <w:rPr>
          <w:rFonts w:asciiTheme="minorHAnsi" w:hAnsiTheme="minorHAnsi" w:cstheme="minorHAnsi"/>
          <w:color w:val="auto"/>
          <w:sz w:val="22"/>
          <w:szCs w:val="22"/>
          <w:lang w:val="en-GB"/>
        </w:rPr>
        <w:t>Crijns</w:t>
      </w:r>
      <w:proofErr w:type="spellEnd"/>
      <w:r w:rsidRPr="000B6DEC">
        <w:rPr>
          <w:rFonts w:asciiTheme="minorHAnsi" w:hAnsiTheme="minorHAnsi" w:cstheme="minorHAnsi"/>
          <w:color w:val="auto"/>
          <w:sz w:val="22"/>
          <w:szCs w:val="22"/>
          <w:lang w:val="en-GB"/>
        </w:rPr>
        <w:t xml:space="preserve"> HJ, </w:t>
      </w:r>
      <w:proofErr w:type="spellStart"/>
      <w:r w:rsidRPr="000B6DEC">
        <w:rPr>
          <w:rFonts w:asciiTheme="minorHAnsi" w:hAnsiTheme="minorHAnsi" w:cstheme="minorHAnsi"/>
          <w:color w:val="auto"/>
          <w:sz w:val="22"/>
          <w:szCs w:val="22"/>
          <w:lang w:val="en-GB"/>
        </w:rPr>
        <w:t>Goette</w:t>
      </w:r>
      <w:proofErr w:type="spellEnd"/>
      <w:r w:rsidRPr="000B6DEC">
        <w:rPr>
          <w:rFonts w:asciiTheme="minorHAnsi" w:hAnsiTheme="minorHAnsi" w:cstheme="minorHAnsi"/>
          <w:color w:val="auto"/>
          <w:sz w:val="22"/>
          <w:szCs w:val="22"/>
          <w:lang w:val="en-GB"/>
        </w:rPr>
        <w:t xml:space="preserve"> A, </w:t>
      </w:r>
      <w:proofErr w:type="spellStart"/>
      <w:r w:rsidRPr="000B6DEC">
        <w:rPr>
          <w:rFonts w:asciiTheme="minorHAnsi" w:hAnsiTheme="minorHAnsi" w:cstheme="minorHAnsi"/>
          <w:color w:val="auto"/>
          <w:sz w:val="22"/>
          <w:szCs w:val="22"/>
          <w:lang w:val="en-GB"/>
        </w:rPr>
        <w:t>Tamargo</w:t>
      </w:r>
      <w:proofErr w:type="spellEnd"/>
      <w:r w:rsidRPr="000B6DEC">
        <w:rPr>
          <w:rFonts w:asciiTheme="minorHAnsi" w:hAnsiTheme="minorHAnsi" w:cstheme="minorHAnsi"/>
          <w:color w:val="auto"/>
          <w:sz w:val="22"/>
          <w:szCs w:val="22"/>
          <w:lang w:val="en-GB"/>
        </w:rPr>
        <w:t xml:space="preserve"> J. </w:t>
      </w:r>
      <w:r>
        <w:rPr>
          <w:rFonts w:asciiTheme="minorHAnsi" w:hAnsiTheme="minorHAnsi" w:cstheme="minorHAnsi"/>
          <w:color w:val="auto"/>
          <w:sz w:val="22"/>
          <w:szCs w:val="22"/>
          <w:lang w:val="en-GB"/>
        </w:rPr>
        <w:t xml:space="preserve">(2011) </w:t>
      </w:r>
      <w:r w:rsidRPr="000B6DEC">
        <w:rPr>
          <w:rFonts w:asciiTheme="minorHAnsi" w:hAnsiTheme="minorHAnsi" w:cstheme="minorHAnsi"/>
          <w:color w:val="auto"/>
          <w:sz w:val="22"/>
          <w:szCs w:val="22"/>
          <w:lang w:val="en-GB"/>
        </w:rPr>
        <w:t>Twenty-five years in the making: flecainide is safe and effective for the management of atrial fibrillation</w:t>
      </w:r>
      <w:r>
        <w:rPr>
          <w:rFonts w:asciiTheme="minorHAnsi" w:hAnsiTheme="minorHAnsi" w:cstheme="minorHAnsi"/>
          <w:color w:val="auto"/>
          <w:sz w:val="22"/>
          <w:szCs w:val="22"/>
          <w:lang w:val="en-GB"/>
        </w:rPr>
        <w:t>,</w:t>
      </w:r>
      <w:r w:rsidRPr="000B6DEC">
        <w:rPr>
          <w:rFonts w:asciiTheme="minorHAnsi" w:hAnsiTheme="minorHAnsi" w:cstheme="minorHAnsi"/>
          <w:color w:val="auto"/>
          <w:sz w:val="22"/>
          <w:szCs w:val="22"/>
          <w:lang w:val="en-GB"/>
        </w:rPr>
        <w:t xml:space="preserve"> </w:t>
      </w:r>
      <w:proofErr w:type="spellStart"/>
      <w:r w:rsidRPr="00D06FCD">
        <w:rPr>
          <w:rFonts w:asciiTheme="minorHAnsi" w:hAnsiTheme="minorHAnsi" w:cstheme="minorHAnsi"/>
          <w:i/>
          <w:iCs/>
          <w:color w:val="auto"/>
          <w:sz w:val="22"/>
          <w:szCs w:val="22"/>
          <w:lang w:val="en-GB"/>
        </w:rPr>
        <w:t>Europace</w:t>
      </w:r>
      <w:proofErr w:type="spellEnd"/>
      <w:r>
        <w:rPr>
          <w:rFonts w:asciiTheme="minorHAnsi" w:hAnsiTheme="minorHAnsi" w:cstheme="minorHAnsi"/>
          <w:i/>
          <w:iCs/>
          <w:color w:val="auto"/>
          <w:sz w:val="22"/>
          <w:szCs w:val="22"/>
          <w:lang w:val="en-GB"/>
        </w:rPr>
        <w:t xml:space="preserve">, </w:t>
      </w:r>
      <w:r w:rsidRPr="000B6DEC">
        <w:rPr>
          <w:rFonts w:asciiTheme="minorHAnsi" w:hAnsiTheme="minorHAnsi" w:cstheme="minorHAnsi"/>
          <w:color w:val="auto"/>
          <w:sz w:val="22"/>
          <w:szCs w:val="22"/>
          <w:lang w:val="en-GB"/>
        </w:rPr>
        <w:t>13(2):161-73.</w:t>
      </w:r>
    </w:p>
    <w:p w14:paraId="10685392"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0D5AB526" w14:textId="77777777" w:rsidR="00C97B7B" w:rsidRDefault="00C97B7B" w:rsidP="00C97B7B">
      <w:pPr>
        <w:pStyle w:val="reftext"/>
        <w:spacing w:after="0" w:line="259" w:lineRule="auto"/>
        <w:ind w:left="0" w:firstLine="0"/>
        <w:rPr>
          <w:rFonts w:asciiTheme="minorHAnsi" w:hAnsiTheme="minorHAnsi" w:cstheme="minorHAnsi"/>
          <w:color w:val="auto"/>
          <w:sz w:val="22"/>
          <w:szCs w:val="22"/>
        </w:rPr>
      </w:pPr>
      <w:proofErr w:type="spellStart"/>
      <w:r w:rsidRPr="00F61C02">
        <w:rPr>
          <w:rFonts w:asciiTheme="minorHAnsi" w:hAnsiTheme="minorHAnsi" w:cstheme="minorHAnsi"/>
          <w:color w:val="auto"/>
          <w:sz w:val="22"/>
          <w:szCs w:val="22"/>
          <w:lang w:val="en-GB"/>
        </w:rPr>
        <w:t>Andrikopoulos</w:t>
      </w:r>
      <w:proofErr w:type="spellEnd"/>
      <w:r w:rsidRPr="00F61C02">
        <w:rPr>
          <w:rFonts w:asciiTheme="minorHAnsi" w:hAnsiTheme="minorHAnsi" w:cstheme="minorHAnsi"/>
          <w:color w:val="auto"/>
          <w:sz w:val="22"/>
          <w:szCs w:val="22"/>
          <w:lang w:val="en-GB"/>
        </w:rPr>
        <w:t xml:space="preserve"> GK, </w:t>
      </w:r>
      <w:proofErr w:type="spellStart"/>
      <w:r w:rsidRPr="00F61C02">
        <w:rPr>
          <w:rFonts w:asciiTheme="minorHAnsi" w:hAnsiTheme="minorHAnsi" w:cstheme="minorHAnsi"/>
          <w:color w:val="auto"/>
          <w:sz w:val="22"/>
          <w:szCs w:val="22"/>
          <w:lang w:val="en-GB"/>
        </w:rPr>
        <w:t>Pastromas</w:t>
      </w:r>
      <w:proofErr w:type="spellEnd"/>
      <w:r w:rsidRPr="00F61C02">
        <w:rPr>
          <w:rFonts w:asciiTheme="minorHAnsi" w:hAnsiTheme="minorHAnsi" w:cstheme="minorHAnsi"/>
          <w:color w:val="auto"/>
          <w:sz w:val="22"/>
          <w:szCs w:val="22"/>
          <w:lang w:val="en-GB"/>
        </w:rPr>
        <w:t xml:space="preserve"> S, </w:t>
      </w:r>
      <w:proofErr w:type="spellStart"/>
      <w:r w:rsidRPr="00F61C02">
        <w:rPr>
          <w:rFonts w:asciiTheme="minorHAnsi" w:hAnsiTheme="minorHAnsi" w:cstheme="minorHAnsi"/>
          <w:color w:val="auto"/>
          <w:sz w:val="22"/>
          <w:szCs w:val="22"/>
          <w:lang w:val="en-GB"/>
        </w:rPr>
        <w:t>Tzeis</w:t>
      </w:r>
      <w:proofErr w:type="spellEnd"/>
      <w:r w:rsidRPr="00F61C02">
        <w:rPr>
          <w:rFonts w:asciiTheme="minorHAnsi" w:hAnsiTheme="minorHAnsi" w:cstheme="minorHAnsi"/>
          <w:color w:val="auto"/>
          <w:sz w:val="22"/>
          <w:szCs w:val="22"/>
          <w:lang w:val="en-GB"/>
        </w:rPr>
        <w:t xml:space="preserve"> S.</w:t>
      </w:r>
      <w:r>
        <w:rPr>
          <w:rFonts w:asciiTheme="minorHAnsi" w:hAnsiTheme="minorHAnsi" w:cstheme="minorHAnsi"/>
          <w:color w:val="auto"/>
          <w:sz w:val="22"/>
          <w:szCs w:val="22"/>
          <w:lang w:val="en-GB"/>
        </w:rPr>
        <w:t xml:space="preserve"> (2015) </w:t>
      </w:r>
      <w:r w:rsidRPr="00F61C02">
        <w:rPr>
          <w:rFonts w:asciiTheme="minorHAnsi" w:hAnsiTheme="minorHAnsi" w:cstheme="minorHAnsi"/>
          <w:color w:val="auto"/>
          <w:sz w:val="22"/>
          <w:szCs w:val="22"/>
          <w:lang w:val="en-GB"/>
        </w:rPr>
        <w:t>Flecainide: current status and perspectives in arrhythmia management</w:t>
      </w:r>
      <w:r>
        <w:rPr>
          <w:rFonts w:asciiTheme="minorHAnsi" w:hAnsiTheme="minorHAnsi" w:cstheme="minorHAnsi"/>
          <w:color w:val="auto"/>
          <w:sz w:val="22"/>
          <w:szCs w:val="22"/>
          <w:lang w:val="en-GB"/>
        </w:rPr>
        <w:t>,</w:t>
      </w:r>
      <w:r w:rsidRPr="00F61C02">
        <w:rPr>
          <w:rFonts w:asciiTheme="minorHAnsi" w:hAnsiTheme="minorHAnsi" w:cstheme="minorHAnsi"/>
          <w:color w:val="auto"/>
          <w:sz w:val="22"/>
          <w:szCs w:val="22"/>
          <w:lang w:val="en-GB"/>
        </w:rPr>
        <w:t xml:space="preserve"> </w:t>
      </w:r>
      <w:r w:rsidRPr="00F61C02">
        <w:rPr>
          <w:rFonts w:asciiTheme="minorHAnsi" w:hAnsiTheme="minorHAnsi" w:cstheme="minorHAnsi"/>
          <w:i/>
          <w:iCs/>
          <w:color w:val="auto"/>
          <w:sz w:val="22"/>
          <w:szCs w:val="22"/>
          <w:lang w:val="en-GB"/>
        </w:rPr>
        <w:t xml:space="preserve">World </w:t>
      </w:r>
      <w:r>
        <w:rPr>
          <w:rFonts w:asciiTheme="minorHAnsi" w:hAnsiTheme="minorHAnsi" w:cstheme="minorHAnsi"/>
          <w:i/>
          <w:iCs/>
          <w:color w:val="auto"/>
          <w:sz w:val="22"/>
          <w:szCs w:val="22"/>
          <w:lang w:val="en-GB"/>
        </w:rPr>
        <w:t>J</w:t>
      </w:r>
      <w:r w:rsidRPr="00F61C02">
        <w:rPr>
          <w:rFonts w:asciiTheme="minorHAnsi" w:hAnsiTheme="minorHAnsi" w:cstheme="minorHAnsi"/>
          <w:i/>
          <w:iCs/>
          <w:color w:val="auto"/>
          <w:sz w:val="22"/>
          <w:szCs w:val="22"/>
          <w:lang w:val="en-GB"/>
        </w:rPr>
        <w:t xml:space="preserve">ournal of </w:t>
      </w:r>
      <w:r>
        <w:rPr>
          <w:rFonts w:asciiTheme="minorHAnsi" w:hAnsiTheme="minorHAnsi" w:cstheme="minorHAnsi"/>
          <w:i/>
          <w:iCs/>
          <w:color w:val="auto"/>
          <w:sz w:val="22"/>
          <w:szCs w:val="22"/>
          <w:lang w:val="en-GB"/>
        </w:rPr>
        <w:t>C</w:t>
      </w:r>
      <w:r w:rsidRPr="00F61C02">
        <w:rPr>
          <w:rFonts w:asciiTheme="minorHAnsi" w:hAnsiTheme="minorHAnsi" w:cstheme="minorHAnsi"/>
          <w:i/>
          <w:iCs/>
          <w:color w:val="auto"/>
          <w:sz w:val="22"/>
          <w:szCs w:val="22"/>
          <w:lang w:val="en-GB"/>
        </w:rPr>
        <w:t>ardiology</w:t>
      </w:r>
      <w:r>
        <w:rPr>
          <w:rFonts w:asciiTheme="minorHAnsi" w:hAnsiTheme="minorHAnsi" w:cstheme="minorHAnsi"/>
          <w:color w:val="auto"/>
          <w:sz w:val="22"/>
          <w:szCs w:val="22"/>
          <w:lang w:val="en-GB"/>
        </w:rPr>
        <w:t xml:space="preserve">, </w:t>
      </w:r>
      <w:r w:rsidRPr="00F61C02">
        <w:rPr>
          <w:rFonts w:asciiTheme="minorHAnsi" w:hAnsiTheme="minorHAnsi" w:cstheme="minorHAnsi"/>
          <w:color w:val="auto"/>
          <w:sz w:val="22"/>
          <w:szCs w:val="22"/>
          <w:lang w:val="en-GB"/>
        </w:rPr>
        <w:t>7(2):76.</w:t>
      </w:r>
    </w:p>
    <w:p w14:paraId="6BE4339E" w14:textId="77777777" w:rsidR="00C97B7B" w:rsidRDefault="00C97B7B" w:rsidP="00C97B7B">
      <w:pPr>
        <w:pStyle w:val="reftext"/>
        <w:spacing w:after="0" w:line="259" w:lineRule="auto"/>
        <w:ind w:left="0" w:firstLine="0"/>
        <w:rPr>
          <w:rFonts w:asciiTheme="minorHAnsi" w:hAnsiTheme="minorHAnsi" w:cstheme="minorHAnsi"/>
          <w:color w:val="auto"/>
          <w:sz w:val="22"/>
          <w:szCs w:val="22"/>
        </w:rPr>
      </w:pPr>
    </w:p>
    <w:p w14:paraId="2C9D12CF"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r w:rsidRPr="005E00B0">
        <w:rPr>
          <w:rFonts w:asciiTheme="minorHAnsi" w:hAnsiTheme="minorHAnsi" w:cstheme="minorHAnsi"/>
          <w:color w:val="auto"/>
          <w:sz w:val="22"/>
          <w:szCs w:val="22"/>
          <w:lang w:val="en-GB"/>
        </w:rPr>
        <w:t xml:space="preserve">Appelboam A, Reuben A, Mann C, </w:t>
      </w:r>
      <w:proofErr w:type="spellStart"/>
      <w:r w:rsidRPr="005E00B0">
        <w:rPr>
          <w:rFonts w:asciiTheme="minorHAnsi" w:hAnsiTheme="minorHAnsi" w:cstheme="minorHAnsi"/>
          <w:color w:val="auto"/>
          <w:sz w:val="22"/>
          <w:szCs w:val="22"/>
          <w:lang w:val="en-GB"/>
        </w:rPr>
        <w:t>Gagg</w:t>
      </w:r>
      <w:proofErr w:type="spellEnd"/>
      <w:r w:rsidRPr="005E00B0">
        <w:rPr>
          <w:rFonts w:asciiTheme="minorHAnsi" w:hAnsiTheme="minorHAnsi" w:cstheme="minorHAnsi"/>
          <w:color w:val="auto"/>
          <w:sz w:val="22"/>
          <w:szCs w:val="22"/>
          <w:lang w:val="en-GB"/>
        </w:rPr>
        <w:t xml:space="preserve"> J, </w:t>
      </w:r>
      <w:proofErr w:type="spellStart"/>
      <w:r w:rsidRPr="005E00B0">
        <w:rPr>
          <w:rFonts w:asciiTheme="minorHAnsi" w:hAnsiTheme="minorHAnsi" w:cstheme="minorHAnsi"/>
          <w:color w:val="auto"/>
          <w:sz w:val="22"/>
          <w:szCs w:val="22"/>
          <w:lang w:val="en-GB"/>
        </w:rPr>
        <w:t>Ewings</w:t>
      </w:r>
      <w:proofErr w:type="spellEnd"/>
      <w:r w:rsidRPr="005E00B0">
        <w:rPr>
          <w:rFonts w:asciiTheme="minorHAnsi" w:hAnsiTheme="minorHAnsi" w:cstheme="minorHAnsi"/>
          <w:color w:val="auto"/>
          <w:sz w:val="22"/>
          <w:szCs w:val="22"/>
          <w:lang w:val="en-GB"/>
        </w:rPr>
        <w:t xml:space="preserve"> P, Barton A, </w:t>
      </w:r>
      <w:proofErr w:type="spellStart"/>
      <w:r w:rsidRPr="005E00B0">
        <w:rPr>
          <w:rFonts w:asciiTheme="minorHAnsi" w:hAnsiTheme="minorHAnsi" w:cstheme="minorHAnsi"/>
          <w:color w:val="auto"/>
          <w:sz w:val="22"/>
          <w:szCs w:val="22"/>
          <w:lang w:val="en-GB"/>
        </w:rPr>
        <w:t>Lobban</w:t>
      </w:r>
      <w:proofErr w:type="spellEnd"/>
      <w:r w:rsidRPr="005E00B0">
        <w:rPr>
          <w:rFonts w:asciiTheme="minorHAnsi" w:hAnsiTheme="minorHAnsi" w:cstheme="minorHAnsi"/>
          <w:color w:val="auto"/>
          <w:sz w:val="22"/>
          <w:szCs w:val="22"/>
          <w:lang w:val="en-GB"/>
        </w:rPr>
        <w:t xml:space="preserve"> T, </w:t>
      </w:r>
      <w:proofErr w:type="spellStart"/>
      <w:r w:rsidRPr="005E00B0">
        <w:rPr>
          <w:rFonts w:asciiTheme="minorHAnsi" w:hAnsiTheme="minorHAnsi" w:cstheme="minorHAnsi"/>
          <w:color w:val="auto"/>
          <w:sz w:val="22"/>
          <w:szCs w:val="22"/>
          <w:lang w:val="en-GB"/>
        </w:rPr>
        <w:t>Dayer</w:t>
      </w:r>
      <w:proofErr w:type="spellEnd"/>
      <w:r w:rsidRPr="005E00B0">
        <w:rPr>
          <w:rFonts w:asciiTheme="minorHAnsi" w:hAnsiTheme="minorHAnsi" w:cstheme="minorHAnsi"/>
          <w:color w:val="auto"/>
          <w:sz w:val="22"/>
          <w:szCs w:val="22"/>
          <w:lang w:val="en-GB"/>
        </w:rPr>
        <w:t xml:space="preserve"> M, Vickery J, </w:t>
      </w:r>
      <w:proofErr w:type="spellStart"/>
      <w:r w:rsidRPr="005E00B0">
        <w:rPr>
          <w:rFonts w:asciiTheme="minorHAnsi" w:hAnsiTheme="minorHAnsi" w:cstheme="minorHAnsi"/>
          <w:color w:val="auto"/>
          <w:sz w:val="22"/>
          <w:szCs w:val="22"/>
          <w:lang w:val="en-GB"/>
        </w:rPr>
        <w:t>Benger</w:t>
      </w:r>
      <w:proofErr w:type="spellEnd"/>
      <w:r w:rsidRPr="005E00B0">
        <w:rPr>
          <w:rFonts w:asciiTheme="minorHAnsi" w:hAnsiTheme="minorHAnsi" w:cstheme="minorHAnsi"/>
          <w:color w:val="auto"/>
          <w:sz w:val="22"/>
          <w:szCs w:val="22"/>
          <w:lang w:val="en-GB"/>
        </w:rPr>
        <w:t xml:space="preserve"> J</w:t>
      </w:r>
      <w:r>
        <w:rPr>
          <w:rFonts w:asciiTheme="minorHAnsi" w:hAnsiTheme="minorHAnsi" w:cstheme="minorHAnsi"/>
          <w:color w:val="auto"/>
          <w:sz w:val="22"/>
          <w:szCs w:val="22"/>
          <w:lang w:val="en-GB"/>
        </w:rPr>
        <w:t xml:space="preserve"> (2015)</w:t>
      </w:r>
      <w:r w:rsidRPr="005E00B0">
        <w:rPr>
          <w:rFonts w:asciiTheme="minorHAnsi" w:hAnsiTheme="minorHAnsi" w:cstheme="minorHAnsi"/>
          <w:color w:val="auto"/>
          <w:sz w:val="22"/>
          <w:szCs w:val="22"/>
          <w:lang w:val="en-GB"/>
        </w:rPr>
        <w:t xml:space="preserve"> Postural modification to the standard Valsalva manoeuvre for emergency treatment of supraventricular tachycardias (REVERT): a randomised controlled trial. </w:t>
      </w:r>
      <w:r w:rsidRPr="005E00B0">
        <w:rPr>
          <w:rFonts w:asciiTheme="minorHAnsi" w:hAnsiTheme="minorHAnsi" w:cstheme="minorHAnsi"/>
          <w:i/>
          <w:iCs/>
          <w:color w:val="auto"/>
          <w:sz w:val="22"/>
          <w:szCs w:val="22"/>
          <w:lang w:val="en-GB"/>
        </w:rPr>
        <w:t>The Lancet</w:t>
      </w:r>
      <w:r w:rsidRPr="005E00B0">
        <w:rPr>
          <w:rFonts w:asciiTheme="minorHAnsi" w:hAnsiTheme="minorHAnsi" w:cstheme="minorHAnsi"/>
          <w:color w:val="auto"/>
          <w:sz w:val="22"/>
          <w:szCs w:val="22"/>
          <w:lang w:val="en-GB"/>
        </w:rPr>
        <w:t>.</w:t>
      </w:r>
      <w:r>
        <w:rPr>
          <w:rFonts w:asciiTheme="minorHAnsi" w:hAnsiTheme="minorHAnsi" w:cstheme="minorHAnsi"/>
          <w:color w:val="auto"/>
          <w:sz w:val="22"/>
          <w:szCs w:val="22"/>
          <w:lang w:val="en-GB"/>
        </w:rPr>
        <w:t xml:space="preserve"> </w:t>
      </w:r>
      <w:r w:rsidRPr="005E00B0">
        <w:rPr>
          <w:rFonts w:asciiTheme="minorHAnsi" w:hAnsiTheme="minorHAnsi" w:cstheme="minorHAnsi"/>
          <w:color w:val="auto"/>
          <w:sz w:val="22"/>
          <w:szCs w:val="22"/>
          <w:lang w:val="en-GB"/>
        </w:rPr>
        <w:t>386(10005):1747-53.</w:t>
      </w:r>
    </w:p>
    <w:p w14:paraId="20E763F2"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67F1FF19" w14:textId="77777777" w:rsidR="00C97B7B" w:rsidRDefault="00C97B7B" w:rsidP="00C97B7B">
      <w:pPr>
        <w:pStyle w:val="reftext"/>
        <w:spacing w:after="0" w:line="259" w:lineRule="auto"/>
        <w:ind w:left="0" w:firstLine="0"/>
        <w:rPr>
          <w:rFonts w:asciiTheme="minorHAnsi" w:hAnsiTheme="minorHAnsi" w:cstheme="minorHAnsi"/>
          <w:color w:val="auto"/>
          <w:sz w:val="22"/>
          <w:szCs w:val="22"/>
        </w:rPr>
      </w:pPr>
      <w:proofErr w:type="spellStart"/>
      <w:r w:rsidRPr="00263D82">
        <w:rPr>
          <w:rFonts w:asciiTheme="minorHAnsi" w:hAnsiTheme="minorHAnsi" w:cstheme="minorHAnsi"/>
          <w:color w:val="auto"/>
          <w:sz w:val="22"/>
          <w:szCs w:val="22"/>
          <w:lang w:val="en-GB"/>
        </w:rPr>
        <w:t>Bartalena</w:t>
      </w:r>
      <w:proofErr w:type="spellEnd"/>
      <w:r w:rsidRPr="00263D82">
        <w:rPr>
          <w:rFonts w:asciiTheme="minorHAnsi" w:hAnsiTheme="minorHAnsi" w:cstheme="minorHAnsi"/>
          <w:color w:val="auto"/>
          <w:sz w:val="22"/>
          <w:szCs w:val="22"/>
          <w:lang w:val="en-GB"/>
        </w:rPr>
        <w:t xml:space="preserve"> L, </w:t>
      </w:r>
      <w:proofErr w:type="spellStart"/>
      <w:r w:rsidRPr="00263D82">
        <w:rPr>
          <w:rFonts w:asciiTheme="minorHAnsi" w:hAnsiTheme="minorHAnsi" w:cstheme="minorHAnsi"/>
          <w:color w:val="auto"/>
          <w:sz w:val="22"/>
          <w:szCs w:val="22"/>
          <w:lang w:val="en-GB"/>
        </w:rPr>
        <w:t>Bogazzi</w:t>
      </w:r>
      <w:proofErr w:type="spellEnd"/>
      <w:r w:rsidRPr="00263D82">
        <w:rPr>
          <w:rFonts w:asciiTheme="minorHAnsi" w:hAnsiTheme="minorHAnsi" w:cstheme="minorHAnsi"/>
          <w:color w:val="auto"/>
          <w:sz w:val="22"/>
          <w:szCs w:val="22"/>
          <w:lang w:val="en-GB"/>
        </w:rPr>
        <w:t xml:space="preserve"> F, </w:t>
      </w:r>
      <w:proofErr w:type="spellStart"/>
      <w:r w:rsidRPr="00263D82">
        <w:rPr>
          <w:rFonts w:asciiTheme="minorHAnsi" w:hAnsiTheme="minorHAnsi" w:cstheme="minorHAnsi"/>
          <w:color w:val="auto"/>
          <w:sz w:val="22"/>
          <w:szCs w:val="22"/>
          <w:lang w:val="en-GB"/>
        </w:rPr>
        <w:t>Chiovato</w:t>
      </w:r>
      <w:proofErr w:type="spellEnd"/>
      <w:r w:rsidRPr="00263D82">
        <w:rPr>
          <w:rFonts w:asciiTheme="minorHAnsi" w:hAnsiTheme="minorHAnsi" w:cstheme="minorHAnsi"/>
          <w:color w:val="auto"/>
          <w:sz w:val="22"/>
          <w:szCs w:val="22"/>
          <w:lang w:val="en-GB"/>
        </w:rPr>
        <w:t xml:space="preserve"> L, </w:t>
      </w:r>
      <w:proofErr w:type="spellStart"/>
      <w:r w:rsidRPr="00263D82">
        <w:rPr>
          <w:rFonts w:asciiTheme="minorHAnsi" w:hAnsiTheme="minorHAnsi" w:cstheme="minorHAnsi"/>
          <w:color w:val="auto"/>
          <w:sz w:val="22"/>
          <w:szCs w:val="22"/>
          <w:lang w:val="en-GB"/>
        </w:rPr>
        <w:t>Hubalewska-Dydejczyk</w:t>
      </w:r>
      <w:proofErr w:type="spellEnd"/>
      <w:r w:rsidRPr="00263D82">
        <w:rPr>
          <w:rFonts w:asciiTheme="minorHAnsi" w:hAnsiTheme="minorHAnsi" w:cstheme="minorHAnsi"/>
          <w:color w:val="auto"/>
          <w:sz w:val="22"/>
          <w:szCs w:val="22"/>
          <w:lang w:val="en-GB"/>
        </w:rPr>
        <w:t xml:space="preserve"> A, Links TP, </w:t>
      </w:r>
      <w:proofErr w:type="spellStart"/>
      <w:r w:rsidRPr="00263D82">
        <w:rPr>
          <w:rFonts w:asciiTheme="minorHAnsi" w:hAnsiTheme="minorHAnsi" w:cstheme="minorHAnsi"/>
          <w:color w:val="auto"/>
          <w:sz w:val="22"/>
          <w:szCs w:val="22"/>
          <w:lang w:val="en-GB"/>
        </w:rPr>
        <w:t>Vanderpump</w:t>
      </w:r>
      <w:proofErr w:type="spellEnd"/>
      <w:r w:rsidRPr="00263D82">
        <w:rPr>
          <w:rFonts w:asciiTheme="minorHAnsi" w:hAnsiTheme="minorHAnsi" w:cstheme="minorHAnsi"/>
          <w:color w:val="auto"/>
          <w:sz w:val="22"/>
          <w:szCs w:val="22"/>
          <w:lang w:val="en-GB"/>
        </w:rPr>
        <w:t xml:space="preserve"> M</w:t>
      </w:r>
      <w:r>
        <w:rPr>
          <w:rFonts w:asciiTheme="minorHAnsi" w:hAnsiTheme="minorHAnsi" w:cstheme="minorHAnsi"/>
          <w:color w:val="auto"/>
          <w:sz w:val="22"/>
          <w:szCs w:val="22"/>
          <w:lang w:val="en-GB"/>
        </w:rPr>
        <w:t xml:space="preserve"> (2018)</w:t>
      </w:r>
      <w:r w:rsidRPr="00263D82">
        <w:rPr>
          <w:rFonts w:asciiTheme="minorHAnsi" w:hAnsiTheme="minorHAnsi" w:cstheme="minorHAnsi"/>
          <w:color w:val="auto"/>
          <w:sz w:val="22"/>
          <w:szCs w:val="22"/>
          <w:lang w:val="en-GB"/>
        </w:rPr>
        <w:t xml:space="preserve"> 2018 European Thyroid Association (ETA) guidelines for the management of amiodarone-associated thyroid dysfunction</w:t>
      </w:r>
      <w:r>
        <w:rPr>
          <w:rFonts w:asciiTheme="minorHAnsi" w:hAnsiTheme="minorHAnsi" w:cstheme="minorHAnsi"/>
          <w:color w:val="auto"/>
          <w:sz w:val="22"/>
          <w:szCs w:val="22"/>
          <w:lang w:val="en-GB"/>
        </w:rPr>
        <w:t>,</w:t>
      </w:r>
      <w:r w:rsidRPr="00263D82">
        <w:rPr>
          <w:rFonts w:asciiTheme="minorHAnsi" w:hAnsiTheme="minorHAnsi" w:cstheme="minorHAnsi"/>
          <w:color w:val="auto"/>
          <w:sz w:val="22"/>
          <w:szCs w:val="22"/>
          <w:lang w:val="en-GB"/>
        </w:rPr>
        <w:t xml:space="preserve"> </w:t>
      </w:r>
      <w:r w:rsidRPr="00263D82">
        <w:rPr>
          <w:rFonts w:asciiTheme="minorHAnsi" w:hAnsiTheme="minorHAnsi" w:cstheme="minorHAnsi"/>
          <w:i/>
          <w:iCs/>
          <w:color w:val="auto"/>
          <w:sz w:val="22"/>
          <w:szCs w:val="22"/>
          <w:lang w:val="en-GB"/>
        </w:rPr>
        <w:t xml:space="preserve">European </w:t>
      </w:r>
      <w:r>
        <w:rPr>
          <w:rFonts w:asciiTheme="minorHAnsi" w:hAnsiTheme="minorHAnsi" w:cstheme="minorHAnsi"/>
          <w:i/>
          <w:iCs/>
          <w:color w:val="auto"/>
          <w:sz w:val="22"/>
          <w:szCs w:val="22"/>
          <w:lang w:val="en-GB"/>
        </w:rPr>
        <w:t>T</w:t>
      </w:r>
      <w:r w:rsidRPr="00263D82">
        <w:rPr>
          <w:rFonts w:asciiTheme="minorHAnsi" w:hAnsiTheme="minorHAnsi" w:cstheme="minorHAnsi"/>
          <w:i/>
          <w:iCs/>
          <w:color w:val="auto"/>
          <w:sz w:val="22"/>
          <w:szCs w:val="22"/>
          <w:lang w:val="en-GB"/>
        </w:rPr>
        <w:t xml:space="preserve">hyroid </w:t>
      </w:r>
      <w:r>
        <w:rPr>
          <w:rFonts w:asciiTheme="minorHAnsi" w:hAnsiTheme="minorHAnsi" w:cstheme="minorHAnsi"/>
          <w:i/>
          <w:iCs/>
          <w:color w:val="auto"/>
          <w:sz w:val="22"/>
          <w:szCs w:val="22"/>
          <w:lang w:val="en-GB"/>
        </w:rPr>
        <w:t>J</w:t>
      </w:r>
      <w:r w:rsidRPr="00263D82">
        <w:rPr>
          <w:rFonts w:asciiTheme="minorHAnsi" w:hAnsiTheme="minorHAnsi" w:cstheme="minorHAnsi"/>
          <w:i/>
          <w:iCs/>
          <w:color w:val="auto"/>
          <w:sz w:val="22"/>
          <w:szCs w:val="22"/>
          <w:lang w:val="en-GB"/>
        </w:rPr>
        <w:t>ournal</w:t>
      </w:r>
      <w:r>
        <w:rPr>
          <w:rFonts w:asciiTheme="minorHAnsi" w:hAnsiTheme="minorHAnsi" w:cstheme="minorHAnsi"/>
          <w:color w:val="auto"/>
          <w:sz w:val="22"/>
          <w:szCs w:val="22"/>
          <w:lang w:val="en-GB"/>
        </w:rPr>
        <w:t xml:space="preserve">, </w:t>
      </w:r>
      <w:r w:rsidRPr="00263D82">
        <w:rPr>
          <w:rFonts w:asciiTheme="minorHAnsi" w:hAnsiTheme="minorHAnsi" w:cstheme="minorHAnsi"/>
          <w:color w:val="auto"/>
          <w:sz w:val="22"/>
          <w:szCs w:val="22"/>
          <w:lang w:val="en-GB"/>
        </w:rPr>
        <w:t>7(2):55-66.</w:t>
      </w:r>
    </w:p>
    <w:p w14:paraId="49D44729" w14:textId="77777777" w:rsidR="00C97B7B" w:rsidRDefault="00C97B7B" w:rsidP="00C97B7B">
      <w:pPr>
        <w:pStyle w:val="reftext"/>
        <w:spacing w:after="0" w:line="259" w:lineRule="auto"/>
        <w:ind w:left="0" w:firstLine="0"/>
        <w:rPr>
          <w:rFonts w:asciiTheme="minorHAnsi" w:hAnsiTheme="minorHAnsi" w:cstheme="minorHAnsi"/>
          <w:color w:val="auto"/>
          <w:sz w:val="22"/>
          <w:szCs w:val="22"/>
        </w:rPr>
      </w:pPr>
    </w:p>
    <w:p w14:paraId="6FBACB01"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r w:rsidRPr="00113DCB">
        <w:rPr>
          <w:rFonts w:asciiTheme="minorHAnsi" w:hAnsiTheme="minorHAnsi" w:cstheme="minorHAnsi"/>
          <w:color w:val="auto"/>
          <w:sz w:val="22"/>
          <w:szCs w:val="22"/>
        </w:rPr>
        <w:t>Bennett DH</w:t>
      </w:r>
      <w:r>
        <w:rPr>
          <w:rFonts w:asciiTheme="minorHAnsi" w:hAnsiTheme="minorHAnsi" w:cstheme="minorHAnsi"/>
          <w:color w:val="auto"/>
          <w:sz w:val="22"/>
          <w:szCs w:val="22"/>
        </w:rPr>
        <w:t xml:space="preserve"> (2013)</w:t>
      </w:r>
      <w:r w:rsidRPr="00113DCB">
        <w:rPr>
          <w:rFonts w:asciiTheme="minorHAnsi" w:hAnsiTheme="minorHAnsi" w:cstheme="minorHAnsi"/>
          <w:color w:val="auto"/>
          <w:sz w:val="22"/>
          <w:szCs w:val="22"/>
        </w:rPr>
        <w:t xml:space="preserve"> </w:t>
      </w:r>
      <w:r w:rsidRPr="00113DCB">
        <w:rPr>
          <w:rFonts w:asciiTheme="minorHAnsi" w:hAnsiTheme="minorHAnsi" w:cstheme="minorHAnsi"/>
          <w:i/>
          <w:color w:val="auto"/>
          <w:sz w:val="22"/>
          <w:szCs w:val="22"/>
          <w:lang w:val="en-GB"/>
        </w:rPr>
        <w:t>Bennett’s Cardiac Arrhythmias: Practical notes on interpretation and treatment</w:t>
      </w:r>
      <w:r>
        <w:rPr>
          <w:rFonts w:asciiTheme="minorHAnsi" w:hAnsiTheme="minorHAnsi" w:cstheme="minorHAnsi"/>
          <w:color w:val="auto"/>
          <w:sz w:val="22"/>
          <w:szCs w:val="22"/>
          <w:lang w:val="en-GB"/>
        </w:rPr>
        <w:t>.</w:t>
      </w:r>
      <w:r w:rsidRPr="00113DCB">
        <w:rPr>
          <w:rFonts w:asciiTheme="minorHAnsi" w:hAnsiTheme="minorHAnsi" w:cstheme="minorHAnsi"/>
          <w:color w:val="auto"/>
          <w:sz w:val="22"/>
          <w:szCs w:val="22"/>
          <w:lang w:val="en-GB"/>
        </w:rPr>
        <w:t xml:space="preserve"> 8th ed. London: Hodder Arnold</w:t>
      </w:r>
      <w:r>
        <w:rPr>
          <w:rFonts w:asciiTheme="minorHAnsi" w:hAnsiTheme="minorHAnsi" w:cstheme="minorHAnsi"/>
          <w:color w:val="auto"/>
          <w:sz w:val="22"/>
          <w:szCs w:val="22"/>
          <w:lang w:val="en-GB"/>
        </w:rPr>
        <w:t>.</w:t>
      </w:r>
    </w:p>
    <w:p w14:paraId="6C0AE0C5"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785DC5B2" w14:textId="77777777" w:rsidR="00C97B7B" w:rsidRDefault="00C97B7B" w:rsidP="00C97B7B">
      <w:pPr>
        <w:rPr>
          <w:rFonts w:cstheme="minorHAnsi"/>
        </w:rPr>
      </w:pPr>
      <w:r w:rsidRPr="00826586">
        <w:rPr>
          <w:rFonts w:cstheme="minorHAnsi"/>
        </w:rPr>
        <w:t xml:space="preserve">Cardiac Arrhythmia Suppression Trial (CAST) Investigators (1989) Preliminary report: Effect of </w:t>
      </w:r>
      <w:proofErr w:type="spellStart"/>
      <w:r w:rsidRPr="00826586">
        <w:rPr>
          <w:rFonts w:cstheme="minorHAnsi"/>
        </w:rPr>
        <w:t>encainide</w:t>
      </w:r>
      <w:proofErr w:type="spellEnd"/>
      <w:r w:rsidRPr="00826586">
        <w:rPr>
          <w:rFonts w:cstheme="minorHAnsi"/>
        </w:rPr>
        <w:t xml:space="preserve"> and flecainide on mortality in randomized trial of arrhythmia suppression after myocardial infarction, </w:t>
      </w:r>
      <w:r w:rsidRPr="00826586">
        <w:rPr>
          <w:rFonts w:cstheme="minorHAnsi"/>
          <w:i/>
        </w:rPr>
        <w:t>N</w:t>
      </w:r>
      <w:r>
        <w:rPr>
          <w:rFonts w:cstheme="minorHAnsi"/>
          <w:i/>
        </w:rPr>
        <w:t>ew</w:t>
      </w:r>
      <w:r w:rsidRPr="00826586">
        <w:rPr>
          <w:rFonts w:cstheme="minorHAnsi"/>
          <w:i/>
        </w:rPr>
        <w:t xml:space="preserve"> Engl</w:t>
      </w:r>
      <w:r>
        <w:rPr>
          <w:rFonts w:cstheme="minorHAnsi"/>
          <w:i/>
        </w:rPr>
        <w:t>and</w:t>
      </w:r>
      <w:r w:rsidRPr="00826586">
        <w:rPr>
          <w:rFonts w:cstheme="minorHAnsi"/>
          <w:i/>
        </w:rPr>
        <w:t xml:space="preserve"> J</w:t>
      </w:r>
      <w:r>
        <w:rPr>
          <w:rFonts w:cstheme="minorHAnsi"/>
          <w:i/>
        </w:rPr>
        <w:t>ournal of</w:t>
      </w:r>
      <w:r w:rsidRPr="00826586">
        <w:rPr>
          <w:rFonts w:cstheme="minorHAnsi"/>
          <w:i/>
        </w:rPr>
        <w:t xml:space="preserve"> Medicine</w:t>
      </w:r>
      <w:r>
        <w:rPr>
          <w:rFonts w:cstheme="minorHAnsi"/>
        </w:rPr>
        <w:t>,</w:t>
      </w:r>
      <w:r w:rsidRPr="00826586">
        <w:rPr>
          <w:rFonts w:cstheme="minorHAnsi"/>
        </w:rPr>
        <w:t xml:space="preserve"> 32I, 406-4I2.</w:t>
      </w:r>
    </w:p>
    <w:p w14:paraId="40763FAA" w14:textId="77777777" w:rsidR="00C97B7B" w:rsidRPr="00826586" w:rsidRDefault="00C97B7B" w:rsidP="00C97B7B">
      <w:pPr>
        <w:rPr>
          <w:rFonts w:cstheme="minorHAnsi"/>
        </w:rPr>
      </w:pPr>
      <w:r w:rsidRPr="001C321F">
        <w:rPr>
          <w:rFonts w:cstheme="minorHAnsi"/>
        </w:rPr>
        <w:t>Connolly SJ</w:t>
      </w:r>
      <w:r>
        <w:rPr>
          <w:rFonts w:cstheme="minorHAnsi"/>
        </w:rPr>
        <w:t xml:space="preserve"> (1999)</w:t>
      </w:r>
      <w:r w:rsidRPr="001C321F">
        <w:rPr>
          <w:rFonts w:cstheme="minorHAnsi"/>
        </w:rPr>
        <w:t xml:space="preserve"> Evidence-based analysis of amiodarone efficacy and safety. </w:t>
      </w:r>
      <w:r w:rsidRPr="001C321F">
        <w:rPr>
          <w:rFonts w:cstheme="minorHAnsi"/>
          <w:i/>
          <w:iCs/>
        </w:rPr>
        <w:t>Circulation</w:t>
      </w:r>
      <w:r w:rsidRPr="001C321F">
        <w:rPr>
          <w:rFonts w:cstheme="minorHAnsi"/>
        </w:rPr>
        <w:t>. 100(19):2025-34.</w:t>
      </w:r>
    </w:p>
    <w:p w14:paraId="13753C4B" w14:textId="7A4067F7" w:rsidR="00C97B7B" w:rsidRDefault="00C97B7B" w:rsidP="00C97B7B">
      <w:pPr>
        <w:pStyle w:val="reftext"/>
        <w:spacing w:after="0" w:line="259" w:lineRule="auto"/>
        <w:ind w:left="0" w:firstLine="0"/>
        <w:rPr>
          <w:rFonts w:asciiTheme="minorHAnsi" w:hAnsiTheme="minorHAnsi" w:cstheme="minorHAnsi"/>
          <w:color w:val="auto"/>
          <w:sz w:val="22"/>
          <w:szCs w:val="22"/>
        </w:rPr>
      </w:pPr>
      <w:r w:rsidRPr="00113DCB">
        <w:rPr>
          <w:rFonts w:asciiTheme="minorHAnsi" w:hAnsiTheme="minorHAnsi" w:cstheme="minorHAnsi"/>
          <w:color w:val="auto"/>
          <w:sz w:val="22"/>
          <w:szCs w:val="22"/>
        </w:rPr>
        <w:t xml:space="preserve">Dan GA, Martinez-Rubio A, </w:t>
      </w:r>
      <w:proofErr w:type="spellStart"/>
      <w:r w:rsidRPr="00113DCB">
        <w:rPr>
          <w:rFonts w:asciiTheme="minorHAnsi" w:hAnsiTheme="minorHAnsi" w:cstheme="minorHAnsi"/>
          <w:color w:val="auto"/>
          <w:sz w:val="22"/>
          <w:szCs w:val="22"/>
        </w:rPr>
        <w:t>Agewall</w:t>
      </w:r>
      <w:proofErr w:type="spellEnd"/>
      <w:r w:rsidRPr="00113DCB">
        <w:rPr>
          <w:rFonts w:asciiTheme="minorHAnsi" w:hAnsiTheme="minorHAnsi" w:cstheme="minorHAnsi"/>
          <w:color w:val="auto"/>
          <w:sz w:val="22"/>
          <w:szCs w:val="22"/>
        </w:rPr>
        <w:t xml:space="preserve"> S, </w:t>
      </w:r>
      <w:proofErr w:type="spellStart"/>
      <w:r w:rsidRPr="00113DCB">
        <w:rPr>
          <w:rFonts w:asciiTheme="minorHAnsi" w:hAnsiTheme="minorHAnsi" w:cstheme="minorHAnsi"/>
          <w:color w:val="auto"/>
          <w:sz w:val="22"/>
          <w:szCs w:val="22"/>
        </w:rPr>
        <w:t>Boriani</w:t>
      </w:r>
      <w:proofErr w:type="spellEnd"/>
      <w:r w:rsidRPr="00113DCB">
        <w:rPr>
          <w:rFonts w:asciiTheme="minorHAnsi" w:hAnsiTheme="minorHAnsi" w:cstheme="minorHAnsi"/>
          <w:color w:val="auto"/>
          <w:sz w:val="22"/>
          <w:szCs w:val="22"/>
        </w:rPr>
        <w:t xml:space="preserve"> G, </w:t>
      </w:r>
      <w:proofErr w:type="spellStart"/>
      <w:r w:rsidRPr="00113DCB">
        <w:rPr>
          <w:rFonts w:asciiTheme="minorHAnsi" w:hAnsiTheme="minorHAnsi" w:cstheme="minorHAnsi"/>
          <w:color w:val="auto"/>
          <w:sz w:val="22"/>
          <w:szCs w:val="22"/>
        </w:rPr>
        <w:t>Borggrefe</w:t>
      </w:r>
      <w:proofErr w:type="spellEnd"/>
      <w:r w:rsidRPr="00113DCB">
        <w:rPr>
          <w:rFonts w:asciiTheme="minorHAnsi" w:hAnsiTheme="minorHAnsi" w:cstheme="minorHAnsi"/>
          <w:color w:val="auto"/>
          <w:sz w:val="22"/>
          <w:szCs w:val="22"/>
        </w:rPr>
        <w:t xml:space="preserve"> M, </w:t>
      </w:r>
      <w:proofErr w:type="spellStart"/>
      <w:r w:rsidRPr="00113DCB">
        <w:rPr>
          <w:rFonts w:asciiTheme="minorHAnsi" w:hAnsiTheme="minorHAnsi" w:cstheme="minorHAnsi"/>
          <w:color w:val="auto"/>
          <w:sz w:val="22"/>
          <w:szCs w:val="22"/>
        </w:rPr>
        <w:t>Gaita</w:t>
      </w:r>
      <w:proofErr w:type="spellEnd"/>
      <w:r w:rsidRPr="00113DCB">
        <w:rPr>
          <w:rFonts w:asciiTheme="minorHAnsi" w:hAnsiTheme="minorHAnsi" w:cstheme="minorHAnsi"/>
          <w:color w:val="auto"/>
          <w:sz w:val="22"/>
          <w:szCs w:val="22"/>
        </w:rPr>
        <w:t xml:space="preserve"> F, van Gelder I, </w:t>
      </w:r>
      <w:proofErr w:type="spellStart"/>
      <w:r w:rsidRPr="00113DCB">
        <w:rPr>
          <w:rFonts w:asciiTheme="minorHAnsi" w:hAnsiTheme="minorHAnsi" w:cstheme="minorHAnsi"/>
          <w:color w:val="auto"/>
          <w:sz w:val="22"/>
          <w:szCs w:val="22"/>
        </w:rPr>
        <w:t>Gorenek</w:t>
      </w:r>
      <w:proofErr w:type="spellEnd"/>
      <w:r w:rsidRPr="00113DCB">
        <w:rPr>
          <w:rFonts w:asciiTheme="minorHAnsi" w:hAnsiTheme="minorHAnsi" w:cstheme="minorHAnsi"/>
          <w:color w:val="auto"/>
          <w:sz w:val="22"/>
          <w:szCs w:val="22"/>
        </w:rPr>
        <w:t xml:space="preserve"> B, </w:t>
      </w:r>
      <w:proofErr w:type="spellStart"/>
      <w:r w:rsidRPr="00113DCB">
        <w:rPr>
          <w:rFonts w:asciiTheme="minorHAnsi" w:hAnsiTheme="minorHAnsi" w:cstheme="minorHAnsi"/>
          <w:color w:val="auto"/>
          <w:sz w:val="22"/>
          <w:szCs w:val="22"/>
        </w:rPr>
        <w:t>Kaski</w:t>
      </w:r>
      <w:proofErr w:type="spellEnd"/>
      <w:r w:rsidRPr="00113DCB">
        <w:rPr>
          <w:rFonts w:asciiTheme="minorHAnsi" w:hAnsiTheme="minorHAnsi" w:cstheme="minorHAnsi"/>
          <w:color w:val="auto"/>
          <w:sz w:val="22"/>
          <w:szCs w:val="22"/>
        </w:rPr>
        <w:t xml:space="preserve"> JC, Kjeldsen K, Lip GY</w:t>
      </w:r>
      <w:r>
        <w:rPr>
          <w:rFonts w:asciiTheme="minorHAnsi" w:hAnsiTheme="minorHAnsi" w:cstheme="minorHAnsi"/>
          <w:color w:val="auto"/>
          <w:sz w:val="22"/>
          <w:szCs w:val="22"/>
        </w:rPr>
        <w:t xml:space="preserve"> (2018)</w:t>
      </w:r>
      <w:r w:rsidRPr="00113DCB">
        <w:rPr>
          <w:rFonts w:asciiTheme="minorHAnsi" w:hAnsiTheme="minorHAnsi" w:cstheme="minorHAnsi"/>
          <w:color w:val="auto"/>
          <w:sz w:val="22"/>
          <w:szCs w:val="22"/>
        </w:rPr>
        <w:t xml:space="preserve"> Antiarrhythmic drugs–clinical use and clinical decision making: a consensus document from the European Heart Rhythm Association (EHRA) and European Society of Cardiology (ESC) Working Group on Cardiovascular Pharmacology, endorsed by the Heart Rhythm Society (HRS), Asia-Pacific Heart Rhythm Society (APHRS) and International Society of Cardiovascular Pharmacotherapy (ISCP). </w:t>
      </w:r>
      <w:proofErr w:type="spellStart"/>
      <w:r w:rsidRPr="00113DCB">
        <w:rPr>
          <w:rFonts w:asciiTheme="minorHAnsi" w:hAnsiTheme="minorHAnsi" w:cstheme="minorHAnsi"/>
          <w:i/>
          <w:color w:val="auto"/>
          <w:sz w:val="22"/>
          <w:szCs w:val="22"/>
        </w:rPr>
        <w:t>Europace</w:t>
      </w:r>
      <w:proofErr w:type="spellEnd"/>
      <w:r w:rsidRPr="00113DCB">
        <w:rPr>
          <w:rFonts w:asciiTheme="minorHAnsi" w:hAnsiTheme="minorHAnsi" w:cstheme="minorHAnsi"/>
          <w:i/>
          <w:color w:val="auto"/>
          <w:sz w:val="22"/>
          <w:szCs w:val="22"/>
        </w:rPr>
        <w:t>.</w:t>
      </w:r>
      <w:r w:rsidRPr="00113DCB">
        <w:rPr>
          <w:rFonts w:asciiTheme="minorHAnsi" w:hAnsiTheme="minorHAnsi" w:cstheme="minorHAnsi"/>
          <w:color w:val="auto"/>
          <w:sz w:val="22"/>
          <w:szCs w:val="22"/>
        </w:rPr>
        <w:t xml:space="preserve"> Feb 9.</w:t>
      </w:r>
    </w:p>
    <w:p w14:paraId="13E15A41" w14:textId="77777777" w:rsidR="00794D13" w:rsidRDefault="00794D13" w:rsidP="00C97B7B">
      <w:pPr>
        <w:pStyle w:val="reftext"/>
        <w:spacing w:after="0" w:line="259" w:lineRule="auto"/>
        <w:ind w:left="0" w:firstLine="0"/>
        <w:rPr>
          <w:rFonts w:asciiTheme="minorHAnsi" w:hAnsiTheme="minorHAnsi" w:cstheme="minorHAnsi"/>
          <w:color w:val="auto"/>
          <w:sz w:val="22"/>
          <w:szCs w:val="22"/>
        </w:rPr>
      </w:pPr>
    </w:p>
    <w:p w14:paraId="1396D36E"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r w:rsidRPr="008079CC">
        <w:rPr>
          <w:rFonts w:asciiTheme="minorHAnsi" w:hAnsiTheme="minorHAnsi" w:cstheme="minorHAnsi"/>
          <w:color w:val="auto"/>
          <w:sz w:val="22"/>
          <w:szCs w:val="22"/>
          <w:lang w:val="en-GB"/>
        </w:rPr>
        <w:t xml:space="preserve">DiMarco JP, Miles W, Akhtar M, Milstein S, Sharma AD, </w:t>
      </w:r>
      <w:proofErr w:type="spellStart"/>
      <w:r w:rsidRPr="008079CC">
        <w:rPr>
          <w:rFonts w:asciiTheme="minorHAnsi" w:hAnsiTheme="minorHAnsi" w:cstheme="minorHAnsi"/>
          <w:color w:val="auto"/>
          <w:sz w:val="22"/>
          <w:szCs w:val="22"/>
          <w:lang w:val="en-GB"/>
        </w:rPr>
        <w:t>Platia</w:t>
      </w:r>
      <w:proofErr w:type="spellEnd"/>
      <w:r w:rsidRPr="008079CC">
        <w:rPr>
          <w:rFonts w:asciiTheme="minorHAnsi" w:hAnsiTheme="minorHAnsi" w:cstheme="minorHAnsi"/>
          <w:color w:val="auto"/>
          <w:sz w:val="22"/>
          <w:szCs w:val="22"/>
          <w:lang w:val="en-GB"/>
        </w:rPr>
        <w:t xml:space="preserve"> E, McGovern B, Scheinman MM, </w:t>
      </w:r>
      <w:proofErr w:type="spellStart"/>
      <w:r w:rsidRPr="008079CC">
        <w:rPr>
          <w:rFonts w:asciiTheme="minorHAnsi" w:hAnsiTheme="minorHAnsi" w:cstheme="minorHAnsi"/>
          <w:color w:val="auto"/>
          <w:sz w:val="22"/>
          <w:szCs w:val="22"/>
          <w:lang w:val="en-GB"/>
        </w:rPr>
        <w:t>Govier</w:t>
      </w:r>
      <w:proofErr w:type="spellEnd"/>
      <w:r w:rsidRPr="008079CC">
        <w:rPr>
          <w:rFonts w:asciiTheme="minorHAnsi" w:hAnsiTheme="minorHAnsi" w:cstheme="minorHAnsi"/>
          <w:color w:val="auto"/>
          <w:sz w:val="22"/>
          <w:szCs w:val="22"/>
          <w:lang w:val="en-GB"/>
        </w:rPr>
        <w:t xml:space="preserve"> WC</w:t>
      </w:r>
      <w:r>
        <w:rPr>
          <w:rFonts w:asciiTheme="minorHAnsi" w:hAnsiTheme="minorHAnsi" w:cstheme="minorHAnsi"/>
          <w:color w:val="auto"/>
          <w:sz w:val="22"/>
          <w:szCs w:val="22"/>
          <w:lang w:val="en-GB"/>
        </w:rPr>
        <w:t xml:space="preserve"> (1990)</w:t>
      </w:r>
      <w:r w:rsidRPr="008079CC">
        <w:rPr>
          <w:rFonts w:asciiTheme="minorHAnsi" w:hAnsiTheme="minorHAnsi" w:cstheme="minorHAnsi"/>
          <w:color w:val="auto"/>
          <w:sz w:val="22"/>
          <w:szCs w:val="22"/>
          <w:lang w:val="en-GB"/>
        </w:rPr>
        <w:t xml:space="preserve"> Adenosine for paroxysmal supraventricular tachycardia: dose ranging and comparison with verapamil: assessment in placebo-controlled, </w:t>
      </w:r>
      <w:proofErr w:type="spellStart"/>
      <w:r w:rsidRPr="008079CC">
        <w:rPr>
          <w:rFonts w:asciiTheme="minorHAnsi" w:hAnsiTheme="minorHAnsi" w:cstheme="minorHAnsi"/>
          <w:color w:val="auto"/>
          <w:sz w:val="22"/>
          <w:szCs w:val="22"/>
          <w:lang w:val="en-GB"/>
        </w:rPr>
        <w:t>multicenter</w:t>
      </w:r>
      <w:proofErr w:type="spellEnd"/>
      <w:r w:rsidRPr="008079CC">
        <w:rPr>
          <w:rFonts w:asciiTheme="minorHAnsi" w:hAnsiTheme="minorHAnsi" w:cstheme="minorHAnsi"/>
          <w:color w:val="auto"/>
          <w:sz w:val="22"/>
          <w:szCs w:val="22"/>
          <w:lang w:val="en-GB"/>
        </w:rPr>
        <w:t xml:space="preserve"> trials. </w:t>
      </w:r>
      <w:r w:rsidRPr="008079CC">
        <w:rPr>
          <w:rFonts w:asciiTheme="minorHAnsi" w:hAnsiTheme="minorHAnsi" w:cstheme="minorHAnsi"/>
          <w:i/>
          <w:iCs/>
          <w:color w:val="auto"/>
          <w:sz w:val="22"/>
          <w:szCs w:val="22"/>
          <w:lang w:val="en-GB"/>
        </w:rPr>
        <w:t xml:space="preserve">Annals of </w:t>
      </w:r>
      <w:r>
        <w:rPr>
          <w:rFonts w:asciiTheme="minorHAnsi" w:hAnsiTheme="minorHAnsi" w:cstheme="minorHAnsi"/>
          <w:i/>
          <w:iCs/>
          <w:color w:val="auto"/>
          <w:sz w:val="22"/>
          <w:szCs w:val="22"/>
          <w:lang w:val="en-GB"/>
        </w:rPr>
        <w:t>I</w:t>
      </w:r>
      <w:r w:rsidRPr="008079CC">
        <w:rPr>
          <w:rFonts w:asciiTheme="minorHAnsi" w:hAnsiTheme="minorHAnsi" w:cstheme="minorHAnsi"/>
          <w:i/>
          <w:iCs/>
          <w:color w:val="auto"/>
          <w:sz w:val="22"/>
          <w:szCs w:val="22"/>
          <w:lang w:val="en-GB"/>
        </w:rPr>
        <w:t xml:space="preserve">nternal </w:t>
      </w:r>
      <w:r>
        <w:rPr>
          <w:rFonts w:asciiTheme="minorHAnsi" w:hAnsiTheme="minorHAnsi" w:cstheme="minorHAnsi"/>
          <w:i/>
          <w:iCs/>
          <w:color w:val="auto"/>
          <w:sz w:val="22"/>
          <w:szCs w:val="22"/>
          <w:lang w:val="en-GB"/>
        </w:rPr>
        <w:t>M</w:t>
      </w:r>
      <w:r w:rsidRPr="008079CC">
        <w:rPr>
          <w:rFonts w:asciiTheme="minorHAnsi" w:hAnsiTheme="minorHAnsi" w:cstheme="minorHAnsi"/>
          <w:i/>
          <w:iCs/>
          <w:color w:val="auto"/>
          <w:sz w:val="22"/>
          <w:szCs w:val="22"/>
          <w:lang w:val="en-GB"/>
        </w:rPr>
        <w:t>edicine</w:t>
      </w:r>
      <w:r>
        <w:rPr>
          <w:rFonts w:asciiTheme="minorHAnsi" w:hAnsiTheme="minorHAnsi" w:cstheme="minorHAnsi"/>
          <w:color w:val="auto"/>
          <w:sz w:val="22"/>
          <w:szCs w:val="22"/>
          <w:lang w:val="en-GB"/>
        </w:rPr>
        <w:t xml:space="preserve">, </w:t>
      </w:r>
      <w:r w:rsidRPr="008079CC">
        <w:rPr>
          <w:rFonts w:asciiTheme="minorHAnsi" w:hAnsiTheme="minorHAnsi" w:cstheme="minorHAnsi"/>
          <w:color w:val="auto"/>
          <w:sz w:val="22"/>
          <w:szCs w:val="22"/>
          <w:lang w:val="en-GB"/>
        </w:rPr>
        <w:t>113(2):104-10.</w:t>
      </w:r>
    </w:p>
    <w:p w14:paraId="70E1A3FF"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roofErr w:type="spellStart"/>
      <w:r w:rsidRPr="00113DCB">
        <w:rPr>
          <w:rFonts w:asciiTheme="minorHAnsi" w:hAnsiTheme="minorHAnsi" w:cstheme="minorHAnsi"/>
          <w:color w:val="auto"/>
          <w:sz w:val="22"/>
          <w:szCs w:val="22"/>
          <w:lang w:val="en-GB"/>
        </w:rPr>
        <w:lastRenderedPageBreak/>
        <w:t>Fogoros</w:t>
      </w:r>
      <w:proofErr w:type="spellEnd"/>
      <w:r w:rsidRPr="00113DCB">
        <w:rPr>
          <w:rFonts w:asciiTheme="minorHAnsi" w:hAnsiTheme="minorHAnsi" w:cstheme="minorHAnsi"/>
          <w:color w:val="auto"/>
          <w:sz w:val="22"/>
          <w:szCs w:val="22"/>
          <w:lang w:val="en-GB"/>
        </w:rPr>
        <w:t xml:space="preserve"> RN, </w:t>
      </w:r>
      <w:proofErr w:type="spellStart"/>
      <w:r w:rsidRPr="00113DCB">
        <w:rPr>
          <w:rFonts w:asciiTheme="minorHAnsi" w:hAnsiTheme="minorHAnsi" w:cstheme="minorHAnsi"/>
          <w:color w:val="auto"/>
          <w:sz w:val="22"/>
          <w:szCs w:val="22"/>
          <w:lang w:val="en-GB"/>
        </w:rPr>
        <w:t>Mandrola</w:t>
      </w:r>
      <w:proofErr w:type="spellEnd"/>
      <w:r w:rsidRPr="00113DCB">
        <w:rPr>
          <w:rFonts w:asciiTheme="minorHAnsi" w:hAnsiTheme="minorHAnsi" w:cstheme="minorHAnsi"/>
          <w:color w:val="auto"/>
          <w:sz w:val="22"/>
          <w:szCs w:val="22"/>
          <w:lang w:val="en-GB"/>
        </w:rPr>
        <w:t xml:space="preserve"> JM </w:t>
      </w:r>
      <w:r>
        <w:rPr>
          <w:rFonts w:asciiTheme="minorHAnsi" w:hAnsiTheme="minorHAnsi" w:cstheme="minorHAnsi"/>
          <w:color w:val="auto"/>
          <w:sz w:val="22"/>
          <w:szCs w:val="22"/>
          <w:lang w:val="en-GB"/>
        </w:rPr>
        <w:t xml:space="preserve">(2018) </w:t>
      </w:r>
      <w:r w:rsidRPr="00736EFF">
        <w:rPr>
          <w:rFonts w:asciiTheme="minorHAnsi" w:hAnsiTheme="minorHAnsi" w:cstheme="minorHAnsi"/>
          <w:i/>
          <w:color w:val="auto"/>
          <w:sz w:val="22"/>
          <w:szCs w:val="22"/>
          <w:lang w:val="en-GB"/>
        </w:rPr>
        <w:t>Fogoros' electrophysiologic testing</w:t>
      </w:r>
      <w:r w:rsidRPr="00113DCB">
        <w:rPr>
          <w:rFonts w:asciiTheme="minorHAnsi" w:hAnsiTheme="minorHAnsi" w:cstheme="minorHAnsi"/>
          <w:color w:val="auto"/>
          <w:sz w:val="22"/>
          <w:szCs w:val="22"/>
          <w:lang w:val="en-GB"/>
        </w:rPr>
        <w:t>. 6th ed. Oxford: Wiley Blackwell; 2018.</w:t>
      </w:r>
    </w:p>
    <w:p w14:paraId="1B5D60A7"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6851B99D"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r w:rsidRPr="00F20770">
        <w:rPr>
          <w:rFonts w:asciiTheme="minorHAnsi" w:hAnsiTheme="minorHAnsi" w:cstheme="minorHAnsi"/>
          <w:color w:val="auto"/>
          <w:sz w:val="22"/>
          <w:szCs w:val="22"/>
          <w:lang w:val="en-GB"/>
        </w:rPr>
        <w:t xml:space="preserve">Goldschlager N, Epstein AE, </w:t>
      </w:r>
      <w:proofErr w:type="spellStart"/>
      <w:r w:rsidRPr="00F20770">
        <w:rPr>
          <w:rFonts w:asciiTheme="minorHAnsi" w:hAnsiTheme="minorHAnsi" w:cstheme="minorHAnsi"/>
          <w:color w:val="auto"/>
          <w:sz w:val="22"/>
          <w:szCs w:val="22"/>
          <w:lang w:val="en-GB"/>
        </w:rPr>
        <w:t>Naccarelli</w:t>
      </w:r>
      <w:proofErr w:type="spellEnd"/>
      <w:r w:rsidRPr="00F20770">
        <w:rPr>
          <w:rFonts w:asciiTheme="minorHAnsi" w:hAnsiTheme="minorHAnsi" w:cstheme="minorHAnsi"/>
          <w:color w:val="auto"/>
          <w:sz w:val="22"/>
          <w:szCs w:val="22"/>
          <w:lang w:val="en-GB"/>
        </w:rPr>
        <w:t xml:space="preserve"> G, Olshansky B, Singh B</w:t>
      </w:r>
      <w:r>
        <w:rPr>
          <w:rFonts w:asciiTheme="minorHAnsi" w:hAnsiTheme="minorHAnsi" w:cstheme="minorHAnsi"/>
          <w:color w:val="auto"/>
          <w:sz w:val="22"/>
          <w:szCs w:val="22"/>
          <w:lang w:val="en-GB"/>
        </w:rPr>
        <w:t xml:space="preserve"> (2000)</w:t>
      </w:r>
      <w:r w:rsidRPr="00F20770">
        <w:rPr>
          <w:rFonts w:asciiTheme="minorHAnsi" w:hAnsiTheme="minorHAnsi" w:cstheme="minorHAnsi"/>
          <w:color w:val="auto"/>
          <w:sz w:val="22"/>
          <w:szCs w:val="22"/>
          <w:lang w:val="en-GB"/>
        </w:rPr>
        <w:t xml:space="preserve"> Practical guidelines for clinicians who treat patients with amiodarone</w:t>
      </w:r>
      <w:r>
        <w:rPr>
          <w:rFonts w:asciiTheme="minorHAnsi" w:hAnsiTheme="minorHAnsi" w:cstheme="minorHAnsi"/>
          <w:color w:val="auto"/>
          <w:sz w:val="22"/>
          <w:szCs w:val="22"/>
          <w:lang w:val="en-GB"/>
        </w:rPr>
        <w:t>,</w:t>
      </w:r>
      <w:r w:rsidRPr="00F20770">
        <w:rPr>
          <w:rFonts w:asciiTheme="minorHAnsi" w:hAnsiTheme="minorHAnsi" w:cstheme="minorHAnsi"/>
          <w:color w:val="auto"/>
          <w:sz w:val="22"/>
          <w:szCs w:val="22"/>
          <w:lang w:val="en-GB"/>
        </w:rPr>
        <w:t xml:space="preserve"> </w:t>
      </w:r>
      <w:r w:rsidRPr="00F20770">
        <w:rPr>
          <w:rFonts w:asciiTheme="minorHAnsi" w:hAnsiTheme="minorHAnsi" w:cstheme="minorHAnsi"/>
          <w:i/>
          <w:iCs/>
          <w:color w:val="auto"/>
          <w:sz w:val="22"/>
          <w:szCs w:val="22"/>
          <w:lang w:val="en-GB"/>
        </w:rPr>
        <w:t xml:space="preserve">Archives of </w:t>
      </w:r>
      <w:r>
        <w:rPr>
          <w:rFonts w:asciiTheme="minorHAnsi" w:hAnsiTheme="minorHAnsi" w:cstheme="minorHAnsi"/>
          <w:i/>
          <w:iCs/>
          <w:color w:val="auto"/>
          <w:sz w:val="22"/>
          <w:szCs w:val="22"/>
          <w:lang w:val="en-GB"/>
        </w:rPr>
        <w:t>I</w:t>
      </w:r>
      <w:r w:rsidRPr="00F20770">
        <w:rPr>
          <w:rFonts w:asciiTheme="minorHAnsi" w:hAnsiTheme="minorHAnsi" w:cstheme="minorHAnsi"/>
          <w:i/>
          <w:iCs/>
          <w:color w:val="auto"/>
          <w:sz w:val="22"/>
          <w:szCs w:val="22"/>
          <w:lang w:val="en-GB"/>
        </w:rPr>
        <w:t xml:space="preserve">nternal </w:t>
      </w:r>
      <w:r>
        <w:rPr>
          <w:rFonts w:asciiTheme="minorHAnsi" w:hAnsiTheme="minorHAnsi" w:cstheme="minorHAnsi"/>
          <w:i/>
          <w:iCs/>
          <w:color w:val="auto"/>
          <w:sz w:val="22"/>
          <w:szCs w:val="22"/>
          <w:lang w:val="en-GB"/>
        </w:rPr>
        <w:t>M</w:t>
      </w:r>
      <w:r w:rsidRPr="00F20770">
        <w:rPr>
          <w:rFonts w:asciiTheme="minorHAnsi" w:hAnsiTheme="minorHAnsi" w:cstheme="minorHAnsi"/>
          <w:i/>
          <w:iCs/>
          <w:color w:val="auto"/>
          <w:sz w:val="22"/>
          <w:szCs w:val="22"/>
          <w:lang w:val="en-GB"/>
        </w:rPr>
        <w:t>edicine</w:t>
      </w:r>
      <w:r>
        <w:rPr>
          <w:rFonts w:asciiTheme="minorHAnsi" w:hAnsiTheme="minorHAnsi" w:cstheme="minorHAnsi"/>
          <w:color w:val="auto"/>
          <w:sz w:val="22"/>
          <w:szCs w:val="22"/>
          <w:lang w:val="en-GB"/>
        </w:rPr>
        <w:t>,</w:t>
      </w:r>
      <w:r w:rsidRPr="00F20770">
        <w:rPr>
          <w:rFonts w:asciiTheme="minorHAnsi" w:hAnsiTheme="minorHAnsi" w:cstheme="minorHAnsi"/>
          <w:color w:val="auto"/>
          <w:sz w:val="22"/>
          <w:szCs w:val="22"/>
          <w:lang w:val="en-GB"/>
        </w:rPr>
        <w:t xml:space="preserve"> 160(12):1741-8.</w:t>
      </w:r>
    </w:p>
    <w:p w14:paraId="224A98CC"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22D49F01" w14:textId="77777777" w:rsidR="00C97B7B" w:rsidRDefault="00C97B7B" w:rsidP="00C97B7B">
      <w:pPr>
        <w:pStyle w:val="reftext"/>
        <w:spacing w:after="0"/>
        <w:rPr>
          <w:rFonts w:asciiTheme="minorHAnsi" w:hAnsiTheme="minorHAnsi" w:cstheme="minorHAnsi"/>
          <w:color w:val="auto"/>
          <w:sz w:val="22"/>
          <w:szCs w:val="22"/>
          <w:lang w:val="en-GB"/>
        </w:rPr>
      </w:pPr>
      <w:r w:rsidRPr="00691FF4">
        <w:rPr>
          <w:rFonts w:asciiTheme="minorHAnsi" w:hAnsiTheme="minorHAnsi" w:cstheme="minorHAnsi"/>
          <w:color w:val="auto"/>
          <w:sz w:val="22"/>
          <w:szCs w:val="22"/>
          <w:lang w:val="en-GB"/>
        </w:rPr>
        <w:t>Hohnloser SH, Zabel M</w:t>
      </w:r>
      <w:r>
        <w:rPr>
          <w:rFonts w:asciiTheme="minorHAnsi" w:hAnsiTheme="minorHAnsi" w:cstheme="minorHAnsi"/>
          <w:color w:val="auto"/>
          <w:sz w:val="22"/>
          <w:szCs w:val="22"/>
          <w:lang w:val="en-GB"/>
        </w:rPr>
        <w:t xml:space="preserve"> (1992)</w:t>
      </w:r>
      <w:r w:rsidRPr="00691FF4">
        <w:rPr>
          <w:rFonts w:asciiTheme="minorHAnsi" w:hAnsiTheme="minorHAnsi" w:cstheme="minorHAnsi"/>
          <w:color w:val="auto"/>
          <w:sz w:val="22"/>
          <w:szCs w:val="22"/>
          <w:lang w:val="en-GB"/>
        </w:rPr>
        <w:t xml:space="preserve"> Short- and long-term efficacy and safety of flecainide</w:t>
      </w:r>
      <w:r>
        <w:rPr>
          <w:rFonts w:asciiTheme="minorHAnsi" w:hAnsiTheme="minorHAnsi" w:cstheme="minorHAnsi"/>
          <w:color w:val="auto"/>
          <w:sz w:val="22"/>
          <w:szCs w:val="22"/>
          <w:lang w:val="en-GB"/>
        </w:rPr>
        <w:t xml:space="preserve"> </w:t>
      </w:r>
      <w:r w:rsidRPr="00691FF4">
        <w:rPr>
          <w:rFonts w:asciiTheme="minorHAnsi" w:hAnsiTheme="minorHAnsi" w:cstheme="minorHAnsi"/>
          <w:color w:val="auto"/>
          <w:sz w:val="22"/>
          <w:szCs w:val="22"/>
          <w:lang w:val="en-GB"/>
        </w:rPr>
        <w:t xml:space="preserve">acetate for </w:t>
      </w:r>
    </w:p>
    <w:p w14:paraId="51E4BB7C" w14:textId="77777777" w:rsidR="00C97B7B" w:rsidRDefault="00C97B7B" w:rsidP="00C97B7B">
      <w:pPr>
        <w:pStyle w:val="reftext"/>
        <w:spacing w:after="0"/>
        <w:rPr>
          <w:rFonts w:asciiTheme="minorHAnsi" w:hAnsiTheme="minorHAnsi" w:cstheme="minorHAnsi"/>
          <w:color w:val="auto"/>
          <w:sz w:val="22"/>
          <w:szCs w:val="22"/>
          <w:lang w:val="en-GB"/>
        </w:rPr>
      </w:pPr>
      <w:r w:rsidRPr="00691FF4">
        <w:rPr>
          <w:rFonts w:asciiTheme="minorHAnsi" w:hAnsiTheme="minorHAnsi" w:cstheme="minorHAnsi"/>
          <w:color w:val="auto"/>
          <w:sz w:val="22"/>
          <w:szCs w:val="22"/>
          <w:lang w:val="en-GB"/>
        </w:rPr>
        <w:t>supraventricular arrhythmias</w:t>
      </w:r>
      <w:r>
        <w:rPr>
          <w:rFonts w:asciiTheme="minorHAnsi" w:hAnsiTheme="minorHAnsi" w:cstheme="minorHAnsi"/>
          <w:color w:val="auto"/>
          <w:sz w:val="22"/>
          <w:szCs w:val="22"/>
          <w:lang w:val="en-GB"/>
        </w:rPr>
        <w:t xml:space="preserve">, </w:t>
      </w:r>
      <w:r w:rsidRPr="00691FF4">
        <w:rPr>
          <w:rFonts w:asciiTheme="minorHAnsi" w:hAnsiTheme="minorHAnsi" w:cstheme="minorHAnsi"/>
          <w:i/>
          <w:iCs/>
          <w:color w:val="auto"/>
          <w:sz w:val="22"/>
          <w:szCs w:val="22"/>
          <w:lang w:val="en-GB"/>
        </w:rPr>
        <w:t>American Journal of Cardiology</w:t>
      </w:r>
      <w:r>
        <w:rPr>
          <w:rFonts w:asciiTheme="minorHAnsi" w:hAnsiTheme="minorHAnsi" w:cstheme="minorHAnsi"/>
          <w:color w:val="auto"/>
          <w:sz w:val="22"/>
          <w:szCs w:val="22"/>
          <w:lang w:val="en-GB"/>
        </w:rPr>
        <w:t xml:space="preserve">, </w:t>
      </w:r>
      <w:r w:rsidRPr="00691FF4">
        <w:rPr>
          <w:rFonts w:asciiTheme="minorHAnsi" w:hAnsiTheme="minorHAnsi" w:cstheme="minorHAnsi"/>
          <w:color w:val="auto"/>
          <w:sz w:val="22"/>
          <w:szCs w:val="22"/>
          <w:lang w:val="en-GB"/>
        </w:rPr>
        <w:t>70:3A–9A</w:t>
      </w:r>
    </w:p>
    <w:p w14:paraId="4EF960E2"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500699F7"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r w:rsidRPr="00113DCB">
        <w:rPr>
          <w:rFonts w:asciiTheme="minorHAnsi" w:hAnsiTheme="minorHAnsi" w:cstheme="minorHAnsi"/>
          <w:color w:val="auto"/>
          <w:sz w:val="22"/>
          <w:szCs w:val="22"/>
          <w:lang w:val="en-GB"/>
        </w:rPr>
        <w:t>Joint Formulary Committee</w:t>
      </w:r>
      <w:r>
        <w:rPr>
          <w:rFonts w:asciiTheme="minorHAnsi" w:hAnsiTheme="minorHAnsi" w:cstheme="minorHAnsi"/>
          <w:color w:val="auto"/>
          <w:sz w:val="22"/>
          <w:szCs w:val="22"/>
          <w:lang w:val="en-GB"/>
        </w:rPr>
        <w:t xml:space="preserve"> (2019)</w:t>
      </w:r>
      <w:r w:rsidRPr="00113DCB">
        <w:rPr>
          <w:rFonts w:asciiTheme="minorHAnsi" w:hAnsiTheme="minorHAnsi" w:cstheme="minorHAnsi"/>
          <w:color w:val="auto"/>
          <w:sz w:val="22"/>
          <w:szCs w:val="22"/>
          <w:lang w:val="en-GB"/>
        </w:rPr>
        <w:t xml:space="preserve"> </w:t>
      </w:r>
      <w:r w:rsidRPr="00901EA4">
        <w:rPr>
          <w:rFonts w:asciiTheme="minorHAnsi" w:hAnsiTheme="minorHAnsi" w:cstheme="minorHAnsi"/>
          <w:i/>
          <w:color w:val="auto"/>
          <w:sz w:val="22"/>
          <w:szCs w:val="22"/>
          <w:lang w:val="en-GB"/>
        </w:rPr>
        <w:t>British National Formulary</w:t>
      </w:r>
      <w:r w:rsidRPr="00113DCB">
        <w:rPr>
          <w:rFonts w:asciiTheme="minorHAnsi" w:hAnsiTheme="minorHAnsi" w:cstheme="minorHAnsi"/>
          <w:color w:val="auto"/>
          <w:sz w:val="22"/>
          <w:szCs w:val="22"/>
          <w:lang w:val="en-GB"/>
        </w:rPr>
        <w:t>, 7</w:t>
      </w:r>
      <w:r>
        <w:rPr>
          <w:rFonts w:asciiTheme="minorHAnsi" w:hAnsiTheme="minorHAnsi" w:cstheme="minorHAnsi"/>
          <w:color w:val="auto"/>
          <w:sz w:val="22"/>
          <w:szCs w:val="22"/>
          <w:lang w:val="en-GB"/>
        </w:rPr>
        <w:t>7</w:t>
      </w:r>
      <w:r w:rsidRPr="00113DCB">
        <w:rPr>
          <w:rFonts w:asciiTheme="minorHAnsi" w:hAnsiTheme="minorHAnsi" w:cstheme="minorHAnsi"/>
          <w:color w:val="auto"/>
          <w:sz w:val="22"/>
          <w:szCs w:val="22"/>
          <w:vertAlign w:val="superscript"/>
          <w:lang w:val="en-GB"/>
        </w:rPr>
        <w:t>th</w:t>
      </w:r>
      <w:r w:rsidRPr="00113DCB">
        <w:rPr>
          <w:rFonts w:asciiTheme="minorHAnsi" w:hAnsiTheme="minorHAnsi" w:cstheme="minorHAnsi"/>
          <w:color w:val="auto"/>
          <w:sz w:val="22"/>
          <w:szCs w:val="22"/>
          <w:lang w:val="en-GB"/>
        </w:rPr>
        <w:t xml:space="preserve"> edition, London: BMJ Group and Pharmaceutical Press. </w:t>
      </w:r>
    </w:p>
    <w:p w14:paraId="284D66BC"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3C6AF125" w14:textId="77777777" w:rsidR="00C97B7B" w:rsidRPr="001A3F82" w:rsidRDefault="00C97B7B" w:rsidP="00C97B7B">
      <w:pPr>
        <w:rPr>
          <w:rFonts w:eastAsia="Calibri" w:cstheme="minorHAnsi"/>
          <w:lang w:val="en-US"/>
        </w:rPr>
      </w:pPr>
      <w:proofErr w:type="spellStart"/>
      <w:r w:rsidRPr="001541B9">
        <w:rPr>
          <w:rFonts w:eastAsia="Calibri" w:cstheme="minorHAnsi"/>
          <w:lang w:val="en-US"/>
        </w:rPr>
        <w:t>Kirchhof</w:t>
      </w:r>
      <w:proofErr w:type="spellEnd"/>
      <w:r w:rsidRPr="001541B9">
        <w:rPr>
          <w:rFonts w:eastAsia="Calibri" w:cstheme="minorHAnsi"/>
          <w:lang w:val="en-US"/>
        </w:rPr>
        <w:t xml:space="preserve"> P, </w:t>
      </w:r>
      <w:proofErr w:type="spellStart"/>
      <w:r w:rsidRPr="001541B9">
        <w:rPr>
          <w:rFonts w:eastAsia="Calibri" w:cstheme="minorHAnsi"/>
          <w:lang w:val="en-US"/>
        </w:rPr>
        <w:t>Benussi</w:t>
      </w:r>
      <w:proofErr w:type="spellEnd"/>
      <w:r w:rsidRPr="001541B9">
        <w:rPr>
          <w:rFonts w:eastAsia="Calibri" w:cstheme="minorHAnsi"/>
          <w:lang w:val="en-US"/>
        </w:rPr>
        <w:t xml:space="preserve"> S, Kotecha</w:t>
      </w:r>
      <w:r w:rsidRPr="001541B9">
        <w:rPr>
          <w:rFonts w:eastAsia="Calibri" w:cstheme="minorHAnsi"/>
        </w:rPr>
        <w:t xml:space="preserve"> D et al (2016) </w:t>
      </w:r>
      <w:r w:rsidRPr="001541B9">
        <w:rPr>
          <w:rFonts w:eastAsia="Calibri" w:cstheme="minorHAnsi"/>
          <w:lang w:val="en-US"/>
        </w:rPr>
        <w:t xml:space="preserve">ESC Guidelines for the management of atrial fibrillation developed in collaboration with EACTS, </w:t>
      </w:r>
      <w:r w:rsidRPr="001541B9">
        <w:rPr>
          <w:rFonts w:eastAsia="Calibri" w:cstheme="minorHAnsi"/>
          <w:i/>
        </w:rPr>
        <w:t>Eur Heart J</w:t>
      </w:r>
      <w:r w:rsidRPr="001541B9">
        <w:rPr>
          <w:rFonts w:eastAsia="Calibri" w:cstheme="minorHAnsi"/>
        </w:rPr>
        <w:t xml:space="preserve">, 37, </w:t>
      </w:r>
      <w:r w:rsidRPr="001541B9">
        <w:rPr>
          <w:rFonts w:eastAsia="Calibri" w:cstheme="minorHAnsi"/>
          <w:lang w:val="en-US"/>
        </w:rPr>
        <w:t xml:space="preserve">2893–2962. </w:t>
      </w:r>
    </w:p>
    <w:p w14:paraId="6DB1F0C8" w14:textId="77777777" w:rsidR="00C97B7B" w:rsidRDefault="00C97B7B" w:rsidP="00C97B7B">
      <w:pPr>
        <w:pStyle w:val="reftext"/>
        <w:spacing w:after="0" w:line="259" w:lineRule="auto"/>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Lavon O, Goldman R (2019) Adherence to monitoring guidelines of amiodarone adverse reactions, </w:t>
      </w:r>
      <w:r w:rsidRPr="00A24E54">
        <w:rPr>
          <w:rFonts w:asciiTheme="minorHAnsi" w:hAnsiTheme="minorHAnsi" w:cstheme="minorHAnsi"/>
          <w:i/>
          <w:iCs/>
          <w:color w:val="auto"/>
          <w:sz w:val="22"/>
          <w:szCs w:val="22"/>
        </w:rPr>
        <w:t>Health Services Research and managerial Epidemiology</w:t>
      </w:r>
      <w:r>
        <w:rPr>
          <w:rFonts w:asciiTheme="minorHAnsi" w:hAnsiTheme="minorHAnsi" w:cstheme="minorHAnsi"/>
          <w:color w:val="auto"/>
          <w:sz w:val="22"/>
          <w:szCs w:val="22"/>
        </w:rPr>
        <w:t>, 6, 1-4.</w:t>
      </w:r>
    </w:p>
    <w:p w14:paraId="5E6F086A" w14:textId="77777777" w:rsidR="00C97B7B" w:rsidRDefault="00C97B7B" w:rsidP="00C97B7B">
      <w:pPr>
        <w:pStyle w:val="reftext"/>
        <w:spacing w:after="0" w:line="259" w:lineRule="auto"/>
        <w:ind w:left="0" w:firstLine="0"/>
        <w:rPr>
          <w:rFonts w:asciiTheme="minorHAnsi" w:hAnsiTheme="minorHAnsi" w:cstheme="minorHAnsi"/>
          <w:color w:val="auto"/>
          <w:sz w:val="22"/>
          <w:szCs w:val="22"/>
        </w:rPr>
      </w:pPr>
    </w:p>
    <w:p w14:paraId="64A2A9BD"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r w:rsidRPr="00D41458">
        <w:rPr>
          <w:rFonts w:asciiTheme="minorHAnsi" w:hAnsiTheme="minorHAnsi" w:cstheme="minorHAnsi"/>
          <w:color w:val="auto"/>
          <w:sz w:val="22"/>
          <w:szCs w:val="22"/>
          <w:lang w:val="en-GB"/>
        </w:rPr>
        <w:t xml:space="preserve">Layland J, Carrick D, Lee M, </w:t>
      </w:r>
      <w:proofErr w:type="spellStart"/>
      <w:r w:rsidRPr="00D41458">
        <w:rPr>
          <w:rFonts w:asciiTheme="minorHAnsi" w:hAnsiTheme="minorHAnsi" w:cstheme="minorHAnsi"/>
          <w:color w:val="auto"/>
          <w:sz w:val="22"/>
          <w:szCs w:val="22"/>
          <w:lang w:val="en-GB"/>
        </w:rPr>
        <w:t>Oldroyd</w:t>
      </w:r>
      <w:proofErr w:type="spellEnd"/>
      <w:r w:rsidRPr="00D41458">
        <w:rPr>
          <w:rFonts w:asciiTheme="minorHAnsi" w:hAnsiTheme="minorHAnsi" w:cstheme="minorHAnsi"/>
          <w:color w:val="auto"/>
          <w:sz w:val="22"/>
          <w:szCs w:val="22"/>
          <w:lang w:val="en-GB"/>
        </w:rPr>
        <w:t xml:space="preserve"> K, Berry C. </w:t>
      </w:r>
      <w:r>
        <w:rPr>
          <w:rFonts w:asciiTheme="minorHAnsi" w:hAnsiTheme="minorHAnsi" w:cstheme="minorHAnsi"/>
          <w:color w:val="auto"/>
          <w:sz w:val="22"/>
          <w:szCs w:val="22"/>
          <w:lang w:val="en-GB"/>
        </w:rPr>
        <w:t xml:space="preserve">(2014) </w:t>
      </w:r>
      <w:r w:rsidRPr="00D41458">
        <w:rPr>
          <w:rFonts w:asciiTheme="minorHAnsi" w:hAnsiTheme="minorHAnsi" w:cstheme="minorHAnsi"/>
          <w:color w:val="auto"/>
          <w:sz w:val="22"/>
          <w:szCs w:val="22"/>
          <w:lang w:val="en-GB"/>
        </w:rPr>
        <w:t xml:space="preserve">Adenosine: physiology, pharmacology, and clinical applications. </w:t>
      </w:r>
      <w:r w:rsidRPr="00D41458">
        <w:rPr>
          <w:rFonts w:asciiTheme="minorHAnsi" w:hAnsiTheme="minorHAnsi" w:cstheme="minorHAnsi"/>
          <w:i/>
          <w:iCs/>
          <w:color w:val="auto"/>
          <w:sz w:val="22"/>
          <w:szCs w:val="22"/>
          <w:lang w:val="en-GB"/>
        </w:rPr>
        <w:t>JACC: Cardiovascular Interventions</w:t>
      </w:r>
      <w:r w:rsidRPr="00D41458">
        <w:rPr>
          <w:rFonts w:asciiTheme="minorHAnsi" w:hAnsiTheme="minorHAnsi" w:cstheme="minorHAnsi"/>
          <w:color w:val="auto"/>
          <w:sz w:val="22"/>
          <w:szCs w:val="22"/>
          <w:lang w:val="en-GB"/>
        </w:rPr>
        <w:t>. 7(6):581-91.</w:t>
      </w:r>
    </w:p>
    <w:p w14:paraId="4F56B2B1"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4C1213E1" w14:textId="77777777" w:rsidR="00C97B7B" w:rsidRPr="009D295F" w:rsidRDefault="00C97B7B" w:rsidP="00C97B7B">
      <w:pPr>
        <w:pStyle w:val="reftext"/>
        <w:spacing w:after="0"/>
        <w:rPr>
          <w:rFonts w:asciiTheme="minorHAnsi" w:hAnsiTheme="minorHAnsi" w:cstheme="minorHAnsi"/>
          <w:color w:val="auto"/>
          <w:sz w:val="22"/>
          <w:szCs w:val="22"/>
          <w:lang w:val="en-GB"/>
        </w:rPr>
      </w:pPr>
      <w:r w:rsidRPr="009D295F">
        <w:rPr>
          <w:rFonts w:asciiTheme="minorHAnsi" w:hAnsiTheme="minorHAnsi" w:cstheme="minorHAnsi"/>
          <w:color w:val="auto"/>
          <w:sz w:val="22"/>
          <w:szCs w:val="22"/>
          <w:lang w:val="en-GB"/>
        </w:rPr>
        <w:t>Martinez-Marcos FJ, Garcia-</w:t>
      </w:r>
      <w:proofErr w:type="spellStart"/>
      <w:r w:rsidRPr="009D295F">
        <w:rPr>
          <w:rFonts w:asciiTheme="minorHAnsi" w:hAnsiTheme="minorHAnsi" w:cstheme="minorHAnsi"/>
          <w:color w:val="auto"/>
          <w:sz w:val="22"/>
          <w:szCs w:val="22"/>
          <w:lang w:val="en-GB"/>
        </w:rPr>
        <w:t>Garmendia</w:t>
      </w:r>
      <w:proofErr w:type="spellEnd"/>
      <w:r w:rsidRPr="009D295F">
        <w:rPr>
          <w:rFonts w:asciiTheme="minorHAnsi" w:hAnsiTheme="minorHAnsi" w:cstheme="minorHAnsi"/>
          <w:color w:val="auto"/>
          <w:sz w:val="22"/>
          <w:szCs w:val="22"/>
          <w:lang w:val="en-GB"/>
        </w:rPr>
        <w:t xml:space="preserve"> JL, Ortega-Carpio A, Fernandez-Gomez JM,</w:t>
      </w:r>
    </w:p>
    <w:p w14:paraId="6C9187EF" w14:textId="77777777" w:rsidR="00C97B7B" w:rsidRPr="009D295F" w:rsidRDefault="00C97B7B" w:rsidP="00C97B7B">
      <w:pPr>
        <w:pStyle w:val="reftext"/>
        <w:spacing w:after="0"/>
        <w:rPr>
          <w:rFonts w:asciiTheme="minorHAnsi" w:hAnsiTheme="minorHAnsi" w:cstheme="minorHAnsi"/>
          <w:color w:val="auto"/>
          <w:sz w:val="22"/>
          <w:szCs w:val="22"/>
          <w:lang w:val="en-GB"/>
        </w:rPr>
      </w:pPr>
      <w:r w:rsidRPr="009D295F">
        <w:rPr>
          <w:rFonts w:asciiTheme="minorHAnsi" w:hAnsiTheme="minorHAnsi" w:cstheme="minorHAnsi"/>
          <w:color w:val="auto"/>
          <w:sz w:val="22"/>
          <w:szCs w:val="22"/>
          <w:lang w:val="en-GB"/>
        </w:rPr>
        <w:t>Santos JM, Camacho C</w:t>
      </w:r>
      <w:r>
        <w:rPr>
          <w:rFonts w:asciiTheme="minorHAnsi" w:hAnsiTheme="minorHAnsi" w:cstheme="minorHAnsi"/>
          <w:color w:val="auto"/>
          <w:sz w:val="22"/>
          <w:szCs w:val="22"/>
          <w:lang w:val="en-GB"/>
        </w:rPr>
        <w:t xml:space="preserve"> (2000) </w:t>
      </w:r>
      <w:r w:rsidRPr="009D295F">
        <w:rPr>
          <w:rFonts w:asciiTheme="minorHAnsi" w:hAnsiTheme="minorHAnsi" w:cstheme="minorHAnsi"/>
          <w:color w:val="auto"/>
          <w:sz w:val="22"/>
          <w:szCs w:val="22"/>
          <w:lang w:val="en-GB"/>
        </w:rPr>
        <w:t>Comparison of intravenous flecainide, propafenone, and</w:t>
      </w:r>
    </w:p>
    <w:p w14:paraId="2618DCED" w14:textId="77777777" w:rsidR="00C97B7B" w:rsidRDefault="00C97B7B" w:rsidP="00C97B7B">
      <w:pPr>
        <w:pStyle w:val="reftext"/>
        <w:spacing w:after="0"/>
        <w:rPr>
          <w:rFonts w:asciiTheme="minorHAnsi" w:hAnsiTheme="minorHAnsi" w:cstheme="minorHAnsi"/>
          <w:i/>
          <w:iCs/>
          <w:color w:val="auto"/>
          <w:sz w:val="22"/>
          <w:szCs w:val="22"/>
          <w:lang w:val="en-GB"/>
        </w:rPr>
      </w:pPr>
      <w:r w:rsidRPr="009D295F">
        <w:rPr>
          <w:rFonts w:asciiTheme="minorHAnsi" w:hAnsiTheme="minorHAnsi" w:cstheme="minorHAnsi"/>
          <w:color w:val="auto"/>
          <w:sz w:val="22"/>
          <w:szCs w:val="22"/>
          <w:lang w:val="en-GB"/>
        </w:rPr>
        <w:t xml:space="preserve">amiodarone for conversion of acute atrial fibrillation to sinus rhythm. </w:t>
      </w:r>
      <w:r w:rsidRPr="009D295F">
        <w:rPr>
          <w:rFonts w:asciiTheme="minorHAnsi" w:hAnsiTheme="minorHAnsi" w:cstheme="minorHAnsi"/>
          <w:i/>
          <w:iCs/>
          <w:color w:val="auto"/>
          <w:sz w:val="22"/>
          <w:szCs w:val="22"/>
          <w:lang w:val="en-GB"/>
        </w:rPr>
        <w:t>Am</w:t>
      </w:r>
      <w:r>
        <w:rPr>
          <w:rFonts w:asciiTheme="minorHAnsi" w:hAnsiTheme="minorHAnsi" w:cstheme="minorHAnsi"/>
          <w:i/>
          <w:iCs/>
          <w:color w:val="auto"/>
          <w:sz w:val="22"/>
          <w:szCs w:val="22"/>
          <w:lang w:val="en-GB"/>
        </w:rPr>
        <w:t>erican</w:t>
      </w:r>
      <w:r w:rsidRPr="009D295F">
        <w:rPr>
          <w:rFonts w:asciiTheme="minorHAnsi" w:hAnsiTheme="minorHAnsi" w:cstheme="minorHAnsi"/>
          <w:i/>
          <w:iCs/>
          <w:color w:val="auto"/>
          <w:sz w:val="22"/>
          <w:szCs w:val="22"/>
          <w:lang w:val="en-GB"/>
        </w:rPr>
        <w:t xml:space="preserve"> J</w:t>
      </w:r>
      <w:r>
        <w:rPr>
          <w:rFonts w:asciiTheme="minorHAnsi" w:hAnsiTheme="minorHAnsi" w:cstheme="minorHAnsi"/>
          <w:i/>
          <w:iCs/>
          <w:color w:val="auto"/>
          <w:sz w:val="22"/>
          <w:szCs w:val="22"/>
          <w:lang w:val="en-GB"/>
        </w:rPr>
        <w:t xml:space="preserve">ournal of </w:t>
      </w:r>
    </w:p>
    <w:p w14:paraId="22E048BD" w14:textId="77777777" w:rsidR="00C97B7B" w:rsidRDefault="00C97B7B" w:rsidP="00C97B7B">
      <w:pPr>
        <w:pStyle w:val="reftext"/>
        <w:spacing w:after="0"/>
        <w:rPr>
          <w:rFonts w:asciiTheme="minorHAnsi" w:hAnsiTheme="minorHAnsi" w:cstheme="minorHAnsi"/>
          <w:color w:val="auto"/>
          <w:sz w:val="22"/>
          <w:szCs w:val="22"/>
          <w:lang w:val="en-GB"/>
        </w:rPr>
      </w:pPr>
      <w:r w:rsidRPr="009D295F">
        <w:rPr>
          <w:rFonts w:asciiTheme="minorHAnsi" w:hAnsiTheme="minorHAnsi" w:cstheme="minorHAnsi"/>
          <w:i/>
          <w:iCs/>
          <w:color w:val="auto"/>
          <w:sz w:val="22"/>
          <w:szCs w:val="22"/>
          <w:lang w:val="en-GB"/>
        </w:rPr>
        <w:t>Cardiol</w:t>
      </w:r>
      <w:r>
        <w:rPr>
          <w:rFonts w:asciiTheme="minorHAnsi" w:hAnsiTheme="minorHAnsi" w:cstheme="minorHAnsi"/>
          <w:i/>
          <w:iCs/>
          <w:color w:val="auto"/>
          <w:sz w:val="22"/>
          <w:szCs w:val="22"/>
          <w:lang w:val="en-GB"/>
        </w:rPr>
        <w:t xml:space="preserve">ogy, </w:t>
      </w:r>
      <w:r w:rsidRPr="009D295F">
        <w:rPr>
          <w:rFonts w:asciiTheme="minorHAnsi" w:hAnsiTheme="minorHAnsi" w:cstheme="minorHAnsi"/>
          <w:color w:val="auto"/>
          <w:sz w:val="22"/>
          <w:szCs w:val="22"/>
          <w:lang w:val="en-GB"/>
        </w:rPr>
        <w:t>86:950–3.</w:t>
      </w:r>
    </w:p>
    <w:p w14:paraId="11534FEF" w14:textId="77777777" w:rsidR="00C97B7B" w:rsidRDefault="00C97B7B" w:rsidP="00C97B7B">
      <w:pPr>
        <w:pStyle w:val="reftext"/>
        <w:spacing w:after="0"/>
        <w:rPr>
          <w:rFonts w:asciiTheme="minorHAnsi" w:hAnsiTheme="minorHAnsi" w:cstheme="minorHAnsi"/>
          <w:color w:val="auto"/>
          <w:sz w:val="22"/>
          <w:szCs w:val="22"/>
          <w:lang w:val="en-GB"/>
        </w:rPr>
      </w:pPr>
    </w:p>
    <w:p w14:paraId="442E2C10"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roofErr w:type="spellStart"/>
      <w:r w:rsidRPr="003833F2">
        <w:rPr>
          <w:rFonts w:asciiTheme="minorHAnsi" w:hAnsiTheme="minorHAnsi" w:cstheme="minorHAnsi"/>
          <w:color w:val="auto"/>
          <w:sz w:val="22"/>
          <w:szCs w:val="22"/>
          <w:lang w:val="en-GB"/>
        </w:rPr>
        <w:t>Memon</w:t>
      </w:r>
      <w:proofErr w:type="spellEnd"/>
      <w:r w:rsidRPr="003833F2">
        <w:rPr>
          <w:rFonts w:asciiTheme="minorHAnsi" w:hAnsiTheme="minorHAnsi" w:cstheme="minorHAnsi"/>
          <w:color w:val="auto"/>
          <w:sz w:val="22"/>
          <w:szCs w:val="22"/>
          <w:lang w:val="en-GB"/>
        </w:rPr>
        <w:t xml:space="preserve"> A, Shah K, Ali Z, Pak C, Hancock B, Dunn J, Robinson K, Yousaf A, Yousaf M, Kemper S, Carter W.</w:t>
      </w:r>
      <w:r>
        <w:rPr>
          <w:rFonts w:asciiTheme="minorHAnsi" w:hAnsiTheme="minorHAnsi" w:cstheme="minorHAnsi"/>
          <w:color w:val="auto"/>
          <w:sz w:val="22"/>
          <w:szCs w:val="22"/>
          <w:lang w:val="en-GB"/>
        </w:rPr>
        <w:t xml:space="preserve"> (2018)</w:t>
      </w:r>
      <w:r w:rsidRPr="003833F2">
        <w:rPr>
          <w:rFonts w:asciiTheme="minorHAnsi" w:hAnsiTheme="minorHAnsi" w:cstheme="minorHAnsi"/>
          <w:color w:val="auto"/>
          <w:sz w:val="22"/>
          <w:szCs w:val="22"/>
          <w:lang w:val="en-GB"/>
        </w:rPr>
        <w:t xml:space="preserve"> Observational Study of Efficacy of Low-Dose Amiodarone. </w:t>
      </w:r>
      <w:r w:rsidRPr="003833F2">
        <w:rPr>
          <w:rFonts w:asciiTheme="minorHAnsi" w:hAnsiTheme="minorHAnsi" w:cstheme="minorHAnsi"/>
          <w:i/>
          <w:iCs/>
          <w:color w:val="auto"/>
          <w:sz w:val="22"/>
          <w:szCs w:val="22"/>
          <w:lang w:val="en-GB"/>
        </w:rPr>
        <w:t>Circulation: Cardiovascular Quality and Outcomes</w:t>
      </w:r>
      <w:r w:rsidRPr="003833F2">
        <w:rPr>
          <w:rFonts w:asciiTheme="minorHAnsi" w:hAnsiTheme="minorHAnsi" w:cstheme="minorHAnsi"/>
          <w:color w:val="auto"/>
          <w:sz w:val="22"/>
          <w:szCs w:val="22"/>
          <w:lang w:val="en-GB"/>
        </w:rPr>
        <w:t>. 11(suppl_1</w:t>
      </w:r>
      <w:proofErr w:type="gramStart"/>
      <w:r w:rsidRPr="003833F2">
        <w:rPr>
          <w:rFonts w:asciiTheme="minorHAnsi" w:hAnsiTheme="minorHAnsi" w:cstheme="minorHAnsi"/>
          <w:color w:val="auto"/>
          <w:sz w:val="22"/>
          <w:szCs w:val="22"/>
          <w:lang w:val="en-GB"/>
        </w:rPr>
        <w:t>):A</w:t>
      </w:r>
      <w:proofErr w:type="gramEnd"/>
      <w:r w:rsidRPr="003833F2">
        <w:rPr>
          <w:rFonts w:asciiTheme="minorHAnsi" w:hAnsiTheme="minorHAnsi" w:cstheme="minorHAnsi"/>
          <w:color w:val="auto"/>
          <w:sz w:val="22"/>
          <w:szCs w:val="22"/>
          <w:lang w:val="en-GB"/>
        </w:rPr>
        <w:t>148-.</w:t>
      </w:r>
    </w:p>
    <w:p w14:paraId="3A5D2A0B"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2322C5BC"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r w:rsidRPr="006605FD">
        <w:rPr>
          <w:rFonts w:asciiTheme="minorHAnsi" w:hAnsiTheme="minorHAnsi" w:cstheme="minorHAnsi"/>
          <w:color w:val="auto"/>
          <w:sz w:val="22"/>
          <w:szCs w:val="22"/>
          <w:lang w:val="en-GB"/>
        </w:rPr>
        <w:t xml:space="preserve">Mullord P, Sargent A. </w:t>
      </w:r>
      <w:r>
        <w:rPr>
          <w:rFonts w:asciiTheme="minorHAnsi" w:hAnsiTheme="minorHAnsi" w:cstheme="minorHAnsi"/>
          <w:color w:val="auto"/>
          <w:sz w:val="22"/>
          <w:szCs w:val="22"/>
          <w:lang w:val="en-GB"/>
        </w:rPr>
        <w:t xml:space="preserve">(2011) </w:t>
      </w:r>
      <w:r w:rsidRPr="006605FD">
        <w:rPr>
          <w:rFonts w:asciiTheme="minorHAnsi" w:hAnsiTheme="minorHAnsi" w:cstheme="minorHAnsi"/>
          <w:color w:val="auto"/>
          <w:sz w:val="22"/>
          <w:szCs w:val="22"/>
          <w:lang w:val="en-GB"/>
        </w:rPr>
        <w:t xml:space="preserve">Pharmacological conversion of AV nodal re-entry tachycardia with adenosine. </w:t>
      </w:r>
      <w:r w:rsidRPr="006605FD">
        <w:rPr>
          <w:rFonts w:asciiTheme="minorHAnsi" w:hAnsiTheme="minorHAnsi" w:cstheme="minorHAnsi"/>
          <w:i/>
          <w:iCs/>
          <w:color w:val="auto"/>
          <w:sz w:val="22"/>
          <w:szCs w:val="22"/>
          <w:lang w:val="en-GB"/>
        </w:rPr>
        <w:t>British Journal of Cardiac Nursing</w:t>
      </w:r>
      <w:r w:rsidRPr="006605FD">
        <w:rPr>
          <w:rFonts w:asciiTheme="minorHAnsi" w:hAnsiTheme="minorHAnsi" w:cstheme="minorHAnsi"/>
          <w:color w:val="auto"/>
          <w:sz w:val="22"/>
          <w:szCs w:val="22"/>
          <w:lang w:val="en-GB"/>
        </w:rPr>
        <w:t>. 6(4):178-83.</w:t>
      </w:r>
    </w:p>
    <w:p w14:paraId="080879B1"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48313E36" w14:textId="77777777" w:rsidR="00C97B7B" w:rsidRDefault="00C97B7B" w:rsidP="00C97B7B">
      <w:pPr>
        <w:pStyle w:val="reftext"/>
        <w:spacing w:after="0" w:line="259" w:lineRule="auto"/>
        <w:ind w:left="0" w:firstLine="0"/>
        <w:rPr>
          <w:rFonts w:asciiTheme="minorHAnsi" w:hAnsiTheme="minorHAnsi" w:cstheme="minorHAnsi"/>
          <w:color w:val="auto"/>
          <w:sz w:val="22"/>
          <w:szCs w:val="22"/>
        </w:rPr>
      </w:pPr>
      <w:r w:rsidRPr="00944CCB">
        <w:rPr>
          <w:rFonts w:asciiTheme="minorHAnsi" w:hAnsiTheme="minorHAnsi" w:cstheme="minorHAnsi"/>
          <w:color w:val="auto"/>
          <w:sz w:val="22"/>
          <w:szCs w:val="22"/>
          <w:lang w:val="en-GB"/>
        </w:rPr>
        <w:t xml:space="preserve">Norton L, </w:t>
      </w:r>
      <w:proofErr w:type="spellStart"/>
      <w:r w:rsidRPr="00944CCB">
        <w:rPr>
          <w:rFonts w:asciiTheme="minorHAnsi" w:hAnsiTheme="minorHAnsi" w:cstheme="minorHAnsi"/>
          <w:color w:val="auto"/>
          <w:sz w:val="22"/>
          <w:szCs w:val="22"/>
          <w:lang w:val="en-GB"/>
        </w:rPr>
        <w:t>Ottoboni</w:t>
      </w:r>
      <w:proofErr w:type="spellEnd"/>
      <w:r w:rsidRPr="00944CCB">
        <w:rPr>
          <w:rFonts w:asciiTheme="minorHAnsi" w:hAnsiTheme="minorHAnsi" w:cstheme="minorHAnsi"/>
          <w:color w:val="auto"/>
          <w:sz w:val="22"/>
          <w:szCs w:val="22"/>
          <w:lang w:val="en-GB"/>
        </w:rPr>
        <w:t xml:space="preserve"> LK, </w:t>
      </w:r>
      <w:proofErr w:type="spellStart"/>
      <w:r w:rsidRPr="00944CCB">
        <w:rPr>
          <w:rFonts w:asciiTheme="minorHAnsi" w:hAnsiTheme="minorHAnsi" w:cstheme="minorHAnsi"/>
          <w:color w:val="auto"/>
          <w:sz w:val="22"/>
          <w:szCs w:val="22"/>
          <w:lang w:val="en-GB"/>
        </w:rPr>
        <w:t>Varady</w:t>
      </w:r>
      <w:proofErr w:type="spellEnd"/>
      <w:r w:rsidRPr="00944CCB">
        <w:rPr>
          <w:rFonts w:asciiTheme="minorHAnsi" w:hAnsiTheme="minorHAnsi" w:cstheme="minorHAnsi"/>
          <w:color w:val="auto"/>
          <w:sz w:val="22"/>
          <w:szCs w:val="22"/>
          <w:lang w:val="en-GB"/>
        </w:rPr>
        <w:t xml:space="preserve"> A, Yang-Lu CY, Becker N, Cotter T, </w:t>
      </w:r>
      <w:proofErr w:type="spellStart"/>
      <w:r w:rsidRPr="00944CCB">
        <w:rPr>
          <w:rFonts w:asciiTheme="minorHAnsi" w:hAnsiTheme="minorHAnsi" w:cstheme="minorHAnsi"/>
          <w:color w:val="auto"/>
          <w:sz w:val="22"/>
          <w:szCs w:val="22"/>
          <w:lang w:val="en-GB"/>
        </w:rPr>
        <w:t>Pummer</w:t>
      </w:r>
      <w:proofErr w:type="spellEnd"/>
      <w:r w:rsidRPr="00944CCB">
        <w:rPr>
          <w:rFonts w:asciiTheme="minorHAnsi" w:hAnsiTheme="minorHAnsi" w:cstheme="minorHAnsi"/>
          <w:color w:val="auto"/>
          <w:sz w:val="22"/>
          <w:szCs w:val="22"/>
          <w:lang w:val="en-GB"/>
        </w:rPr>
        <w:t xml:space="preserve"> E, Haynes A, </w:t>
      </w:r>
      <w:proofErr w:type="spellStart"/>
      <w:r w:rsidRPr="00944CCB">
        <w:rPr>
          <w:rFonts w:asciiTheme="minorHAnsi" w:hAnsiTheme="minorHAnsi" w:cstheme="minorHAnsi"/>
          <w:color w:val="auto"/>
          <w:sz w:val="22"/>
          <w:szCs w:val="22"/>
          <w:lang w:val="en-GB"/>
        </w:rPr>
        <w:t>Forsey</w:t>
      </w:r>
      <w:proofErr w:type="spellEnd"/>
      <w:r w:rsidRPr="00944CCB">
        <w:rPr>
          <w:rFonts w:asciiTheme="minorHAnsi" w:hAnsiTheme="minorHAnsi" w:cstheme="minorHAnsi"/>
          <w:color w:val="auto"/>
          <w:sz w:val="22"/>
          <w:szCs w:val="22"/>
          <w:lang w:val="en-GB"/>
        </w:rPr>
        <w:t xml:space="preserve"> L, Matsuda K, Wang P</w:t>
      </w:r>
      <w:r>
        <w:rPr>
          <w:rFonts w:asciiTheme="minorHAnsi" w:hAnsiTheme="minorHAnsi" w:cstheme="minorHAnsi"/>
          <w:color w:val="auto"/>
          <w:sz w:val="22"/>
          <w:szCs w:val="22"/>
          <w:lang w:val="en-GB"/>
        </w:rPr>
        <w:t xml:space="preserve"> (2013)</w:t>
      </w:r>
      <w:r w:rsidRPr="00944CCB">
        <w:rPr>
          <w:rFonts w:asciiTheme="minorHAnsi" w:hAnsiTheme="minorHAnsi" w:cstheme="minorHAnsi"/>
          <w:color w:val="auto"/>
          <w:sz w:val="22"/>
          <w:szCs w:val="22"/>
          <w:lang w:val="en-GB"/>
        </w:rPr>
        <w:t xml:space="preserve"> Phlebitis in amiodarone administration: incidence, contributing factors, and clinical implications</w:t>
      </w:r>
      <w:r w:rsidRPr="00944CCB">
        <w:rPr>
          <w:rFonts w:asciiTheme="minorHAnsi" w:hAnsiTheme="minorHAnsi" w:cstheme="minorHAnsi"/>
          <w:i/>
          <w:iCs/>
          <w:color w:val="auto"/>
          <w:sz w:val="22"/>
          <w:szCs w:val="22"/>
          <w:lang w:val="en-GB"/>
        </w:rPr>
        <w:t>. American Journal of Critical Care</w:t>
      </w:r>
      <w:r w:rsidRPr="00944CCB">
        <w:rPr>
          <w:rFonts w:asciiTheme="minorHAnsi" w:hAnsiTheme="minorHAnsi" w:cstheme="minorHAnsi"/>
          <w:color w:val="auto"/>
          <w:sz w:val="22"/>
          <w:szCs w:val="22"/>
          <w:lang w:val="en-GB"/>
        </w:rPr>
        <w:t>.</w:t>
      </w:r>
      <w:r>
        <w:rPr>
          <w:rFonts w:asciiTheme="minorHAnsi" w:hAnsiTheme="minorHAnsi" w:cstheme="minorHAnsi"/>
          <w:color w:val="auto"/>
          <w:sz w:val="22"/>
          <w:szCs w:val="22"/>
          <w:lang w:val="en-GB"/>
        </w:rPr>
        <w:t xml:space="preserve"> </w:t>
      </w:r>
      <w:r w:rsidRPr="00944CCB">
        <w:rPr>
          <w:rFonts w:asciiTheme="minorHAnsi" w:hAnsiTheme="minorHAnsi" w:cstheme="minorHAnsi"/>
          <w:color w:val="auto"/>
          <w:sz w:val="22"/>
          <w:szCs w:val="22"/>
          <w:lang w:val="en-GB"/>
        </w:rPr>
        <w:t>22(6):498-505.</w:t>
      </w:r>
    </w:p>
    <w:p w14:paraId="242C7F53" w14:textId="77777777" w:rsidR="00C97B7B" w:rsidRDefault="00C97B7B" w:rsidP="00C97B7B">
      <w:pPr>
        <w:pStyle w:val="reftext"/>
        <w:spacing w:after="0" w:line="259" w:lineRule="auto"/>
        <w:ind w:left="0" w:firstLine="0"/>
        <w:rPr>
          <w:rFonts w:asciiTheme="minorHAnsi" w:hAnsiTheme="minorHAnsi" w:cstheme="minorHAnsi"/>
          <w:color w:val="auto"/>
          <w:sz w:val="22"/>
          <w:szCs w:val="22"/>
        </w:rPr>
      </w:pPr>
    </w:p>
    <w:p w14:paraId="5A1D6798" w14:textId="77777777" w:rsidR="00C97B7B" w:rsidRDefault="00C97B7B" w:rsidP="00C97B7B">
      <w:r>
        <w:t xml:space="preserve">Page RL, </w:t>
      </w:r>
      <w:proofErr w:type="spellStart"/>
      <w:r>
        <w:t>Joglar</w:t>
      </w:r>
      <w:proofErr w:type="spellEnd"/>
      <w:r>
        <w:t xml:space="preserve"> JA, Halperin JL &amp; Levine GN (2015) </w:t>
      </w:r>
      <w:r w:rsidRPr="004F607E">
        <w:t>2015 ACC/AHA/HRS Guideline for the Management of Adult Patients With Supraventricular Tachycardia</w:t>
      </w:r>
      <w:r>
        <w:t xml:space="preserve">, </w:t>
      </w:r>
      <w:r w:rsidRPr="004F607E">
        <w:rPr>
          <w:i/>
        </w:rPr>
        <w:t>Circulation</w:t>
      </w:r>
      <w:r>
        <w:t xml:space="preserve">, </w:t>
      </w:r>
      <w:hyperlink r:id="rId13" w:history="1">
        <w:r w:rsidRPr="00813FBC">
          <w:rPr>
            <w:rStyle w:val="Hyperlink"/>
          </w:rPr>
          <w:t>http://dx.doi.org/10.1016/j.hrthm.2015.09.019</w:t>
        </w:r>
      </w:hyperlink>
      <w:r>
        <w:t xml:space="preserve"> </w:t>
      </w:r>
    </w:p>
    <w:p w14:paraId="351C2742"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141ADE2E" w14:textId="77777777" w:rsidR="00C97B7B" w:rsidRPr="00113DCB" w:rsidRDefault="00C97B7B" w:rsidP="00C97B7B">
      <w:pPr>
        <w:pStyle w:val="reftext"/>
        <w:spacing w:after="0" w:line="259" w:lineRule="auto"/>
        <w:ind w:left="0" w:firstLine="0"/>
        <w:rPr>
          <w:rFonts w:asciiTheme="minorHAnsi" w:hAnsiTheme="minorHAnsi" w:cstheme="minorHAnsi"/>
          <w:color w:val="auto"/>
          <w:sz w:val="22"/>
          <w:szCs w:val="22"/>
        </w:rPr>
      </w:pPr>
      <w:r w:rsidRPr="00113DCB">
        <w:rPr>
          <w:rFonts w:asciiTheme="minorHAnsi" w:hAnsiTheme="minorHAnsi" w:cstheme="minorHAnsi"/>
          <w:color w:val="auto"/>
          <w:sz w:val="22"/>
          <w:szCs w:val="22"/>
        </w:rPr>
        <w:t>Pitcher D, Nolan J</w:t>
      </w:r>
      <w:r>
        <w:rPr>
          <w:rFonts w:asciiTheme="minorHAnsi" w:hAnsiTheme="minorHAnsi" w:cstheme="minorHAnsi"/>
          <w:color w:val="auto"/>
          <w:sz w:val="22"/>
          <w:szCs w:val="22"/>
        </w:rPr>
        <w:t xml:space="preserve"> (2015)</w:t>
      </w:r>
      <w:r w:rsidRPr="00113DCB">
        <w:rPr>
          <w:rFonts w:asciiTheme="minorHAnsi" w:hAnsiTheme="minorHAnsi" w:cstheme="minorHAnsi"/>
          <w:color w:val="auto"/>
          <w:sz w:val="22"/>
          <w:szCs w:val="22"/>
        </w:rPr>
        <w:t xml:space="preserve"> </w:t>
      </w:r>
      <w:r w:rsidRPr="00113DCB">
        <w:rPr>
          <w:rFonts w:asciiTheme="minorHAnsi" w:hAnsiTheme="minorHAnsi" w:cstheme="minorHAnsi"/>
          <w:i/>
          <w:iCs/>
          <w:color w:val="auto"/>
          <w:sz w:val="22"/>
          <w:szCs w:val="22"/>
        </w:rPr>
        <w:t xml:space="preserve">Peri-arrest arrhythmias. </w:t>
      </w:r>
      <w:r w:rsidRPr="00113DCB">
        <w:rPr>
          <w:rFonts w:asciiTheme="minorHAnsi" w:hAnsiTheme="minorHAnsi" w:cstheme="minorHAnsi"/>
          <w:color w:val="auto"/>
          <w:sz w:val="22"/>
          <w:szCs w:val="22"/>
        </w:rPr>
        <w:t xml:space="preserve">Resuscitation Council UK, </w:t>
      </w:r>
      <w:proofErr w:type="gramStart"/>
      <w:r w:rsidRPr="00113DCB">
        <w:rPr>
          <w:rFonts w:asciiTheme="minorHAnsi" w:hAnsiTheme="minorHAnsi" w:cstheme="minorHAnsi"/>
          <w:color w:val="auto"/>
          <w:sz w:val="22"/>
          <w:szCs w:val="22"/>
        </w:rPr>
        <w:t>London.</w:t>
      </w:r>
      <w:r>
        <w:rPr>
          <w:rFonts w:asciiTheme="minorHAnsi" w:hAnsiTheme="minorHAnsi" w:cstheme="minorHAnsi"/>
          <w:color w:val="auto"/>
          <w:sz w:val="22"/>
          <w:szCs w:val="22"/>
        </w:rPr>
        <w:t>.</w:t>
      </w:r>
      <w:proofErr w:type="gramEnd"/>
    </w:p>
    <w:p w14:paraId="65CA3DF6"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1AB7E980" w14:textId="77777777" w:rsidR="00C97B7B" w:rsidRDefault="00C97B7B" w:rsidP="00C97B7B">
      <w:pPr>
        <w:pStyle w:val="reftext"/>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Priori SG,</w:t>
      </w:r>
      <w:r w:rsidRPr="005D57E6">
        <w:rPr>
          <w:rFonts w:asciiTheme="minorHAnsi" w:hAnsiTheme="minorHAnsi" w:cstheme="minorHAnsi"/>
          <w:color w:val="auto"/>
          <w:sz w:val="22"/>
          <w:szCs w:val="22"/>
          <w:lang w:val="en-GB"/>
        </w:rPr>
        <w:t xml:space="preserve"> </w:t>
      </w:r>
      <w:proofErr w:type="spellStart"/>
      <w:r w:rsidRPr="005D57E6">
        <w:rPr>
          <w:rFonts w:asciiTheme="minorHAnsi" w:hAnsiTheme="minorHAnsi" w:cstheme="minorHAnsi"/>
          <w:color w:val="auto"/>
          <w:sz w:val="22"/>
          <w:szCs w:val="22"/>
          <w:lang w:val="en-GB"/>
        </w:rPr>
        <w:t>Blomstrom</w:t>
      </w:r>
      <w:proofErr w:type="spellEnd"/>
      <w:r w:rsidRPr="005D57E6">
        <w:rPr>
          <w:rFonts w:asciiTheme="minorHAnsi" w:hAnsiTheme="minorHAnsi" w:cstheme="minorHAnsi"/>
          <w:color w:val="auto"/>
          <w:sz w:val="22"/>
          <w:szCs w:val="22"/>
          <w:lang w:val="en-GB"/>
        </w:rPr>
        <w:t>-Lundqvist</w:t>
      </w:r>
      <w:r>
        <w:rPr>
          <w:rFonts w:asciiTheme="minorHAnsi" w:hAnsiTheme="minorHAnsi" w:cstheme="minorHAnsi"/>
          <w:color w:val="auto"/>
          <w:sz w:val="22"/>
          <w:szCs w:val="22"/>
          <w:lang w:val="en-GB"/>
        </w:rPr>
        <w:t xml:space="preserve"> C, </w:t>
      </w:r>
      <w:proofErr w:type="spellStart"/>
      <w:r w:rsidRPr="005D57E6">
        <w:rPr>
          <w:rFonts w:asciiTheme="minorHAnsi" w:hAnsiTheme="minorHAnsi" w:cstheme="minorHAnsi"/>
          <w:color w:val="auto"/>
          <w:sz w:val="22"/>
          <w:szCs w:val="22"/>
          <w:lang w:val="en-GB"/>
        </w:rPr>
        <w:t>Mazzanti</w:t>
      </w:r>
      <w:proofErr w:type="spellEnd"/>
      <w:r>
        <w:rPr>
          <w:rFonts w:asciiTheme="minorHAnsi" w:hAnsiTheme="minorHAnsi" w:cstheme="minorHAnsi"/>
          <w:color w:val="auto"/>
          <w:sz w:val="22"/>
          <w:szCs w:val="22"/>
          <w:lang w:val="en-GB"/>
        </w:rPr>
        <w:t xml:space="preserve"> A, </w:t>
      </w:r>
      <w:proofErr w:type="spellStart"/>
      <w:r w:rsidRPr="005D57E6">
        <w:rPr>
          <w:rFonts w:asciiTheme="minorHAnsi" w:hAnsiTheme="minorHAnsi" w:cstheme="minorHAnsi"/>
          <w:color w:val="auto"/>
          <w:sz w:val="22"/>
          <w:szCs w:val="22"/>
          <w:lang w:val="en-GB"/>
        </w:rPr>
        <w:t>Bloma</w:t>
      </w:r>
      <w:proofErr w:type="spellEnd"/>
      <w:r>
        <w:rPr>
          <w:rFonts w:asciiTheme="minorHAnsi" w:hAnsiTheme="minorHAnsi" w:cstheme="minorHAnsi"/>
          <w:color w:val="auto"/>
          <w:sz w:val="22"/>
          <w:szCs w:val="22"/>
          <w:lang w:val="en-GB"/>
        </w:rPr>
        <w:t xml:space="preserve"> N, </w:t>
      </w:r>
      <w:proofErr w:type="spellStart"/>
      <w:r w:rsidRPr="005D57E6">
        <w:rPr>
          <w:rFonts w:asciiTheme="minorHAnsi" w:hAnsiTheme="minorHAnsi" w:cstheme="minorHAnsi"/>
          <w:color w:val="auto"/>
          <w:sz w:val="22"/>
          <w:szCs w:val="22"/>
          <w:lang w:val="en-GB"/>
        </w:rPr>
        <w:t>Borggrefe</w:t>
      </w:r>
      <w:proofErr w:type="spellEnd"/>
      <w:r>
        <w:rPr>
          <w:rFonts w:asciiTheme="minorHAnsi" w:hAnsiTheme="minorHAnsi" w:cstheme="minorHAnsi"/>
          <w:color w:val="auto"/>
          <w:sz w:val="22"/>
          <w:szCs w:val="22"/>
          <w:lang w:val="en-GB"/>
        </w:rPr>
        <w:t xml:space="preserve"> M, </w:t>
      </w:r>
      <w:proofErr w:type="spellStart"/>
      <w:r w:rsidRPr="005D57E6">
        <w:rPr>
          <w:rFonts w:asciiTheme="minorHAnsi" w:hAnsiTheme="minorHAnsi" w:cstheme="minorHAnsi"/>
          <w:color w:val="auto"/>
          <w:sz w:val="22"/>
          <w:szCs w:val="22"/>
          <w:lang w:val="en-GB"/>
        </w:rPr>
        <w:t>Camm</w:t>
      </w:r>
      <w:proofErr w:type="spellEnd"/>
      <w:r w:rsidRPr="005D57E6">
        <w:rPr>
          <w:rFonts w:asciiTheme="minorHAnsi" w:hAnsiTheme="minorHAnsi" w:cstheme="minorHAnsi"/>
          <w:color w:val="auto"/>
          <w:sz w:val="22"/>
          <w:szCs w:val="22"/>
          <w:lang w:val="en-GB"/>
        </w:rPr>
        <w:t xml:space="preserve"> </w:t>
      </w:r>
      <w:r>
        <w:rPr>
          <w:rFonts w:asciiTheme="minorHAnsi" w:hAnsiTheme="minorHAnsi" w:cstheme="minorHAnsi"/>
          <w:color w:val="auto"/>
          <w:sz w:val="22"/>
          <w:szCs w:val="22"/>
          <w:lang w:val="en-GB"/>
        </w:rPr>
        <w:t xml:space="preserve">J, </w:t>
      </w:r>
      <w:r w:rsidRPr="005D57E6">
        <w:rPr>
          <w:rFonts w:asciiTheme="minorHAnsi" w:hAnsiTheme="minorHAnsi" w:cstheme="minorHAnsi"/>
          <w:color w:val="auto"/>
          <w:sz w:val="22"/>
          <w:szCs w:val="22"/>
          <w:lang w:val="en-GB"/>
        </w:rPr>
        <w:t>Elliott</w:t>
      </w:r>
      <w:r>
        <w:rPr>
          <w:rFonts w:asciiTheme="minorHAnsi" w:hAnsiTheme="minorHAnsi" w:cstheme="minorHAnsi"/>
          <w:color w:val="auto"/>
          <w:sz w:val="22"/>
          <w:szCs w:val="22"/>
          <w:lang w:val="en-GB"/>
        </w:rPr>
        <w:t xml:space="preserve"> PM, </w:t>
      </w:r>
      <w:r w:rsidRPr="005D57E6">
        <w:rPr>
          <w:rFonts w:asciiTheme="minorHAnsi" w:hAnsiTheme="minorHAnsi" w:cstheme="minorHAnsi"/>
          <w:color w:val="auto"/>
          <w:sz w:val="22"/>
          <w:szCs w:val="22"/>
          <w:lang w:val="en-GB"/>
        </w:rPr>
        <w:t>Fitzsimons</w:t>
      </w:r>
      <w:r>
        <w:rPr>
          <w:rFonts w:asciiTheme="minorHAnsi" w:hAnsiTheme="minorHAnsi" w:cstheme="minorHAnsi"/>
          <w:color w:val="auto"/>
          <w:sz w:val="22"/>
          <w:szCs w:val="22"/>
          <w:lang w:val="en-GB"/>
        </w:rPr>
        <w:t xml:space="preserve"> </w:t>
      </w:r>
    </w:p>
    <w:p w14:paraId="1C8592E4" w14:textId="77777777" w:rsidR="00C97B7B" w:rsidRDefault="00C97B7B" w:rsidP="00C97B7B">
      <w:pPr>
        <w:pStyle w:val="reftext"/>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 xml:space="preserve">D, </w:t>
      </w:r>
      <w:r w:rsidRPr="005D57E6">
        <w:rPr>
          <w:rFonts w:asciiTheme="minorHAnsi" w:hAnsiTheme="minorHAnsi" w:cstheme="minorHAnsi"/>
          <w:color w:val="auto"/>
          <w:sz w:val="22"/>
          <w:szCs w:val="22"/>
          <w:lang w:val="en-GB"/>
        </w:rPr>
        <w:t xml:space="preserve"> </w:t>
      </w:r>
      <w:proofErr w:type="spellStart"/>
      <w:r w:rsidRPr="005D57E6">
        <w:rPr>
          <w:rFonts w:asciiTheme="minorHAnsi" w:hAnsiTheme="minorHAnsi" w:cstheme="minorHAnsi"/>
          <w:color w:val="auto"/>
          <w:sz w:val="22"/>
          <w:szCs w:val="22"/>
          <w:lang w:val="en-GB"/>
        </w:rPr>
        <w:t>Hatala</w:t>
      </w:r>
      <w:proofErr w:type="spellEnd"/>
      <w:r>
        <w:rPr>
          <w:rFonts w:asciiTheme="minorHAnsi" w:hAnsiTheme="minorHAnsi" w:cstheme="minorHAnsi"/>
          <w:color w:val="auto"/>
          <w:sz w:val="22"/>
          <w:szCs w:val="22"/>
          <w:lang w:val="en-GB"/>
        </w:rPr>
        <w:t xml:space="preserve"> R, </w:t>
      </w:r>
      <w:proofErr w:type="spellStart"/>
      <w:r w:rsidRPr="005D57E6">
        <w:rPr>
          <w:rFonts w:asciiTheme="minorHAnsi" w:hAnsiTheme="minorHAnsi" w:cstheme="minorHAnsi"/>
          <w:color w:val="auto"/>
          <w:sz w:val="22"/>
          <w:szCs w:val="22"/>
          <w:lang w:val="en-GB"/>
        </w:rPr>
        <w:t>Hindricks</w:t>
      </w:r>
      <w:proofErr w:type="spellEnd"/>
      <w:r>
        <w:rPr>
          <w:rFonts w:asciiTheme="minorHAnsi" w:hAnsiTheme="minorHAnsi" w:cstheme="minorHAnsi"/>
          <w:color w:val="auto"/>
          <w:sz w:val="22"/>
          <w:szCs w:val="22"/>
          <w:lang w:val="en-GB"/>
        </w:rPr>
        <w:t xml:space="preserve"> G, </w:t>
      </w:r>
      <w:proofErr w:type="spellStart"/>
      <w:r w:rsidRPr="005D57E6">
        <w:rPr>
          <w:rFonts w:asciiTheme="minorHAnsi" w:hAnsiTheme="minorHAnsi" w:cstheme="minorHAnsi"/>
          <w:color w:val="auto"/>
          <w:sz w:val="22"/>
          <w:szCs w:val="22"/>
          <w:lang w:val="en-GB"/>
        </w:rPr>
        <w:t>Kirchhof</w:t>
      </w:r>
      <w:proofErr w:type="spellEnd"/>
      <w:r>
        <w:rPr>
          <w:rFonts w:asciiTheme="minorHAnsi" w:hAnsiTheme="minorHAnsi" w:cstheme="minorHAnsi"/>
          <w:color w:val="auto"/>
          <w:sz w:val="22"/>
          <w:szCs w:val="22"/>
          <w:lang w:val="en-GB"/>
        </w:rPr>
        <w:t xml:space="preserve"> P, </w:t>
      </w:r>
      <w:r w:rsidRPr="005D57E6">
        <w:rPr>
          <w:rFonts w:asciiTheme="minorHAnsi" w:hAnsiTheme="minorHAnsi" w:cstheme="minorHAnsi"/>
          <w:color w:val="auto"/>
          <w:sz w:val="22"/>
          <w:szCs w:val="22"/>
          <w:lang w:val="en-GB"/>
        </w:rPr>
        <w:t>Kjeldsen</w:t>
      </w:r>
      <w:r>
        <w:rPr>
          <w:rFonts w:asciiTheme="minorHAnsi" w:hAnsiTheme="minorHAnsi" w:cstheme="minorHAnsi"/>
          <w:color w:val="auto"/>
          <w:sz w:val="22"/>
          <w:szCs w:val="22"/>
          <w:lang w:val="en-GB"/>
        </w:rPr>
        <w:t xml:space="preserve"> K, </w:t>
      </w:r>
      <w:proofErr w:type="spellStart"/>
      <w:r w:rsidRPr="005D57E6">
        <w:rPr>
          <w:rFonts w:asciiTheme="minorHAnsi" w:hAnsiTheme="minorHAnsi" w:cstheme="minorHAnsi"/>
          <w:color w:val="auto"/>
          <w:sz w:val="22"/>
          <w:szCs w:val="22"/>
          <w:lang w:val="en-GB"/>
        </w:rPr>
        <w:t>Kuck</w:t>
      </w:r>
      <w:proofErr w:type="spellEnd"/>
      <w:r w:rsidRPr="005D57E6">
        <w:rPr>
          <w:rFonts w:asciiTheme="minorHAnsi" w:hAnsiTheme="minorHAnsi" w:cstheme="minorHAnsi"/>
          <w:color w:val="auto"/>
          <w:sz w:val="22"/>
          <w:szCs w:val="22"/>
          <w:lang w:val="en-GB"/>
        </w:rPr>
        <w:t xml:space="preserve"> </w:t>
      </w:r>
      <w:r>
        <w:rPr>
          <w:rFonts w:asciiTheme="minorHAnsi" w:hAnsiTheme="minorHAnsi" w:cstheme="minorHAnsi"/>
          <w:color w:val="auto"/>
          <w:sz w:val="22"/>
          <w:szCs w:val="22"/>
          <w:lang w:val="en-GB"/>
        </w:rPr>
        <w:t xml:space="preserve">KH, </w:t>
      </w:r>
      <w:r w:rsidRPr="005D57E6">
        <w:rPr>
          <w:rFonts w:asciiTheme="minorHAnsi" w:hAnsiTheme="minorHAnsi" w:cstheme="minorHAnsi"/>
          <w:color w:val="auto"/>
          <w:sz w:val="22"/>
          <w:szCs w:val="22"/>
          <w:lang w:val="en-GB"/>
        </w:rPr>
        <w:t>Hernandez-Madrid</w:t>
      </w:r>
      <w:r>
        <w:rPr>
          <w:rFonts w:asciiTheme="minorHAnsi" w:hAnsiTheme="minorHAnsi" w:cstheme="minorHAnsi"/>
          <w:color w:val="auto"/>
          <w:sz w:val="22"/>
          <w:szCs w:val="22"/>
          <w:lang w:val="en-GB"/>
        </w:rPr>
        <w:t xml:space="preserve"> A, </w:t>
      </w:r>
      <w:r w:rsidRPr="005D57E6">
        <w:rPr>
          <w:rFonts w:asciiTheme="minorHAnsi" w:hAnsiTheme="minorHAnsi" w:cstheme="minorHAnsi"/>
          <w:color w:val="auto"/>
          <w:sz w:val="22"/>
          <w:szCs w:val="22"/>
          <w:lang w:val="en-GB"/>
        </w:rPr>
        <w:t>Nikolaou</w:t>
      </w:r>
      <w:r>
        <w:rPr>
          <w:rFonts w:asciiTheme="minorHAnsi" w:hAnsiTheme="minorHAnsi" w:cstheme="minorHAnsi"/>
          <w:color w:val="auto"/>
          <w:sz w:val="22"/>
          <w:szCs w:val="22"/>
          <w:lang w:val="en-GB"/>
        </w:rPr>
        <w:t xml:space="preserve"> N, </w:t>
      </w:r>
    </w:p>
    <w:p w14:paraId="4B6101EE" w14:textId="77777777" w:rsidR="00C97B7B" w:rsidRDefault="00C97B7B" w:rsidP="00C97B7B">
      <w:pPr>
        <w:pStyle w:val="reftext"/>
        <w:rPr>
          <w:rFonts w:asciiTheme="minorHAnsi" w:hAnsiTheme="minorHAnsi" w:cstheme="minorHAnsi"/>
          <w:color w:val="auto"/>
          <w:sz w:val="22"/>
          <w:szCs w:val="22"/>
        </w:rPr>
      </w:pPr>
      <w:proofErr w:type="spellStart"/>
      <w:r w:rsidRPr="005D57E6">
        <w:rPr>
          <w:rFonts w:asciiTheme="minorHAnsi" w:hAnsiTheme="minorHAnsi" w:cstheme="minorHAnsi"/>
          <w:color w:val="auto"/>
          <w:sz w:val="22"/>
          <w:szCs w:val="22"/>
          <w:lang w:val="en-GB"/>
        </w:rPr>
        <w:t>Norekva</w:t>
      </w:r>
      <w:proofErr w:type="spellEnd"/>
      <w:r>
        <w:rPr>
          <w:rFonts w:asciiTheme="minorHAnsi" w:hAnsiTheme="minorHAnsi" w:cstheme="minorHAnsi"/>
          <w:color w:val="auto"/>
          <w:sz w:val="22"/>
          <w:szCs w:val="22"/>
          <w:lang w:val="en-GB"/>
        </w:rPr>
        <w:t xml:space="preserve"> TM, </w:t>
      </w:r>
      <w:r w:rsidRPr="005D57E6">
        <w:rPr>
          <w:rFonts w:asciiTheme="minorHAnsi" w:hAnsiTheme="minorHAnsi" w:cstheme="minorHAnsi"/>
          <w:color w:val="auto"/>
          <w:sz w:val="22"/>
          <w:szCs w:val="22"/>
          <w:lang w:val="en-GB"/>
        </w:rPr>
        <w:t xml:space="preserve">Spaulding </w:t>
      </w:r>
      <w:r>
        <w:rPr>
          <w:rFonts w:asciiTheme="minorHAnsi" w:hAnsiTheme="minorHAnsi" w:cstheme="minorHAnsi"/>
          <w:color w:val="auto"/>
          <w:sz w:val="22"/>
          <w:szCs w:val="22"/>
          <w:lang w:val="en-GB"/>
        </w:rPr>
        <w:t xml:space="preserve">C, </w:t>
      </w:r>
      <w:r w:rsidRPr="005D57E6">
        <w:rPr>
          <w:rFonts w:asciiTheme="minorHAnsi" w:hAnsiTheme="minorHAnsi" w:cstheme="minorHAnsi"/>
          <w:color w:val="auto"/>
          <w:sz w:val="22"/>
          <w:szCs w:val="22"/>
          <w:lang w:val="en-GB"/>
        </w:rPr>
        <w:t xml:space="preserve">Van </w:t>
      </w:r>
      <w:proofErr w:type="spellStart"/>
      <w:r w:rsidRPr="005D57E6">
        <w:rPr>
          <w:rFonts w:asciiTheme="minorHAnsi" w:hAnsiTheme="minorHAnsi" w:cstheme="minorHAnsi"/>
          <w:color w:val="auto"/>
          <w:sz w:val="22"/>
          <w:szCs w:val="22"/>
          <w:lang w:val="en-GB"/>
        </w:rPr>
        <w:t>Veldhuisen</w:t>
      </w:r>
      <w:proofErr w:type="spellEnd"/>
      <w:r>
        <w:rPr>
          <w:rFonts w:asciiTheme="minorHAnsi" w:hAnsiTheme="minorHAnsi" w:cstheme="minorHAnsi"/>
          <w:color w:val="auto"/>
          <w:sz w:val="22"/>
          <w:szCs w:val="22"/>
          <w:lang w:val="en-GB"/>
        </w:rPr>
        <w:t xml:space="preserve"> DJ (2015) </w:t>
      </w:r>
      <w:r w:rsidRPr="005D57E6">
        <w:rPr>
          <w:rFonts w:asciiTheme="minorHAnsi" w:hAnsiTheme="minorHAnsi" w:cstheme="minorHAnsi"/>
          <w:color w:val="auto"/>
          <w:sz w:val="22"/>
          <w:szCs w:val="22"/>
        </w:rPr>
        <w:t xml:space="preserve">2015 ESC Guidelines for the management of </w:t>
      </w:r>
    </w:p>
    <w:p w14:paraId="6393DDC7" w14:textId="77777777" w:rsidR="00C97B7B" w:rsidRDefault="00C97B7B" w:rsidP="00C97B7B">
      <w:pPr>
        <w:pStyle w:val="reftext"/>
        <w:rPr>
          <w:rFonts w:asciiTheme="minorHAnsi" w:hAnsiTheme="minorHAnsi" w:cstheme="minorHAnsi"/>
          <w:color w:val="auto"/>
          <w:sz w:val="22"/>
          <w:szCs w:val="22"/>
        </w:rPr>
      </w:pPr>
      <w:r w:rsidRPr="005D57E6">
        <w:rPr>
          <w:rFonts w:asciiTheme="minorHAnsi" w:hAnsiTheme="minorHAnsi" w:cstheme="minorHAnsi"/>
          <w:color w:val="auto"/>
          <w:sz w:val="22"/>
          <w:szCs w:val="22"/>
        </w:rPr>
        <w:t>patients with ventricular Arrhythmias</w:t>
      </w:r>
      <w:r>
        <w:rPr>
          <w:rFonts w:asciiTheme="minorHAnsi" w:hAnsiTheme="minorHAnsi" w:cstheme="minorHAnsi"/>
          <w:color w:val="auto"/>
          <w:sz w:val="22"/>
          <w:szCs w:val="22"/>
        </w:rPr>
        <w:t xml:space="preserve"> </w:t>
      </w:r>
      <w:r w:rsidRPr="005D57E6">
        <w:rPr>
          <w:rFonts w:asciiTheme="minorHAnsi" w:hAnsiTheme="minorHAnsi" w:cstheme="minorHAnsi"/>
          <w:color w:val="auto"/>
          <w:sz w:val="22"/>
          <w:szCs w:val="22"/>
        </w:rPr>
        <w:t>and the prevention of sudden cardiac death: The Task Force</w:t>
      </w:r>
    </w:p>
    <w:p w14:paraId="3AAFFEB9" w14:textId="77777777" w:rsidR="00C97B7B" w:rsidRDefault="00C97B7B" w:rsidP="00C97B7B">
      <w:pPr>
        <w:pStyle w:val="reftext"/>
        <w:rPr>
          <w:rFonts w:asciiTheme="minorHAnsi" w:hAnsiTheme="minorHAnsi" w:cstheme="minorHAnsi"/>
          <w:color w:val="auto"/>
          <w:sz w:val="22"/>
          <w:szCs w:val="22"/>
        </w:rPr>
      </w:pPr>
      <w:r w:rsidRPr="005D57E6">
        <w:rPr>
          <w:rFonts w:asciiTheme="minorHAnsi" w:hAnsiTheme="minorHAnsi" w:cstheme="minorHAnsi"/>
          <w:color w:val="auto"/>
          <w:sz w:val="22"/>
          <w:szCs w:val="22"/>
        </w:rPr>
        <w:t>for the Management of</w:t>
      </w:r>
      <w:r>
        <w:rPr>
          <w:rFonts w:asciiTheme="minorHAnsi" w:hAnsiTheme="minorHAnsi" w:cstheme="minorHAnsi"/>
          <w:color w:val="auto"/>
          <w:sz w:val="22"/>
          <w:szCs w:val="22"/>
        </w:rPr>
        <w:t xml:space="preserve"> </w:t>
      </w:r>
      <w:r w:rsidRPr="005D57E6">
        <w:rPr>
          <w:rFonts w:asciiTheme="minorHAnsi" w:hAnsiTheme="minorHAnsi" w:cstheme="minorHAnsi"/>
          <w:color w:val="auto"/>
          <w:sz w:val="22"/>
          <w:szCs w:val="22"/>
        </w:rPr>
        <w:t>Patients with</w:t>
      </w:r>
      <w:r>
        <w:rPr>
          <w:rFonts w:asciiTheme="minorHAnsi" w:hAnsiTheme="minorHAnsi" w:cstheme="minorHAnsi"/>
          <w:color w:val="auto"/>
          <w:sz w:val="22"/>
          <w:szCs w:val="22"/>
        </w:rPr>
        <w:t xml:space="preserve"> </w:t>
      </w:r>
      <w:r w:rsidRPr="005D57E6">
        <w:rPr>
          <w:rFonts w:asciiTheme="minorHAnsi" w:hAnsiTheme="minorHAnsi" w:cstheme="minorHAnsi"/>
          <w:color w:val="auto"/>
          <w:sz w:val="22"/>
          <w:szCs w:val="22"/>
        </w:rPr>
        <w:t>Ventricular Arrhythmias and the Prevention of Sudden Cardiac</w:t>
      </w:r>
    </w:p>
    <w:p w14:paraId="0CCBDA79" w14:textId="77777777" w:rsidR="00C97B7B" w:rsidRDefault="00C97B7B" w:rsidP="00C97B7B">
      <w:pPr>
        <w:pStyle w:val="reftext"/>
        <w:rPr>
          <w:rFonts w:asciiTheme="minorHAnsi" w:hAnsiTheme="minorHAnsi" w:cstheme="minorHAnsi"/>
          <w:color w:val="auto"/>
          <w:sz w:val="22"/>
          <w:szCs w:val="22"/>
          <w:lang w:val="en-GB"/>
        </w:rPr>
      </w:pPr>
      <w:r w:rsidRPr="005D57E6">
        <w:rPr>
          <w:rFonts w:asciiTheme="minorHAnsi" w:hAnsiTheme="minorHAnsi" w:cstheme="minorHAnsi"/>
          <w:color w:val="auto"/>
          <w:sz w:val="22"/>
          <w:szCs w:val="22"/>
        </w:rPr>
        <w:t>Death of the European Society of Cardiology (ESC)</w:t>
      </w:r>
      <w:r>
        <w:rPr>
          <w:rFonts w:asciiTheme="minorHAnsi" w:hAnsiTheme="minorHAnsi" w:cstheme="minorHAnsi"/>
          <w:color w:val="auto"/>
          <w:sz w:val="22"/>
          <w:szCs w:val="22"/>
        </w:rPr>
        <w:t xml:space="preserve">, </w:t>
      </w:r>
      <w:r w:rsidRPr="005D57E6">
        <w:rPr>
          <w:rFonts w:asciiTheme="minorHAnsi" w:hAnsiTheme="minorHAnsi" w:cstheme="minorHAnsi"/>
          <w:i/>
          <w:iCs/>
          <w:color w:val="auto"/>
          <w:sz w:val="22"/>
          <w:szCs w:val="22"/>
          <w:lang w:val="en-GB"/>
        </w:rPr>
        <w:t>European Heart Journal</w:t>
      </w:r>
      <w:r>
        <w:rPr>
          <w:rFonts w:asciiTheme="minorHAnsi" w:hAnsiTheme="minorHAnsi" w:cstheme="minorHAnsi"/>
          <w:color w:val="auto"/>
          <w:sz w:val="22"/>
          <w:szCs w:val="22"/>
          <w:lang w:val="en-GB"/>
        </w:rPr>
        <w:t xml:space="preserve">, </w:t>
      </w:r>
      <w:r w:rsidRPr="005D57E6">
        <w:rPr>
          <w:rFonts w:asciiTheme="minorHAnsi" w:hAnsiTheme="minorHAnsi" w:cstheme="minorHAnsi"/>
          <w:color w:val="auto"/>
          <w:sz w:val="22"/>
          <w:szCs w:val="22"/>
          <w:lang w:val="en-GB"/>
        </w:rPr>
        <w:t>36, 2793–2867</w:t>
      </w:r>
      <w:r>
        <w:rPr>
          <w:rFonts w:asciiTheme="minorHAnsi" w:hAnsiTheme="minorHAnsi" w:cstheme="minorHAnsi"/>
          <w:color w:val="auto"/>
          <w:sz w:val="22"/>
          <w:szCs w:val="22"/>
          <w:lang w:val="en-GB"/>
        </w:rPr>
        <w:t>.</w:t>
      </w:r>
    </w:p>
    <w:p w14:paraId="3C4DAF38"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r w:rsidRPr="00C80A87">
        <w:rPr>
          <w:rFonts w:asciiTheme="minorHAnsi" w:hAnsiTheme="minorHAnsi" w:cstheme="minorHAnsi"/>
          <w:color w:val="auto"/>
          <w:sz w:val="22"/>
          <w:szCs w:val="22"/>
          <w:lang w:val="en-GB"/>
        </w:rPr>
        <w:lastRenderedPageBreak/>
        <w:t xml:space="preserve">Resuscitation Council UK (2016) </w:t>
      </w:r>
      <w:r w:rsidRPr="00C80A87">
        <w:rPr>
          <w:rFonts w:asciiTheme="minorHAnsi" w:hAnsiTheme="minorHAnsi" w:cstheme="minorHAnsi"/>
          <w:i/>
          <w:iCs/>
          <w:color w:val="auto"/>
          <w:sz w:val="22"/>
          <w:szCs w:val="22"/>
          <w:lang w:val="en-GB"/>
        </w:rPr>
        <w:t>Advanced Life Support</w:t>
      </w:r>
      <w:r w:rsidRPr="00C80A87">
        <w:rPr>
          <w:rFonts w:asciiTheme="minorHAnsi" w:hAnsiTheme="minorHAnsi" w:cstheme="minorHAnsi"/>
          <w:color w:val="auto"/>
          <w:sz w:val="22"/>
          <w:szCs w:val="22"/>
          <w:lang w:val="en-GB"/>
        </w:rPr>
        <w:t>, 7th edition, London; Resuscitation Council UK.</w:t>
      </w:r>
    </w:p>
    <w:p w14:paraId="0B47CCB1"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5C845181"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r w:rsidRPr="00113DCB">
        <w:rPr>
          <w:rFonts w:asciiTheme="minorHAnsi" w:hAnsiTheme="minorHAnsi" w:cstheme="minorHAnsi"/>
          <w:color w:val="auto"/>
          <w:sz w:val="22"/>
          <w:szCs w:val="22"/>
          <w:lang w:val="en-GB"/>
        </w:rPr>
        <w:t>Sandau KE, Funk M, Auerbach A et al</w:t>
      </w:r>
      <w:r>
        <w:rPr>
          <w:rFonts w:asciiTheme="minorHAnsi" w:hAnsiTheme="minorHAnsi" w:cstheme="minorHAnsi"/>
          <w:color w:val="auto"/>
          <w:sz w:val="22"/>
          <w:szCs w:val="22"/>
          <w:lang w:val="en-GB"/>
        </w:rPr>
        <w:t xml:space="preserve"> (2017)</w:t>
      </w:r>
      <w:r w:rsidRPr="00113DCB">
        <w:rPr>
          <w:rFonts w:asciiTheme="minorHAnsi" w:hAnsiTheme="minorHAnsi" w:cstheme="minorHAnsi"/>
          <w:color w:val="auto"/>
          <w:sz w:val="22"/>
          <w:szCs w:val="22"/>
          <w:lang w:val="en-GB"/>
        </w:rPr>
        <w:t xml:space="preserve"> Update to Practice Standards for Electrocardiographic Monitoring in Hospital Settings: A Scientific Statement From the American Heart Association, </w:t>
      </w:r>
      <w:r w:rsidRPr="00113DCB">
        <w:rPr>
          <w:rFonts w:asciiTheme="minorHAnsi" w:hAnsiTheme="minorHAnsi" w:cstheme="minorHAnsi"/>
          <w:i/>
          <w:color w:val="auto"/>
          <w:sz w:val="22"/>
          <w:szCs w:val="22"/>
          <w:lang w:val="en-GB"/>
        </w:rPr>
        <w:t>Circulation</w:t>
      </w:r>
      <w:r>
        <w:rPr>
          <w:rFonts w:asciiTheme="minorHAnsi" w:hAnsiTheme="minorHAnsi" w:cstheme="minorHAnsi"/>
          <w:i/>
          <w:color w:val="auto"/>
          <w:sz w:val="22"/>
          <w:szCs w:val="22"/>
          <w:lang w:val="en-GB"/>
        </w:rPr>
        <w:t xml:space="preserve">, </w:t>
      </w:r>
      <w:r w:rsidRPr="00113DCB">
        <w:rPr>
          <w:rFonts w:asciiTheme="minorHAnsi" w:hAnsiTheme="minorHAnsi" w:cstheme="minorHAnsi"/>
          <w:color w:val="auto"/>
          <w:sz w:val="22"/>
          <w:szCs w:val="22"/>
          <w:lang w:val="en-GB"/>
        </w:rPr>
        <w:t>136:e273–e344.</w:t>
      </w:r>
    </w:p>
    <w:p w14:paraId="5B37AC56" w14:textId="77777777" w:rsidR="00C97B7B" w:rsidRDefault="00C97B7B" w:rsidP="00C97B7B">
      <w:pPr>
        <w:spacing w:after="0"/>
      </w:pPr>
    </w:p>
    <w:p w14:paraId="01DB3D5B" w14:textId="77777777" w:rsidR="00C97B7B" w:rsidRDefault="00C97B7B" w:rsidP="00C97B7B">
      <w:pPr>
        <w:spacing w:after="0"/>
      </w:pPr>
      <w:proofErr w:type="spellStart"/>
      <w:r w:rsidRPr="00276D6E">
        <w:t>Whinnett</w:t>
      </w:r>
      <w:proofErr w:type="spellEnd"/>
      <w:r w:rsidRPr="00276D6E">
        <w:t xml:space="preserve"> ZI, </w:t>
      </w:r>
      <w:proofErr w:type="spellStart"/>
      <w:r w:rsidRPr="00276D6E">
        <w:t>Sohaib</w:t>
      </w:r>
      <w:proofErr w:type="spellEnd"/>
      <w:r w:rsidRPr="00276D6E">
        <w:t xml:space="preserve"> SA, Davies DW</w:t>
      </w:r>
      <w:r>
        <w:t xml:space="preserve"> (2012)</w:t>
      </w:r>
      <w:r w:rsidRPr="00276D6E">
        <w:t xml:space="preserve"> Diagnosis and management of supraventricular tachycardia</w:t>
      </w:r>
      <w:r w:rsidRPr="00276D6E">
        <w:rPr>
          <w:i/>
          <w:iCs/>
        </w:rPr>
        <w:t>. BMJ</w:t>
      </w:r>
      <w:r>
        <w:t xml:space="preserve">, </w:t>
      </w:r>
      <w:r w:rsidRPr="00276D6E">
        <w:t>345:e7769.</w:t>
      </w:r>
    </w:p>
    <w:p w14:paraId="52CD84EE"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31717322" w14:textId="77777777" w:rsidR="00C97B7B" w:rsidRPr="00113DCB" w:rsidRDefault="00C97B7B" w:rsidP="00C97B7B">
      <w:pPr>
        <w:pStyle w:val="reftext"/>
        <w:spacing w:after="0" w:line="259" w:lineRule="auto"/>
        <w:ind w:left="0" w:firstLine="0"/>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Wockhardt UK Ltd (2015</w:t>
      </w:r>
      <w:r w:rsidRPr="00FB31F2">
        <w:rPr>
          <w:rFonts w:asciiTheme="minorHAnsi" w:hAnsiTheme="minorHAnsi" w:cstheme="minorHAnsi"/>
          <w:i/>
          <w:iCs/>
          <w:color w:val="auto"/>
          <w:sz w:val="22"/>
          <w:szCs w:val="22"/>
          <w:lang w:val="en-GB"/>
        </w:rPr>
        <w:t>) Summary of product characteristics: Adenosine 3mg/ml Solution for Injection</w:t>
      </w:r>
      <w:r>
        <w:rPr>
          <w:rFonts w:asciiTheme="minorHAnsi" w:hAnsiTheme="minorHAnsi" w:cstheme="minorHAnsi"/>
          <w:color w:val="auto"/>
          <w:sz w:val="22"/>
          <w:szCs w:val="22"/>
          <w:lang w:val="en-GB"/>
        </w:rPr>
        <w:t xml:space="preserve">, </w:t>
      </w:r>
      <w:hyperlink r:id="rId14" w:history="1">
        <w:r w:rsidRPr="00FB31F2">
          <w:rPr>
            <w:rStyle w:val="Hyperlink"/>
            <w:rFonts w:asciiTheme="minorHAnsi" w:hAnsiTheme="minorHAnsi" w:cstheme="minorHAnsi"/>
            <w:sz w:val="22"/>
            <w:szCs w:val="22"/>
            <w:lang w:val="en-GB"/>
          </w:rPr>
          <w:t>https://www.medicines.org.uk/emc/product/4766/smpc</w:t>
        </w:r>
      </w:hyperlink>
      <w:r>
        <w:rPr>
          <w:rFonts w:asciiTheme="minorHAnsi" w:hAnsiTheme="minorHAnsi" w:cstheme="minorHAnsi"/>
          <w:color w:val="auto"/>
          <w:sz w:val="22"/>
          <w:szCs w:val="22"/>
          <w:lang w:val="en-GB"/>
        </w:rPr>
        <w:t xml:space="preserve"> (accessed 25/06/2019)</w:t>
      </w:r>
    </w:p>
    <w:p w14:paraId="685AB392"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p>
    <w:p w14:paraId="7AA7C82B" w14:textId="77777777" w:rsidR="00C97B7B" w:rsidRDefault="00C97B7B" w:rsidP="00C97B7B">
      <w:pPr>
        <w:pStyle w:val="reftext"/>
        <w:spacing w:after="0" w:line="259" w:lineRule="auto"/>
        <w:ind w:left="0" w:firstLine="0"/>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 xml:space="preserve">Zaidel EJ (2019) Amiodarone: updated review of its current usefulness, </w:t>
      </w:r>
      <w:r w:rsidRPr="0039186D">
        <w:rPr>
          <w:rFonts w:asciiTheme="minorHAnsi" w:hAnsiTheme="minorHAnsi" w:cstheme="minorHAnsi"/>
          <w:i/>
          <w:iCs/>
          <w:color w:val="auto"/>
          <w:sz w:val="22"/>
          <w:szCs w:val="22"/>
          <w:lang w:val="en-GB"/>
        </w:rPr>
        <w:t>Archives of Clinical and Experimental Cardiology</w:t>
      </w:r>
      <w:r>
        <w:rPr>
          <w:rFonts w:asciiTheme="minorHAnsi" w:hAnsiTheme="minorHAnsi" w:cstheme="minorHAnsi"/>
          <w:color w:val="auto"/>
          <w:sz w:val="22"/>
          <w:szCs w:val="22"/>
          <w:lang w:val="en-GB"/>
        </w:rPr>
        <w:t>, 1(1); 102.</w:t>
      </w:r>
    </w:p>
    <w:p w14:paraId="18290D3D" w14:textId="79EDA9E2" w:rsidR="00D4421D" w:rsidRDefault="00D4421D" w:rsidP="00BD01CC"/>
    <w:p w14:paraId="2D9B434E" w14:textId="3871D915" w:rsidR="00D4421D" w:rsidRDefault="00D4421D" w:rsidP="00BD01CC"/>
    <w:p w14:paraId="02A1DAFE" w14:textId="165AE604" w:rsidR="00D4421D" w:rsidRDefault="00D4421D" w:rsidP="00BD01CC"/>
    <w:p w14:paraId="3836F395" w14:textId="2F2B7A97" w:rsidR="00D4421D" w:rsidRDefault="00D4421D" w:rsidP="00BD01CC"/>
    <w:sectPr w:rsidR="00D4421D" w:rsidSect="00226DCF">
      <w:footerReference w:type="defaul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46F49" w14:textId="77777777" w:rsidR="00321222" w:rsidRDefault="00321222" w:rsidP="00A66F99">
      <w:pPr>
        <w:spacing w:after="0" w:line="240" w:lineRule="auto"/>
      </w:pPr>
      <w:r>
        <w:separator/>
      </w:r>
    </w:p>
  </w:endnote>
  <w:endnote w:type="continuationSeparator" w:id="0">
    <w:p w14:paraId="727E0C2F" w14:textId="77777777" w:rsidR="00321222" w:rsidRDefault="00321222" w:rsidP="00A6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00"/>
    <w:family w:val="roman"/>
    <w:notTrueType/>
    <w:pitch w:val="default"/>
    <w:sig w:usb0="00000003" w:usb1="08070000" w:usb2="00000010" w:usb3="00000000" w:csb0="00020001" w:csb1="00000000"/>
  </w:font>
  <w:font w:name="HelveticaNeue-Italic">
    <w:altName w:val="Arial"/>
    <w:panose1 w:val="00000000000000000000"/>
    <w:charset w:val="4D"/>
    <w:family w:val="auto"/>
    <w:notTrueType/>
    <w:pitch w:val="default"/>
    <w:sig w:usb0="00000003" w:usb1="00000000" w:usb2="00000000" w:usb3="00000000" w:csb0="00000001" w:csb1="00000000"/>
  </w:font>
  <w:font w:name="Times LT St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025035"/>
      <w:docPartObj>
        <w:docPartGallery w:val="Page Numbers (Bottom of Page)"/>
        <w:docPartUnique/>
      </w:docPartObj>
    </w:sdtPr>
    <w:sdtEndPr>
      <w:rPr>
        <w:noProof/>
      </w:rPr>
    </w:sdtEndPr>
    <w:sdtContent>
      <w:p w14:paraId="344EF8A5" w14:textId="399A98F5" w:rsidR="00C27583" w:rsidRDefault="00C27583">
        <w:pPr>
          <w:pStyle w:val="Footer"/>
          <w:jc w:val="center"/>
        </w:pPr>
        <w:r>
          <w:fldChar w:fldCharType="begin"/>
        </w:r>
        <w:r>
          <w:instrText xml:space="preserve"> PAGE   \* MERGEFORMAT </w:instrText>
        </w:r>
        <w:r>
          <w:fldChar w:fldCharType="separate"/>
        </w:r>
        <w:r w:rsidR="00DB5930">
          <w:rPr>
            <w:noProof/>
          </w:rPr>
          <w:t>2</w:t>
        </w:r>
        <w:r>
          <w:rPr>
            <w:noProof/>
          </w:rPr>
          <w:fldChar w:fldCharType="end"/>
        </w:r>
      </w:p>
    </w:sdtContent>
  </w:sdt>
  <w:p w14:paraId="54A59779" w14:textId="77777777" w:rsidR="00C27583" w:rsidRDefault="00C27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86363" w14:textId="77777777" w:rsidR="00321222" w:rsidRDefault="00321222" w:rsidP="00A66F99">
      <w:pPr>
        <w:spacing w:after="0" w:line="240" w:lineRule="auto"/>
      </w:pPr>
      <w:r>
        <w:separator/>
      </w:r>
    </w:p>
  </w:footnote>
  <w:footnote w:type="continuationSeparator" w:id="0">
    <w:p w14:paraId="468E290A" w14:textId="77777777" w:rsidR="00321222" w:rsidRDefault="00321222" w:rsidP="00A66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0EE5"/>
    <w:multiLevelType w:val="hybridMultilevel"/>
    <w:tmpl w:val="1C44A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E90B75"/>
    <w:multiLevelType w:val="hybridMultilevel"/>
    <w:tmpl w:val="6E6EE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772CC9"/>
    <w:multiLevelType w:val="hybridMultilevel"/>
    <w:tmpl w:val="A2CC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3F1B46"/>
    <w:multiLevelType w:val="hybridMultilevel"/>
    <w:tmpl w:val="093EFD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6D7DC9"/>
    <w:multiLevelType w:val="hybridMultilevel"/>
    <w:tmpl w:val="CE7CF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D40AD4"/>
    <w:multiLevelType w:val="hybridMultilevel"/>
    <w:tmpl w:val="2708E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2974FD"/>
    <w:multiLevelType w:val="hybridMultilevel"/>
    <w:tmpl w:val="BE008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D27BC2"/>
    <w:multiLevelType w:val="hybridMultilevel"/>
    <w:tmpl w:val="3F34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570BAF"/>
    <w:multiLevelType w:val="hybridMultilevel"/>
    <w:tmpl w:val="DC14A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D0223F"/>
    <w:multiLevelType w:val="hybridMultilevel"/>
    <w:tmpl w:val="0D6AE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190B02"/>
    <w:multiLevelType w:val="hybridMultilevel"/>
    <w:tmpl w:val="1D4A1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F25781"/>
    <w:multiLevelType w:val="hybridMultilevel"/>
    <w:tmpl w:val="3252F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0"/>
  </w:num>
  <w:num w:numId="4">
    <w:abstractNumId w:val="8"/>
  </w:num>
  <w:num w:numId="5">
    <w:abstractNumId w:val="7"/>
  </w:num>
  <w:num w:numId="6">
    <w:abstractNumId w:val="6"/>
  </w:num>
  <w:num w:numId="7">
    <w:abstractNumId w:val="2"/>
  </w:num>
  <w:num w:numId="8">
    <w:abstractNumId w:val="10"/>
  </w:num>
  <w:num w:numId="9">
    <w:abstractNumId w:val="5"/>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35"/>
    <w:rsid w:val="000109B2"/>
    <w:rsid w:val="00013961"/>
    <w:rsid w:val="000140F9"/>
    <w:rsid w:val="00023E2E"/>
    <w:rsid w:val="00027756"/>
    <w:rsid w:val="00030F9D"/>
    <w:rsid w:val="00031E72"/>
    <w:rsid w:val="00035FF4"/>
    <w:rsid w:val="0003660F"/>
    <w:rsid w:val="000366D1"/>
    <w:rsid w:val="000376EB"/>
    <w:rsid w:val="000418D2"/>
    <w:rsid w:val="00043843"/>
    <w:rsid w:val="00046DC7"/>
    <w:rsid w:val="00054320"/>
    <w:rsid w:val="00061B7E"/>
    <w:rsid w:val="000710F5"/>
    <w:rsid w:val="00071352"/>
    <w:rsid w:val="00071475"/>
    <w:rsid w:val="00071627"/>
    <w:rsid w:val="0007556F"/>
    <w:rsid w:val="0007576B"/>
    <w:rsid w:val="00083F95"/>
    <w:rsid w:val="0008429A"/>
    <w:rsid w:val="00086089"/>
    <w:rsid w:val="00086280"/>
    <w:rsid w:val="000865F9"/>
    <w:rsid w:val="000A0762"/>
    <w:rsid w:val="000A2694"/>
    <w:rsid w:val="000B2301"/>
    <w:rsid w:val="000B3175"/>
    <w:rsid w:val="000B50DE"/>
    <w:rsid w:val="000B51B4"/>
    <w:rsid w:val="000B6DEC"/>
    <w:rsid w:val="000C2160"/>
    <w:rsid w:val="000D1C19"/>
    <w:rsid w:val="000D2726"/>
    <w:rsid w:val="000D5D98"/>
    <w:rsid w:val="000E30E1"/>
    <w:rsid w:val="000E46D8"/>
    <w:rsid w:val="000F4A0C"/>
    <w:rsid w:val="000F4BDE"/>
    <w:rsid w:val="000F534C"/>
    <w:rsid w:val="000F663C"/>
    <w:rsid w:val="000F79ED"/>
    <w:rsid w:val="000F7F8D"/>
    <w:rsid w:val="0010188F"/>
    <w:rsid w:val="00102288"/>
    <w:rsid w:val="00104A35"/>
    <w:rsid w:val="00113DCB"/>
    <w:rsid w:val="0012235B"/>
    <w:rsid w:val="0012485C"/>
    <w:rsid w:val="00142E00"/>
    <w:rsid w:val="001446BD"/>
    <w:rsid w:val="001541B9"/>
    <w:rsid w:val="00164684"/>
    <w:rsid w:val="00167CC9"/>
    <w:rsid w:val="001703B6"/>
    <w:rsid w:val="00170EBF"/>
    <w:rsid w:val="001713CB"/>
    <w:rsid w:val="001807B1"/>
    <w:rsid w:val="00181B69"/>
    <w:rsid w:val="0018390F"/>
    <w:rsid w:val="001839A8"/>
    <w:rsid w:val="00184DED"/>
    <w:rsid w:val="0018625E"/>
    <w:rsid w:val="00190702"/>
    <w:rsid w:val="001954F6"/>
    <w:rsid w:val="00196CC0"/>
    <w:rsid w:val="001A112D"/>
    <w:rsid w:val="001A3F82"/>
    <w:rsid w:val="001B4015"/>
    <w:rsid w:val="001C04EA"/>
    <w:rsid w:val="001C321F"/>
    <w:rsid w:val="001D56C9"/>
    <w:rsid w:val="001E0117"/>
    <w:rsid w:val="001E70F8"/>
    <w:rsid w:val="001F69B0"/>
    <w:rsid w:val="001F750C"/>
    <w:rsid w:val="00201B01"/>
    <w:rsid w:val="002029D3"/>
    <w:rsid w:val="002069FC"/>
    <w:rsid w:val="0021675E"/>
    <w:rsid w:val="00226DCF"/>
    <w:rsid w:val="00233479"/>
    <w:rsid w:val="00236EDE"/>
    <w:rsid w:val="00243AB0"/>
    <w:rsid w:val="002501FE"/>
    <w:rsid w:val="00254E0B"/>
    <w:rsid w:val="00255674"/>
    <w:rsid w:val="00263D82"/>
    <w:rsid w:val="00270A6E"/>
    <w:rsid w:val="00271413"/>
    <w:rsid w:val="00276D6E"/>
    <w:rsid w:val="00276F07"/>
    <w:rsid w:val="00281BBB"/>
    <w:rsid w:val="00282A88"/>
    <w:rsid w:val="00282DAE"/>
    <w:rsid w:val="00287C85"/>
    <w:rsid w:val="00291032"/>
    <w:rsid w:val="00295287"/>
    <w:rsid w:val="00297967"/>
    <w:rsid w:val="002A1EF6"/>
    <w:rsid w:val="002A7F27"/>
    <w:rsid w:val="002C11FF"/>
    <w:rsid w:val="002D25EA"/>
    <w:rsid w:val="002D6728"/>
    <w:rsid w:val="002E51EC"/>
    <w:rsid w:val="002F0954"/>
    <w:rsid w:val="002F3AE6"/>
    <w:rsid w:val="002F5DE7"/>
    <w:rsid w:val="002F7166"/>
    <w:rsid w:val="002F784D"/>
    <w:rsid w:val="00300073"/>
    <w:rsid w:val="00313CB4"/>
    <w:rsid w:val="003148F4"/>
    <w:rsid w:val="00317055"/>
    <w:rsid w:val="00321222"/>
    <w:rsid w:val="00326B32"/>
    <w:rsid w:val="00331CB4"/>
    <w:rsid w:val="00331FA7"/>
    <w:rsid w:val="00334123"/>
    <w:rsid w:val="0034056F"/>
    <w:rsid w:val="00352AF0"/>
    <w:rsid w:val="003532F8"/>
    <w:rsid w:val="0035582B"/>
    <w:rsid w:val="00357E93"/>
    <w:rsid w:val="00360525"/>
    <w:rsid w:val="00365906"/>
    <w:rsid w:val="00371CEF"/>
    <w:rsid w:val="0038278D"/>
    <w:rsid w:val="003833F2"/>
    <w:rsid w:val="0039186D"/>
    <w:rsid w:val="003951AE"/>
    <w:rsid w:val="00397173"/>
    <w:rsid w:val="003A1E22"/>
    <w:rsid w:val="003A25FC"/>
    <w:rsid w:val="003A4225"/>
    <w:rsid w:val="003B170D"/>
    <w:rsid w:val="003B3A62"/>
    <w:rsid w:val="003B5BB6"/>
    <w:rsid w:val="003B67ED"/>
    <w:rsid w:val="003C0A24"/>
    <w:rsid w:val="003C1DF3"/>
    <w:rsid w:val="003C41A5"/>
    <w:rsid w:val="003C7E67"/>
    <w:rsid w:val="003D0914"/>
    <w:rsid w:val="003D16F6"/>
    <w:rsid w:val="003D3E87"/>
    <w:rsid w:val="003D46DE"/>
    <w:rsid w:val="003E7672"/>
    <w:rsid w:val="003F2B44"/>
    <w:rsid w:val="004001A7"/>
    <w:rsid w:val="0040489E"/>
    <w:rsid w:val="00404A32"/>
    <w:rsid w:val="00405F35"/>
    <w:rsid w:val="00407D11"/>
    <w:rsid w:val="00415331"/>
    <w:rsid w:val="004161DE"/>
    <w:rsid w:val="0042149A"/>
    <w:rsid w:val="00424BC7"/>
    <w:rsid w:val="00427425"/>
    <w:rsid w:val="00434FEC"/>
    <w:rsid w:val="00436D08"/>
    <w:rsid w:val="00447556"/>
    <w:rsid w:val="0045058B"/>
    <w:rsid w:val="0045305B"/>
    <w:rsid w:val="004550E3"/>
    <w:rsid w:val="00460B23"/>
    <w:rsid w:val="00461D2A"/>
    <w:rsid w:val="00470A99"/>
    <w:rsid w:val="00475D3B"/>
    <w:rsid w:val="00482DFF"/>
    <w:rsid w:val="00487332"/>
    <w:rsid w:val="00493A18"/>
    <w:rsid w:val="004A324E"/>
    <w:rsid w:val="004A5C9D"/>
    <w:rsid w:val="004A5D97"/>
    <w:rsid w:val="004A6673"/>
    <w:rsid w:val="004A7A9E"/>
    <w:rsid w:val="004B3CA5"/>
    <w:rsid w:val="004B59C9"/>
    <w:rsid w:val="004C08DB"/>
    <w:rsid w:val="004D14CB"/>
    <w:rsid w:val="004D2872"/>
    <w:rsid w:val="004D4156"/>
    <w:rsid w:val="004D57B5"/>
    <w:rsid w:val="004E2C26"/>
    <w:rsid w:val="004E4595"/>
    <w:rsid w:val="004F07FB"/>
    <w:rsid w:val="004F5ADF"/>
    <w:rsid w:val="004F6D3A"/>
    <w:rsid w:val="0050440E"/>
    <w:rsid w:val="00506803"/>
    <w:rsid w:val="00512081"/>
    <w:rsid w:val="00530F76"/>
    <w:rsid w:val="005329F7"/>
    <w:rsid w:val="00540EDA"/>
    <w:rsid w:val="005455B5"/>
    <w:rsid w:val="00546C57"/>
    <w:rsid w:val="00552C46"/>
    <w:rsid w:val="00553FC1"/>
    <w:rsid w:val="005551A4"/>
    <w:rsid w:val="00557236"/>
    <w:rsid w:val="005627CB"/>
    <w:rsid w:val="00567A9A"/>
    <w:rsid w:val="005777B8"/>
    <w:rsid w:val="00580063"/>
    <w:rsid w:val="005853A1"/>
    <w:rsid w:val="0058654C"/>
    <w:rsid w:val="00586F59"/>
    <w:rsid w:val="005A788F"/>
    <w:rsid w:val="005B1F89"/>
    <w:rsid w:val="005B5C01"/>
    <w:rsid w:val="005B6053"/>
    <w:rsid w:val="005C6170"/>
    <w:rsid w:val="005D083E"/>
    <w:rsid w:val="005D48DF"/>
    <w:rsid w:val="005D4B78"/>
    <w:rsid w:val="005D4D32"/>
    <w:rsid w:val="005D57E6"/>
    <w:rsid w:val="005E00B0"/>
    <w:rsid w:val="005E16E6"/>
    <w:rsid w:val="005E3846"/>
    <w:rsid w:val="005E5190"/>
    <w:rsid w:val="005F1217"/>
    <w:rsid w:val="005F1AD7"/>
    <w:rsid w:val="00602353"/>
    <w:rsid w:val="0060331B"/>
    <w:rsid w:val="006111FF"/>
    <w:rsid w:val="00612F6B"/>
    <w:rsid w:val="00626274"/>
    <w:rsid w:val="00643708"/>
    <w:rsid w:val="006547EB"/>
    <w:rsid w:val="00656D4A"/>
    <w:rsid w:val="006605FD"/>
    <w:rsid w:val="006630A3"/>
    <w:rsid w:val="0066540B"/>
    <w:rsid w:val="00672F44"/>
    <w:rsid w:val="00691FF4"/>
    <w:rsid w:val="00696FA9"/>
    <w:rsid w:val="006A37E9"/>
    <w:rsid w:val="006A5EFF"/>
    <w:rsid w:val="006A764D"/>
    <w:rsid w:val="006B04F3"/>
    <w:rsid w:val="006B646C"/>
    <w:rsid w:val="006C125C"/>
    <w:rsid w:val="006D1999"/>
    <w:rsid w:val="006D20A9"/>
    <w:rsid w:val="006D5692"/>
    <w:rsid w:val="006E0F23"/>
    <w:rsid w:val="006E4B3C"/>
    <w:rsid w:val="006F0EA3"/>
    <w:rsid w:val="006F23A5"/>
    <w:rsid w:val="00700F7B"/>
    <w:rsid w:val="00706DD7"/>
    <w:rsid w:val="0071227B"/>
    <w:rsid w:val="0071611A"/>
    <w:rsid w:val="00720550"/>
    <w:rsid w:val="00722C11"/>
    <w:rsid w:val="00730FAC"/>
    <w:rsid w:val="00731A71"/>
    <w:rsid w:val="00736D05"/>
    <w:rsid w:val="00736EFF"/>
    <w:rsid w:val="00737F80"/>
    <w:rsid w:val="00745D50"/>
    <w:rsid w:val="00747367"/>
    <w:rsid w:val="00750161"/>
    <w:rsid w:val="007627B8"/>
    <w:rsid w:val="00764FD2"/>
    <w:rsid w:val="007671E8"/>
    <w:rsid w:val="00774B68"/>
    <w:rsid w:val="00784447"/>
    <w:rsid w:val="00794D13"/>
    <w:rsid w:val="007A495F"/>
    <w:rsid w:val="007B1F74"/>
    <w:rsid w:val="007B233E"/>
    <w:rsid w:val="007B45B5"/>
    <w:rsid w:val="007D0CAC"/>
    <w:rsid w:val="007D2581"/>
    <w:rsid w:val="007D3CD1"/>
    <w:rsid w:val="007D5119"/>
    <w:rsid w:val="007E33DC"/>
    <w:rsid w:val="007E46BA"/>
    <w:rsid w:val="007F7FF1"/>
    <w:rsid w:val="008012E1"/>
    <w:rsid w:val="00801D52"/>
    <w:rsid w:val="00805503"/>
    <w:rsid w:val="008079CC"/>
    <w:rsid w:val="00816F37"/>
    <w:rsid w:val="0082043A"/>
    <w:rsid w:val="0082345E"/>
    <w:rsid w:val="00826586"/>
    <w:rsid w:val="0083063F"/>
    <w:rsid w:val="00832EE3"/>
    <w:rsid w:val="00835604"/>
    <w:rsid w:val="00843C8C"/>
    <w:rsid w:val="008443F4"/>
    <w:rsid w:val="00850814"/>
    <w:rsid w:val="00871D18"/>
    <w:rsid w:val="00872175"/>
    <w:rsid w:val="008805B2"/>
    <w:rsid w:val="008865C2"/>
    <w:rsid w:val="00893164"/>
    <w:rsid w:val="00894772"/>
    <w:rsid w:val="008A07CC"/>
    <w:rsid w:val="008A2507"/>
    <w:rsid w:val="008A2577"/>
    <w:rsid w:val="008B277D"/>
    <w:rsid w:val="008B3740"/>
    <w:rsid w:val="008B5035"/>
    <w:rsid w:val="008C05A1"/>
    <w:rsid w:val="008C44B4"/>
    <w:rsid w:val="008C6996"/>
    <w:rsid w:val="008D21D2"/>
    <w:rsid w:val="008D2242"/>
    <w:rsid w:val="008D2B09"/>
    <w:rsid w:val="008D2E77"/>
    <w:rsid w:val="008D4E32"/>
    <w:rsid w:val="008E63A5"/>
    <w:rsid w:val="00901EA4"/>
    <w:rsid w:val="00903468"/>
    <w:rsid w:val="00903CD9"/>
    <w:rsid w:val="00904807"/>
    <w:rsid w:val="0090556C"/>
    <w:rsid w:val="009171D0"/>
    <w:rsid w:val="00922D97"/>
    <w:rsid w:val="00922FC3"/>
    <w:rsid w:val="00925534"/>
    <w:rsid w:val="009409F2"/>
    <w:rsid w:val="00944CCB"/>
    <w:rsid w:val="009502B1"/>
    <w:rsid w:val="00965A90"/>
    <w:rsid w:val="009679D9"/>
    <w:rsid w:val="00973BCD"/>
    <w:rsid w:val="00973CBB"/>
    <w:rsid w:val="0098221D"/>
    <w:rsid w:val="009846B2"/>
    <w:rsid w:val="0099139D"/>
    <w:rsid w:val="009943C2"/>
    <w:rsid w:val="0099728C"/>
    <w:rsid w:val="009A723E"/>
    <w:rsid w:val="009B45C4"/>
    <w:rsid w:val="009B650E"/>
    <w:rsid w:val="009B6C2E"/>
    <w:rsid w:val="009B7A59"/>
    <w:rsid w:val="009B7FD9"/>
    <w:rsid w:val="009C03CE"/>
    <w:rsid w:val="009C41A6"/>
    <w:rsid w:val="009C54E7"/>
    <w:rsid w:val="009C7C49"/>
    <w:rsid w:val="009D295F"/>
    <w:rsid w:val="009D2A41"/>
    <w:rsid w:val="009D4D4B"/>
    <w:rsid w:val="009D7036"/>
    <w:rsid w:val="009D7312"/>
    <w:rsid w:val="009E1045"/>
    <w:rsid w:val="009F7D2C"/>
    <w:rsid w:val="00A00119"/>
    <w:rsid w:val="00A01950"/>
    <w:rsid w:val="00A045A4"/>
    <w:rsid w:val="00A06CEC"/>
    <w:rsid w:val="00A1506D"/>
    <w:rsid w:val="00A24088"/>
    <w:rsid w:val="00A24D50"/>
    <w:rsid w:val="00A24E54"/>
    <w:rsid w:val="00A26926"/>
    <w:rsid w:val="00A31218"/>
    <w:rsid w:val="00A413D8"/>
    <w:rsid w:val="00A43D29"/>
    <w:rsid w:val="00A47BCD"/>
    <w:rsid w:val="00A529C2"/>
    <w:rsid w:val="00A53A27"/>
    <w:rsid w:val="00A54680"/>
    <w:rsid w:val="00A6209B"/>
    <w:rsid w:val="00A6318B"/>
    <w:rsid w:val="00A65122"/>
    <w:rsid w:val="00A6680B"/>
    <w:rsid w:val="00A66F99"/>
    <w:rsid w:val="00A67992"/>
    <w:rsid w:val="00A67E91"/>
    <w:rsid w:val="00A70B0C"/>
    <w:rsid w:val="00A70B10"/>
    <w:rsid w:val="00A72FDE"/>
    <w:rsid w:val="00A81957"/>
    <w:rsid w:val="00A8350C"/>
    <w:rsid w:val="00A83DE8"/>
    <w:rsid w:val="00A91403"/>
    <w:rsid w:val="00A94F4F"/>
    <w:rsid w:val="00A95EF8"/>
    <w:rsid w:val="00AA1239"/>
    <w:rsid w:val="00AA1995"/>
    <w:rsid w:val="00AA41C9"/>
    <w:rsid w:val="00AA46E7"/>
    <w:rsid w:val="00AB26AC"/>
    <w:rsid w:val="00AC094C"/>
    <w:rsid w:val="00AC26DA"/>
    <w:rsid w:val="00AC5BEB"/>
    <w:rsid w:val="00AC7189"/>
    <w:rsid w:val="00AD74EC"/>
    <w:rsid w:val="00AE0C8C"/>
    <w:rsid w:val="00AE3A23"/>
    <w:rsid w:val="00AF448B"/>
    <w:rsid w:val="00AF6D67"/>
    <w:rsid w:val="00B10DDA"/>
    <w:rsid w:val="00B10FF3"/>
    <w:rsid w:val="00B14909"/>
    <w:rsid w:val="00B154A0"/>
    <w:rsid w:val="00B17AF0"/>
    <w:rsid w:val="00B244B7"/>
    <w:rsid w:val="00B262B0"/>
    <w:rsid w:val="00B308B3"/>
    <w:rsid w:val="00B3252B"/>
    <w:rsid w:val="00B3394E"/>
    <w:rsid w:val="00B36336"/>
    <w:rsid w:val="00B43B78"/>
    <w:rsid w:val="00B450BF"/>
    <w:rsid w:val="00B468C0"/>
    <w:rsid w:val="00B50974"/>
    <w:rsid w:val="00B52444"/>
    <w:rsid w:val="00B53EB4"/>
    <w:rsid w:val="00B60ED1"/>
    <w:rsid w:val="00B7464B"/>
    <w:rsid w:val="00B81A5F"/>
    <w:rsid w:val="00B84229"/>
    <w:rsid w:val="00BA1935"/>
    <w:rsid w:val="00BA5C33"/>
    <w:rsid w:val="00BB0133"/>
    <w:rsid w:val="00BB7637"/>
    <w:rsid w:val="00BC1A67"/>
    <w:rsid w:val="00BC244B"/>
    <w:rsid w:val="00BC7E04"/>
    <w:rsid w:val="00BD01CC"/>
    <w:rsid w:val="00BD1B7D"/>
    <w:rsid w:val="00BE09D2"/>
    <w:rsid w:val="00BE702F"/>
    <w:rsid w:val="00BE7E8E"/>
    <w:rsid w:val="00BF2134"/>
    <w:rsid w:val="00C046DC"/>
    <w:rsid w:val="00C13D4B"/>
    <w:rsid w:val="00C268D0"/>
    <w:rsid w:val="00C27583"/>
    <w:rsid w:val="00C3527C"/>
    <w:rsid w:val="00C35D4A"/>
    <w:rsid w:val="00C412DF"/>
    <w:rsid w:val="00C4136C"/>
    <w:rsid w:val="00C43D04"/>
    <w:rsid w:val="00C44A6B"/>
    <w:rsid w:val="00C44AE6"/>
    <w:rsid w:val="00C459A2"/>
    <w:rsid w:val="00C46675"/>
    <w:rsid w:val="00C50295"/>
    <w:rsid w:val="00C527A8"/>
    <w:rsid w:val="00C52C4A"/>
    <w:rsid w:val="00C5437E"/>
    <w:rsid w:val="00C6054B"/>
    <w:rsid w:val="00C6294C"/>
    <w:rsid w:val="00C647DE"/>
    <w:rsid w:val="00C75C71"/>
    <w:rsid w:val="00C76ABE"/>
    <w:rsid w:val="00C76FF4"/>
    <w:rsid w:val="00C77625"/>
    <w:rsid w:val="00C80A87"/>
    <w:rsid w:val="00C81191"/>
    <w:rsid w:val="00C81315"/>
    <w:rsid w:val="00C837BB"/>
    <w:rsid w:val="00C85756"/>
    <w:rsid w:val="00C85879"/>
    <w:rsid w:val="00C96E10"/>
    <w:rsid w:val="00C97280"/>
    <w:rsid w:val="00C97B7B"/>
    <w:rsid w:val="00C97C4A"/>
    <w:rsid w:val="00CA0708"/>
    <w:rsid w:val="00CA0D5C"/>
    <w:rsid w:val="00CA28A1"/>
    <w:rsid w:val="00CA448D"/>
    <w:rsid w:val="00CB2D96"/>
    <w:rsid w:val="00CB4C85"/>
    <w:rsid w:val="00CB6F15"/>
    <w:rsid w:val="00CC680F"/>
    <w:rsid w:val="00CD098C"/>
    <w:rsid w:val="00CD1D68"/>
    <w:rsid w:val="00CE1AF4"/>
    <w:rsid w:val="00CF6D74"/>
    <w:rsid w:val="00D03E2C"/>
    <w:rsid w:val="00D06FCD"/>
    <w:rsid w:val="00D166FE"/>
    <w:rsid w:val="00D2204F"/>
    <w:rsid w:val="00D25838"/>
    <w:rsid w:val="00D325F4"/>
    <w:rsid w:val="00D33B0E"/>
    <w:rsid w:val="00D33DA1"/>
    <w:rsid w:val="00D350A1"/>
    <w:rsid w:val="00D41458"/>
    <w:rsid w:val="00D4287D"/>
    <w:rsid w:val="00D4421D"/>
    <w:rsid w:val="00D503E9"/>
    <w:rsid w:val="00D57C77"/>
    <w:rsid w:val="00D64A44"/>
    <w:rsid w:val="00D675FA"/>
    <w:rsid w:val="00D71478"/>
    <w:rsid w:val="00D745D2"/>
    <w:rsid w:val="00D8377C"/>
    <w:rsid w:val="00D840BA"/>
    <w:rsid w:val="00D86285"/>
    <w:rsid w:val="00D90163"/>
    <w:rsid w:val="00D9167C"/>
    <w:rsid w:val="00D9457B"/>
    <w:rsid w:val="00DA23D5"/>
    <w:rsid w:val="00DB372A"/>
    <w:rsid w:val="00DB5930"/>
    <w:rsid w:val="00DC0C67"/>
    <w:rsid w:val="00DD1EAA"/>
    <w:rsid w:val="00DD5BAD"/>
    <w:rsid w:val="00DE213B"/>
    <w:rsid w:val="00DF260A"/>
    <w:rsid w:val="00E011C7"/>
    <w:rsid w:val="00E0155D"/>
    <w:rsid w:val="00E05B61"/>
    <w:rsid w:val="00E15DD7"/>
    <w:rsid w:val="00E177ED"/>
    <w:rsid w:val="00E20A0E"/>
    <w:rsid w:val="00E23227"/>
    <w:rsid w:val="00E2677F"/>
    <w:rsid w:val="00E27235"/>
    <w:rsid w:val="00E34AE7"/>
    <w:rsid w:val="00E41E22"/>
    <w:rsid w:val="00E4314D"/>
    <w:rsid w:val="00E46A86"/>
    <w:rsid w:val="00E530DF"/>
    <w:rsid w:val="00E533BC"/>
    <w:rsid w:val="00E5604A"/>
    <w:rsid w:val="00E56485"/>
    <w:rsid w:val="00E70299"/>
    <w:rsid w:val="00E7182F"/>
    <w:rsid w:val="00E765AB"/>
    <w:rsid w:val="00E912F8"/>
    <w:rsid w:val="00E93446"/>
    <w:rsid w:val="00E95C01"/>
    <w:rsid w:val="00EA2F2A"/>
    <w:rsid w:val="00EA2F92"/>
    <w:rsid w:val="00EA66C7"/>
    <w:rsid w:val="00EA6986"/>
    <w:rsid w:val="00EA6E97"/>
    <w:rsid w:val="00EB2EFA"/>
    <w:rsid w:val="00EB55C6"/>
    <w:rsid w:val="00EB6797"/>
    <w:rsid w:val="00EC7413"/>
    <w:rsid w:val="00ED076A"/>
    <w:rsid w:val="00ED09BE"/>
    <w:rsid w:val="00ED22FF"/>
    <w:rsid w:val="00ED308E"/>
    <w:rsid w:val="00EE4E8F"/>
    <w:rsid w:val="00EE6AF2"/>
    <w:rsid w:val="00EE7632"/>
    <w:rsid w:val="00EE7CE6"/>
    <w:rsid w:val="00F054CE"/>
    <w:rsid w:val="00F10C64"/>
    <w:rsid w:val="00F10E2C"/>
    <w:rsid w:val="00F158A0"/>
    <w:rsid w:val="00F20104"/>
    <w:rsid w:val="00F20770"/>
    <w:rsid w:val="00F250F7"/>
    <w:rsid w:val="00F32BDC"/>
    <w:rsid w:val="00F37015"/>
    <w:rsid w:val="00F43939"/>
    <w:rsid w:val="00F43E70"/>
    <w:rsid w:val="00F5230B"/>
    <w:rsid w:val="00F6044E"/>
    <w:rsid w:val="00F613E0"/>
    <w:rsid w:val="00F61C02"/>
    <w:rsid w:val="00F61D5F"/>
    <w:rsid w:val="00F72291"/>
    <w:rsid w:val="00F81F72"/>
    <w:rsid w:val="00F8575C"/>
    <w:rsid w:val="00F9135A"/>
    <w:rsid w:val="00F95C72"/>
    <w:rsid w:val="00F96D57"/>
    <w:rsid w:val="00FA18E4"/>
    <w:rsid w:val="00FA2E5A"/>
    <w:rsid w:val="00FA47B8"/>
    <w:rsid w:val="00FA4CA2"/>
    <w:rsid w:val="00FB14FA"/>
    <w:rsid w:val="00FB1966"/>
    <w:rsid w:val="00FB1FBE"/>
    <w:rsid w:val="00FB31F2"/>
    <w:rsid w:val="00FB4525"/>
    <w:rsid w:val="00FC0338"/>
    <w:rsid w:val="00FD324C"/>
    <w:rsid w:val="00FD5C7D"/>
    <w:rsid w:val="00FD70A1"/>
    <w:rsid w:val="00FE2AC4"/>
    <w:rsid w:val="00FE4E62"/>
    <w:rsid w:val="00FE777F"/>
    <w:rsid w:val="00FF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C7CB"/>
  <w15:chartTrackingRefBased/>
  <w15:docId w15:val="{3B2D88B9-3BE4-46AD-8A62-8852618D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7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olhd">
    <w:name w:val="T col hd"/>
    <w:basedOn w:val="Normal"/>
    <w:uiPriority w:val="99"/>
    <w:rsid w:val="00CD1D68"/>
    <w:pPr>
      <w:widowControl w:val="0"/>
      <w:pBdr>
        <w:bottom w:val="single" w:sz="8" w:space="4" w:color="A42628"/>
      </w:pBdr>
      <w:tabs>
        <w:tab w:val="left" w:pos="4540"/>
      </w:tabs>
      <w:autoSpaceDE w:val="0"/>
      <w:autoSpaceDN w:val="0"/>
      <w:adjustRightInd w:val="0"/>
      <w:spacing w:after="113" w:line="260" w:lineRule="atLeast"/>
      <w:textAlignment w:val="center"/>
    </w:pPr>
    <w:rPr>
      <w:rFonts w:ascii="HelveticaNeue-Bold" w:eastAsiaTheme="minorEastAsia" w:hAnsi="HelveticaNeue-Bold" w:cs="HelveticaNeue-Bold"/>
      <w:b/>
      <w:bCs/>
      <w:caps/>
      <w:color w:val="008597"/>
      <w:spacing w:val="17"/>
      <w:sz w:val="14"/>
      <w:szCs w:val="14"/>
      <w:lang w:val="en-US" w:eastAsia="en-AU"/>
    </w:rPr>
  </w:style>
  <w:style w:type="paragraph" w:customStyle="1" w:styleId="Tbody">
    <w:name w:val="T body"/>
    <w:basedOn w:val="Normal"/>
    <w:uiPriority w:val="99"/>
    <w:rsid w:val="00CD1D68"/>
    <w:pPr>
      <w:widowControl w:val="0"/>
      <w:tabs>
        <w:tab w:val="left" w:pos="4535"/>
      </w:tabs>
      <w:suppressAutoHyphens/>
      <w:autoSpaceDE w:val="0"/>
      <w:autoSpaceDN w:val="0"/>
      <w:adjustRightInd w:val="0"/>
      <w:spacing w:after="0" w:line="220" w:lineRule="atLeast"/>
      <w:ind w:left="4535" w:right="57" w:hanging="4535"/>
      <w:jc w:val="both"/>
      <w:textAlignment w:val="center"/>
    </w:pPr>
    <w:rPr>
      <w:rFonts w:ascii="HelveticaNeue-Roman" w:eastAsiaTheme="minorEastAsia" w:hAnsi="HelveticaNeue-Roman" w:cs="HelveticaNeue-Roman"/>
      <w:color w:val="000000"/>
      <w:sz w:val="16"/>
      <w:szCs w:val="16"/>
      <w:lang w:val="en-US" w:eastAsia="en-AU"/>
    </w:rPr>
  </w:style>
  <w:style w:type="paragraph" w:customStyle="1" w:styleId="Tnum">
    <w:name w:val="T num"/>
    <w:basedOn w:val="Normal"/>
    <w:uiPriority w:val="99"/>
    <w:rsid w:val="00CD1D68"/>
    <w:pPr>
      <w:widowControl w:val="0"/>
      <w:suppressAutoHyphens/>
      <w:autoSpaceDE w:val="0"/>
      <w:autoSpaceDN w:val="0"/>
      <w:adjustRightInd w:val="0"/>
      <w:spacing w:before="57" w:after="57" w:line="200" w:lineRule="atLeast"/>
      <w:textAlignment w:val="center"/>
    </w:pPr>
    <w:rPr>
      <w:rFonts w:ascii="HelveticaNeue-Bold" w:eastAsiaTheme="minorEastAsia" w:hAnsi="HelveticaNeue-Bold" w:cs="HelveticaNeue-Bold"/>
      <w:b/>
      <w:bCs/>
      <w:color w:val="000000"/>
      <w:sz w:val="18"/>
      <w:szCs w:val="18"/>
      <w:lang w:val="en-US" w:eastAsia="en-AU"/>
    </w:rPr>
  </w:style>
  <w:style w:type="paragraph" w:customStyle="1" w:styleId="NoParagraphStyle">
    <w:name w:val="[No Paragraph Style]"/>
    <w:rsid w:val="00CD1D6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en-AU"/>
    </w:rPr>
  </w:style>
  <w:style w:type="paragraph" w:customStyle="1" w:styleId="Tcredit">
    <w:name w:val="T credit"/>
    <w:basedOn w:val="NoParagraphStyle"/>
    <w:uiPriority w:val="99"/>
    <w:rsid w:val="00CD1D68"/>
    <w:pPr>
      <w:suppressAutoHyphens/>
      <w:spacing w:after="170" w:line="200" w:lineRule="atLeast"/>
    </w:pPr>
    <w:rPr>
      <w:rFonts w:ascii="HelveticaNeue-Italic" w:hAnsi="HelveticaNeue-Italic" w:cs="HelveticaNeue-Italic"/>
      <w:i/>
      <w:iCs/>
      <w:sz w:val="16"/>
      <w:szCs w:val="16"/>
    </w:rPr>
  </w:style>
  <w:style w:type="paragraph" w:customStyle="1" w:styleId="reftext">
    <w:name w:val="ref text"/>
    <w:basedOn w:val="NoParagraphStyle"/>
    <w:uiPriority w:val="99"/>
    <w:rsid w:val="006D5692"/>
    <w:pPr>
      <w:suppressAutoHyphens/>
      <w:spacing w:after="28" w:line="220" w:lineRule="atLeast"/>
      <w:ind w:left="227" w:hanging="227"/>
    </w:pPr>
    <w:rPr>
      <w:rFonts w:ascii="HelveticaNeue-Roman" w:hAnsi="HelveticaNeue-Roman" w:cs="HelveticaNeue-Roman"/>
      <w:sz w:val="15"/>
      <w:szCs w:val="15"/>
    </w:rPr>
  </w:style>
  <w:style w:type="paragraph" w:styleId="Header">
    <w:name w:val="header"/>
    <w:basedOn w:val="Normal"/>
    <w:link w:val="HeaderChar"/>
    <w:uiPriority w:val="99"/>
    <w:unhideWhenUsed/>
    <w:rsid w:val="00A66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F99"/>
  </w:style>
  <w:style w:type="paragraph" w:styleId="Footer">
    <w:name w:val="footer"/>
    <w:basedOn w:val="Normal"/>
    <w:link w:val="FooterChar"/>
    <w:uiPriority w:val="99"/>
    <w:unhideWhenUsed/>
    <w:rsid w:val="00A66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F99"/>
  </w:style>
  <w:style w:type="paragraph" w:styleId="ListParagraph">
    <w:name w:val="List Paragraph"/>
    <w:basedOn w:val="Normal"/>
    <w:uiPriority w:val="34"/>
    <w:qFormat/>
    <w:rsid w:val="00270A6E"/>
    <w:pPr>
      <w:ind w:left="720"/>
      <w:contextualSpacing/>
    </w:pPr>
  </w:style>
  <w:style w:type="character" w:styleId="Hyperlink">
    <w:name w:val="Hyperlink"/>
    <w:basedOn w:val="DefaultParagraphFont"/>
    <w:uiPriority w:val="99"/>
    <w:unhideWhenUsed/>
    <w:rsid w:val="00201B01"/>
    <w:rPr>
      <w:color w:val="0563C1" w:themeColor="hyperlink"/>
      <w:u w:val="single"/>
    </w:rPr>
  </w:style>
  <w:style w:type="character" w:customStyle="1" w:styleId="UnresolvedMention1">
    <w:name w:val="Unresolved Mention1"/>
    <w:basedOn w:val="DefaultParagraphFont"/>
    <w:uiPriority w:val="99"/>
    <w:semiHidden/>
    <w:unhideWhenUsed/>
    <w:rsid w:val="00201B01"/>
    <w:rPr>
      <w:color w:val="605E5C"/>
      <w:shd w:val="clear" w:color="auto" w:fill="E1DFDD"/>
    </w:rPr>
  </w:style>
  <w:style w:type="table" w:styleId="TableGrid">
    <w:name w:val="Table Grid"/>
    <w:basedOn w:val="TableNormal"/>
    <w:uiPriority w:val="39"/>
    <w:rsid w:val="008D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57E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54680"/>
    <w:rPr>
      <w:color w:val="954F72" w:themeColor="followedHyperlink"/>
      <w:u w:val="single"/>
    </w:rPr>
  </w:style>
  <w:style w:type="character" w:styleId="UnresolvedMention">
    <w:name w:val="Unresolved Mention"/>
    <w:basedOn w:val="DefaultParagraphFont"/>
    <w:uiPriority w:val="99"/>
    <w:semiHidden/>
    <w:unhideWhenUsed/>
    <w:rsid w:val="009C41A6"/>
    <w:rPr>
      <w:color w:val="605E5C"/>
      <w:shd w:val="clear" w:color="auto" w:fill="E1DFDD"/>
    </w:rPr>
  </w:style>
  <w:style w:type="paragraph" w:customStyle="1" w:styleId="Default">
    <w:name w:val="Default"/>
    <w:rsid w:val="009C41A6"/>
    <w:pPr>
      <w:autoSpaceDE w:val="0"/>
      <w:autoSpaceDN w:val="0"/>
      <w:adjustRightInd w:val="0"/>
      <w:spacing w:after="0" w:line="240" w:lineRule="auto"/>
    </w:pPr>
    <w:rPr>
      <w:rFonts w:ascii="Times LT Std" w:hAnsi="Times LT Std" w:cs="Time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42315">
      <w:bodyDiv w:val="1"/>
      <w:marLeft w:val="0"/>
      <w:marRight w:val="0"/>
      <w:marTop w:val="0"/>
      <w:marBottom w:val="0"/>
      <w:divBdr>
        <w:top w:val="none" w:sz="0" w:space="0" w:color="auto"/>
        <w:left w:val="none" w:sz="0" w:space="0" w:color="auto"/>
        <w:bottom w:val="none" w:sz="0" w:space="0" w:color="auto"/>
        <w:right w:val="none" w:sz="0" w:space="0" w:color="auto"/>
      </w:divBdr>
    </w:div>
    <w:div w:id="1285186778">
      <w:bodyDiv w:val="1"/>
      <w:marLeft w:val="0"/>
      <w:marRight w:val="0"/>
      <w:marTop w:val="0"/>
      <w:marBottom w:val="0"/>
      <w:divBdr>
        <w:top w:val="none" w:sz="0" w:space="0" w:color="auto"/>
        <w:left w:val="none" w:sz="0" w:space="0" w:color="auto"/>
        <w:bottom w:val="none" w:sz="0" w:space="0" w:color="auto"/>
        <w:right w:val="none" w:sz="0" w:space="0" w:color="auto"/>
      </w:divBdr>
      <w:divsChild>
        <w:div w:id="1727411002">
          <w:marLeft w:val="0"/>
          <w:marRight w:val="0"/>
          <w:marTop w:val="0"/>
          <w:marBottom w:val="300"/>
          <w:divBdr>
            <w:top w:val="none" w:sz="0" w:space="0" w:color="auto"/>
            <w:left w:val="none" w:sz="0" w:space="0" w:color="auto"/>
            <w:bottom w:val="none" w:sz="0" w:space="0" w:color="auto"/>
            <w:right w:val="none" w:sz="0" w:space="0" w:color="auto"/>
          </w:divBdr>
          <w:divsChild>
            <w:div w:id="299725207">
              <w:marLeft w:val="-225"/>
              <w:marRight w:val="-225"/>
              <w:marTop w:val="0"/>
              <w:marBottom w:val="0"/>
              <w:divBdr>
                <w:top w:val="none" w:sz="0" w:space="0" w:color="auto"/>
                <w:left w:val="none" w:sz="0" w:space="0" w:color="auto"/>
                <w:bottom w:val="none" w:sz="0" w:space="0" w:color="auto"/>
                <w:right w:val="none" w:sz="0" w:space="0" w:color="auto"/>
              </w:divBdr>
              <w:divsChild>
                <w:div w:id="618298631">
                  <w:marLeft w:val="0"/>
                  <w:marRight w:val="0"/>
                  <w:marTop w:val="0"/>
                  <w:marBottom w:val="0"/>
                  <w:divBdr>
                    <w:top w:val="none" w:sz="0" w:space="0" w:color="auto"/>
                    <w:left w:val="none" w:sz="0" w:space="0" w:color="auto"/>
                    <w:bottom w:val="none" w:sz="0" w:space="0" w:color="auto"/>
                    <w:right w:val="none" w:sz="0" w:space="0" w:color="auto"/>
                  </w:divBdr>
                  <w:divsChild>
                    <w:div w:id="15181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29656">
      <w:bodyDiv w:val="1"/>
      <w:marLeft w:val="0"/>
      <w:marRight w:val="0"/>
      <w:marTop w:val="0"/>
      <w:marBottom w:val="0"/>
      <w:divBdr>
        <w:top w:val="none" w:sz="0" w:space="0" w:color="auto"/>
        <w:left w:val="none" w:sz="0" w:space="0" w:color="auto"/>
        <w:bottom w:val="none" w:sz="0" w:space="0" w:color="auto"/>
        <w:right w:val="none" w:sz="0" w:space="0" w:color="auto"/>
      </w:divBdr>
    </w:div>
    <w:div w:id="15276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onlinelibrary.com/doi/abs/10.12968/bjca.2019.0067" TargetMode="External"/><Relationship Id="rId13" Type="http://schemas.openxmlformats.org/officeDocument/2006/relationships/hyperlink" Target="http://dx.doi.org/10.1016/j.hrthm.2015.09.019" TargetMode="External"/><Relationship Id="rId3" Type="http://schemas.openxmlformats.org/officeDocument/2006/relationships/settings" Target="settings.xml"/><Relationship Id="rId7" Type="http://schemas.openxmlformats.org/officeDocument/2006/relationships/hyperlink" Target="https://doi.org/10.12968/bjca.2019.0067" TargetMode="External"/><Relationship Id="rId12" Type="http://schemas.openxmlformats.org/officeDocument/2006/relationships/hyperlink" Target="https://www.cochranelibrary.com/cdsr/doi/10.1002/14651858.CD005154.pub4/fu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ines.org.uk/emc/product/4548/smp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edicines.org.uk/emc/product/6018/smpc"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medicines.org.uk/emc/product/4766/sm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5509</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Sampson</dc:creator>
  <cp:keywords/>
  <dc:description/>
  <cp:lastModifiedBy>Michael Sampson</cp:lastModifiedBy>
  <cp:revision>8</cp:revision>
  <cp:lastPrinted>2019-10-23T16:47:00Z</cp:lastPrinted>
  <dcterms:created xsi:type="dcterms:W3CDTF">2019-10-23T16:29:00Z</dcterms:created>
  <dcterms:modified xsi:type="dcterms:W3CDTF">2019-10-23T16:51:00Z</dcterms:modified>
</cp:coreProperties>
</file>