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3.xml" ContentType="application/vnd.openxmlformats-officedocument.wordprocessingml.header+xml"/>
  <Override PartName="/word/footer1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49860217"/>
        <w:docPartObj>
          <w:docPartGallery w:val="Cover Pages"/>
          <w:docPartUnique/>
        </w:docPartObj>
      </w:sdtPr>
      <w:sdtEndPr>
        <w:rPr>
          <w:b/>
          <w:color w:val="000000" w:themeColor="text1"/>
        </w:rPr>
      </w:sdtEndPr>
      <w:sdtContent>
        <w:p w14:paraId="65CE9446" w14:textId="30BA4F92" w:rsidR="00786846" w:rsidRPr="00E859F9" w:rsidRDefault="00392C24" w:rsidP="00392C24">
          <w:pPr>
            <w:jc w:val="center"/>
          </w:pPr>
          <w:r w:rsidRPr="00392C24">
            <w:rPr>
              <w:rFonts w:eastAsia="Times New Roman"/>
              <w:b/>
              <w:bCs/>
              <w:sz w:val="28"/>
              <w:szCs w:val="28"/>
            </w:rPr>
            <w:t>SEC reviews of IPO registration statement</w:t>
          </w:r>
        </w:p>
        <w:p w14:paraId="411B1DD1" w14:textId="77777777" w:rsidR="00786846" w:rsidRPr="00E859F9" w:rsidRDefault="00786846" w:rsidP="00786846">
          <w:pPr>
            <w:spacing w:line="200" w:lineRule="exact"/>
          </w:pPr>
        </w:p>
        <w:p w14:paraId="4853B357" w14:textId="77777777" w:rsidR="00786846" w:rsidRDefault="00786846" w:rsidP="00786846">
          <w:pPr>
            <w:spacing w:line="255" w:lineRule="exact"/>
          </w:pPr>
        </w:p>
        <w:p w14:paraId="4E13F755" w14:textId="77777777" w:rsidR="00786846" w:rsidRPr="00E859F9" w:rsidRDefault="00786846" w:rsidP="00786846">
          <w:pPr>
            <w:spacing w:line="255" w:lineRule="exact"/>
          </w:pPr>
        </w:p>
        <w:p w14:paraId="6F0452D7" w14:textId="77777777" w:rsidR="00786846" w:rsidRPr="00E859F9" w:rsidRDefault="00786846" w:rsidP="00786846">
          <w:pPr>
            <w:jc w:val="center"/>
          </w:pPr>
          <w:r w:rsidRPr="00E859F9">
            <w:rPr>
              <w:rFonts w:eastAsia="Times New Roman"/>
              <w:b/>
              <w:bCs/>
            </w:rPr>
            <w:t>Abstract</w:t>
          </w:r>
        </w:p>
        <w:p w14:paraId="13EAEF94" w14:textId="77777777" w:rsidR="00786846" w:rsidRPr="00E859F9" w:rsidRDefault="00786846" w:rsidP="00786846">
          <w:pPr>
            <w:spacing w:line="264" w:lineRule="exact"/>
            <w:ind w:left="567"/>
          </w:pPr>
        </w:p>
        <w:p w14:paraId="2923ACAE" w14:textId="77777777" w:rsidR="007B409C" w:rsidRPr="007B409C" w:rsidRDefault="007B409C" w:rsidP="007B409C">
          <w:pPr>
            <w:spacing w:line="360" w:lineRule="auto"/>
            <w:ind w:left="567"/>
            <w:jc w:val="both"/>
            <w:rPr>
              <w:rFonts w:eastAsia="Times New Roman"/>
            </w:rPr>
          </w:pPr>
          <w:r w:rsidRPr="007B409C">
            <w:rPr>
              <w:rFonts w:eastAsia="Times New Roman"/>
            </w:rPr>
            <w:t>This paper examines the determinants of SEC reviews of IPO registration statements (</w:t>
          </w:r>
          <w:proofErr w:type="gramStart"/>
          <w:r w:rsidRPr="007B409C">
            <w:rPr>
              <w:rFonts w:eastAsia="Times New Roman"/>
            </w:rPr>
            <w:t>i.e.</w:t>
          </w:r>
          <w:proofErr w:type="gramEnd"/>
          <w:r w:rsidRPr="007B409C">
            <w:rPr>
              <w:rFonts w:eastAsia="Times New Roman"/>
            </w:rPr>
            <w:t xml:space="preserve"> S-1 filings) for firms going public in U.S. capital markets between 2005 and 2017. This investigation is important because market participants rely on the information conveyed by S-1 filings and SEC comment letters when making formative investment decisions.</w:t>
          </w:r>
        </w:p>
        <w:p w14:paraId="0D3E271C" w14:textId="58A455CB" w:rsidR="00786846" w:rsidRDefault="007B409C" w:rsidP="007B409C">
          <w:pPr>
            <w:spacing w:line="360" w:lineRule="auto"/>
            <w:ind w:left="567"/>
            <w:jc w:val="both"/>
            <w:rPr>
              <w:rFonts w:eastAsia="Times New Roman"/>
            </w:rPr>
          </w:pPr>
          <w:r w:rsidRPr="007B409C">
            <w:rPr>
              <w:rFonts w:eastAsia="Times New Roman"/>
            </w:rPr>
            <w:t xml:space="preserve">In terms of the relationship between the IPO firms’ characteristics and SEC S-1 review, the first empirical chapter provides evidence that bigger, older firms, firms with more segments, lower growth rates, engaging in M&amp;A, using less external financing, reporting profits, having greater probabilities of </w:t>
          </w:r>
          <w:proofErr w:type="gramStart"/>
          <w:r w:rsidRPr="007B409C">
            <w:rPr>
              <w:rFonts w:eastAsia="Times New Roman"/>
            </w:rPr>
            <w:t>bankruptcy</w:t>
          </w:r>
          <w:proofErr w:type="gramEnd"/>
          <w:r w:rsidRPr="007B409C">
            <w:rPr>
              <w:rFonts w:eastAsia="Times New Roman"/>
            </w:rPr>
            <w:t xml:space="preserve"> and not audited by high-quality auditors are likely to experience more extensive SEC reviews. This study also identifies that the remediation costs covered by IPO firms are higher if they receive comments on core accounting, non-core accounting, </w:t>
          </w:r>
          <w:proofErr w:type="gramStart"/>
          <w:r w:rsidRPr="007B409C">
            <w:rPr>
              <w:rFonts w:eastAsia="Times New Roman"/>
            </w:rPr>
            <w:t>business</w:t>
          </w:r>
          <w:proofErr w:type="gramEnd"/>
          <w:r w:rsidRPr="007B409C">
            <w:rPr>
              <w:rFonts w:eastAsia="Times New Roman"/>
            </w:rPr>
            <w:t xml:space="preserve"> and disclosure issues, as compared with other issues (e.g., offering-related issues or corporate governance issues), and they are highest for firms receiving comments on core accounting issues. In addition, the increase in SEC review extensiveness for bigger firms, firms using more external financing and having greater financial distress are identified to be greater during the global financial crisis.</w:t>
          </w:r>
        </w:p>
        <w:p w14:paraId="6FB0659A" w14:textId="77777777" w:rsidR="007B409C" w:rsidRPr="00E859F9" w:rsidRDefault="007B409C" w:rsidP="007B409C">
          <w:pPr>
            <w:spacing w:line="360" w:lineRule="auto"/>
            <w:ind w:left="567"/>
            <w:jc w:val="both"/>
          </w:pPr>
        </w:p>
        <w:p w14:paraId="246F1658" w14:textId="77777777" w:rsidR="00786846" w:rsidRPr="00E859F9" w:rsidRDefault="00786846" w:rsidP="00786846">
          <w:pPr>
            <w:ind w:left="567"/>
            <w:jc w:val="both"/>
          </w:pPr>
          <w:r w:rsidRPr="00E859F9">
            <w:rPr>
              <w:rFonts w:eastAsia="Times New Roman"/>
              <w:i/>
              <w:iCs/>
            </w:rPr>
            <w:t xml:space="preserve">JEL classification: </w:t>
          </w:r>
          <w:r w:rsidRPr="00E859F9">
            <w:rPr>
              <w:rFonts w:eastAsia="Times New Roman"/>
            </w:rPr>
            <w:t>G24, G38, K22, M41</w:t>
          </w:r>
        </w:p>
        <w:p w14:paraId="54B8F826" w14:textId="77777777" w:rsidR="00786846" w:rsidRPr="00E859F9" w:rsidRDefault="00786846" w:rsidP="00786846">
          <w:pPr>
            <w:spacing w:line="281" w:lineRule="exact"/>
            <w:ind w:left="567"/>
            <w:jc w:val="both"/>
          </w:pPr>
        </w:p>
        <w:p w14:paraId="57149CE6" w14:textId="5D36AC1F" w:rsidR="00786846" w:rsidRPr="00A922EE" w:rsidRDefault="00786846" w:rsidP="00786846">
          <w:pPr>
            <w:ind w:left="567"/>
            <w:jc w:val="both"/>
          </w:pPr>
          <w:r w:rsidRPr="00E859F9">
            <w:rPr>
              <w:rFonts w:eastAsia="Times New Roman"/>
              <w:i/>
              <w:iCs/>
            </w:rPr>
            <w:t xml:space="preserve">Keywords: </w:t>
          </w:r>
          <w:r w:rsidRPr="00E859F9">
            <w:rPr>
              <w:rFonts w:eastAsia="Times New Roman"/>
            </w:rPr>
            <w:t>Initial Public Offerings; SEC reviews; S-1 filings</w:t>
          </w:r>
        </w:p>
        <w:p w14:paraId="36E5B8AE" w14:textId="4CD40E41" w:rsidR="00190D1E" w:rsidRDefault="00190D1E" w:rsidP="00786846">
          <w:pPr>
            <w:pStyle w:val="paragraph"/>
            <w:spacing w:before="0" w:beforeAutospacing="0" w:after="0" w:afterAutospacing="0"/>
            <w:jc w:val="center"/>
            <w:textAlignment w:val="baseline"/>
          </w:pPr>
        </w:p>
        <w:p w14:paraId="5D74207D" w14:textId="4D1DCD63" w:rsidR="006C2E27" w:rsidRPr="00364283" w:rsidRDefault="00190D1E" w:rsidP="00364283">
          <w:pPr>
            <w:spacing w:after="160" w:line="259" w:lineRule="auto"/>
            <w:rPr>
              <w:rFonts w:eastAsiaTheme="majorEastAsia"/>
              <w:b/>
              <w:color w:val="000000" w:themeColor="text1"/>
              <w:lang w:val="en-US" w:eastAsia="en-US"/>
            </w:rPr>
          </w:pPr>
          <w:r>
            <w:rPr>
              <w:b/>
              <w:color w:val="000000" w:themeColor="text1"/>
            </w:rPr>
            <w:br w:type="page"/>
          </w:r>
        </w:p>
      </w:sdtContent>
    </w:sdt>
    <w:p w14:paraId="4DB240F8" w14:textId="4EA9503E" w:rsidR="00C20F6A" w:rsidRPr="000912EF" w:rsidRDefault="00EF78F3" w:rsidP="00336759">
      <w:pPr>
        <w:pStyle w:val="ListParagraph"/>
        <w:numPr>
          <w:ilvl w:val="0"/>
          <w:numId w:val="1"/>
        </w:numPr>
        <w:spacing w:line="360" w:lineRule="auto"/>
        <w:outlineLvl w:val="0"/>
        <w:rPr>
          <w:b/>
          <w:lang w:eastAsia="en-US"/>
        </w:rPr>
      </w:pPr>
      <w:bookmarkStart w:id="0" w:name="_Toc9185770"/>
      <w:r w:rsidRPr="000912EF">
        <w:rPr>
          <w:b/>
          <w:lang w:eastAsia="en-US"/>
        </w:rPr>
        <w:lastRenderedPageBreak/>
        <w:t>Introduction</w:t>
      </w:r>
      <w:bookmarkEnd w:id="0"/>
    </w:p>
    <w:p w14:paraId="3A0575E5" w14:textId="7EA49101" w:rsidR="00AE73A7" w:rsidRDefault="00AE73A7" w:rsidP="00AE73A7">
      <w:pPr>
        <w:spacing w:line="360" w:lineRule="auto"/>
        <w:jc w:val="both"/>
        <w:rPr>
          <w:lang w:eastAsia="en-US"/>
        </w:rPr>
      </w:pPr>
      <w:r>
        <w:rPr>
          <w:lang w:eastAsia="en-US"/>
        </w:rPr>
        <w:t xml:space="preserve">This study aims to answer the key research question ‘What are the determinants of the SEC’s review on the S-1 filings?’. S-1 filings are general registration statements prepared by firms going public in the U.S., which provide information about the initial-public-offering (IPO) firm’s financial health, business strategy, competitive advantage in their industry and financial prospects. The U.S. Securities and Exchange Commission (SEC) is an independent agency of the United States federal government, whose key responsibility in this context is conducting a careful review of IPO firms’ prospectuses </w:t>
      </w:r>
      <w:proofErr w:type="gramStart"/>
      <w:r>
        <w:rPr>
          <w:lang w:eastAsia="en-US"/>
        </w:rPr>
        <w:t>in order to</w:t>
      </w:r>
      <w:proofErr w:type="gramEnd"/>
      <w:r>
        <w:rPr>
          <w:lang w:eastAsia="en-US"/>
        </w:rPr>
        <w:t xml:space="preserve"> ensure that IPO firms are reporting “meaningful financial and other information to the public</w:t>
      </w:r>
      <w:r w:rsidRPr="000C5536">
        <w:rPr>
          <w:shd w:val="clear" w:color="auto" w:fill="FFFFFF" w:themeFill="background1"/>
          <w:lang w:eastAsia="en-US"/>
        </w:rPr>
        <w:t>” (SEC, 2013).</w:t>
      </w:r>
      <w:r>
        <w:rPr>
          <w:lang w:eastAsia="en-US"/>
        </w:rPr>
        <w:t xml:space="preserve"> In almost every comment letter, SEC reviewers express that “…the purpose of our review process is to assist you in your compliance with the applicable disclosure requirements and to enhance the overall disclosure in your filing”. </w:t>
      </w:r>
      <w:r w:rsidRPr="00AE73A7">
        <w:rPr>
          <w:color w:val="000000" w:themeColor="text1"/>
        </w:rPr>
        <w:t xml:space="preserve">Although the SEC claim that key target of their review on S-1 filings is to improve disclosure quality in the IPO markets, effectiveness of this process is unclear. </w:t>
      </w:r>
      <w:proofErr w:type="spellStart"/>
      <w:r w:rsidRPr="00AE73A7">
        <w:rPr>
          <w:color w:val="000000" w:themeColor="text1"/>
          <w:lang w:eastAsia="en-US"/>
        </w:rPr>
        <w:t>Ertimur</w:t>
      </w:r>
      <w:proofErr w:type="spellEnd"/>
      <w:r w:rsidRPr="00AE73A7">
        <w:rPr>
          <w:color w:val="000000" w:themeColor="text1"/>
          <w:lang w:eastAsia="en-US"/>
        </w:rPr>
        <w:t xml:space="preserve"> &amp; </w:t>
      </w:r>
      <w:proofErr w:type="spellStart"/>
      <w:r w:rsidRPr="00AE73A7">
        <w:rPr>
          <w:color w:val="000000" w:themeColor="text1"/>
          <w:lang w:eastAsia="en-US"/>
        </w:rPr>
        <w:t>Nondorf</w:t>
      </w:r>
      <w:proofErr w:type="spellEnd"/>
      <w:r w:rsidRPr="00AE73A7">
        <w:rPr>
          <w:color w:val="000000" w:themeColor="text1"/>
          <w:lang w:eastAsia="en-US"/>
        </w:rPr>
        <w:t xml:space="preserve"> (2006) come to no conclusion about whether SEC review on S-1 filings helps enhance IPO firms’ disclosure quality</w:t>
      </w:r>
      <w:r w:rsidRPr="00AE73A7">
        <w:rPr>
          <w:color w:val="000000" w:themeColor="text1"/>
        </w:rPr>
        <w:t xml:space="preserve">. Furthermore, while </w:t>
      </w:r>
      <w:r w:rsidRPr="00AE73A7">
        <w:rPr>
          <w:color w:val="000000" w:themeColor="text1"/>
        </w:rPr>
        <w:fldChar w:fldCharType="begin" w:fldLock="1"/>
      </w:r>
      <w:r w:rsidR="00A611DF">
        <w:rPr>
          <w:color w:val="000000" w:themeColor="text1"/>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BIPO process","type":"article-journal","volume":"22"},"uris":["http://www.mendeley.com/documents/?uuid=14e67220-7f18-451c-bcec-f870e9e5ce78"]}],"mendeley":{"formattedCitation":"(Li &amp; Liu, 2017a)","manualFormatting":"Li &amp; Liu (2017)","plainTextFormattedCitation":"(Li &amp; Liu, 2017a)","previouslyFormattedCitation":"(Li &amp; Liu, 2017a)"},"properties":{"noteIndex":0},"schema":"https://github.com/citation-style-language/schema/raw/master/csl-citation.json"}</w:instrText>
      </w:r>
      <w:r w:rsidRPr="00AE73A7">
        <w:rPr>
          <w:color w:val="000000" w:themeColor="text1"/>
        </w:rPr>
        <w:fldChar w:fldCharType="separate"/>
      </w:r>
      <w:r w:rsidRPr="00AE73A7">
        <w:rPr>
          <w:noProof/>
          <w:color w:val="000000" w:themeColor="text1"/>
        </w:rPr>
        <w:t>Li &amp; Liu (2017)</w:t>
      </w:r>
      <w:r w:rsidRPr="00AE73A7">
        <w:rPr>
          <w:color w:val="000000" w:themeColor="text1"/>
        </w:rPr>
        <w:fldChar w:fldCharType="end"/>
      </w:r>
      <w:r w:rsidRPr="00AE73A7">
        <w:rPr>
          <w:color w:val="000000" w:themeColor="text1"/>
        </w:rPr>
        <w:t xml:space="preserve"> suggest that relationship between SEC comment letters and downward process revision may send a negative signal regarding S-1 disclosure quality, it is unclear whether the SEC review is effective in addressing deficiencies in information quality of S-1 filings.</w:t>
      </w:r>
      <w:r w:rsidRPr="00AE73A7">
        <w:rPr>
          <w:color w:val="000000" w:themeColor="text1"/>
          <w:lang w:eastAsia="en-US"/>
        </w:rPr>
        <w:t xml:space="preserve"> </w:t>
      </w:r>
      <w:r w:rsidRPr="00AE73A7">
        <w:rPr>
          <w:color w:val="000000" w:themeColor="text1"/>
        </w:rPr>
        <w:t xml:space="preserve">Their study </w:t>
      </w:r>
      <w:r w:rsidRPr="00AE73A7">
        <w:rPr>
          <w:color w:val="000000" w:themeColor="text1"/>
          <w:lang w:eastAsia="en-US"/>
        </w:rPr>
        <w:t xml:space="preserve">mainly focuses on </w:t>
      </w:r>
      <w:r w:rsidRPr="00AE73A7">
        <w:rPr>
          <w:color w:val="000000" w:themeColor="text1"/>
        </w:rPr>
        <w:t>effects of the SEC’s review on IPO’s price formation other than ex-ante factors impacting the SEC review</w:t>
      </w:r>
      <w:r w:rsidRPr="00AE73A7">
        <w:rPr>
          <w:color w:val="000000" w:themeColor="text1"/>
          <w:lang w:eastAsia="en-US"/>
        </w:rPr>
        <w:t xml:space="preserve">.  Otherwise, IPO environment is claimed to confront high level of information asymmetry which may induce IPO firms to </w:t>
      </w:r>
      <w:r>
        <w:rPr>
          <w:lang w:eastAsia="en-US"/>
        </w:rPr>
        <w:t xml:space="preserve">hype their stocks by providing insufficient or misleading disclosures to gain more proceeds at the offering </w:t>
      </w:r>
      <w:r>
        <w:rPr>
          <w:lang w:eastAsia="en-US"/>
        </w:rPr>
        <w:fldChar w:fldCharType="begin" w:fldLock="1"/>
      </w:r>
      <w:r w:rsidR="00A611DF">
        <w:rPr>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IPO process","type":"article-journal","volume":"22"},"uris":["http://www.mendeley.com/documents/?uuid=efcd684f-bf42-48a7-9e9b-bc3ae01b1e13"]}],"mendeley":{"formattedCitation":"(Li &amp; Liu, 2017b)","manualFormatting":"(Li &amp; Liu, 2017)","plainTextFormattedCitation":"(Li &amp; Liu, 2017b)","previouslyFormattedCitation":"(Li &amp; Liu, 2017b)"},"properties":{"noteIndex":0},"schema":"https://github.com/citation-style-language/schema/raw/master/csl-citation.json"}</w:instrText>
      </w:r>
      <w:r>
        <w:rPr>
          <w:lang w:eastAsia="en-US"/>
        </w:rPr>
        <w:fldChar w:fldCharType="separate"/>
      </w:r>
      <w:r>
        <w:rPr>
          <w:noProof/>
          <w:lang w:eastAsia="en-US"/>
        </w:rPr>
        <w:t>(Li &amp; Liu, 2017)</w:t>
      </w:r>
      <w:r>
        <w:rPr>
          <w:lang w:eastAsia="en-US"/>
        </w:rPr>
        <w:fldChar w:fldCharType="end"/>
      </w:r>
      <w:r>
        <w:rPr>
          <w:lang w:eastAsia="en-US"/>
        </w:rPr>
        <w:t xml:space="preserve">. Therefore, investigating the effectiveness of SEC review process on S-1 filings as well as determinants of the review is substantial since previous research suggest that investors base on the S-1 filings to make their investment decision because S-1 filings often contain an extensive number of intangible information about IPO’s future strategies and possible problems which should affect the investors’ firm evaluation </w:t>
      </w:r>
      <w:r>
        <w:rPr>
          <w:lang w:eastAsia="en-US"/>
        </w:rPr>
        <w:fldChar w:fldCharType="begin" w:fldLock="1"/>
      </w:r>
      <w:r w:rsidR="00900BF8">
        <w:rPr>
          <w:lang w:eastAsia="en-US"/>
        </w:rPr>
        <w:instrText>ADDIN CSL_CITATION {"citationItems":[{"id":"ITEM-1","itemData":{"ISBN":"0304-405X","ISSN":"0304405X","abstract":"Form S-1 is the first SEC filing in the initial public offering (IPO) process. The tone of the S-1, in terms of its definitiveness in characterizing the firm's business strategy and operations, should affect investors' ability to value the IPO. We find that IPOs with high levels of uncertain text have higher first-day returns, absolute offer price revisions, and subsequent volatility. Our findings provide empirical evidence for the theoretical models of uncertainty, bookbuilding, and prospect theory. © 2013 Elsevier B.V.","author":[{"dropping-particle":"","family":"Loughran","given":"Tim","non-dropping-particle":"","parse-names":false,"suffix":""},{"dropping-particle":"","family":"McDonald","given":"Bill","non-dropping-particle":"","parse-names":false,"suffix":""}],"container-title":"Journal of Financial Economics","id":"ITEM-1","issue":"2","issued":{"date-parts":[["2013"]]},"page":"307-326","publisher":"Elsevier","title":"IPO first-day returns, offer price revisions, volatility, and form S-1 language","type":"article-journal","volume":"109"},"uris":["http://www.mendeley.com/documents/?uuid=d7b3b137-1f93-4635-aed2-872307cace0b"]}],"mendeley":{"formattedCitation":"(Loughran &amp; McDonald, 2013)","plainTextFormattedCitation":"(Loughran &amp; McDonald, 2013)","previouslyFormattedCitation":"(Loughran &amp; McDonald, 2013)"},"properties":{"noteIndex":0},"schema":"https://github.com/citation-style-language/schema/raw/master/csl-citation.json"}</w:instrText>
      </w:r>
      <w:r>
        <w:rPr>
          <w:lang w:eastAsia="en-US"/>
        </w:rPr>
        <w:fldChar w:fldCharType="separate"/>
      </w:r>
      <w:r w:rsidR="00143FD7" w:rsidRPr="00143FD7">
        <w:rPr>
          <w:noProof/>
          <w:lang w:eastAsia="en-US"/>
        </w:rPr>
        <w:t>(Loughran &amp; McDonald, 2013)</w:t>
      </w:r>
      <w:r>
        <w:rPr>
          <w:lang w:eastAsia="en-US"/>
        </w:rPr>
        <w:fldChar w:fldCharType="end"/>
      </w:r>
      <w:r>
        <w:rPr>
          <w:lang w:eastAsia="en-US"/>
        </w:rPr>
        <w:t xml:space="preserve">. </w:t>
      </w:r>
      <w:proofErr w:type="gramStart"/>
      <w:r>
        <w:rPr>
          <w:lang w:eastAsia="en-US"/>
        </w:rPr>
        <w:t>In order to</w:t>
      </w:r>
      <w:proofErr w:type="gramEnd"/>
      <w:r>
        <w:rPr>
          <w:lang w:eastAsia="en-US"/>
        </w:rPr>
        <w:t xml:space="preserve"> answer the key research question, four categories of potential factors affecting the SEC review of S-1 filings are considered in this study, namely (1) IPO firms characteristics, (2) incidences of regulatory changes and crisis, (3) industry/market characteristics and (4) the SEC characteristics.</w:t>
      </w:r>
    </w:p>
    <w:p w14:paraId="7E88A210" w14:textId="5B206214" w:rsidR="00AE73A7" w:rsidRPr="00AE73A7" w:rsidRDefault="00AE73A7" w:rsidP="00AE73A7">
      <w:pPr>
        <w:spacing w:line="360" w:lineRule="auto"/>
        <w:jc w:val="both"/>
        <w:rPr>
          <w:color w:val="000000" w:themeColor="text1"/>
        </w:rPr>
      </w:pPr>
      <w:r w:rsidRPr="00AE73A7">
        <w:rPr>
          <w:color w:val="000000"/>
        </w:rPr>
        <w:t xml:space="preserve">Supporting effectiveness of the regulatory intervention, public interest theory, developed by </w:t>
      </w:r>
      <w:r w:rsidRPr="00AE73A7">
        <w:rPr>
          <w:color w:val="000000"/>
        </w:rPr>
        <w:fldChar w:fldCharType="begin" w:fldLock="1"/>
      </w:r>
      <w:r w:rsidR="00A611DF">
        <w:rPr>
          <w:color w:val="000000"/>
        </w:rPr>
        <w:instrText>ADDIN CSL_CITATION {"citationItems":[{"id":"ITEM-1","itemData":{"author":[{"dropping-particle":"","family":"Pigou","given":"Arthur Cecil","non-dropping-particle":"","parse-names":false,"suffix":""}],"id":"ITEM-1","issued":{"date-parts":[["1932"]]},"publisher":"Macmillan and Co","publisher-place":"London","title":"The Economics of Welfare","type":"book"},"uris":["http://www.mendeley.com/documents/?uuid=304c7af4-9171-4656-88bf-8929093bf30b"]}],"mendeley":{"formattedCitation":"(Pigou, 1932)","manualFormatting":"Pigou (1932)","plainTextFormattedCitation":"(Pigou, 1932)","previouslyFormattedCitation":"(Pigou, 1932)"},"properties":{"noteIndex":0},"schema":"https://github.com/citation-style-language/schema/raw/master/csl-citation.json"}</w:instrText>
      </w:r>
      <w:r w:rsidRPr="00AE73A7">
        <w:rPr>
          <w:color w:val="000000"/>
        </w:rPr>
        <w:fldChar w:fldCharType="separate"/>
      </w:r>
      <w:r w:rsidRPr="00AE73A7">
        <w:rPr>
          <w:noProof/>
          <w:color w:val="000000"/>
        </w:rPr>
        <w:t>Pigou (1932)</w:t>
      </w:r>
      <w:r w:rsidRPr="00AE73A7">
        <w:rPr>
          <w:color w:val="000000"/>
        </w:rPr>
        <w:fldChar w:fldCharType="end"/>
      </w:r>
      <w:r w:rsidRPr="00AE73A7">
        <w:rPr>
          <w:color w:val="000000"/>
        </w:rPr>
        <w:t xml:space="preserve">, suggests that regulatory bodies are neutral and aim to protect interests of society as a whole, rather than those of individuals in weak and inefficient markets. In line with the assumption of public interest theory, </w:t>
      </w:r>
      <w:r>
        <w:rPr>
          <w:lang w:eastAsia="en-US"/>
        </w:rPr>
        <w:t xml:space="preserve">Cassell et al. (2013) identify that firms with low </w:t>
      </w:r>
      <w:r>
        <w:rPr>
          <w:lang w:eastAsia="en-US"/>
        </w:rPr>
        <w:lastRenderedPageBreak/>
        <w:t xml:space="preserve">profitability, and firms with high complexity, frailty in corporate governance or being audited by small auditors, who may have lower financial reporting quality, are likely to attract more SEC scrutiny on 10-K filings. Robinson et al. (2011) also observe that SEC review on proxy statement filings </w:t>
      </w:r>
      <w:proofErr w:type="gramStart"/>
      <w:r>
        <w:rPr>
          <w:lang w:eastAsia="en-US"/>
        </w:rPr>
        <w:t>are</w:t>
      </w:r>
      <w:proofErr w:type="gramEnd"/>
      <w:r>
        <w:rPr>
          <w:lang w:eastAsia="en-US"/>
        </w:rPr>
        <w:t xml:space="preserve"> more intense for firms with weak corporate governance and firms with excessive CEO compensation. Similarly, </w:t>
      </w:r>
      <w:proofErr w:type="spellStart"/>
      <w:r>
        <w:rPr>
          <w:lang w:eastAsia="en-US"/>
        </w:rPr>
        <w:t>Ettredge</w:t>
      </w:r>
      <w:proofErr w:type="spellEnd"/>
      <w:r>
        <w:rPr>
          <w:lang w:eastAsia="en-US"/>
        </w:rPr>
        <w:t xml:space="preserve"> et al. (2011) identify that intensity of SEC review on 8-K filings are lower when firms have stronger internal controls and corporate governance. </w:t>
      </w:r>
      <w:proofErr w:type="spellStart"/>
      <w:r>
        <w:rPr>
          <w:lang w:eastAsia="en-US"/>
        </w:rPr>
        <w:t>Heese</w:t>
      </w:r>
      <w:proofErr w:type="spellEnd"/>
      <w:r>
        <w:rPr>
          <w:lang w:eastAsia="en-US"/>
        </w:rPr>
        <w:t xml:space="preserve"> et al. (2017) also claim that SEC review on 10-K filings </w:t>
      </w:r>
      <w:proofErr w:type="gramStart"/>
      <w:r>
        <w:rPr>
          <w:lang w:eastAsia="en-US"/>
        </w:rPr>
        <w:t>are</w:t>
      </w:r>
      <w:proofErr w:type="gramEnd"/>
      <w:r>
        <w:rPr>
          <w:lang w:eastAsia="en-US"/>
        </w:rPr>
        <w:t xml:space="preserve"> more intense for bigger firms and older firms who have more complexity in their business as well as loss-making firms and firms with lower market-to-book value ratios who may have more information uncertainty, and less intense for firms not conducting external financing activities who may have higher reporting quality and compliance.  </w:t>
      </w:r>
      <w:proofErr w:type="spellStart"/>
      <w:r>
        <w:rPr>
          <w:lang w:eastAsia="en-US"/>
        </w:rPr>
        <w:t>Duro</w:t>
      </w:r>
      <w:proofErr w:type="spellEnd"/>
      <w:r>
        <w:rPr>
          <w:lang w:eastAsia="en-US"/>
        </w:rPr>
        <w:t xml:space="preserve"> et al. (2017) find evidence SEC review on 10-K filings are more intense for firms with higher leverage, who have higher debt level, firms with higher ratio of book-to-market value and firms conducting M&amp;A, who have more complexity in their business.  </w:t>
      </w:r>
      <w:proofErr w:type="spellStart"/>
      <w:r>
        <w:rPr>
          <w:lang w:eastAsia="en-US"/>
        </w:rPr>
        <w:t>Ertimur</w:t>
      </w:r>
      <w:proofErr w:type="spellEnd"/>
      <w:r>
        <w:rPr>
          <w:lang w:eastAsia="en-US"/>
        </w:rPr>
        <w:t xml:space="preserve"> &amp; </w:t>
      </w:r>
      <w:proofErr w:type="spellStart"/>
      <w:r>
        <w:rPr>
          <w:lang w:eastAsia="en-US"/>
        </w:rPr>
        <w:t>Nondorf</w:t>
      </w:r>
      <w:proofErr w:type="spellEnd"/>
      <w:r>
        <w:rPr>
          <w:lang w:eastAsia="en-US"/>
        </w:rPr>
        <w:t xml:space="preserve"> (2006) observe that SEC increase their scrutiny on S-1 and SB-2 filings prepared by firms with lower level of managerial expertise, who may have lower level of disclosure quality. Besides the impact of IPOs characteristics, prior literature also </w:t>
      </w:r>
      <w:proofErr w:type="gramStart"/>
      <w:r>
        <w:rPr>
          <w:lang w:eastAsia="en-US"/>
        </w:rPr>
        <w:t>identify</w:t>
      </w:r>
      <w:proofErr w:type="gramEnd"/>
      <w:r>
        <w:rPr>
          <w:lang w:eastAsia="en-US"/>
        </w:rPr>
        <w:t xml:space="preserve"> that incidences of regulatory changes and crisis could induce regulators to conduct their review in effective way. </w:t>
      </w:r>
      <w:r w:rsidRPr="00AE73A7">
        <w:rPr>
          <w:color w:val="000000" w:themeColor="text1"/>
        </w:rPr>
        <w:t xml:space="preserve">The Dodd–Frank Wall Street Reform and Consumer Protection Act in 2010 aims to </w:t>
      </w:r>
      <w:r>
        <w:rPr>
          <w:lang w:eastAsia="en-US"/>
        </w:rPr>
        <w:t xml:space="preserve">strengthen oversight of particular organizations to protect economy and American consumers, investors and businesses </w:t>
      </w:r>
      <w:r>
        <w:rPr>
          <w:lang w:eastAsia="en-US"/>
        </w:rPr>
        <w:fldChar w:fldCharType="begin" w:fldLock="1"/>
      </w:r>
      <w:r w:rsidR="00A611DF">
        <w:rPr>
          <w:lang w:eastAsia="en-US"/>
        </w:rPr>
        <w:instrText>ADDIN CSL_CITATION {"citationItems":[{"id":"ITEM-1","itemData":{"author":[{"dropping-particle":"","family":"WilmerHale","given":"","non-dropping-particle":"","parse-names":false,"suffix":""}],"container-title":"Wilmer Cutler Pickering Hale And Dorr LLP","id":"ITEM-1","issued":{"date-parts":[["2011"]]},"title":"2011 IPO Report","type":"article-journal"},"uris":["http://www.mendeley.com/documents/?uuid=61ce636d-2fea-498c-998c-ca90a508b676"]}],"mendeley":{"formattedCitation":"(WilmerHale, 2011)","plainTextFormattedCitation":"(WilmerHale, 2011)","previouslyFormattedCitation":"(WilmerHale, 2011)"},"properties":{"noteIndex":0},"schema":"https://github.com/citation-style-language/schema/raw/master/csl-citation.json"}</w:instrText>
      </w:r>
      <w:r>
        <w:rPr>
          <w:lang w:eastAsia="en-US"/>
        </w:rPr>
        <w:fldChar w:fldCharType="separate"/>
      </w:r>
      <w:r>
        <w:rPr>
          <w:noProof/>
          <w:lang w:eastAsia="en-US"/>
        </w:rPr>
        <w:t>(WilmerHale, 2011)</w:t>
      </w:r>
      <w:r>
        <w:rPr>
          <w:lang w:eastAsia="en-US"/>
        </w:rPr>
        <w:fldChar w:fldCharType="end"/>
      </w:r>
      <w:r>
        <w:rPr>
          <w:lang w:eastAsia="en-US"/>
        </w:rPr>
        <w:t xml:space="preserve">. </w:t>
      </w:r>
      <w:r>
        <w:rPr>
          <w:lang w:eastAsia="en-US"/>
        </w:rPr>
        <w:fldChar w:fldCharType="begin" w:fldLock="1"/>
      </w:r>
      <w:r w:rsidR="00A611DF">
        <w:rPr>
          <w:lang w:eastAsia="en-US"/>
        </w:rPr>
        <w:instrText>ADDIN CSL_CITATION {"citationItems":[{"id":"ITEM-1","itemData":{"DOI":"10.1016/j.jbankfin.2014.01.021","ISSN":"03784266","abstract":"We investigate whether or not market discipline on banking firms changed after the Dodd-Frank Wall Street Reform and Consumer Protection Act (DFA) of 2010. If market discipline is improved, we should see a lower discount for size on yield spreads, particularly for banks identified as too-big-to-fail (TBTF) or systemically important (SIFI). Using secondary market subordinated debt transactions we find that the size discount is reduced by 47% and TBTF discount is reduced by 94% after the DFA. The DFA has been effective in reducing, but not in eliminating the size and TBTF discounts on yield spreads. Market discipline of banks appears to have improved further after the rating criteria changes by Moody's. © 2014.","author":[{"dropping-particle":"","family":"Balasubramnian","given":"B.","non-dropping-particle":"","parse-names":false,"suffix":""},{"dropping-particle":"","family":"Cyree","given":"K.B.","non-dropping-particle":"","parse-names":false,"suffix":""}],"container-title":"Journal of Banking and Finance","id":"ITEM-1","issue":"1","issued":{"date-parts":[["2014"]]},"page":"155-166","publisher":"Elsevier B.V.","title":"Has market discipline on banks improved after the Dodd-Frank Act?","type":"article-journal","volume":"41"},"uris":["http://www.mendeley.com/documents/?uuid=75077377-866e-4864-aa49-595f9ad0afa6"]}],"mendeley":{"formattedCitation":"(Balasubramnian &amp; Cyree, 2014)","manualFormatting":"Balasubramnian &amp; Cyree (2014)","plainTextFormattedCitation":"(Balasubramnian &amp; Cyree, 2014)","previouslyFormattedCitation":"(Balasubramnian &amp; Cyree, 2014)"},"properties":{"noteIndex":0},"schema":"https://github.com/citation-style-language/schema/raw/master/csl-citation.json"}</w:instrText>
      </w:r>
      <w:r>
        <w:rPr>
          <w:lang w:eastAsia="en-US"/>
        </w:rPr>
        <w:fldChar w:fldCharType="separate"/>
      </w:r>
      <w:r>
        <w:rPr>
          <w:noProof/>
          <w:lang w:eastAsia="en-US"/>
        </w:rPr>
        <w:t>Balasubramnian &amp; Cyree (2014)</w:t>
      </w:r>
      <w:r>
        <w:rPr>
          <w:lang w:eastAsia="en-US"/>
        </w:rPr>
        <w:fldChar w:fldCharType="end"/>
      </w:r>
      <w:r>
        <w:rPr>
          <w:lang w:eastAsia="en-US"/>
        </w:rPr>
        <w:t xml:space="preserve"> identify that due to government intervention, the market discipline is improved after the enactment of Dodd-Frank 2010. </w:t>
      </w:r>
      <w:r w:rsidRPr="00AE73A7">
        <w:rPr>
          <w:color w:val="000000" w:themeColor="text1"/>
        </w:rPr>
        <w:t>The financial crisis in 2008-2009</w:t>
      </w:r>
      <w:r>
        <w:rPr>
          <w:lang w:eastAsia="en-US"/>
        </w:rPr>
        <w:t xml:space="preserve"> created systemic risks, contagion, regulatory failures and increased risk-taking behaviours </w:t>
      </w:r>
      <w:r>
        <w:rPr>
          <w:lang w:eastAsia="en-US"/>
        </w:rPr>
        <w:fldChar w:fldCharType="begin" w:fldLock="1"/>
      </w:r>
      <w:r w:rsidR="00A611DF">
        <w:rPr>
          <w:lang w:eastAsia="en-US"/>
        </w:rPr>
        <w:instrText>ADDIN CSL_CITATION {"citationItems":[{"id":"ITEM-1","itemData":{"DOI":"10.1017/9781316492635.016","ISBN":"9781316492635","abstract":"along the same lines of MT and ANA * system wide persepctive * incorporation of incentives * crisis risk as always present","author":[{"dropping-particle":"","family":"Claessens","given":"S.","non-dropping-particle":"","parse-names":false,"suffix":""},{"dropping-particle":"","family":"Kodres","given":"L.","non-dropping-particle":"","parse-names":false,"suffix":""}],"container-title":"IMF Working paper","id":"ITEM-1","issued":{"date-parts":[["2014"]]},"page":"435-482","title":"The regulatory responses to the global financial crisis: Some uncomfortable questions","type":"article-journal"},"uris":["http://www.mendeley.com/documents/?uuid=fc65b2a9-a2fb-4f65-a00c-b9dd6689f063"]}],"mendeley":{"formattedCitation":"(Claessens &amp; Kodres, 2014)","plainTextFormattedCitation":"(Claessens &amp; Kodres, 2014)","previouslyFormattedCitation":"(Claessens &amp; Kodres, 2014)"},"properties":{"noteIndex":0},"schema":"https://github.com/citation-style-language/schema/raw/master/csl-citation.json"}</w:instrText>
      </w:r>
      <w:r>
        <w:rPr>
          <w:lang w:eastAsia="en-US"/>
        </w:rPr>
        <w:fldChar w:fldCharType="separate"/>
      </w:r>
      <w:r>
        <w:rPr>
          <w:noProof/>
          <w:lang w:eastAsia="en-US"/>
        </w:rPr>
        <w:t>(Claessens &amp; Kodres, 2014)</w:t>
      </w:r>
      <w:r>
        <w:rPr>
          <w:lang w:eastAsia="en-US"/>
        </w:rPr>
        <w:fldChar w:fldCharType="end"/>
      </w:r>
      <w:r>
        <w:rPr>
          <w:lang w:eastAsia="en-US"/>
        </w:rPr>
        <w:t xml:space="preserve">. </w:t>
      </w:r>
      <w:r>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De Cesari, &amp; Hegde, 2018)","manualFormatting":"Colaco et al. (2017)","plainTextFormattedCitation":"(Colaco, De Cesari, &amp; Hegde, 2018)","previouslyFormattedCitation":"(Colaco, De Cesari, &amp; Hegde, 2018)"},"properties":{"noteIndex":0},"schema":"https://github.com/citation-style-language/schema/raw/master/csl-citation.json"}</w:instrText>
      </w:r>
      <w:r>
        <w:rPr>
          <w:lang w:eastAsia="en-US"/>
        </w:rPr>
        <w:fldChar w:fldCharType="separate"/>
      </w:r>
      <w:r>
        <w:rPr>
          <w:noProof/>
          <w:lang w:eastAsia="en-US"/>
        </w:rPr>
        <w:t>Colaco et al. (2017)</w:t>
      </w:r>
      <w:r>
        <w:rPr>
          <w:lang w:eastAsia="en-US"/>
        </w:rPr>
        <w:fldChar w:fldCharType="end"/>
      </w:r>
      <w:r>
        <w:rPr>
          <w:lang w:eastAsia="en-US"/>
        </w:rPr>
        <w:t xml:space="preserve"> identify that IPO firms’ waiting periods, which include periods of regulatory oversight</w:t>
      </w:r>
      <w:r>
        <w:t xml:space="preserve">, are longer during the period of financial crisis 2008-2009. </w:t>
      </w:r>
      <w:r>
        <w:fldChar w:fldCharType="begin" w:fldLock="1"/>
      </w:r>
      <w:r w:rsidR="00A611DF">
        <w:instrText>ADDIN CSL_CITATION {"citationItems":[{"id":"ITEM-1","itemData":{"author":[{"dropping-particle":"","family":"Blackburne","given":"Terrence","non-dropping-particle":"","parse-names":false,"suffix":""}],"container-title":"Working paper","id":"ITEM-1","issued":{"date-parts":[["2014"]]},"title":"Regulatory Oversight and Reporting Incentives: Evidence from SEC Budget Allocations Terrence","type":"article-journal"},"uris":["http://www.mendeley.com/documents/?uuid=9a5e3877-0197-49fd-9514-481934d4138a"]}],"mendeley":{"formattedCitation":"(Blackburne, 2014)","manualFormatting":"Blackburne (2014)","plainTextFormattedCitation":"(Blackburne, 2014)","previouslyFormattedCitation":"(Blackburne, 2014)"},"properties":{"noteIndex":0},"schema":"https://github.com/citation-style-language/schema/raw/master/csl-citation.json"}</w:instrText>
      </w:r>
      <w:r>
        <w:fldChar w:fldCharType="separate"/>
      </w:r>
      <w:r>
        <w:rPr>
          <w:noProof/>
        </w:rPr>
        <w:t>Blackburne (2014)</w:t>
      </w:r>
      <w:r>
        <w:fldChar w:fldCharType="end"/>
      </w:r>
      <w:r>
        <w:t xml:space="preserve"> also identifies estimated budget allocation for Division of Corporation Finance disclosure review office increased during the financial crisis 2008. Otherwise, regarding impact of industry/market characteristics, </w:t>
      </w:r>
      <w:r w:rsidR="00540DBF">
        <w:rPr>
          <w:i/>
          <w:lang w:eastAsia="en-US"/>
        </w:rPr>
        <w:fldChar w:fldCharType="begin" w:fldLock="1"/>
      </w:r>
      <w:r w:rsidR="00540DBF">
        <w:rPr>
          <w:i/>
          <w:lang w:eastAsia="en-US"/>
        </w:rPr>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Klasa, &amp; Yeung, 2014)","manualFormatting":"Ali et al. (2014)","plainTextFormattedCitation":"(Ali, Klasa, &amp; Yeung, 2014)","previouslyFormattedCitation":"(Ali, Klasa, &amp; Yeung, 2014)"},"properties":{"noteIndex":0},"schema":"https://github.com/citation-style-language/schema/raw/master/csl-citation.json"}</w:instrText>
      </w:r>
      <w:r w:rsidR="00540DBF">
        <w:rPr>
          <w:i/>
          <w:lang w:eastAsia="en-US"/>
        </w:rPr>
        <w:fldChar w:fldCharType="separate"/>
      </w:r>
      <w:r w:rsidR="00540DBF">
        <w:rPr>
          <w:noProof/>
          <w:lang w:eastAsia="en-US"/>
        </w:rPr>
        <w:t>Ali et al. (</w:t>
      </w:r>
      <w:r w:rsidR="00540DBF" w:rsidRPr="00A611DF">
        <w:rPr>
          <w:noProof/>
          <w:lang w:eastAsia="en-US"/>
        </w:rPr>
        <w:t>2014)</w:t>
      </w:r>
      <w:r w:rsidR="00540DBF">
        <w:rPr>
          <w:i/>
          <w:lang w:eastAsia="en-US"/>
        </w:rPr>
        <w:fldChar w:fldCharType="end"/>
      </w:r>
      <w:r w:rsidR="00540DBF">
        <w:rPr>
          <w:i/>
          <w:lang w:eastAsia="en-US"/>
        </w:rPr>
        <w:t xml:space="preserve"> </w:t>
      </w:r>
      <w:r>
        <w:rPr>
          <w:lang w:eastAsia="en-US"/>
        </w:rPr>
        <w:t>demonstrate</w:t>
      </w:r>
      <w:r w:rsidRPr="00AE73A7">
        <w:rPr>
          <w:i/>
          <w:lang w:eastAsia="en-US"/>
        </w:rPr>
        <w:t xml:space="preserve"> </w:t>
      </w:r>
      <w:r>
        <w:rPr>
          <w:lang w:eastAsia="en-US"/>
        </w:rPr>
        <w:t xml:space="preserve">that </w:t>
      </w:r>
      <w:r w:rsidR="00540DBF">
        <w:rPr>
          <w:lang w:eastAsia="en-US"/>
        </w:rPr>
        <w:t xml:space="preserve">due to proprietary costs of disclosures, </w:t>
      </w:r>
      <w:r>
        <w:rPr>
          <w:lang w:eastAsia="en-US"/>
        </w:rPr>
        <w:t>firms operating in highly-concentrated markets have greater information uncertainty, which may attract more SEC scrutiny on  10-K and 10-Q filings (</w:t>
      </w:r>
      <w:r>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letters","type":"article-journal"},"uris":["http://www.mendeley.com/documents/?uuid=31cb3f38-3b03-4c18-80a9-efacdd595b49"]}],"mendeley":{"formattedCitation":"(R. Chen &amp; Johnston, 2010)","manualFormatting":"Chen &amp; Johnston, 2010)","plainTextFormattedCitation":"(R. Chen &amp; Johnston, 2010)","previouslyFormattedCitation":"(R. Chen &amp; Johnston, 2010)"},"properties":{"noteIndex":0},"schema":"https://github.com/citation-style-language/schema/raw/master/csl-citation.json"}</w:instrText>
      </w:r>
      <w:r>
        <w:rPr>
          <w:lang w:eastAsia="en-US"/>
        </w:rPr>
        <w:fldChar w:fldCharType="separate"/>
      </w:r>
      <w:r>
        <w:rPr>
          <w:noProof/>
          <w:lang w:eastAsia="en-US"/>
        </w:rPr>
        <w:t>Chen &amp; Johnston, 2010)</w:t>
      </w:r>
      <w:r>
        <w:rPr>
          <w:lang w:eastAsia="en-US"/>
        </w:rPr>
        <w:fldChar w:fldCharType="end"/>
      </w:r>
      <w:r>
        <w:rPr>
          <w:lang w:eastAsia="en-US"/>
        </w:rPr>
        <w:t xml:space="preserve"> or on registration statements (</w:t>
      </w:r>
      <w:proofErr w:type="spellStart"/>
      <w:r>
        <w:rPr>
          <w:noProof/>
          <w:lang w:eastAsia="en-US"/>
        </w:rPr>
        <w:t>Ertimur</w:t>
      </w:r>
      <w:proofErr w:type="spellEnd"/>
      <w:r>
        <w:rPr>
          <w:noProof/>
          <w:lang w:eastAsia="en-US"/>
        </w:rPr>
        <w:t xml:space="preserve"> &amp; Nondorf, 2006</w:t>
      </w:r>
      <w:r>
        <w:rPr>
          <w:lang w:eastAsia="en-US"/>
        </w:rPr>
        <w:t xml:space="preserve"> and </w:t>
      </w:r>
      <w:r>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rPr>
          <w:lang w:eastAsia="en-US"/>
        </w:rPr>
        <w:fldChar w:fldCharType="separate"/>
      </w:r>
      <w:r>
        <w:rPr>
          <w:noProof/>
          <w:lang w:eastAsia="en-US"/>
        </w:rPr>
        <w:t>Colaco et al., 2017)</w:t>
      </w:r>
      <w:r>
        <w:rPr>
          <w:lang w:eastAsia="en-US"/>
        </w:rPr>
        <w:fldChar w:fldCharType="end"/>
      </w:r>
      <w:r>
        <w:rPr>
          <w:lang w:eastAsia="en-US"/>
        </w:rPr>
        <w:t xml:space="preserve">. </w:t>
      </w:r>
      <w:r>
        <w:rPr>
          <w:noProof/>
        </w:rPr>
        <w:t xml:space="preserve">Ertimur &amp; Nondorf (2006) also </w:t>
      </w:r>
      <w:r>
        <w:t xml:space="preserve">observe that SEC review on S-1 and SB-2 filings are less intense for firms operating in regulated industries </w:t>
      </w:r>
      <w:r w:rsidRPr="00AE73A7">
        <w:rPr>
          <w:rStyle w:val="normaltextrun"/>
          <w:color w:val="000000"/>
          <w:shd w:val="clear" w:color="auto" w:fill="FFFFFF"/>
        </w:rPr>
        <w:t>since the regulated firms have existing obvious external reporting duties, quality of the regulated firms' S-1 filings could be more standard than other firms</w:t>
      </w:r>
      <w:r>
        <w:rPr>
          <w:lang w:eastAsia="en-US"/>
        </w:rPr>
        <w:t xml:space="preserve">. In addition, SEC characteristic is also </w:t>
      </w:r>
      <w:r>
        <w:rPr>
          <w:lang w:eastAsia="en-US"/>
        </w:rPr>
        <w:lastRenderedPageBreak/>
        <w:t xml:space="preserve">demonstrated to enhance the effectiveness of the SEC review on firms’ disclosures. </w:t>
      </w:r>
      <w:r w:rsidRPr="00AE73A7">
        <w:rPr>
          <w:noProof/>
          <w:color w:val="000000" w:themeColor="text1"/>
        </w:rPr>
        <w:t xml:space="preserve">“Upper echelons theory”, a theory of individual style effect as set forth by Hambrick &amp; Mason (1984), states that organization outcomes including; strategic decision and performance, are affected by career experience of decision maker. The theory assumes that an stable environment, the career experience of decision maker may increase the organization outcomes. Supporting this assumption, </w:t>
      </w:r>
      <w:r>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Kim, &amp; Lee, 2017)","manualFormatting":"Baugh et al. (2017)","plainTextFormattedCitation":"(Baugh, Kim, &amp; Lee, 2017)","previouslyFormattedCitation":"(Baugh, Kim, &amp; Lee, 2017)"},"properties":{"noteIndex":0},"schema":"https://github.com/citation-style-language/schema/raw/master/csl-citation.json"}</w:instrText>
      </w:r>
      <w:r>
        <w:rPr>
          <w:lang w:eastAsia="en-US"/>
        </w:rPr>
        <w:fldChar w:fldCharType="separate"/>
      </w:r>
      <w:r>
        <w:rPr>
          <w:noProof/>
          <w:lang w:eastAsia="en-US"/>
        </w:rPr>
        <w:t>Baugh et al. (2017)</w:t>
      </w:r>
      <w:r>
        <w:rPr>
          <w:lang w:eastAsia="en-US"/>
        </w:rPr>
        <w:fldChar w:fldCharType="end"/>
      </w:r>
      <w:r>
        <w:rPr>
          <w:lang w:eastAsia="en-US"/>
        </w:rPr>
        <w:t xml:space="preserve"> identify that SEC reviewers, who hold position as Assistant Director, have more experience and tend to address more issues in initial comment letters in their review on annual filings (e.g. 10-K, 20-F, 40-F),</w:t>
      </w:r>
      <w:r>
        <w:t xml:space="preserve"> </w:t>
      </w:r>
      <w:r>
        <w:rPr>
          <w:lang w:eastAsia="en-US"/>
        </w:rPr>
        <w:t>which are more likely to improve IPO firms’ financial reporting quality</w:t>
      </w:r>
      <w:r w:rsidRPr="00AE73A7">
        <w:rPr>
          <w:color w:val="000000" w:themeColor="text1"/>
        </w:rPr>
        <w:t xml:space="preserve">. </w:t>
      </w:r>
    </w:p>
    <w:p w14:paraId="5ABE31C7" w14:textId="7116B341" w:rsidR="00AE73A7" w:rsidRDefault="00AE73A7" w:rsidP="00AE73A7">
      <w:pPr>
        <w:spacing w:line="360" w:lineRule="auto"/>
        <w:jc w:val="both"/>
      </w:pPr>
      <w:r w:rsidRPr="00AE73A7">
        <w:rPr>
          <w:color w:val="000000"/>
        </w:rPr>
        <w:t xml:space="preserve">However, the regulatory intervention is contrarily claimed to be not effective due to the impact of other specific factors, such as “capture” parties or industries, interest groups and regulator own characteristics. Capture theory, developed by </w:t>
      </w:r>
      <w:r w:rsidRPr="00AE73A7">
        <w:rPr>
          <w:color w:val="000000" w:themeColor="text1"/>
        </w:rPr>
        <w:fldChar w:fldCharType="begin" w:fldLock="1"/>
      </w:r>
      <w:r w:rsidR="00A611DF">
        <w:rPr>
          <w:color w:val="000000" w:themeColor="text1"/>
        </w:rPr>
        <w:instrText>ADDIN CSL_CITATION {"citationItems":[{"id":"ITEM-1","itemData":{"author":[{"dropping-particle":"","family":"Stigler","given":"George J","non-dropping-particle":"","parse-names":false,"suffix":""}],"container-title":"The Bell Journal of Economics and Mangement Science","id":"ITEM-1","issue":"1","issued":{"date-parts":[["1971"]]},"page":"3-21","title":"The Theory of Economic Regulation","type":"article-journal","volume":"2"},"uris":["http://www.mendeley.com/documents/?uuid=6fa6ee39-bc84-41c5-98d7-f82a1b197faf"]}],"mendeley":{"formattedCitation":"(Stigler, 1971)","manualFormatting":"Stigler (1971)","plainTextFormattedCitation":"(Stigler, 1971)","previouslyFormattedCitation":"(Stigler, 1971)"},"properties":{"noteIndex":0},"schema":"https://github.com/citation-style-language/schema/raw/master/csl-citation.json"}</w:instrText>
      </w:r>
      <w:r w:rsidRPr="00AE73A7">
        <w:rPr>
          <w:color w:val="000000" w:themeColor="text1"/>
        </w:rPr>
        <w:fldChar w:fldCharType="separate"/>
      </w:r>
      <w:r w:rsidRPr="00AE73A7">
        <w:rPr>
          <w:noProof/>
          <w:color w:val="000000" w:themeColor="text1"/>
        </w:rPr>
        <w:t>Stigler (1971)</w:t>
      </w:r>
      <w:r w:rsidRPr="00AE73A7">
        <w:rPr>
          <w:color w:val="000000" w:themeColor="text1"/>
        </w:rPr>
        <w:fldChar w:fldCharType="end"/>
      </w:r>
      <w:r w:rsidRPr="00AE73A7">
        <w:rPr>
          <w:color w:val="000000"/>
        </w:rPr>
        <w:t xml:space="preserve">, assumes that although regulators aim to protect the public interest as a whole, they </w:t>
      </w:r>
      <w:r w:rsidRPr="00AE73A7">
        <w:rPr>
          <w:color w:val="000000" w:themeColor="text1"/>
        </w:rPr>
        <w:t>may also be controlled (or captured) by regulated parties or industries who intend to drive the regulation to their advantages</w:t>
      </w:r>
      <w:r w:rsidRPr="00AE73A7">
        <w:rPr>
          <w:color w:val="000000"/>
        </w:rPr>
        <w:t xml:space="preserve">. In line with capture theory, incidences of regulatory are demonstrated to have potential impact on the effectiveness of SEC review, </w:t>
      </w:r>
      <w:proofErr w:type="gramStart"/>
      <w:r w:rsidRPr="00AE73A7">
        <w:rPr>
          <w:color w:val="000000"/>
        </w:rPr>
        <w:t>e.g.</w:t>
      </w:r>
      <w:proofErr w:type="gramEnd"/>
      <w:r w:rsidRPr="00AE73A7">
        <w:rPr>
          <w:color w:val="000000"/>
        </w:rPr>
        <w:t xml:space="preserve"> </w:t>
      </w:r>
      <w:r w:rsidRPr="00AE73A7">
        <w:rPr>
          <w:color w:val="000000" w:themeColor="text1"/>
        </w:rPr>
        <w:t xml:space="preserve">Jumpstart Our Business </w:t>
      </w:r>
      <w:proofErr w:type="spellStart"/>
      <w:r w:rsidRPr="00AE73A7">
        <w:rPr>
          <w:color w:val="000000" w:themeColor="text1"/>
        </w:rPr>
        <w:t>Startups</w:t>
      </w:r>
      <w:proofErr w:type="spellEnd"/>
      <w:r w:rsidRPr="00AE73A7">
        <w:rPr>
          <w:color w:val="000000" w:themeColor="text1"/>
        </w:rPr>
        <w:t xml:space="preserve"> (JOBS) Act </w:t>
      </w:r>
      <w:r w:rsidRPr="00AE73A7">
        <w:rPr>
          <w:color w:val="000000"/>
        </w:rPr>
        <w:t xml:space="preserve">in 2012. </w:t>
      </w:r>
      <w:r w:rsidRPr="00AE73A7">
        <w:rPr>
          <w:color w:val="000000" w:themeColor="text1"/>
        </w:rPr>
        <w:t xml:space="preserve">The JOBs Act </w:t>
      </w:r>
      <w:r>
        <w:t>eliminates restrictions on emerging growth companies (EGCs) going public</w:t>
      </w:r>
      <w:r w:rsidRPr="00AE73A7">
        <w:rPr>
          <w:color w:val="000000" w:themeColor="text1"/>
        </w:rPr>
        <w:t xml:space="preserve">, which have total annual gross revenues lower than $1 billion in the most recent fiscal year </w:t>
      </w:r>
      <w:r w:rsidRPr="00AE73A7">
        <w:rPr>
          <w:color w:val="000000" w:themeColor="text1"/>
        </w:rPr>
        <w:fldChar w:fldCharType="begin" w:fldLock="1"/>
      </w:r>
      <w:r w:rsidR="00A611DF">
        <w:rPr>
          <w:color w:val="000000" w:themeColor="text1"/>
        </w:rPr>
        <w:instrText>ADDIN CSL_CITATION {"citationItems":[{"id":"ITEM-1","itemData":{"URL":"https://www.sec.gov/spotlight/jobs-act.shtml","accessed":{"date-parts":[["2018","3","10"]]},"author":[{"dropping-particle":"","family":"Securities and Exchange Commission (SEC)","given":"","non-dropping-particle":"","parse-names":false,"suffix":""}],"id":"ITEM-1","issued":{"date-parts":[["2012"]]},"title":"Jumpstart Our Business Startups (JOBS) Act","type":"webpage"},"uris":["http://www.mendeley.com/documents/?uuid=06d78f0b-3de9-41fc-89f7-9a291d206608"]}],"mendeley":{"formattedCitation":"(Securities and Exchange Commission (SEC), 2012)","manualFormatting":"(SEC, 2012)","plainTextFormattedCitation":"(Securities and Exchange Commission (SEC), 2012)","previouslyFormattedCitation":"(Securities and Exchange Commission (SEC), 2012)"},"properties":{"noteIndex":0},"schema":"https://github.com/citation-style-language/schema/raw/master/csl-citation.json"}</w:instrText>
      </w:r>
      <w:r w:rsidRPr="00AE73A7">
        <w:rPr>
          <w:color w:val="000000" w:themeColor="text1"/>
        </w:rPr>
        <w:fldChar w:fldCharType="separate"/>
      </w:r>
      <w:r w:rsidRPr="00AE73A7">
        <w:rPr>
          <w:noProof/>
          <w:color w:val="000000" w:themeColor="text1"/>
        </w:rPr>
        <w:t>(SEC, 2012)</w:t>
      </w:r>
      <w:r w:rsidRPr="00AE73A7">
        <w:rPr>
          <w:color w:val="000000" w:themeColor="text1"/>
        </w:rPr>
        <w:fldChar w:fldCharType="end"/>
      </w:r>
      <w:r w:rsidRPr="00AE73A7">
        <w:rPr>
          <w:color w:val="000000" w:themeColor="text1"/>
        </w:rPr>
        <w:t xml:space="preserve">. </w:t>
      </w:r>
      <w:r>
        <w:rPr>
          <w:lang w:eastAsia="en-US"/>
        </w:rPr>
        <w:fldChar w:fldCharType="begin" w:fldLock="1"/>
      </w:r>
      <w:r w:rsidR="00A611DF">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Gupta, &amp; Israelsen, 2017)","manualFormatting":"Agarwal et al. (2017)","plainTextFormattedCitation":"(Agarwal, Gupta, &amp; Israelsen, 2017)","previouslyFormattedCitation":"(Agarwal, Gupta, &amp; Israelsen, 2017)"},"properties":{"noteIndex":0},"schema":"https://github.com/citation-style-language/schema/raw/master/csl-citation.json"}</w:instrText>
      </w:r>
      <w:r>
        <w:rPr>
          <w:lang w:eastAsia="en-US"/>
        </w:rPr>
        <w:fldChar w:fldCharType="separate"/>
      </w:r>
      <w:r>
        <w:rPr>
          <w:noProof/>
          <w:lang w:eastAsia="en-US"/>
        </w:rPr>
        <w:t>Agarwal et al. (2017)</w:t>
      </w:r>
      <w:r>
        <w:rPr>
          <w:lang w:eastAsia="en-US"/>
        </w:rPr>
        <w:fldChar w:fldCharType="end"/>
      </w:r>
      <w:r>
        <w:rPr>
          <w:lang w:eastAsia="en-US"/>
        </w:rPr>
        <w:t xml:space="preserve"> observe that SEC adjust their styles in reviewing IPO prospectuses prepared by of ECGs after the enactment of JOBs Act. </w:t>
      </w:r>
      <w:r>
        <w:rPr>
          <w:lang w:eastAsia="en-US"/>
        </w:rPr>
        <w:fldChar w:fldCharType="begin" w:fldLock="1"/>
      </w:r>
      <w:r w:rsidR="00A611DF">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Hanley, &amp; Moon, 2017)","manualFormatting":"Chaplinsky et al. (2017)","plainTextFormattedCitation":"(Chaplinsky, Hanley, &amp; Moon, 2017)","previouslyFormattedCitation":"(Chaplinsky, Hanley, &amp; Moon, 2017)"},"properties":{"noteIndex":0},"schema":"https://github.com/citation-style-language/schema/raw/master/csl-citation.json"}</w:instrText>
      </w:r>
      <w:r>
        <w:rPr>
          <w:lang w:eastAsia="en-US"/>
        </w:rPr>
        <w:fldChar w:fldCharType="separate"/>
      </w:r>
      <w:r>
        <w:rPr>
          <w:noProof/>
          <w:lang w:eastAsia="en-US"/>
        </w:rPr>
        <w:t>Chaplinsky et al. (2017)</w:t>
      </w:r>
      <w:r>
        <w:rPr>
          <w:lang w:eastAsia="en-US"/>
        </w:rPr>
        <w:fldChar w:fldCharType="end"/>
      </w:r>
      <w:r>
        <w:rPr>
          <w:lang w:eastAsia="en-US"/>
        </w:rPr>
        <w:t xml:space="preserve"> state that Title I of JOBs Act decreases ability of regulators to address and prosecute fraud. Another theory supporting the ineffective regulatory intervention is </w:t>
      </w:r>
      <w:r w:rsidRPr="00AE73A7">
        <w:rPr>
          <w:color w:val="000000"/>
        </w:rPr>
        <w:t xml:space="preserve">economic interest group theory, developed by Posner (1974), which argues that dissimilar groups, with incompatible or conflicting interest and targets, will lobby regulators to protect benefit of themselves </w:t>
      </w:r>
      <w:r w:rsidR="00F73083">
        <w:rPr>
          <w:color w:val="000000"/>
        </w:rPr>
        <w:t>to the detriment of</w:t>
      </w:r>
      <w:r w:rsidRPr="00AE73A7">
        <w:rPr>
          <w:color w:val="000000"/>
        </w:rPr>
        <w:t xml:space="preserve"> others. Consistent economic interest group theory, </w:t>
      </w:r>
      <w:r>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 et al. (2017)</w:t>
      </w:r>
      <w:r>
        <w:fldChar w:fldCharType="end"/>
      </w:r>
      <w:r>
        <w:t xml:space="preserve"> identify that waiting periods, which include periods of SEC review, are shorter for technology firms, who confront serious competition in their industry  and quickly becoming effective IPOs would be in their best interest</w:t>
      </w:r>
      <w:r w:rsidRPr="00AE73A7">
        <w:rPr>
          <w:color w:val="000000"/>
        </w:rPr>
        <w:t xml:space="preserve">. </w:t>
      </w:r>
      <w:r>
        <w:rPr>
          <w:lang w:eastAsia="en-US"/>
        </w:rPr>
        <w:t>In addition, theories of individual style effects also support the ineffectiveness of the regulatory intervention</w:t>
      </w:r>
      <w:r>
        <w:t xml:space="preserve">. Another assumption of </w:t>
      </w:r>
      <w:r w:rsidRPr="00AE73A7">
        <w:rPr>
          <w:noProof/>
          <w:color w:val="000000" w:themeColor="text1"/>
        </w:rPr>
        <w:t>“upper echelons theory”, a theory of individual style effects developed by Hambrick &amp; Mason (1984), states that in an weak and instable environment, the career experience of the decision maker may decre</w:t>
      </w:r>
      <w:r w:rsidR="002E566B">
        <w:rPr>
          <w:noProof/>
          <w:color w:val="000000" w:themeColor="text1"/>
        </w:rPr>
        <w:t xml:space="preserve">ase the organization outcomes. </w:t>
      </w:r>
      <w:r w:rsidRPr="00AE73A7">
        <w:rPr>
          <w:noProof/>
          <w:color w:val="000000" w:themeColor="text1"/>
        </w:rPr>
        <w:t xml:space="preserve">Otherwise, “upper echelons theory” also assume that </w:t>
      </w:r>
      <w:r w:rsidR="004122BF">
        <w:rPr>
          <w:noProof/>
          <w:color w:val="000000" w:themeColor="text1"/>
        </w:rPr>
        <w:t xml:space="preserve">decision makers </w:t>
      </w:r>
      <w:r w:rsidRPr="00AE73A7">
        <w:rPr>
          <w:noProof/>
          <w:color w:val="000000" w:themeColor="text1"/>
        </w:rPr>
        <w:t>are more likely to follow policies to emphasize sectors in whi</w:t>
      </w:r>
      <w:r w:rsidR="004122BF">
        <w:rPr>
          <w:noProof/>
          <w:color w:val="000000" w:themeColor="text1"/>
        </w:rPr>
        <w:t xml:space="preserve">ch they have expertise, and their </w:t>
      </w:r>
      <w:r w:rsidRPr="00AE73A7">
        <w:rPr>
          <w:noProof/>
          <w:color w:val="000000" w:themeColor="text1"/>
        </w:rPr>
        <w:t>expertises do not increase firms’ performance. Supporting this assumption</w:t>
      </w:r>
      <w:r w:rsidRPr="00AE73A7">
        <w:rPr>
          <w:color w:val="000000" w:themeColor="text1"/>
        </w:rPr>
        <w:t xml:space="preserve">, </w:t>
      </w:r>
      <w:r>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Pr>
          <w:lang w:eastAsia="en-US"/>
        </w:rPr>
        <w:fldChar w:fldCharType="separate"/>
      </w:r>
      <w:r>
        <w:rPr>
          <w:noProof/>
          <w:lang w:eastAsia="en-US"/>
        </w:rPr>
        <w:t>Baugh et al. (2017)</w:t>
      </w:r>
      <w:r>
        <w:rPr>
          <w:lang w:eastAsia="en-US"/>
        </w:rPr>
        <w:fldChar w:fldCharType="end"/>
      </w:r>
      <w:r>
        <w:rPr>
          <w:lang w:eastAsia="en-US"/>
        </w:rPr>
        <w:t xml:space="preserve"> observe that accountant reviewers, </w:t>
      </w:r>
      <w:r>
        <w:rPr>
          <w:lang w:eastAsia="en-US"/>
        </w:rPr>
        <w:lastRenderedPageBreak/>
        <w:t xml:space="preserve">who have accounting expertise, tend to address more issues in initial comment letters since accounting information dominate annual filings (e.g. 10-K, 20-F, 40-F). </w:t>
      </w:r>
      <w:r w:rsidRPr="00AE73A7">
        <w:rPr>
          <w:color w:val="000000" w:themeColor="text1"/>
        </w:rPr>
        <w:t xml:space="preserve">Another theory of ineffective regulatory intervention is behavioural effects theorized by </w:t>
      </w:r>
      <w:r w:rsidRPr="00AE73A7">
        <w:rPr>
          <w:color w:val="000000" w:themeColor="text1"/>
        </w:rPr>
        <w:fldChar w:fldCharType="begin" w:fldLock="1"/>
      </w:r>
      <w:r w:rsidR="00A611DF">
        <w:rPr>
          <w:color w:val="000000" w:themeColor="text1"/>
        </w:rPr>
        <w:instrText>ADDIN CSL_CITATION {"citationItems":[{"id":"ITEM-1","itemData":{"DOI":"10.1287/mnsc.2014.1950","ISSN":"0025-1909","abstract":"We analyze a large, detailed operational data set from a restaurant chain to shed new light on how workload (defined as the hourly average number of diners assigned to a server) affects servers' performance (measured as hourly sales). We use an exogenous shock - implementation of a labor scheduling software - to disentangle the endogeneity between demand and supply in this setting. We find that when the overall workload is low, an increase in workload leads to higher server performance. However, there is a saturation point after which any further increase in the workload leads to a decline in performance. In the focal restaurant chain we find that this saturation point is generally not reached and, counter-intuitively, the chain can reduce the staffing level and achieve both signi cantly higher sales (an estimated 35% increase) and lower labor costs (an estimated 20% decrease).","author":[{"dropping-particle":"","family":"Tan","given":"T.","non-dropping-particle":"","parse-names":false,"suffix":""},{"dropping-particle":"","family":"Netessine","given":"S.","non-dropping-particle":"","parse-names":false,"suffix":""}],"container-title":"Management Science","id":"ITEM-1","issue":"6","issued":{"date-parts":[["2014"]]},"page":"1574-1593","title":"When Does the Devil Make Work? An Empirical Study of the Impact of Workload on Worker Productivity","type":"article-journal","volume":"60"},"uris":["http://www.mendeley.com/documents/?uuid=35c40de5-a4da-4299-ae05-ce61e8318e8f"]}],"mendeley":{"formattedCitation":"(Tan &amp; Netessine, 2014)","manualFormatting":"Tan &amp; Netessine (2014)","plainTextFormattedCitation":"(Tan &amp; Netessine, 2014)","previouslyFormattedCitation":"(Tan &amp; Netessine, 2014)"},"properties":{"noteIndex":0},"schema":"https://github.com/citation-style-language/schema/raw/master/csl-citation.json"}</w:instrText>
      </w:r>
      <w:r w:rsidRPr="00AE73A7">
        <w:rPr>
          <w:color w:val="000000" w:themeColor="text1"/>
        </w:rPr>
        <w:fldChar w:fldCharType="separate"/>
      </w:r>
      <w:r w:rsidRPr="00AE73A7">
        <w:rPr>
          <w:noProof/>
          <w:color w:val="000000" w:themeColor="text1"/>
        </w:rPr>
        <w:t>Tan &amp; Netessine (2014)</w:t>
      </w:r>
      <w:r w:rsidRPr="00AE73A7">
        <w:rPr>
          <w:color w:val="000000" w:themeColor="text1"/>
        </w:rPr>
        <w:fldChar w:fldCharType="end"/>
      </w:r>
      <w:r w:rsidRPr="00AE73A7">
        <w:rPr>
          <w:color w:val="000000" w:themeColor="text1"/>
        </w:rPr>
        <w:t xml:space="preserve"> which states that </w:t>
      </w:r>
      <w:r w:rsidR="00F73083">
        <w:rPr>
          <w:color w:val="000000" w:themeColor="text1"/>
        </w:rPr>
        <w:t>excessive workload may obstruct</w:t>
      </w:r>
      <w:r w:rsidRPr="00AE73A7">
        <w:rPr>
          <w:color w:val="000000" w:themeColor="text1"/>
        </w:rPr>
        <w:t xml:space="preserve"> worker from fulfilling their targets and reduce the workers’ motivation and commitments.</w:t>
      </w:r>
      <w:r>
        <w:t xml:space="preserve"> Consistent with the assumption of behavioural effects, examining the impact of industry characteristics on SEC review on registration statements, </w:t>
      </w:r>
      <w:r>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 et al. (2017)</w:t>
      </w:r>
      <w:r>
        <w:fldChar w:fldCharType="end"/>
      </w:r>
      <w:r>
        <w:t xml:space="preserve"> provide evidence that waiting period is shorter when IPO market is hot.</w:t>
      </w:r>
      <w:r>
        <w:rPr>
          <w:rStyle w:val="FootnoteReference"/>
        </w:rPr>
        <w:footnoteReference w:id="2"/>
      </w:r>
    </w:p>
    <w:p w14:paraId="4D8883C5" w14:textId="51C18395" w:rsidR="00AE73A7" w:rsidRDefault="00AE73A7" w:rsidP="00AE73A7">
      <w:pPr>
        <w:spacing w:line="360" w:lineRule="auto"/>
        <w:jc w:val="both"/>
        <w:rPr>
          <w:lang w:eastAsia="en-US"/>
        </w:rPr>
      </w:pPr>
      <w:r>
        <w:rPr>
          <w:lang w:eastAsia="en-US"/>
        </w:rPr>
        <w:t xml:space="preserve">While various research exists examining factors affecting the extent of the SEC review as mentioned above, </w:t>
      </w:r>
      <w:proofErr w:type="gramStart"/>
      <w:r>
        <w:rPr>
          <w:lang w:eastAsia="en-US"/>
        </w:rPr>
        <w:t>these research</w:t>
      </w:r>
      <w:proofErr w:type="gramEnd"/>
      <w:r>
        <w:rPr>
          <w:lang w:eastAsia="en-US"/>
        </w:rPr>
        <w:t xml:space="preserve"> generally concentrate on the SEC review on the annual filings (e.g. 10-K, 20-F, 40-F), 8-K filings, proxy statement filings and filings other than the registration statements (e.g. S-1 filings). More relevant to our study, </w:t>
      </w:r>
      <w:proofErr w:type="spellStart"/>
      <w:r>
        <w:rPr>
          <w:lang w:eastAsia="en-US"/>
        </w:rPr>
        <w:t>Ertimur</w:t>
      </w:r>
      <w:proofErr w:type="spellEnd"/>
      <w:r>
        <w:rPr>
          <w:lang w:eastAsia="en-US"/>
        </w:rPr>
        <w:t xml:space="preserve"> &amp; </w:t>
      </w:r>
      <w:proofErr w:type="spellStart"/>
      <w:r>
        <w:rPr>
          <w:lang w:eastAsia="en-US"/>
        </w:rPr>
        <w:t>Nondorf</w:t>
      </w:r>
      <w:proofErr w:type="spellEnd"/>
      <w:r>
        <w:rPr>
          <w:lang w:eastAsia="en-US"/>
        </w:rPr>
        <w:t xml:space="preserve"> (2006) examine determinants of SEC review on S-1 and SB-2 filings. However, the determinants employed in their study focus only on the IPO firms’ managerial expertise and their corporate governance. Otherwise, they conduct examination on the determinants of SEC review with a relatively limited sample period covering from May 12, </w:t>
      </w:r>
      <w:proofErr w:type="gramStart"/>
      <w:r>
        <w:rPr>
          <w:lang w:eastAsia="en-US"/>
        </w:rPr>
        <w:t>2005</w:t>
      </w:r>
      <w:proofErr w:type="gramEnd"/>
      <w:r>
        <w:rPr>
          <w:lang w:eastAsia="en-US"/>
        </w:rPr>
        <w:t xml:space="preserve"> to September 30, 2006. Recent regulatory changes, </w:t>
      </w:r>
      <w:proofErr w:type="gramStart"/>
      <w:r>
        <w:rPr>
          <w:lang w:eastAsia="en-US"/>
        </w:rPr>
        <w:t>e.g.</w:t>
      </w:r>
      <w:proofErr w:type="gramEnd"/>
      <w:r>
        <w:rPr>
          <w:lang w:eastAsia="en-US"/>
        </w:rPr>
        <w:t xml:space="preserve"> JOBs </w:t>
      </w:r>
      <w:r w:rsidRPr="00AE73A7">
        <w:rPr>
          <w:color w:val="000000" w:themeColor="text1"/>
        </w:rPr>
        <w:t xml:space="preserve">Act in 2012, are likely to have substantially affected the SEC review. Also similar to our study, </w:t>
      </w:r>
      <w:r>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 et al. (2017)</w:t>
      </w:r>
      <w:r>
        <w:fldChar w:fldCharType="end"/>
      </w:r>
      <w:r>
        <w:t xml:space="preserve"> examine determinants of IPO waiting period, which is also employed in our study as an indicator of the duration of SEC review. However, the determinants employed in their study concentrate only on information uncertainty and industry/market characteristics. In addition, the sample period covered in their study is from 1986 to 2011, which is relatively behind the times and do not cover recent regulatory changes, </w:t>
      </w:r>
      <w:proofErr w:type="gramStart"/>
      <w:r>
        <w:t>e.g.</w:t>
      </w:r>
      <w:proofErr w:type="gramEnd"/>
      <w:r>
        <w:t xml:space="preserve"> JOBs Act in 2012. Our study differ from </w:t>
      </w:r>
      <w:proofErr w:type="spellStart"/>
      <w:r>
        <w:rPr>
          <w:lang w:eastAsia="en-US"/>
        </w:rPr>
        <w:t>Ertimur</w:t>
      </w:r>
      <w:proofErr w:type="spellEnd"/>
      <w:r>
        <w:rPr>
          <w:lang w:eastAsia="en-US"/>
        </w:rPr>
        <w:t xml:space="preserve"> &amp; </w:t>
      </w:r>
      <w:proofErr w:type="spellStart"/>
      <w:r>
        <w:rPr>
          <w:lang w:eastAsia="en-US"/>
        </w:rPr>
        <w:t>Nondorf</w:t>
      </w:r>
      <w:proofErr w:type="spellEnd"/>
      <w:r>
        <w:rPr>
          <w:lang w:eastAsia="en-US"/>
        </w:rPr>
        <w:t xml:space="preserve"> (2006) and </w:t>
      </w:r>
      <w:r>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 et al. (2017)</w:t>
      </w:r>
      <w:r>
        <w:fldChar w:fldCharType="end"/>
      </w:r>
      <w:r>
        <w:rPr>
          <w:lang w:eastAsia="en-US"/>
        </w:rPr>
        <w:t xml:space="preserve"> in three aspects. First, our study examines a wider range of factors potentially impacting the SEC S-1 filings other than only IPO firms’ managerial expertise and their corporate governance (</w:t>
      </w:r>
      <w:proofErr w:type="spellStart"/>
      <w:r>
        <w:rPr>
          <w:lang w:eastAsia="en-US"/>
        </w:rPr>
        <w:t>Ertimur</w:t>
      </w:r>
      <w:proofErr w:type="spellEnd"/>
      <w:r>
        <w:rPr>
          <w:lang w:eastAsia="en-US"/>
        </w:rPr>
        <w:t xml:space="preserve"> &amp; </w:t>
      </w:r>
      <w:proofErr w:type="spellStart"/>
      <w:r>
        <w:rPr>
          <w:lang w:eastAsia="en-US"/>
        </w:rPr>
        <w:t>Nondorf</w:t>
      </w:r>
      <w:proofErr w:type="spellEnd"/>
      <w:r>
        <w:rPr>
          <w:lang w:eastAsia="en-US"/>
        </w:rPr>
        <w:t xml:space="preserve">, 2006) or </w:t>
      </w:r>
      <w:r>
        <w:t>industry/market characteristics (</w:t>
      </w:r>
      <w:proofErr w:type="spellStart"/>
      <w:r>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w:t>
      </w:r>
      <w:proofErr w:type="spellEnd"/>
      <w:r>
        <w:rPr>
          <w:noProof/>
        </w:rPr>
        <w:t xml:space="preserve"> et al., 2017)</w:t>
      </w:r>
      <w:r>
        <w:fldChar w:fldCharType="end"/>
      </w:r>
      <w:r>
        <w:t xml:space="preserve">. Second, our study </w:t>
      </w:r>
      <w:proofErr w:type="gramStart"/>
      <w:r>
        <w:t>employ</w:t>
      </w:r>
      <w:proofErr w:type="gramEnd"/>
      <w:r>
        <w:t xml:space="preserve"> more recent sample period, which also cover recent and important regulatory changes, e.g. JOBs Act in 2012. Third, while </w:t>
      </w:r>
      <w:proofErr w:type="spellStart"/>
      <w:r>
        <w:rPr>
          <w:lang w:eastAsia="en-US"/>
        </w:rPr>
        <w:t>Ertimur</w:t>
      </w:r>
      <w:proofErr w:type="spellEnd"/>
      <w:r>
        <w:rPr>
          <w:lang w:eastAsia="en-US"/>
        </w:rPr>
        <w:t xml:space="preserve"> &amp; </w:t>
      </w:r>
      <w:proofErr w:type="spellStart"/>
      <w:r>
        <w:rPr>
          <w:lang w:eastAsia="en-US"/>
        </w:rPr>
        <w:t>Nondorf</w:t>
      </w:r>
      <w:proofErr w:type="spellEnd"/>
      <w:r>
        <w:rPr>
          <w:lang w:eastAsia="en-US"/>
        </w:rPr>
        <w:t xml:space="preserve"> (2006) examine the SEC review on S-1 and SB-2 filings, our study focus only on S-1 filings in order to maintain the sample consistency since SB-2 is a simplified version of S-1 filings and contains less detailed information about IPO firms. </w:t>
      </w:r>
      <w:r>
        <w:t xml:space="preserve">Another study similar to our study is </w:t>
      </w:r>
      <w:r>
        <w:rPr>
          <w:lang w:eastAsia="en-US"/>
        </w:rPr>
        <w:fldChar w:fldCharType="begin" w:fldLock="1"/>
      </w:r>
      <w:r w:rsidR="00A611DF">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Pr>
          <w:lang w:eastAsia="en-US"/>
        </w:rPr>
        <w:fldChar w:fldCharType="separate"/>
      </w:r>
      <w:r>
        <w:rPr>
          <w:noProof/>
          <w:lang w:eastAsia="en-US"/>
        </w:rPr>
        <w:t>Agarwal et al. (2017)</w:t>
      </w:r>
      <w:r>
        <w:rPr>
          <w:lang w:eastAsia="en-US"/>
        </w:rPr>
        <w:fldChar w:fldCharType="end"/>
      </w:r>
      <w:r>
        <w:rPr>
          <w:lang w:eastAsia="en-US"/>
        </w:rPr>
        <w:t xml:space="preserve"> who examine the impact of JOBs Act in 2012 </w:t>
      </w:r>
      <w:r>
        <w:rPr>
          <w:lang w:eastAsia="en-US"/>
        </w:rPr>
        <w:lastRenderedPageBreak/>
        <w:t xml:space="preserve">on the SEC comment letters. However, their study focuses on impact of JOBs Act on style of SEC comment letters (e.g. tone, percentage of quantitative items) other than intensity of the SEC review. Different to </w:t>
      </w:r>
      <w:r>
        <w:rPr>
          <w:lang w:eastAsia="en-US"/>
        </w:rPr>
        <w:fldChar w:fldCharType="begin" w:fldLock="1"/>
      </w:r>
      <w:r w:rsidR="00A611DF">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Pr>
          <w:lang w:eastAsia="en-US"/>
        </w:rPr>
        <w:fldChar w:fldCharType="separate"/>
      </w:r>
      <w:r>
        <w:rPr>
          <w:noProof/>
          <w:lang w:eastAsia="en-US"/>
        </w:rPr>
        <w:t>Agarwal et al. (2017)</w:t>
      </w:r>
      <w:r>
        <w:rPr>
          <w:lang w:eastAsia="en-US"/>
        </w:rPr>
        <w:fldChar w:fldCharType="end"/>
      </w:r>
      <w:r>
        <w:t xml:space="preserve">, </w:t>
      </w:r>
      <w:r>
        <w:rPr>
          <w:lang w:eastAsia="en-US"/>
        </w:rPr>
        <w:t xml:space="preserve">our study performs analyses on the intensity of the SEC review, which is more likely to reflect the effectiveness of their review activities, other than their review style, which is more likely to reflect the SEC behaviour. </w:t>
      </w:r>
    </w:p>
    <w:p w14:paraId="09340CAA" w14:textId="4CF02F24" w:rsidR="00AE73A7" w:rsidRDefault="00AE73A7" w:rsidP="00AE73A7">
      <w:pPr>
        <w:spacing w:line="360" w:lineRule="auto"/>
        <w:jc w:val="both"/>
        <w:rPr>
          <w:lang w:eastAsia="en-US"/>
        </w:rPr>
      </w:pPr>
      <w:r>
        <w:t xml:space="preserve">Motivated by (1) unclear evidence on the effectiveness of the SEC review on registration statements in the previous literature, (2) two opposite strands in the regulatory theories and previous literature about the effectiveness of the regulatory intervention, (3 ) the lack of research on the impact of  a wide range of factors on intensity of the SEC S-1 review, (4) the lack of research solely analysing the S-1 filings and (5) the lack of research examining the SEC S-1 review in recent period which includes the important regulatory change, e.g. </w:t>
      </w:r>
      <w:r w:rsidR="004F5BE6">
        <w:t>JOBs Act</w:t>
      </w:r>
      <w:r>
        <w:t>, we develop the following key research question: ‘</w:t>
      </w:r>
      <w:r>
        <w:rPr>
          <w:lang w:eastAsia="en-US"/>
        </w:rPr>
        <w:t>What are the determinants of the SEC’s review on the S-1 filings?</w:t>
      </w:r>
      <w:r>
        <w:t xml:space="preserve">’. </w:t>
      </w:r>
      <w:r>
        <w:rPr>
          <w:lang w:eastAsia="en-US"/>
        </w:rPr>
        <w:t xml:space="preserve">We employ sample of 909 U.S. IPOs who issued their S-1 filings during the period of 12 </w:t>
      </w:r>
      <w:proofErr w:type="gramStart"/>
      <w:r>
        <w:rPr>
          <w:lang w:eastAsia="en-US"/>
        </w:rPr>
        <w:t>May,</w:t>
      </w:r>
      <w:proofErr w:type="gramEnd"/>
      <w:r>
        <w:rPr>
          <w:lang w:eastAsia="en-US"/>
        </w:rPr>
        <w:t xml:space="preserve"> 2005 to 31 December, 2017. </w:t>
      </w:r>
      <w:r>
        <w:t xml:space="preserve">Regarding the SEC review, we employ three attributes of the SEC review process, namely duration of the IPO process, the volume of SEC comment letters and the volume of comments for initial S-1 filings. We examine four groups of determinants of the SEC S-1 review including IPO firm’s characteristics, incidences of regulatory changes and crisis, industry/market’s </w:t>
      </w:r>
      <w:proofErr w:type="gramStart"/>
      <w:r>
        <w:t>characteristics</w:t>
      </w:r>
      <w:proofErr w:type="gramEnd"/>
      <w:r>
        <w:t xml:space="preserve"> and SEC’s own characteristics. Regarding the IPO firm’s characteristics, </w:t>
      </w:r>
      <w:r>
        <w:rPr>
          <w:lang w:eastAsia="en-US"/>
        </w:rPr>
        <w:t>we employ proxies of business complexity, future performance, auditor characteristics, corporate governance characteristics</w:t>
      </w:r>
      <w:r w:rsidRPr="00AE73A7">
        <w:rPr>
          <w:i/>
          <w:lang w:eastAsia="en-US"/>
        </w:rPr>
        <w:t xml:space="preserve">, </w:t>
      </w:r>
      <w:r>
        <w:rPr>
          <w:lang w:eastAsia="en-US"/>
        </w:rPr>
        <w:t xml:space="preserve">management’s plan to issue new equity or security debt and financial health </w:t>
      </w:r>
      <w:proofErr w:type="gramStart"/>
      <w:r>
        <w:rPr>
          <w:lang w:eastAsia="en-US"/>
        </w:rPr>
        <w:t>including;</w:t>
      </w:r>
      <w:proofErr w:type="gramEnd"/>
      <w:r>
        <w:rPr>
          <w:lang w:eastAsia="en-US"/>
        </w:rPr>
        <w:t xml:space="preserve"> debt level, financial distress and profitability. Regarding incidences of regulatory changes and crisis, we examine the impact of JOBs Act in 2012, Dodd-Frank Act in 2010 and financial crisis in 2008-2009. Regarding the industry/markets characteristics, we focus on </w:t>
      </w:r>
      <w:r w:rsidR="008E08EB">
        <w:rPr>
          <w:lang w:eastAsia="en-US"/>
        </w:rPr>
        <w:t>regulated industries</w:t>
      </w:r>
      <w:r>
        <w:rPr>
          <w:lang w:eastAsia="en-US"/>
        </w:rPr>
        <w:t xml:space="preserve"> and </w:t>
      </w:r>
      <w:r w:rsidR="005A46EE">
        <w:rPr>
          <w:lang w:eastAsia="en-US"/>
        </w:rPr>
        <w:t>technology industries</w:t>
      </w:r>
      <w:r>
        <w:rPr>
          <w:lang w:eastAsia="en-US"/>
        </w:rPr>
        <w:t xml:space="preserve"> as well as employ proxies of industry size and market concentration. Regarding the SEC’s characteristics, we examine impact of the SEC reviewers’ job position and job classification. Univariate tests </w:t>
      </w:r>
      <w:proofErr w:type="gramStart"/>
      <w:r>
        <w:rPr>
          <w:lang w:eastAsia="en-US"/>
        </w:rPr>
        <w:t>including;</w:t>
      </w:r>
      <w:proofErr w:type="gramEnd"/>
      <w:r>
        <w:rPr>
          <w:lang w:eastAsia="en-US"/>
        </w:rPr>
        <w:t xml:space="preserve"> parametric test (t-test), non-parametric test (</w:t>
      </w:r>
      <w:r>
        <w:t>Wilcoxon rank-sum test</w:t>
      </w:r>
      <w:r>
        <w:rPr>
          <w:lang w:eastAsia="en-US"/>
        </w:rPr>
        <w:t xml:space="preserve">) and univariate regression, and a multivariate test with negative binomial regression are employed to examine the relationship between the SEC S-1 review process and their associated factors. Additional tests are also conducted to examine the impact of </w:t>
      </w:r>
      <w:r w:rsidR="004F5BE6">
        <w:rPr>
          <w:lang w:eastAsia="en-US"/>
        </w:rPr>
        <w:t>JOBs Act</w:t>
      </w:r>
      <w:r>
        <w:rPr>
          <w:lang w:eastAsia="en-US"/>
        </w:rPr>
        <w:t xml:space="preserve"> on the SEC review. Particularly, we investigate (1) whether the number of types of issues and the number of comments in each type of issues mentioned in the SEC comments letters for the initial S-1 filings decreased after the enactment of JOBs Act and (2) whether the negative impact of </w:t>
      </w:r>
      <w:r w:rsidR="004F5BE6">
        <w:rPr>
          <w:lang w:eastAsia="en-US"/>
        </w:rPr>
        <w:t>JOBs Act</w:t>
      </w:r>
      <w:r>
        <w:rPr>
          <w:lang w:eastAsia="en-US"/>
        </w:rPr>
        <w:t xml:space="preserve"> on </w:t>
      </w:r>
      <w:r>
        <w:rPr>
          <w:lang w:eastAsia="en-US"/>
        </w:rPr>
        <w:lastRenderedPageBreak/>
        <w:t xml:space="preserve">the degree of the SEC review are less intense by moderating effect of information uncertainty </w:t>
      </w:r>
      <w:proofErr w:type="gramStart"/>
      <w:r>
        <w:rPr>
          <w:lang w:eastAsia="en-US"/>
        </w:rPr>
        <w:t>and  firms</w:t>
      </w:r>
      <w:proofErr w:type="gramEnd"/>
      <w:r>
        <w:rPr>
          <w:lang w:eastAsia="en-US"/>
        </w:rPr>
        <w:t xml:space="preserve">’ adoption of disclosure exemptions under the Act. </w:t>
      </w:r>
    </w:p>
    <w:p w14:paraId="2CD67F0B" w14:textId="77777777" w:rsidR="00AE73A7" w:rsidRDefault="00AE73A7" w:rsidP="00AE73A7">
      <w:pPr>
        <w:spacing w:line="360" w:lineRule="auto"/>
        <w:jc w:val="both"/>
        <w:rPr>
          <w:lang w:eastAsia="en-US"/>
        </w:rPr>
      </w:pPr>
      <w:r>
        <w:rPr>
          <w:lang w:eastAsia="en-US"/>
        </w:rPr>
        <w:t xml:space="preserve">In line with the arguments of effective regulatory intervention, our first findings in the examination of the impact of IPO firms’ characteristics on the SEC review show that all SEC review attributes increase for IPO firms with higher sales growth who have higher information uncertainty, making-profit firms who are likely to engage in income-increasing earning management, and firms having dual CEO and chairman, who may have weak </w:t>
      </w:r>
      <w:r>
        <w:t xml:space="preserve">board’s monitoring effectiveness. </w:t>
      </w:r>
      <w:r>
        <w:rPr>
          <w:lang w:eastAsia="en-US"/>
        </w:rPr>
        <w:t xml:space="preserve">We also identify that the SEC spend less time for the S-1 review of bigger firms who may have higher reporting quality, and more time on firms conducting M&amp;A activities who have higher complexity and hence, lower reporting quality. The SEC is also identified to issue more comments for firms having more business segments who also have higher complexity. Secondly, regarding the impact of incidences of regulatory changes, we identify that the SEC spend more time on the S-1 review and issue more comment letters after the enactment of Dodd-Frank in 2010, which was enacted to enhance the investor protection. We additionally observe that the SEC spend less time on the S-1 review of firms in regulated industries who may have more standard disclosures, and more time on technology firms who may have more information uncertainty. In additional examination of the moderating effect of information uncertainty, we identify that information uncertainty, which is indicated by the firm’s growth rate and the market concentration, lessens the sensitivity of the SEC review to the JOBs Act. These findings are all consistent with the assumption of public interest theory. </w:t>
      </w:r>
    </w:p>
    <w:p w14:paraId="3BD4A60F" w14:textId="2840C939" w:rsidR="00AE73A7" w:rsidRPr="00AE73A7" w:rsidRDefault="00AE73A7" w:rsidP="00AE73A7">
      <w:pPr>
        <w:spacing w:line="360" w:lineRule="auto"/>
        <w:jc w:val="both"/>
        <w:rPr>
          <w:noProof/>
          <w:color w:val="000000" w:themeColor="text1"/>
        </w:rPr>
      </w:pPr>
      <w:r>
        <w:rPr>
          <w:lang w:eastAsia="en-US"/>
        </w:rPr>
        <w:t xml:space="preserve">Contrarily, in line with the arguments of the ineffectiveness of regulatory intervention, our findings in the examination on the impact of regulatory changes on the SEC review show that all SEC review attributes decrease substantially after the enactment of </w:t>
      </w:r>
      <w:r w:rsidR="004F5BE6">
        <w:rPr>
          <w:lang w:eastAsia="en-US"/>
        </w:rPr>
        <w:t>JOBs Act</w:t>
      </w:r>
      <w:r>
        <w:rPr>
          <w:lang w:eastAsia="en-US"/>
        </w:rPr>
        <w:t xml:space="preserve">, which was enacted to eliminate the disclosure regulation and develop IPO activities on EGCs. Otherwise, supporting this evidence, in the additional examination on the impact of </w:t>
      </w:r>
      <w:r w:rsidR="004F5BE6">
        <w:rPr>
          <w:lang w:eastAsia="en-US"/>
        </w:rPr>
        <w:t>JOBs Act</w:t>
      </w:r>
      <w:r>
        <w:rPr>
          <w:lang w:eastAsia="en-US"/>
        </w:rPr>
        <w:t xml:space="preserve"> on the SEC review, we identify that after the enactment of </w:t>
      </w:r>
      <w:r w:rsidR="004F5BE6">
        <w:rPr>
          <w:lang w:eastAsia="en-US"/>
        </w:rPr>
        <w:t>JOBs Act</w:t>
      </w:r>
      <w:r>
        <w:rPr>
          <w:lang w:eastAsia="en-US"/>
        </w:rPr>
        <w:t xml:space="preserve">, the SEC address fewer types of issues and provide fewer comments in each type of issues in their initial comment letters. In addition, regarding the examination on the moderating effect of firm’s adoption of disclosure exemptions, we find that the sensitivity of the SEC review to JOBs Act in 2012 is higher for younger firms who are more likely to use more disclosure exemptions under the Act.  These findings are all consistent with the assumption of capture theory. As for the impact of the industry/market characteristics, we find that all SEC review attributes are lower for the markets having higher volume of IPO firms, which may increase the workloads in the SEC review. This finding is consistent with the assumption of behavioural effect theory. Regarding the impact of the SEC characteristics, we </w:t>
      </w:r>
      <w:r>
        <w:rPr>
          <w:lang w:eastAsia="en-US"/>
        </w:rPr>
        <w:lastRenderedPageBreak/>
        <w:t xml:space="preserve">identify that SEC reviewers, who are holding </w:t>
      </w:r>
      <w:r w:rsidR="005A46EE">
        <w:rPr>
          <w:lang w:eastAsia="en-US"/>
        </w:rPr>
        <w:t xml:space="preserve">job position </w:t>
      </w:r>
      <w:proofErr w:type="gramStart"/>
      <w:r w:rsidR="005A46EE">
        <w:rPr>
          <w:lang w:eastAsia="en-US"/>
        </w:rPr>
        <w:t xml:space="preserve">of </w:t>
      </w:r>
      <w:r>
        <w:rPr>
          <w:lang w:eastAsia="en-US"/>
        </w:rPr>
        <w:t xml:space="preserve"> director</w:t>
      </w:r>
      <w:proofErr w:type="gramEnd"/>
      <w:r>
        <w:rPr>
          <w:lang w:eastAsia="en-US"/>
        </w:rPr>
        <w:t xml:space="preserve"> or chief, spend less time on the S-1 review, which may not improve the disclosure quality. Additionally, we also observe that reviews conducted by accountant reviewers are less intense than those by other reviewers since the accountant reviewers </w:t>
      </w:r>
      <w:r>
        <w:t xml:space="preserve">are more likely to focus on accounting information which have lower proportion than other information in S-1 filings. These findings are both consistent with the assumption of </w:t>
      </w:r>
      <w:r w:rsidRPr="00AE73A7">
        <w:rPr>
          <w:noProof/>
          <w:color w:val="000000" w:themeColor="text1"/>
        </w:rPr>
        <w:t xml:space="preserve">“Upper echelons theory”. </w:t>
      </w:r>
    </w:p>
    <w:p w14:paraId="67F357DA" w14:textId="68454863" w:rsidR="00AE73A7" w:rsidRPr="00AE73A7" w:rsidRDefault="00AE73A7" w:rsidP="00AE73A7">
      <w:pPr>
        <w:spacing w:line="360" w:lineRule="auto"/>
        <w:jc w:val="both"/>
        <w:rPr>
          <w:color w:val="000000" w:themeColor="text1"/>
          <w:lang w:eastAsia="en-US"/>
        </w:rPr>
      </w:pPr>
      <w:r w:rsidRPr="00AE73A7">
        <w:rPr>
          <w:color w:val="000000" w:themeColor="text1"/>
          <w:lang w:eastAsia="en-US"/>
        </w:rPr>
        <w:t xml:space="preserve">Overall, our results highlight that SEC review on S-1 filings is likely to be sensitive to (1) IPO firms characteristics including; size, </w:t>
      </w:r>
      <w:r w:rsidR="00296848">
        <w:rPr>
          <w:color w:val="000000" w:themeColor="text1"/>
          <w:lang w:eastAsia="en-US"/>
        </w:rPr>
        <w:t>sales growth</w:t>
      </w:r>
      <w:r w:rsidRPr="00AE73A7">
        <w:rPr>
          <w:color w:val="000000" w:themeColor="text1"/>
          <w:lang w:eastAsia="en-US"/>
        </w:rPr>
        <w:t>, profits, dual CEO and chairman, number of segments and M&amp;A engagement, (2) incidences of regulatory changes including; JOBs Act in 2012 and Dodd-Frank Act in 2010, (3) industry/markets characteristics including; industry types (</w:t>
      </w:r>
      <w:r w:rsidR="008E08EB">
        <w:rPr>
          <w:color w:val="000000" w:themeColor="text1"/>
          <w:lang w:eastAsia="en-US"/>
        </w:rPr>
        <w:t>regulated industries</w:t>
      </w:r>
      <w:r w:rsidRPr="00AE73A7">
        <w:rPr>
          <w:color w:val="000000" w:themeColor="text1"/>
          <w:lang w:eastAsia="en-US"/>
        </w:rPr>
        <w:t xml:space="preserve"> and </w:t>
      </w:r>
      <w:r w:rsidR="005A46EE">
        <w:rPr>
          <w:color w:val="000000" w:themeColor="text1"/>
          <w:lang w:eastAsia="en-US"/>
        </w:rPr>
        <w:t>technology industries</w:t>
      </w:r>
      <w:r w:rsidRPr="00AE73A7">
        <w:rPr>
          <w:color w:val="000000" w:themeColor="text1"/>
          <w:lang w:eastAsia="en-US"/>
        </w:rPr>
        <w:t xml:space="preserve">) and industry size, and (3) SEC characteristics including reviewers’ jobs position and job classification. Our results also shed light on the impact of information uncertainty and firm’s adoption of disclosure exemptions on </w:t>
      </w:r>
      <w:r>
        <w:rPr>
          <w:lang w:eastAsia="en-US"/>
        </w:rPr>
        <w:t>the sensitivity of the SEC review to the JOBs Act</w:t>
      </w:r>
      <w:r w:rsidRPr="00AE73A7">
        <w:rPr>
          <w:color w:val="000000" w:themeColor="text1"/>
          <w:lang w:eastAsia="en-US"/>
        </w:rPr>
        <w:t xml:space="preserve">.  More importantly, these findings indicate that the sensitivity of the SEC S-1 review to IPO firms characteristics, </w:t>
      </w:r>
      <w:r w:rsidR="008E08EB">
        <w:rPr>
          <w:color w:val="000000" w:themeColor="text1"/>
          <w:lang w:eastAsia="en-US"/>
        </w:rPr>
        <w:t>regulated industries</w:t>
      </w:r>
      <w:r w:rsidRPr="00AE73A7">
        <w:rPr>
          <w:color w:val="000000" w:themeColor="text1"/>
          <w:lang w:eastAsia="en-US"/>
        </w:rPr>
        <w:t xml:space="preserve">, </w:t>
      </w:r>
      <w:r w:rsidR="005A46EE">
        <w:rPr>
          <w:color w:val="000000" w:themeColor="text1"/>
          <w:lang w:eastAsia="en-US"/>
        </w:rPr>
        <w:t>technology industries</w:t>
      </w:r>
      <w:r w:rsidRPr="00AE73A7">
        <w:rPr>
          <w:color w:val="000000" w:themeColor="text1"/>
          <w:lang w:eastAsia="en-US"/>
        </w:rPr>
        <w:t xml:space="preserve">, information uncertainty as well as the enactment of Dodd-Frank Act in 2010 could reflect the effectiveness of the SEC review. However, the sensitivity of the SEC S-1 </w:t>
      </w:r>
      <w:proofErr w:type="gramStart"/>
      <w:r w:rsidRPr="00AE73A7">
        <w:rPr>
          <w:color w:val="000000" w:themeColor="text1"/>
          <w:lang w:eastAsia="en-US"/>
        </w:rPr>
        <w:t>review</w:t>
      </w:r>
      <w:proofErr w:type="gramEnd"/>
      <w:r w:rsidRPr="00AE73A7">
        <w:rPr>
          <w:color w:val="000000" w:themeColor="text1"/>
          <w:lang w:eastAsia="en-US"/>
        </w:rPr>
        <w:t xml:space="preserve"> to the enactment of JOBs Act in 2012, industry size as well as the impact of SEC reviewers’ job position and job classification on the SEC review may reflect the ineffectiveness of their review.</w:t>
      </w:r>
    </w:p>
    <w:p w14:paraId="7D7E2E31" w14:textId="1501CB7E" w:rsidR="00AE73A7" w:rsidRPr="00AE73A7" w:rsidRDefault="00AE73A7" w:rsidP="00AE73A7">
      <w:pPr>
        <w:spacing w:line="360" w:lineRule="auto"/>
        <w:jc w:val="both"/>
        <w:rPr>
          <w:color w:val="000000" w:themeColor="text1"/>
          <w:lang w:eastAsia="en-US"/>
        </w:rPr>
      </w:pPr>
      <w:r>
        <w:rPr>
          <w:lang w:eastAsia="en-US"/>
        </w:rPr>
        <w:t xml:space="preserve">Our study contributes to previous literature by providing new and broad evidence about the determinants of the SEC S-1 review process </w:t>
      </w:r>
      <w:proofErr w:type="gramStart"/>
      <w:r>
        <w:rPr>
          <w:lang w:eastAsia="en-US"/>
        </w:rPr>
        <w:t>including;</w:t>
      </w:r>
      <w:proofErr w:type="gramEnd"/>
      <w:r>
        <w:rPr>
          <w:lang w:eastAsia="en-US"/>
        </w:rPr>
        <w:t xml:space="preserve"> the IPO firms’ characteristics, the special event of regulatory changes, the industry/market characteristics and the SEC’s characteristics.</w:t>
      </w:r>
      <w:r w:rsidRPr="00AE73A7">
        <w:rPr>
          <w:color w:val="000000" w:themeColor="text1"/>
          <w:lang w:eastAsia="en-US"/>
        </w:rPr>
        <w:t xml:space="preserve"> Our findings are first to highlight the impact of (1) IPO firms characteristics </w:t>
      </w:r>
      <w:proofErr w:type="gramStart"/>
      <w:r w:rsidRPr="00AE73A7">
        <w:rPr>
          <w:color w:val="000000" w:themeColor="text1"/>
          <w:lang w:eastAsia="en-US"/>
        </w:rPr>
        <w:t>including;</w:t>
      </w:r>
      <w:proofErr w:type="gramEnd"/>
      <w:r w:rsidRPr="00AE73A7">
        <w:rPr>
          <w:color w:val="000000" w:themeColor="text1"/>
          <w:lang w:eastAsia="en-US"/>
        </w:rPr>
        <w:t xml:space="preserve"> size, sales growth, profitability, dual CEO and chairman, M&amp;A engagement and number of segments, (2) enactment of JOBs Act in 2012 and Dodd-Frank Act in 2010, (3) </w:t>
      </w:r>
      <w:r w:rsidR="008E08EB">
        <w:rPr>
          <w:color w:val="000000" w:themeColor="text1"/>
          <w:lang w:eastAsia="en-US"/>
        </w:rPr>
        <w:t>regulated industries</w:t>
      </w:r>
      <w:r w:rsidRPr="00AE73A7">
        <w:rPr>
          <w:color w:val="000000" w:themeColor="text1"/>
          <w:lang w:eastAsia="en-US"/>
        </w:rPr>
        <w:t xml:space="preserve"> and volume of IPOs by industry and (4) SEC reviewer’s job position and job classification, on the SEC review on S-1 filings. Prior research on determinants of SEC review on registration statements only identify the impact of IPO firms’ managerial expertise </w:t>
      </w:r>
      <w:r>
        <w:rPr>
          <w:lang w:eastAsia="en-US"/>
        </w:rPr>
        <w:t>(</w:t>
      </w:r>
      <w:proofErr w:type="spellStart"/>
      <w:r>
        <w:rPr>
          <w:lang w:eastAsia="en-US"/>
        </w:rPr>
        <w:t>Ertimur</w:t>
      </w:r>
      <w:proofErr w:type="spellEnd"/>
      <w:r>
        <w:rPr>
          <w:lang w:eastAsia="en-US"/>
        </w:rPr>
        <w:t xml:space="preserve"> &amp; </w:t>
      </w:r>
      <w:proofErr w:type="spellStart"/>
      <w:r>
        <w:rPr>
          <w:lang w:eastAsia="en-US"/>
        </w:rPr>
        <w:t>Nondorf</w:t>
      </w:r>
      <w:proofErr w:type="spellEnd"/>
      <w:r>
        <w:rPr>
          <w:lang w:eastAsia="en-US"/>
        </w:rPr>
        <w:t xml:space="preserve">, 2006), </w:t>
      </w:r>
      <w:r w:rsidR="005A46EE">
        <w:rPr>
          <w:color w:val="000000" w:themeColor="text1"/>
          <w:lang w:eastAsia="en-US"/>
        </w:rPr>
        <w:t>technology industries</w:t>
      </w:r>
      <w:r w:rsidRPr="00AE73A7">
        <w:rPr>
          <w:color w:val="000000" w:themeColor="text1"/>
          <w:lang w:eastAsia="en-US"/>
        </w:rPr>
        <w:t xml:space="preserve"> and hot market </w:t>
      </w:r>
      <w:r>
        <w:t>(</w:t>
      </w:r>
      <w:proofErr w:type="spellStart"/>
      <w:r>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w:t>
      </w:r>
      <w:proofErr w:type="spellEnd"/>
      <w:r>
        <w:rPr>
          <w:noProof/>
        </w:rPr>
        <w:t xml:space="preserve"> et al., 2017)</w:t>
      </w:r>
      <w:r>
        <w:fldChar w:fldCharType="end"/>
      </w:r>
      <w:r>
        <w:t xml:space="preserve"> </w:t>
      </w:r>
      <w:r w:rsidRPr="00AE73A7">
        <w:rPr>
          <w:color w:val="000000" w:themeColor="text1"/>
          <w:lang w:eastAsia="en-US"/>
        </w:rPr>
        <w:t xml:space="preserve">on the SEC review. Our findings are important since they </w:t>
      </w:r>
      <w:proofErr w:type="gramStart"/>
      <w:r w:rsidRPr="00AE73A7">
        <w:rPr>
          <w:color w:val="000000" w:themeColor="text1"/>
          <w:lang w:eastAsia="en-US"/>
        </w:rPr>
        <w:t>reflects</w:t>
      </w:r>
      <w:proofErr w:type="gramEnd"/>
      <w:r w:rsidRPr="00AE73A7">
        <w:rPr>
          <w:color w:val="000000" w:themeColor="text1"/>
          <w:lang w:eastAsia="en-US"/>
        </w:rPr>
        <w:t xml:space="preserve"> whether the SEC review on S-1 filings is effective or not, which would be useful to investors, auditors and other stakeholders, who employ the SEC S-1 comment letters to evaluate the quality of S-1 filings as well as the IPO firms’ reporting compliance and then make their own decision. We are also the first to provide evidence of the determinants of the SEC S-1 review in recent period, which includes the incidence of recent and important </w:t>
      </w:r>
      <w:r w:rsidRPr="00AE73A7">
        <w:rPr>
          <w:color w:val="000000" w:themeColor="text1"/>
          <w:lang w:eastAsia="en-US"/>
        </w:rPr>
        <w:lastRenderedPageBreak/>
        <w:t xml:space="preserve">regulatory change, namely JOBs Act in 2012. Our study is also the first to investigate whether the sensitivity of SEC review to JOBs Act in 2012 is moderated by information uncertainty and the adoption of disclosure exemption under JOBs Act.  This finding is important since it justifies that the reduction in mandated disclosure under JOBs Act in 2012 could raise information uncertainty and lead the SEC to be more conservative to ensure the effectiveness of their review and protect investors. This finding also justifies that IPOs firm may use fewer exemptions </w:t>
      </w:r>
      <w:proofErr w:type="gramStart"/>
      <w:r w:rsidRPr="00AE73A7">
        <w:rPr>
          <w:color w:val="000000" w:themeColor="text1"/>
          <w:lang w:eastAsia="en-US"/>
        </w:rPr>
        <w:t>in order to</w:t>
      </w:r>
      <w:proofErr w:type="gramEnd"/>
      <w:r w:rsidRPr="00AE73A7">
        <w:rPr>
          <w:color w:val="000000" w:themeColor="text1"/>
          <w:lang w:eastAsia="en-US"/>
        </w:rPr>
        <w:t xml:space="preserve"> improve the information environment and balance the possible </w:t>
      </w:r>
      <w:proofErr w:type="spellStart"/>
      <w:r w:rsidRPr="00AE73A7">
        <w:rPr>
          <w:color w:val="000000" w:themeColor="text1"/>
          <w:lang w:eastAsia="en-US"/>
        </w:rPr>
        <w:t>underpricing</w:t>
      </w:r>
      <w:proofErr w:type="spellEnd"/>
      <w:r w:rsidRPr="00AE73A7">
        <w:rPr>
          <w:color w:val="000000" w:themeColor="text1"/>
          <w:lang w:eastAsia="en-US"/>
        </w:rPr>
        <w:t xml:space="preserve"> occurring under JOBs Act. Furthermore, our study also contributes a new coding scheme which is a useful tool for future research on the issues occurred in S-1 filings. </w:t>
      </w:r>
    </w:p>
    <w:p w14:paraId="4A7358C3" w14:textId="77777777" w:rsidR="00C20F6A" w:rsidRPr="000912EF" w:rsidRDefault="00EF78F3" w:rsidP="00C20F6A">
      <w:pPr>
        <w:pStyle w:val="ListParagraph"/>
        <w:numPr>
          <w:ilvl w:val="0"/>
          <w:numId w:val="1"/>
        </w:numPr>
        <w:spacing w:line="360" w:lineRule="auto"/>
        <w:outlineLvl w:val="0"/>
        <w:rPr>
          <w:b/>
          <w:lang w:eastAsia="en-US"/>
        </w:rPr>
      </w:pPr>
      <w:bookmarkStart w:id="1" w:name="_Toc9185771"/>
      <w:r w:rsidRPr="000912EF">
        <w:rPr>
          <w:b/>
          <w:lang w:eastAsia="en-US"/>
        </w:rPr>
        <w:t>Institutional background</w:t>
      </w:r>
      <w:bookmarkEnd w:id="1"/>
    </w:p>
    <w:p w14:paraId="59D6C2FB" w14:textId="77777777" w:rsidR="004C543F" w:rsidRPr="000912EF" w:rsidRDefault="004C543F" w:rsidP="004C543F">
      <w:pPr>
        <w:pStyle w:val="ListParagraph"/>
        <w:numPr>
          <w:ilvl w:val="1"/>
          <w:numId w:val="1"/>
        </w:numPr>
        <w:spacing w:line="360" w:lineRule="auto"/>
        <w:ind w:left="709"/>
        <w:outlineLvl w:val="1"/>
        <w:rPr>
          <w:b/>
          <w:lang w:eastAsia="en-US"/>
        </w:rPr>
      </w:pPr>
      <w:bookmarkStart w:id="2" w:name="_Toc9185772"/>
      <w:r>
        <w:rPr>
          <w:b/>
          <w:lang w:eastAsia="en-US"/>
        </w:rPr>
        <w:t>IPOs in the U.S.</w:t>
      </w:r>
      <w:bookmarkEnd w:id="2"/>
      <w:r>
        <w:rPr>
          <w:b/>
          <w:lang w:eastAsia="en-US"/>
        </w:rPr>
        <w:t xml:space="preserve"> </w:t>
      </w:r>
    </w:p>
    <w:p w14:paraId="1F031032" w14:textId="627CD09E" w:rsidR="004C543F" w:rsidRPr="00BE1FFD" w:rsidRDefault="00BE1FFD" w:rsidP="004C543F">
      <w:pPr>
        <w:spacing w:line="360" w:lineRule="auto"/>
        <w:jc w:val="both"/>
        <w:rPr>
          <w:noProof/>
          <w:color w:val="000000" w:themeColor="text1"/>
        </w:rPr>
      </w:pPr>
      <w:r w:rsidRPr="00BE1FFD">
        <w:rPr>
          <w:color w:val="000000" w:themeColor="text1"/>
        </w:rPr>
        <w:fldChar w:fldCharType="begin" w:fldLock="1"/>
      </w:r>
      <w:r w:rsidR="00F817FE">
        <w:rPr>
          <w:color w:val="000000" w:themeColor="text1"/>
        </w:rPr>
        <w:instrText>ADDIN CSL_CITATION {"citationItems":[{"id":"ITEM-1","itemData":{"DOI":"10.1108/02686900510570722","ISBN":"02686902","ISSN":"0268-6902","PMID":"274541469","abstract":"Purpose – This paper investigates the relationship between audit quality (as measured by auditor size and industry specialization) and earnings management (as measured by unexpected accruals) for Taiwan IPO firms. Design/methodology/approach – First uses unexpected accruals in the modified Jones model to measure earnings management in the IPO process. Then uses auditor type (big five versus non-big five) and industry specialist to measure audit quality. The hypothesis predicts that Taiwanese firms with higher quality auditors engage less in earnings management in the IPO process. The sample consists of 367 new issues between 1999 and 2002 from the Taiwan Economic Journal database. Findings – It is found that big five auditors are related to less earnings management in the IPO year in Taiwan. This shows that higher quality auditors constrain earnings management for Taiwan IPO firms. Research limitations/implications – The finding shows that high quality auditors constrain earnings management and provide more precise information. This is important, given that management has incentive to engage in earnings management in the IPO process to garner greater proceeds and at-issue earnings management is negatively related to post-issue earnings performance and stock returns. Practical implications – The research might be of interest to investors in IPO firms, given that at-issue unexpected accruals are opportunistic. Originality/value – The study contributes to the literature in that it shows that audit firm size is an important determinant in earnings management for Taiwan IPO firms.","author":[{"dropping-particle":"","family":"Chen","given":"Ken Y.","non-dropping-particle":"","parse-names":false,"suffix":""},{"dropping-particle":"","family":"Lin","given":"Kuen‐Lin","non-dropping-particle":"","parse-names":false,"suffix":""},{"dropping-particle":"","family":"Zhou","given":"Jian","non-dropping-particle":"","parse-names":false,"suffix":""}],"container-title":"Managerial Auditing Journal","id":"ITEM-1","issue":"1","issued":{"date-parts":[["2005"]]},"page":"86-104","title":"Audit quality and earnings management for Taiwan IPO firms","type":"article-journal","volume":"20"},"uris":["http://www.mendeley.com/documents/?uuid=823614eb-d2e5-4fac-a922-81b9a9de9882"]}],"mendeley":{"formattedCitation":"(K. Y. Chen, Lin, &amp; Zhou, 2005)","manualFormatting":"Chen et al. (2005)","plainTextFormattedCitation":"(K. Y. Chen, Lin, &amp; Zhou, 2005)","previouslyFormattedCitation":"(K. Y. Chen, Lin, &amp; Zhou, 2005)"},"properties":{"noteIndex":0},"schema":"https://github.com/citation-style-language/schema/raw/master/csl-citation.json"}</w:instrText>
      </w:r>
      <w:r w:rsidRPr="00BE1FFD">
        <w:rPr>
          <w:color w:val="000000" w:themeColor="text1"/>
        </w:rPr>
        <w:fldChar w:fldCharType="separate"/>
      </w:r>
      <w:r w:rsidRPr="00BE1FFD">
        <w:rPr>
          <w:noProof/>
          <w:color w:val="000000" w:themeColor="text1"/>
        </w:rPr>
        <w:t>Chen et al. (2005)</w:t>
      </w:r>
      <w:r w:rsidRPr="00BE1FFD">
        <w:rPr>
          <w:color w:val="000000" w:themeColor="text1"/>
        </w:rPr>
        <w:fldChar w:fldCharType="end"/>
      </w:r>
      <w:r w:rsidR="004C543F" w:rsidRPr="00BE1FFD">
        <w:rPr>
          <w:color w:val="000000" w:themeColor="text1"/>
        </w:rPr>
        <w:t xml:space="preserve"> state that the initial public offering (IPO) is one of the most important events for a firm, allowing it to attract more capital from outside investors </w:t>
      </w:r>
      <w:proofErr w:type="gramStart"/>
      <w:r w:rsidR="004C543F" w:rsidRPr="00BE1FFD">
        <w:rPr>
          <w:color w:val="000000" w:themeColor="text1"/>
        </w:rPr>
        <w:t>in order to</w:t>
      </w:r>
      <w:proofErr w:type="gramEnd"/>
      <w:r w:rsidR="004C543F" w:rsidRPr="00BE1FFD">
        <w:rPr>
          <w:color w:val="000000" w:themeColor="text1"/>
        </w:rPr>
        <w:t xml:space="preserve"> invest in their operating strategies. Figur</w:t>
      </w:r>
      <w:r w:rsidR="004C543F">
        <w:rPr>
          <w:color w:val="000000" w:themeColor="text1"/>
        </w:rPr>
        <w:t xml:space="preserve">e 1 presents an overview of </w:t>
      </w:r>
      <w:r w:rsidR="004C543F" w:rsidRPr="00BE1FFD">
        <w:rPr>
          <w:color w:val="000000" w:themeColor="text1"/>
        </w:rPr>
        <w:t>IPO process which a going-public firm needs to complete.</w:t>
      </w:r>
      <w:r w:rsidR="004C543F">
        <w:rPr>
          <w:color w:val="000000" w:themeColor="text1"/>
        </w:rPr>
        <w:t xml:space="preserve"> Firstly, IPO firms choose their underwriters, begin filing registration statements and then send the statements to the SEC. Second stage is the SEC review process in which the SEC review the registration statements and send comment letters addressing issues in the statements to the IPO firms. Following that, the IPO firms respond the SEC comments and make amendments to their filings. The SEC review process is closed when all SEC comments are satisfied. Thirdly, the IPO firms arrange marketing meetings with potential stakeholders. In next stage, the IPO firm establish their offering price. Finally, the IPOs become effective to trade on a specific stock exchange.</w:t>
      </w:r>
      <w:r w:rsidR="004C543F" w:rsidRPr="00BE1FFD">
        <w:rPr>
          <w:color w:val="000000" w:themeColor="text1"/>
        </w:rPr>
        <w:t xml:space="preserve"> </w:t>
      </w:r>
      <w:r w:rsidRPr="00BE1FFD">
        <w:rPr>
          <w:color w:val="000000" w:themeColor="text1"/>
        </w:rPr>
        <w:fldChar w:fldCharType="begin" w:fldLock="1"/>
      </w:r>
      <w:r w:rsidR="00F817FE">
        <w:rPr>
          <w:color w:val="000000" w:themeColor="text1"/>
        </w:rPr>
        <w:instrText>ADDIN CSL_CITATION {"citationItems":[{"id":"ITEM-1","itemData":{"DOI":"10.1108/02686900510570722","ISBN":"02686902","ISSN":"0268-6902","PMID":"274541469","abstract":"Purpose – This paper investigates the relationship between audit quality (as measured by auditor size and industry specialization) and earnings management (as measured by unexpected accruals) for Taiwan IPO firms. Design/methodology/approach – First uses unexpected accruals in the modified Jones model to measure earnings management in the IPO process. Then uses auditor type (big five versus non-big five) and industry specialist to measure audit quality. The hypothesis predicts that Taiwanese firms with higher quality auditors engage less in earnings management in the IPO process. The sample consists of 367 new issues between 1999 and 2002 from the Taiwan Economic Journal database. Findings – It is found that big five auditors are related to less earnings management in the IPO year in Taiwan. This shows that higher quality auditors constrain earnings management for Taiwan IPO firms. Research limitations/implications – The finding shows that high quality auditors constrain earnings management and provide more precise information. This is important, given that management has incentive to engage in earnings management in the IPO process to garner greater proceeds and at-issue earnings management is negatively related to post-issue earnings performance and stock returns. Practical implications – The research might be of interest to investors in IPO firms, given that at-issue unexpected accruals are opportunistic. Originality/value – The study contributes to the literature in that it shows that audit firm size is an important determinant in earnings management for Taiwan IPO firms.","author":[{"dropping-particle":"","family":"Chen","given":"Ken Y.","non-dropping-particle":"","parse-names":false,"suffix":""},{"dropping-particle":"","family":"Lin","given":"Kuen‐Lin","non-dropping-particle":"","parse-names":false,"suffix":""},{"dropping-particle":"","family":"Zhou","given":"Jian","non-dropping-particle":"","parse-names":false,"suffix":""}],"container-title":"Managerial Auditing Journal","id":"ITEM-1","issue":"1","issued":{"date-parts":[["2005"]]},"page":"86-104","title":"Audit quality and earnings management for Taiwan IPO firms","type":"article-journal","volume":"20"},"uris":["http://www.mendeley.com/documents/?uuid=823614eb-d2e5-4fac-a922-81b9a9de9882"]},{"id":"ITEM-2","itemData":{"ISBN":"1540-6288","ISSN":"0732-8516","abstract":"Initial public offerings underperform in the long run; however, there is very little evidence on their cross-sectional variation. Using a random sample of IPOs from 1987 through 1991 and gathering their prospectus data, we show that financial and operating characteristics as well as offering characteristics have a limited relation with the one-year stock returns. We also find that firms that subsequently reissue equity or merge outperform their matched-firm benchmarks over three years. Underperformance is most severe for the smaller and younger firms. We find that prospectus information is more useful to predict survival/failure compared to subsequent equity offerings or acquisitions.","author":[{"dropping-particle":"","family":"Bhabra","given":"Harjeet S","non-dropping-particle":"","parse-names":false,"suffix":""},{"dropping-particle":"","family":"Pettway","given":"Richard H","non-dropping-particle":"","parse-names":false,"suffix":""},{"dropping-particle":"","family":"Molson","given":"John","non-dropping-particle":"","parse-names":false,"suffix":""}],"container-title":"The Financial ReviewThe Financial Review","id":"ITEM-2","issue":"38","issued":{"date-parts":[["2003"]]},"page":"369-397","title":"IPO Prospectus Information and Subsequent Performance","type":"article-journal","volume":"38"},"uris":["http://www.mendeley.com/documents/?uuid=ed4e2965-32dd-417b-ae45-4fe20bff25f2"]}],"mendeley":{"formattedCitation":"(Bhabra, Pettway, &amp; Molson, 2003; K. Y. Chen et al., 2005)","manualFormatting":"Bhabra et al. (2003) and Chen et al. (2005)","plainTextFormattedCitation":"(Bhabra, Pettway, &amp; Molson, 2003; K. Y. Chen et al., 2005)","previouslyFormattedCitation":"(Bhabra, Pettway, &amp; Molson, 2003; K. Y. Chen et al., 2005)"},"properties":{"noteIndex":0},"schema":"https://github.com/citation-style-language/schema/raw/master/csl-citation.json"}</w:instrText>
      </w:r>
      <w:r w:rsidRPr="00BE1FFD">
        <w:rPr>
          <w:color w:val="000000" w:themeColor="text1"/>
        </w:rPr>
        <w:fldChar w:fldCharType="separate"/>
      </w:r>
      <w:r w:rsidRPr="00BE1FFD">
        <w:rPr>
          <w:noProof/>
          <w:color w:val="000000" w:themeColor="text1"/>
        </w:rPr>
        <w:t>Bhabra et al. (2003) and Chen et al. (2005)</w:t>
      </w:r>
      <w:r w:rsidRPr="00BE1FFD">
        <w:rPr>
          <w:color w:val="000000" w:themeColor="text1"/>
        </w:rPr>
        <w:fldChar w:fldCharType="end"/>
      </w:r>
      <w:r w:rsidR="004C543F" w:rsidRPr="00BE1FFD">
        <w:rPr>
          <w:color w:val="000000" w:themeColor="text1"/>
        </w:rPr>
        <w:t xml:space="preserve"> claim that it is essential that registration statements or IPO prospectuses are carefully prepared </w:t>
      </w:r>
      <w:proofErr w:type="gramStart"/>
      <w:r w:rsidR="004C543F" w:rsidRPr="00BE1FFD">
        <w:rPr>
          <w:color w:val="000000" w:themeColor="text1"/>
        </w:rPr>
        <w:t>in order to</w:t>
      </w:r>
      <w:proofErr w:type="gramEnd"/>
      <w:r w:rsidR="004C543F" w:rsidRPr="00BE1FFD">
        <w:rPr>
          <w:color w:val="000000" w:themeColor="text1"/>
        </w:rPr>
        <w:t xml:space="preserve"> provide meaningful financial and other information to the investor, which could help them to evaluate the IPO firms at </w:t>
      </w:r>
      <w:r w:rsidR="004C543F">
        <w:rPr>
          <w:color w:val="000000" w:themeColor="text1"/>
        </w:rPr>
        <w:t xml:space="preserve">a </w:t>
      </w:r>
      <w:r w:rsidR="004C543F" w:rsidRPr="00BE1FFD">
        <w:rPr>
          <w:color w:val="000000" w:themeColor="text1"/>
        </w:rPr>
        <w:t xml:space="preserve">plausible price. </w:t>
      </w:r>
      <w:r w:rsidR="004C543F" w:rsidRPr="00BE1FFD">
        <w:rPr>
          <w:noProof/>
          <w:color w:val="000000" w:themeColor="text1"/>
        </w:rPr>
        <w:t xml:space="preserve">Bhabra </w:t>
      </w:r>
      <w:r w:rsidR="004C543F">
        <w:rPr>
          <w:noProof/>
          <w:color w:val="000000" w:themeColor="text1"/>
        </w:rPr>
        <w:t xml:space="preserve">et al. (2003) document that </w:t>
      </w:r>
      <w:r w:rsidR="004C543F" w:rsidRPr="00BE1FFD">
        <w:rPr>
          <w:noProof/>
          <w:color w:val="000000" w:themeColor="text1"/>
        </w:rPr>
        <w:t xml:space="preserve">prospectuses convey key information including the firm’s history, financial statements, ownership, risks and prospects. </w:t>
      </w:r>
      <w:r w:rsidRPr="00BE1FFD">
        <w:rPr>
          <w:noProof/>
          <w:color w:val="000000" w:themeColor="text1"/>
        </w:rPr>
        <w:fldChar w:fldCharType="begin" w:fldLock="1"/>
      </w:r>
      <w:r w:rsidR="00F817FE">
        <w:rPr>
          <w:noProof/>
          <w:color w:val="000000" w:themeColor="text1"/>
        </w:rPr>
        <w:instrText>ADDIN CSL_CITATION {"citationItems":[{"id":"ITEM-1","itemData":{"ISBN":"0304-405X","ISSN":"0304405X","PMID":"12243301","abstract":"This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 1976.","author":[{"dropping-particle":"","family":"Jensen","given":"Michael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structure","type":"article-journal","volume":"3"},"uris":["http://www.mendeley.com/documents/?uuid=6e3baded-4eae-42ef-a0ec-8ecff2dd5506"]}],"mendeley":{"formattedCitation":"(Jensen &amp; Meckling, 1976)","manualFormatting":"Jensen and Meckling (1976)","plainTextFormattedCitation":"(Jensen &amp; Meckling, 1976)","previouslyFormattedCitation":"(Jensen &amp; Meckling, 1976)"},"properties":{"noteIndex":0},"schema":"https://github.com/citation-style-language/schema/raw/master/csl-citation.json"}</w:instrText>
      </w:r>
      <w:r w:rsidRPr="00BE1FFD">
        <w:rPr>
          <w:noProof/>
          <w:color w:val="000000" w:themeColor="text1"/>
        </w:rPr>
        <w:fldChar w:fldCharType="separate"/>
      </w:r>
      <w:r w:rsidRPr="00BE1FFD">
        <w:rPr>
          <w:noProof/>
          <w:color w:val="000000" w:themeColor="text1"/>
        </w:rPr>
        <w:t>Jensen and Meckling (1976)</w:t>
      </w:r>
      <w:r w:rsidRPr="00BE1FFD">
        <w:rPr>
          <w:noProof/>
          <w:color w:val="000000" w:themeColor="text1"/>
        </w:rPr>
        <w:fldChar w:fldCharType="end"/>
      </w:r>
      <w:r w:rsidR="004C543F" w:rsidRPr="00BE1FFD">
        <w:rPr>
          <w:noProof/>
          <w:color w:val="000000" w:themeColor="text1"/>
        </w:rPr>
        <w:t xml:space="preserve"> claim that the prospectus could be considered as a social construct which reflects the unoffic</w:t>
      </w:r>
      <w:r w:rsidR="004C543F">
        <w:rPr>
          <w:noProof/>
          <w:color w:val="000000" w:themeColor="text1"/>
        </w:rPr>
        <w:t>i</w:t>
      </w:r>
      <w:r w:rsidR="004C543F" w:rsidRPr="00BE1FFD">
        <w:rPr>
          <w:noProof/>
          <w:color w:val="000000" w:themeColor="text1"/>
        </w:rPr>
        <w:t>al informational contracts between the managers (agents) and the investors (principals). A type of IPO pro</w:t>
      </w:r>
      <w:r w:rsidR="004C543F">
        <w:rPr>
          <w:noProof/>
          <w:color w:val="000000" w:themeColor="text1"/>
        </w:rPr>
        <w:t>spectus</w:t>
      </w:r>
      <w:r w:rsidR="004C543F" w:rsidRPr="00BE1FFD">
        <w:rPr>
          <w:noProof/>
          <w:color w:val="000000" w:themeColor="text1"/>
        </w:rPr>
        <w:t xml:space="preserve"> is the S-1 registra</w:t>
      </w:r>
      <w:r w:rsidR="004C543F">
        <w:rPr>
          <w:noProof/>
          <w:color w:val="000000" w:themeColor="text1"/>
        </w:rPr>
        <w:t>tion statement which is</w:t>
      </w:r>
      <w:r w:rsidR="004C543F" w:rsidRPr="00BE1FFD">
        <w:rPr>
          <w:noProof/>
          <w:color w:val="000000" w:themeColor="text1"/>
        </w:rPr>
        <w:t xml:space="preserve"> the very first document required by the SEC in the IPO process. S-1 filings provide the investors</w:t>
      </w:r>
      <w:r w:rsidR="004C543F">
        <w:rPr>
          <w:noProof/>
          <w:color w:val="000000" w:themeColor="text1"/>
        </w:rPr>
        <w:t xml:space="preserve"> with</w:t>
      </w:r>
      <w:r w:rsidR="004C543F" w:rsidRPr="00BE1FFD">
        <w:rPr>
          <w:noProof/>
          <w:color w:val="000000" w:themeColor="text1"/>
        </w:rPr>
        <w:t xml:space="preserve"> the first information about the IPO firms </w:t>
      </w:r>
      <w:r w:rsidR="00CB3B3A">
        <w:rPr>
          <w:noProof/>
          <w:color w:val="000000" w:themeColor="text1"/>
        </w:rPr>
        <w:t>in terms of</w:t>
      </w:r>
      <w:r w:rsidR="004C543F" w:rsidRPr="00BE1FFD">
        <w:rPr>
          <w:noProof/>
          <w:color w:val="000000" w:themeColor="text1"/>
        </w:rPr>
        <w:t xml:space="preserve"> their business, the o</w:t>
      </w:r>
      <w:r w:rsidR="004C543F">
        <w:rPr>
          <w:noProof/>
          <w:color w:val="000000" w:themeColor="text1"/>
        </w:rPr>
        <w:t>ffering and financial position</w:t>
      </w:r>
      <w:r w:rsidR="004C543F" w:rsidRPr="00BE1FFD">
        <w:rPr>
          <w:noProof/>
          <w:color w:val="000000" w:themeColor="text1"/>
        </w:rPr>
        <w:t>.</w:t>
      </w:r>
    </w:p>
    <w:p w14:paraId="53910F0D" w14:textId="77777777" w:rsidR="004C543F" w:rsidRDefault="004C543F" w:rsidP="004C543F">
      <w:pPr>
        <w:pStyle w:val="ListParagraph"/>
        <w:spacing w:line="360" w:lineRule="auto"/>
        <w:ind w:left="0"/>
        <w:jc w:val="center"/>
        <w:rPr>
          <w:b/>
          <w:noProof/>
          <w:color w:val="000000" w:themeColor="text1"/>
        </w:rPr>
      </w:pPr>
      <w:r>
        <w:rPr>
          <w:b/>
          <w:noProof/>
          <w:color w:val="000000" w:themeColor="text1"/>
        </w:rPr>
        <w:t>[Insert Firgure 1 about here]</w:t>
      </w:r>
    </w:p>
    <w:p w14:paraId="7EFB4B19" w14:textId="77777777" w:rsidR="004C543F" w:rsidRPr="004017DD" w:rsidRDefault="004C543F" w:rsidP="004C543F">
      <w:pPr>
        <w:pStyle w:val="ListParagraph"/>
        <w:numPr>
          <w:ilvl w:val="1"/>
          <w:numId w:val="1"/>
        </w:numPr>
        <w:spacing w:line="360" w:lineRule="auto"/>
        <w:ind w:left="709"/>
        <w:jc w:val="both"/>
        <w:outlineLvl w:val="1"/>
        <w:rPr>
          <w:b/>
          <w:noProof/>
          <w:color w:val="000000" w:themeColor="text1"/>
        </w:rPr>
      </w:pPr>
      <w:bookmarkStart w:id="3" w:name="_Toc9185773"/>
      <w:r>
        <w:rPr>
          <w:b/>
          <w:noProof/>
          <w:color w:val="000000" w:themeColor="text1"/>
        </w:rPr>
        <w:t>The SEC review process</w:t>
      </w:r>
      <w:bookmarkEnd w:id="3"/>
    </w:p>
    <w:p w14:paraId="097CF512" w14:textId="0741BECE" w:rsidR="004C543F" w:rsidRDefault="004C543F" w:rsidP="004C543F">
      <w:pPr>
        <w:spacing w:line="360" w:lineRule="auto"/>
        <w:jc w:val="both"/>
        <w:rPr>
          <w:color w:val="000000" w:themeColor="text1"/>
        </w:rPr>
      </w:pPr>
      <w:r w:rsidRPr="00011D31">
        <w:rPr>
          <w:color w:val="000000" w:themeColor="text1"/>
        </w:rPr>
        <w:lastRenderedPageBreak/>
        <w:t xml:space="preserve">Various notable regulations providing the guidelines </w:t>
      </w:r>
      <w:r>
        <w:rPr>
          <w:color w:val="000000" w:themeColor="text1"/>
        </w:rPr>
        <w:t>for</w:t>
      </w:r>
      <w:r w:rsidRPr="00011D31">
        <w:rPr>
          <w:color w:val="000000" w:themeColor="text1"/>
        </w:rPr>
        <w:t xml:space="preserve"> preparing corporate disclosures</w:t>
      </w:r>
      <w:r>
        <w:rPr>
          <w:color w:val="000000" w:themeColor="text1"/>
        </w:rPr>
        <w:t xml:space="preserve">, </w:t>
      </w:r>
      <w:proofErr w:type="gramStart"/>
      <w:r>
        <w:rPr>
          <w:color w:val="000000" w:themeColor="text1"/>
        </w:rPr>
        <w:t>e.g.</w:t>
      </w:r>
      <w:proofErr w:type="gramEnd"/>
      <w:r>
        <w:rPr>
          <w:color w:val="000000" w:themeColor="text1"/>
        </w:rPr>
        <w:t xml:space="preserve"> IPO prospectuses,</w:t>
      </w:r>
      <w:r w:rsidRPr="00011D31">
        <w:rPr>
          <w:color w:val="000000" w:themeColor="text1"/>
        </w:rPr>
        <w:t xml:space="preserve"> are applied in each country or all over the world. In the U.S. market, going-public firms are governed by the disclosure guidelines </w:t>
      </w:r>
      <w:r>
        <w:rPr>
          <w:color w:val="000000" w:themeColor="text1"/>
        </w:rPr>
        <w:t>enforced</w:t>
      </w:r>
      <w:r w:rsidRPr="00011D31">
        <w:rPr>
          <w:color w:val="000000" w:themeColor="text1"/>
        </w:rPr>
        <w:t xml:space="preserve"> by the U.S. Securities and Exchange Commission (SEC). The key responsibility of the SEC is conducting a careful review of </w:t>
      </w:r>
      <w:r w:rsidRPr="00BA48AA">
        <w:rPr>
          <w:b/>
          <w:color w:val="000000" w:themeColor="text1"/>
        </w:rPr>
        <w:t>all</w:t>
      </w:r>
      <w:r>
        <w:rPr>
          <w:color w:val="000000" w:themeColor="text1"/>
        </w:rPr>
        <w:t xml:space="preserve"> </w:t>
      </w:r>
      <w:r w:rsidRPr="00011D31">
        <w:rPr>
          <w:color w:val="000000" w:themeColor="text1"/>
        </w:rPr>
        <w:t xml:space="preserve">IPO firms’ prospectuses in order to secure that the going-public firms are reporting “meaningful financial and other information to the public” </w:t>
      </w:r>
      <w:r w:rsidRPr="00011D31">
        <w:rPr>
          <w:color w:val="000000" w:themeColor="text1"/>
        </w:rPr>
        <w:fldChar w:fldCharType="begin" w:fldLock="1"/>
      </w:r>
      <w:r w:rsidR="00A611DF">
        <w:rPr>
          <w:color w:val="000000" w:themeColor="text1"/>
        </w:rPr>
        <w:instrText>ADDIN CSL_CITATION {"citationItems":[{"id":"ITEM-1","itemData":{"author":[{"dropping-particle":"","family":"SEC","given":"","non-dropping-particle":"","parse-names":false,"suffix":""}],"container-title":"Securities and Exchange Commission","id":"ITEM-1","issued":{"date-parts":[["2013"]]},"title":"The Investor's Advocate: How the SEC Protects Investors, Maintains Market Integrity, and Facilitates Capital Formation","type":"article-journal"},"uris":["http://www.mendeley.com/documents/?uuid=02f9d5a4-e5b7-4ea2-959b-617db2073a4d"]}],"mendeley":{"formattedCitation":"(SEC, 2013)","manualFormatting":"(SEC, 2013)","plainTextFormattedCitation":"(SEC, 2013)","previouslyFormattedCitation":"(SEC, 2013)"},"properties":{"noteIndex":0},"schema":"https://github.com/citation-style-language/schema/raw/master/csl-citation.json"}</w:instrText>
      </w:r>
      <w:r w:rsidRPr="00011D31">
        <w:rPr>
          <w:color w:val="000000" w:themeColor="text1"/>
        </w:rPr>
        <w:fldChar w:fldCharType="separate"/>
      </w:r>
      <w:r w:rsidRPr="00011D31">
        <w:rPr>
          <w:noProof/>
          <w:color w:val="000000" w:themeColor="text1"/>
        </w:rPr>
        <w:t>(SEC, 2013)</w:t>
      </w:r>
      <w:r w:rsidRPr="00011D31">
        <w:rPr>
          <w:color w:val="000000" w:themeColor="text1"/>
        </w:rPr>
        <w:fldChar w:fldCharType="end"/>
      </w:r>
      <w:r w:rsidRPr="00011D31">
        <w:rPr>
          <w:color w:val="000000" w:themeColor="text1"/>
        </w:rPr>
        <w:t>.</w:t>
      </w:r>
      <w:r>
        <w:rPr>
          <w:color w:val="000000" w:themeColor="text1"/>
        </w:rPr>
        <w:t xml:space="preserve"> </w:t>
      </w:r>
      <w:r w:rsidRPr="00011D31">
        <w:rPr>
          <w:color w:val="000000" w:themeColor="text1"/>
        </w:rPr>
        <w:t xml:space="preserve">In fact, when going public for the first </w:t>
      </w:r>
      <w:r>
        <w:rPr>
          <w:color w:val="000000" w:themeColor="text1"/>
        </w:rPr>
        <w:t xml:space="preserve">time, </w:t>
      </w:r>
      <w:r w:rsidRPr="00011D31">
        <w:rPr>
          <w:color w:val="000000" w:themeColor="text1"/>
        </w:rPr>
        <w:t xml:space="preserve">U.S. firms are required by the SEC to file the initial S-1 or equivalent registration documents </w:t>
      </w:r>
      <w:proofErr w:type="gramStart"/>
      <w:r w:rsidRPr="00011D31">
        <w:rPr>
          <w:color w:val="000000" w:themeColor="text1"/>
        </w:rPr>
        <w:t>in order to</w:t>
      </w:r>
      <w:proofErr w:type="gramEnd"/>
      <w:r w:rsidRPr="00011D31">
        <w:rPr>
          <w:color w:val="000000" w:themeColor="text1"/>
        </w:rPr>
        <w:t xml:space="preserve"> provide the SEC as well as investors with detailed information about the firms’ business model, financial conditions and future growth prospects. The SEC has an ov</w:t>
      </w:r>
      <w:r>
        <w:rPr>
          <w:color w:val="000000" w:themeColor="text1"/>
        </w:rPr>
        <w:t>ersight role in disciplining</w:t>
      </w:r>
      <w:r w:rsidRPr="00011D31">
        <w:rPr>
          <w:color w:val="000000" w:themeColor="text1"/>
        </w:rPr>
        <w:t xml:space="preserve"> issuers by reviewing closely the contents of the initial S-1 filings. If the SEC consider the information contents of the initial S-1 filings to be unclear, </w:t>
      </w:r>
      <w:proofErr w:type="gramStart"/>
      <w:r w:rsidRPr="00011D31">
        <w:rPr>
          <w:color w:val="000000" w:themeColor="text1"/>
        </w:rPr>
        <w:t>inadequate</w:t>
      </w:r>
      <w:proofErr w:type="gramEnd"/>
      <w:r w:rsidRPr="00011D31">
        <w:rPr>
          <w:color w:val="000000" w:themeColor="text1"/>
        </w:rPr>
        <w:t xml:space="preserve"> or inappropriate, they may issue comm</w:t>
      </w:r>
      <w:r>
        <w:rPr>
          <w:color w:val="000000" w:themeColor="text1"/>
        </w:rPr>
        <w:t>ent letters, publicly request</w:t>
      </w:r>
      <w:r w:rsidRPr="00011D31">
        <w:rPr>
          <w:color w:val="000000" w:themeColor="text1"/>
        </w:rPr>
        <w:t xml:space="preserve"> amendments to the initial S-1 filing. Particularly, the SEC may require additional clarifications, justifications, disclosures or even require the issuers to change some important information in the initial S-1 filings. Only when </w:t>
      </w:r>
      <w:proofErr w:type="gramStart"/>
      <w:r w:rsidRPr="00011D31">
        <w:rPr>
          <w:color w:val="000000" w:themeColor="text1"/>
        </w:rPr>
        <w:t>all</w:t>
      </w:r>
      <w:r>
        <w:rPr>
          <w:color w:val="000000" w:themeColor="text1"/>
        </w:rPr>
        <w:t xml:space="preserve"> </w:t>
      </w:r>
      <w:r w:rsidRPr="00011D31">
        <w:rPr>
          <w:color w:val="000000" w:themeColor="text1"/>
        </w:rPr>
        <w:t>of</w:t>
      </w:r>
      <w:proofErr w:type="gramEnd"/>
      <w:r w:rsidRPr="00011D31">
        <w:rPr>
          <w:color w:val="000000" w:themeColor="text1"/>
        </w:rPr>
        <w:t xml:space="preserve"> the SEC’s comments are addressed will the SEC be willing to close their review and declare the registration statement as ‘effective’, allowing the issuers to conduct the IPO. Figure 2 visualizes an overview of the SEC review process.</w:t>
      </w:r>
    </w:p>
    <w:p w14:paraId="19D2781A" w14:textId="12B3CC66" w:rsidR="004C543F" w:rsidRPr="00011D31" w:rsidRDefault="004C543F" w:rsidP="004C543F">
      <w:pPr>
        <w:spacing w:line="360" w:lineRule="auto"/>
        <w:jc w:val="center"/>
        <w:rPr>
          <w:color w:val="000000" w:themeColor="text1"/>
        </w:rPr>
      </w:pPr>
      <w:r>
        <w:rPr>
          <w:b/>
          <w:color w:val="000000" w:themeColor="text1"/>
        </w:rPr>
        <w:t>[Insert Figure 2 about here]</w:t>
      </w:r>
    </w:p>
    <w:p w14:paraId="3A5638A4" w14:textId="77777777" w:rsidR="004C543F" w:rsidRDefault="004C543F" w:rsidP="004C543F">
      <w:pPr>
        <w:spacing w:line="360" w:lineRule="auto"/>
        <w:jc w:val="both"/>
        <w:rPr>
          <w:color w:val="000000" w:themeColor="text1"/>
        </w:rPr>
      </w:pPr>
      <w:r>
        <w:rPr>
          <w:color w:val="000000" w:themeColor="text1"/>
        </w:rPr>
        <w:t>The Division of Corporation</w:t>
      </w:r>
      <w:r w:rsidRPr="00222423">
        <w:rPr>
          <w:color w:val="000000" w:themeColor="text1"/>
        </w:rPr>
        <w:t xml:space="preserve"> Finance, which is one of five divisions run by the SEC, is </w:t>
      </w:r>
      <w:r>
        <w:rPr>
          <w:color w:val="000000" w:themeColor="text1"/>
        </w:rPr>
        <w:t>designated</w:t>
      </w:r>
      <w:r w:rsidRPr="00222423">
        <w:rPr>
          <w:color w:val="000000" w:themeColor="text1"/>
        </w:rPr>
        <w:t xml:space="preserve"> to conduct the review of S-1 filings. The division is organized into 11 examining offices, also named as Assistant Directors office</w:t>
      </w:r>
      <w:r>
        <w:rPr>
          <w:color w:val="000000" w:themeColor="text1"/>
        </w:rPr>
        <w:t>s</w:t>
      </w:r>
      <w:r w:rsidRPr="00222423">
        <w:rPr>
          <w:color w:val="000000" w:themeColor="text1"/>
        </w:rPr>
        <w:t xml:space="preserve">. </w:t>
      </w:r>
      <w:r w:rsidRPr="00952718">
        <w:rPr>
          <w:color w:val="000000" w:themeColor="text1"/>
        </w:rPr>
        <w:t>The assignment of S-1 review into the office</w:t>
      </w:r>
      <w:r>
        <w:rPr>
          <w:color w:val="000000" w:themeColor="text1"/>
        </w:rPr>
        <w:t xml:space="preserve">s is </w:t>
      </w:r>
      <w:r w:rsidRPr="00952718">
        <w:rPr>
          <w:color w:val="000000" w:themeColor="text1"/>
        </w:rPr>
        <w:t>based on the IPO’s industry as classified by 4-digits SIC C</w:t>
      </w:r>
      <w:r>
        <w:rPr>
          <w:color w:val="000000" w:themeColor="text1"/>
        </w:rPr>
        <w:t>ode</w:t>
      </w:r>
      <w:r w:rsidRPr="00952718">
        <w:rPr>
          <w:color w:val="000000" w:themeColor="text1"/>
        </w:rPr>
        <w:t>. Each</w:t>
      </w:r>
      <w:r w:rsidRPr="00222423">
        <w:rPr>
          <w:color w:val="000000" w:themeColor="text1"/>
        </w:rPr>
        <w:t xml:space="preserve"> office has one assistant director, one senior assistant chief accountant, one legal branch chief and two accounting branch chiefs and 25 to 35 professionals, primarily accountants and lawyers. </w:t>
      </w:r>
      <w:r>
        <w:rPr>
          <w:color w:val="000000" w:themeColor="text1"/>
        </w:rPr>
        <w:t>Figure</w:t>
      </w:r>
      <w:r w:rsidRPr="00222423">
        <w:rPr>
          <w:color w:val="000000" w:themeColor="text1"/>
        </w:rPr>
        <w:t xml:space="preserve"> </w:t>
      </w:r>
      <w:r w:rsidRPr="004E12A2">
        <w:rPr>
          <w:color w:val="000000" w:themeColor="text1"/>
        </w:rPr>
        <w:t>3</w:t>
      </w:r>
      <w:r w:rsidRPr="00222423">
        <w:rPr>
          <w:color w:val="000000" w:themeColor="text1"/>
        </w:rPr>
        <w:t xml:space="preserve"> shows the hierarchy organizational structure of each</w:t>
      </w:r>
      <w:r>
        <w:rPr>
          <w:color w:val="000000" w:themeColor="text1"/>
        </w:rPr>
        <w:t xml:space="preserve"> office in Division of Corporation</w:t>
      </w:r>
      <w:r w:rsidRPr="00222423">
        <w:rPr>
          <w:color w:val="000000" w:themeColor="text1"/>
        </w:rPr>
        <w:t xml:space="preserve"> Finance.</w:t>
      </w:r>
    </w:p>
    <w:p w14:paraId="18C7B217" w14:textId="77777777" w:rsidR="004C543F" w:rsidRDefault="004C543F" w:rsidP="004C543F">
      <w:pPr>
        <w:spacing w:line="360" w:lineRule="auto"/>
        <w:jc w:val="center"/>
        <w:rPr>
          <w:color w:val="000000" w:themeColor="text1"/>
        </w:rPr>
      </w:pPr>
      <w:r>
        <w:rPr>
          <w:b/>
          <w:color w:val="000000" w:themeColor="text1"/>
        </w:rPr>
        <w:t>[Insert Figure 3 about here]</w:t>
      </w:r>
    </w:p>
    <w:p w14:paraId="4007CCE9" w14:textId="2992DD6C" w:rsidR="004C543F" w:rsidRDefault="004C543F" w:rsidP="004C543F">
      <w:pPr>
        <w:pStyle w:val="ListParagraph"/>
        <w:spacing w:line="360" w:lineRule="auto"/>
        <w:ind w:left="0"/>
        <w:jc w:val="both"/>
        <w:rPr>
          <w:color w:val="000000" w:themeColor="text1"/>
        </w:rPr>
      </w:pPr>
      <w:r>
        <w:rPr>
          <w:color w:val="000000" w:themeColor="text1"/>
        </w:rPr>
        <w:t xml:space="preserve">Although the SEC state that </w:t>
      </w:r>
      <w:r w:rsidRPr="00777207">
        <w:rPr>
          <w:color w:val="000000" w:themeColor="text1"/>
        </w:rPr>
        <w:t>t</w:t>
      </w:r>
      <w:r>
        <w:rPr>
          <w:color w:val="000000" w:themeColor="text1"/>
        </w:rPr>
        <w:t xml:space="preserve">hey will provide the first comment letters to the initial S-1 within 4 weeks, </w:t>
      </w:r>
      <w:r w:rsidRPr="00CF4B6B">
        <w:rPr>
          <w:color w:val="000000" w:themeColor="text1"/>
        </w:rPr>
        <w:t>the</w:t>
      </w:r>
      <w:r>
        <w:rPr>
          <w:color w:val="000000" w:themeColor="text1"/>
        </w:rPr>
        <w:t xml:space="preserve"> duration of the SEC re</w:t>
      </w:r>
      <w:r>
        <w:rPr>
          <w:b/>
          <w:color w:val="000000" w:themeColor="text1"/>
        </w:rPr>
        <w:t>v</w:t>
      </w:r>
      <w:r>
        <w:rPr>
          <w:color w:val="000000" w:themeColor="text1"/>
        </w:rPr>
        <w:t>iew on initial S</w:t>
      </w:r>
      <w:r>
        <w:rPr>
          <w:b/>
          <w:color w:val="000000" w:themeColor="text1"/>
        </w:rPr>
        <w:t>-</w:t>
      </w:r>
      <w:r>
        <w:rPr>
          <w:color w:val="000000" w:themeColor="text1"/>
        </w:rPr>
        <w:t>1 filings</w:t>
      </w:r>
      <w:r w:rsidRPr="007A2E4D">
        <w:rPr>
          <w:color w:val="000000" w:themeColor="text1"/>
        </w:rPr>
        <w:t xml:space="preserve"> </w:t>
      </w:r>
      <w:r>
        <w:rPr>
          <w:color w:val="000000" w:themeColor="text1"/>
        </w:rPr>
        <w:t>is varied and</w:t>
      </w:r>
      <w:r>
        <w:rPr>
          <w:b/>
          <w:color w:val="000000" w:themeColor="text1"/>
        </w:rPr>
        <w:t xml:space="preserve"> </w:t>
      </w:r>
      <w:r>
        <w:rPr>
          <w:color w:val="000000" w:themeColor="text1"/>
        </w:rPr>
        <w:t>affect</w:t>
      </w:r>
      <w:r w:rsidRPr="00B02459">
        <w:rPr>
          <w:color w:val="000000" w:themeColor="text1"/>
        </w:rPr>
        <w:t xml:space="preserve">ed </w:t>
      </w:r>
      <w:r>
        <w:rPr>
          <w:color w:val="000000" w:themeColor="text1"/>
        </w:rPr>
        <w:t>by</w:t>
      </w:r>
      <w:r w:rsidRPr="007A2E4D">
        <w:rPr>
          <w:color w:val="000000" w:themeColor="text1"/>
        </w:rPr>
        <w:t xml:space="preserve"> </w:t>
      </w:r>
      <w:r>
        <w:rPr>
          <w:color w:val="000000" w:themeColor="text1"/>
        </w:rPr>
        <w:t>various</w:t>
      </w:r>
      <w:r w:rsidRPr="007A2E4D">
        <w:rPr>
          <w:color w:val="000000" w:themeColor="text1"/>
        </w:rPr>
        <w:t xml:space="preserve"> </w:t>
      </w:r>
      <w:r>
        <w:rPr>
          <w:color w:val="000000" w:themeColor="text1"/>
        </w:rPr>
        <w:t>determinants</w:t>
      </w:r>
      <w:r w:rsidRPr="007A2E4D">
        <w:rPr>
          <w:color w:val="000000" w:themeColor="text1"/>
        </w:rPr>
        <w:t xml:space="preserve"> including the complexity of </w:t>
      </w:r>
      <w:r w:rsidRPr="00625259">
        <w:rPr>
          <w:color w:val="000000" w:themeColor="text1"/>
        </w:rPr>
        <w:t>S-1 filing</w:t>
      </w:r>
      <w:r>
        <w:rPr>
          <w:color w:val="000000" w:themeColor="text1"/>
        </w:rPr>
        <w:t>s</w:t>
      </w:r>
      <w:r w:rsidRPr="00625259">
        <w:rPr>
          <w:color w:val="000000" w:themeColor="text1"/>
        </w:rPr>
        <w:t xml:space="preserve"> and conditions of the market at the filing date </w:t>
      </w:r>
      <w:r>
        <w:rPr>
          <w:b/>
          <w:color w:val="000000" w:themeColor="text1"/>
        </w:rPr>
        <w:fldChar w:fldCharType="begin" w:fldLock="1"/>
      </w:r>
      <w:r w:rsidR="00A611DF">
        <w:rPr>
          <w:b/>
          <w:color w:val="000000" w:themeColor="text1"/>
        </w:rPr>
        <w:instrText>ADDIN CSL_CITATION {"citationItems":[{"id":"ITEM-1","itemData":{"URL":"https://www.securitieslawyer101.com/2015/sec-review-form-s-1-registration-statement/","accessed":{"date-parts":[["2019","4","25"]]},"author":[{"dropping-particle":"","family":"Hamilton","given":"B.","non-dropping-particle":"","parse-names":false,"suffix":""}],"container-title":"Securities and Going Public Lawyer","id":"ITEM-1","issued":{"date-parts":[["2018"]]},"title":"How Soon Will The SEC Review A Form S-1 Registration Statement?","type":"webpage"},"uris":["http://www.mendeley.com/documents/?uuid=851c8ec0-6aac-469c-82b2-aa34480b02b7"]}],"mendeley":{"formattedCitation":"(Hamilton, 2018)","plainTextFormattedCitation":"(Hamilton, 2018)","previouslyFormattedCitation":"(Hamilton, 2018)"},"properties":{"noteIndex":0},"schema":"https://github.com/citation-style-language/schema/raw/master/csl-citation.json"}</w:instrText>
      </w:r>
      <w:r>
        <w:rPr>
          <w:b/>
          <w:color w:val="000000" w:themeColor="text1"/>
        </w:rPr>
        <w:fldChar w:fldCharType="separate"/>
      </w:r>
      <w:r w:rsidRPr="00640E1C">
        <w:rPr>
          <w:noProof/>
          <w:color w:val="000000" w:themeColor="text1"/>
        </w:rPr>
        <w:t>(Hamilton, 2018)</w:t>
      </w:r>
      <w:r>
        <w:rPr>
          <w:b/>
          <w:color w:val="000000" w:themeColor="text1"/>
        </w:rPr>
        <w:fldChar w:fldCharType="end"/>
      </w:r>
      <w:r>
        <w:rPr>
          <w:color w:val="000000" w:themeColor="text1"/>
        </w:rPr>
        <w:t>.</w:t>
      </w:r>
      <w:r>
        <w:rPr>
          <w:b/>
          <w:color w:val="000000" w:themeColor="text1"/>
        </w:rPr>
        <w:t xml:space="preserve"> </w:t>
      </w:r>
      <w:r>
        <w:rPr>
          <w:color w:val="000000" w:themeColor="text1"/>
        </w:rPr>
        <w:fldChar w:fldCharType="begin" w:fldLock="1"/>
      </w:r>
      <w:r w:rsidR="00A611DF">
        <w:rPr>
          <w:color w:val="000000" w:themeColor="text1"/>
        </w:rPr>
        <w:instrText>ADDIN CSL_CITATION {"citationItems":[{"id":"ITEM-1","itemData":{"author":[{"dropping-particle":"","family":"WilmerHale","given":"","non-dropping-particle":"","parse-names":false,"suffix":""}],"container-title":"WilmerHale IPO Report","id":"ITEM-1","issued":{"date-parts":[["2015"]]},"page":"26","title":"2015 IPO Report","type":"article-journal"},"uris":["http://www.mendeley.com/documents/?uuid=48a09674-f98e-4a3f-88ae-b7e92b0ec5df"]}],"mendeley":{"formattedCitation":"(WilmerHale, 2015)","manualFormatting":"WilmerHale (2015)","plainTextFormattedCitation":"(WilmerHale, 2015)","previouslyFormattedCitation":"(WilmerHale, 2015)"},"properties":{"noteIndex":0},"schema":"https://github.com/citation-style-language/schema/raw/master/csl-citation.json"}</w:instrText>
      </w:r>
      <w:r>
        <w:rPr>
          <w:color w:val="000000" w:themeColor="text1"/>
        </w:rPr>
        <w:fldChar w:fldCharType="separate"/>
      </w:r>
      <w:r w:rsidRPr="006046B6">
        <w:rPr>
          <w:noProof/>
          <w:color w:val="000000" w:themeColor="text1"/>
        </w:rPr>
        <w:t>WilmerHale</w:t>
      </w:r>
      <w:r>
        <w:rPr>
          <w:noProof/>
          <w:color w:val="000000" w:themeColor="text1"/>
        </w:rPr>
        <w:t xml:space="preserve"> (</w:t>
      </w:r>
      <w:r w:rsidRPr="006046B6">
        <w:rPr>
          <w:noProof/>
          <w:color w:val="000000" w:themeColor="text1"/>
        </w:rPr>
        <w:t>2015)</w:t>
      </w:r>
      <w:r>
        <w:rPr>
          <w:color w:val="000000" w:themeColor="text1"/>
        </w:rPr>
        <w:fldChar w:fldCharType="end"/>
      </w:r>
      <w:r>
        <w:rPr>
          <w:color w:val="000000" w:themeColor="text1"/>
        </w:rPr>
        <w:t xml:space="preserve"> also state that in</w:t>
      </w:r>
      <w:r w:rsidRPr="00F23E40">
        <w:rPr>
          <w:color w:val="000000" w:themeColor="text1"/>
        </w:rPr>
        <w:t xml:space="preserve"> a slow market, </w:t>
      </w:r>
      <w:r>
        <w:rPr>
          <w:color w:val="000000" w:themeColor="text1"/>
        </w:rPr>
        <w:t>the SEC issue the first comment letters</w:t>
      </w:r>
      <w:r w:rsidRPr="00F23E40">
        <w:rPr>
          <w:color w:val="000000" w:themeColor="text1"/>
        </w:rPr>
        <w:t xml:space="preserve"> in less than 30 days. </w:t>
      </w:r>
      <w:r>
        <w:rPr>
          <w:color w:val="000000" w:themeColor="text1"/>
        </w:rPr>
        <w:t>Contrarily, w</w:t>
      </w:r>
      <w:r w:rsidRPr="00F23E40">
        <w:rPr>
          <w:color w:val="000000" w:themeColor="text1"/>
        </w:rPr>
        <w:t xml:space="preserve">hen </w:t>
      </w:r>
      <w:r>
        <w:rPr>
          <w:color w:val="000000" w:themeColor="text1"/>
        </w:rPr>
        <w:t>the volume of IPOs suddenly increases, the</w:t>
      </w:r>
      <w:r w:rsidRPr="00F23E40">
        <w:rPr>
          <w:color w:val="000000" w:themeColor="text1"/>
        </w:rPr>
        <w:t xml:space="preserve"> </w:t>
      </w:r>
      <w:r>
        <w:rPr>
          <w:color w:val="000000" w:themeColor="text1"/>
        </w:rPr>
        <w:t>duration of the SEC review</w:t>
      </w:r>
      <w:r w:rsidRPr="00F23E40">
        <w:rPr>
          <w:color w:val="000000" w:themeColor="text1"/>
        </w:rPr>
        <w:t xml:space="preserve"> </w:t>
      </w:r>
      <w:r>
        <w:rPr>
          <w:color w:val="000000" w:themeColor="text1"/>
        </w:rPr>
        <w:t>could</w:t>
      </w:r>
      <w:r w:rsidRPr="00F23E40">
        <w:rPr>
          <w:color w:val="000000" w:themeColor="text1"/>
        </w:rPr>
        <w:t xml:space="preserve"> be</w:t>
      </w:r>
      <w:r>
        <w:rPr>
          <w:color w:val="000000" w:themeColor="text1"/>
        </w:rPr>
        <w:t xml:space="preserve"> sometimes exceed the 30-day threshold</w:t>
      </w:r>
      <w:r w:rsidRPr="00F23E40">
        <w:rPr>
          <w:color w:val="000000" w:themeColor="text1"/>
        </w:rPr>
        <w:t xml:space="preserve"> by </w:t>
      </w:r>
      <w:r>
        <w:rPr>
          <w:color w:val="000000" w:themeColor="text1"/>
        </w:rPr>
        <w:t xml:space="preserve">many </w:t>
      </w:r>
      <w:r w:rsidRPr="00F23E40">
        <w:rPr>
          <w:color w:val="000000" w:themeColor="text1"/>
        </w:rPr>
        <w:t>days.</w:t>
      </w:r>
      <w:r>
        <w:rPr>
          <w:color w:val="000000" w:themeColor="text1"/>
        </w:rPr>
        <w:t xml:space="preserve"> </w:t>
      </w:r>
      <w:r w:rsidRPr="000D43C5">
        <w:rPr>
          <w:color w:val="000000" w:themeColor="text1"/>
        </w:rPr>
        <w:fldChar w:fldCharType="begin" w:fldLock="1"/>
      </w:r>
      <w:r w:rsidR="00A611DF">
        <w:rPr>
          <w:color w:val="000000" w:themeColor="text1"/>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Pr="000D43C5">
        <w:rPr>
          <w:color w:val="000000" w:themeColor="text1"/>
        </w:rPr>
        <w:fldChar w:fldCharType="separate"/>
      </w:r>
      <w:r w:rsidRPr="000D43C5">
        <w:rPr>
          <w:noProof/>
          <w:color w:val="000000" w:themeColor="text1"/>
        </w:rPr>
        <w:t>Baugh et al. (2017)</w:t>
      </w:r>
      <w:r w:rsidRPr="000D43C5">
        <w:rPr>
          <w:color w:val="000000" w:themeColor="text1"/>
        </w:rPr>
        <w:fldChar w:fldCharType="end"/>
      </w:r>
      <w:r w:rsidRPr="000D43C5">
        <w:rPr>
          <w:color w:val="000000" w:themeColor="text1"/>
        </w:rPr>
        <w:t xml:space="preserve"> also suggest that the </w:t>
      </w:r>
      <w:r>
        <w:rPr>
          <w:color w:val="000000" w:themeColor="text1"/>
        </w:rPr>
        <w:t>SEC scrutiny</w:t>
      </w:r>
      <w:r w:rsidRPr="000D43C5">
        <w:rPr>
          <w:color w:val="000000" w:themeColor="text1"/>
        </w:rPr>
        <w:t xml:space="preserve"> </w:t>
      </w:r>
      <w:r>
        <w:rPr>
          <w:color w:val="000000" w:themeColor="text1"/>
        </w:rPr>
        <w:t xml:space="preserve">is </w:t>
      </w:r>
      <w:r w:rsidRPr="000D43C5">
        <w:rPr>
          <w:color w:val="000000" w:themeColor="text1"/>
        </w:rPr>
        <w:t xml:space="preserve">determined by various elements, consisting of the criteria required in Section 408 of SOX and the elements recognized </w:t>
      </w:r>
      <w:r w:rsidRPr="000D43C5">
        <w:rPr>
          <w:color w:val="000000" w:themeColor="text1"/>
        </w:rPr>
        <w:lastRenderedPageBreak/>
        <w:t>through the SEC’s review criteria</w:t>
      </w:r>
      <w:r>
        <w:rPr>
          <w:color w:val="000000" w:themeColor="text1"/>
        </w:rPr>
        <w:t xml:space="preserve"> </w:t>
      </w:r>
      <w:r w:rsidRPr="000D43C5">
        <w:rPr>
          <w:color w:val="000000" w:themeColor="text1"/>
        </w:rPr>
        <w:t>which is not revealed to maintain the integrity of the SEC review.</w:t>
      </w:r>
      <w:r w:rsidRPr="002D07A6">
        <w:rPr>
          <w:color w:val="000000" w:themeColor="text1"/>
        </w:rPr>
        <w:t xml:space="preserve"> </w:t>
      </w:r>
    </w:p>
    <w:p w14:paraId="064CD519" w14:textId="77777777" w:rsidR="004C543F" w:rsidRPr="00E902A2" w:rsidRDefault="004C543F" w:rsidP="004C543F">
      <w:pPr>
        <w:pStyle w:val="ListParagraph"/>
        <w:numPr>
          <w:ilvl w:val="1"/>
          <w:numId w:val="1"/>
        </w:numPr>
        <w:spacing w:line="360" w:lineRule="auto"/>
        <w:jc w:val="both"/>
        <w:outlineLvl w:val="1"/>
        <w:rPr>
          <w:b/>
          <w:color w:val="000000" w:themeColor="text1"/>
        </w:rPr>
      </w:pPr>
      <w:bookmarkStart w:id="4" w:name="_Toc9185774"/>
      <w:r w:rsidRPr="00E902A2">
        <w:rPr>
          <w:b/>
          <w:color w:val="000000" w:themeColor="text1"/>
        </w:rPr>
        <w:t>Incidences of regulatory changes and crisis</w:t>
      </w:r>
      <w:bookmarkEnd w:id="4"/>
    </w:p>
    <w:p w14:paraId="432B383B" w14:textId="77777777" w:rsidR="005B694A" w:rsidRDefault="004C543F" w:rsidP="004C543F">
      <w:pPr>
        <w:pStyle w:val="ListParagraph"/>
        <w:spacing w:line="360" w:lineRule="auto"/>
        <w:ind w:left="0"/>
        <w:jc w:val="both"/>
        <w:rPr>
          <w:color w:val="000000" w:themeColor="text1"/>
        </w:rPr>
      </w:pPr>
      <w:r>
        <w:rPr>
          <w:color w:val="000000" w:themeColor="text1"/>
        </w:rPr>
        <w:t>F</w:t>
      </w:r>
      <w:r w:rsidRPr="00FA7488">
        <w:rPr>
          <w:color w:val="000000" w:themeColor="text1"/>
        </w:rPr>
        <w:t>ive</w:t>
      </w:r>
      <w:r w:rsidRPr="000D43C5">
        <w:rPr>
          <w:color w:val="000000" w:themeColor="text1"/>
        </w:rPr>
        <w:t xml:space="preserve"> milestones regarding th</w:t>
      </w:r>
      <w:r>
        <w:rPr>
          <w:color w:val="000000" w:themeColor="text1"/>
        </w:rPr>
        <w:t xml:space="preserve">e SEC disclosure regulation, </w:t>
      </w:r>
      <w:r w:rsidRPr="000D43C5">
        <w:rPr>
          <w:color w:val="000000" w:themeColor="text1"/>
        </w:rPr>
        <w:t xml:space="preserve">the SEC’s public disclosure of their comment letters </w:t>
      </w:r>
      <w:r>
        <w:rPr>
          <w:color w:val="000000" w:themeColor="text1"/>
        </w:rPr>
        <w:t xml:space="preserve">and crisis </w:t>
      </w:r>
      <w:r w:rsidRPr="000D43C5">
        <w:rPr>
          <w:color w:val="000000" w:themeColor="text1"/>
        </w:rPr>
        <w:t>should be considered due to their potential impact on the SEC review process. The first milestone</w:t>
      </w:r>
      <w:r w:rsidRPr="00011D31">
        <w:rPr>
          <w:color w:val="000000" w:themeColor="text1"/>
        </w:rPr>
        <w:t xml:space="preserve"> is on August 10, 2000, the SEC announced Regulation Fair Disclosure (RFD) applying for the reporting documents prepared by the IPO firms. RFD restricts selective reporting documents and call</w:t>
      </w:r>
      <w:r>
        <w:rPr>
          <w:color w:val="000000" w:themeColor="text1"/>
        </w:rPr>
        <w:t>s</w:t>
      </w:r>
      <w:r w:rsidRPr="00011D31">
        <w:rPr>
          <w:color w:val="000000" w:themeColor="text1"/>
        </w:rPr>
        <w:t xml:space="preserve"> for comprehensive and non-exclusionary reporting documents.</w:t>
      </w:r>
    </w:p>
    <w:p w14:paraId="6DB226BB" w14:textId="64DCB5DC" w:rsidR="005B694A" w:rsidRDefault="004C543F" w:rsidP="004C543F">
      <w:pPr>
        <w:pStyle w:val="ListParagraph"/>
        <w:spacing w:line="360" w:lineRule="auto"/>
        <w:ind w:left="0"/>
        <w:jc w:val="both"/>
        <w:rPr>
          <w:color w:val="000000" w:themeColor="text1"/>
        </w:rPr>
      </w:pPr>
      <w:r w:rsidRPr="00011D31">
        <w:rPr>
          <w:color w:val="000000" w:themeColor="text1"/>
        </w:rPr>
        <w:t xml:space="preserve">The second milestone is since May 2005, the SEC decided to publicly disclose their comment letters and the IPO firms’ response. A considerable number of </w:t>
      </w:r>
      <w:r>
        <w:rPr>
          <w:color w:val="000000" w:themeColor="text1"/>
        </w:rPr>
        <w:t>prior research</w:t>
      </w:r>
      <w:r w:rsidRPr="00011D31">
        <w:rPr>
          <w:color w:val="000000" w:themeColor="text1"/>
        </w:rPr>
        <w:t xml:space="preserve"> argue that the disclosure of the SEC’s comment letters and the IPO firms’ response perform an important role in enhancing the effectiveness of their disclosure regulations, their review process and the market discipline </w:t>
      </w:r>
      <w:r w:rsidRPr="00011D31">
        <w:rPr>
          <w:color w:val="000000" w:themeColor="text1"/>
        </w:rPr>
        <w:fldChar w:fldCharType="begin" w:fldLock="1"/>
      </w:r>
      <w:r w:rsidR="00A611DF">
        <w:rPr>
          <w:color w:val="000000" w:themeColor="text1"/>
        </w:rPr>
        <w:instrText>ADDIN CSL_CITATION {"citationItems":[{"id":"ITEM-1","itemData":{"ISBN":"0165-4101","ISSN":"01654101","PMID":"55617565","abstract":"The corporate information environment develops endogenously as a consequence of information asymmetries and agency problems between investors, entrepreneurs, and managers. We review current research on the three main decisions that shape the corporate information environment in capital market settings: (1) managers' voluntary disclosure decisions, (2) disclosures mandated by regulators, and (3) reporting decisions by analysts. We conclude that, in the last ten years, research has generated several useful insights. Despite this progress, we call for researchers to consider interdependencies between the various decisions that shape the corporate information environment and suggest new and interesting issues for researchers to address. © 2010 Elsevier B.V.","author":[{"dropping-particle":"","family":"Beyer","given":"Anne","non-dropping-particle":"","parse-names":false,"suffix":""},{"dropping-particle":"","family":"Cohen","given":"Daniel A.","non-dropping-particle":"","parse-names":false,"suffix":""},{"dropping-particle":"","family":"Lys","given":"Thomas Z.","non-dropping-particle":"","parse-names":false,"suffix":""},{"dropping-particle":"","family":"Walther","given":"Beverly R.","non-dropping-particle":"","parse-names":false,"suffix":""}],"container-title":"Journal of Accounting and Economics","id":"ITEM-1","issue":"2-3","issued":{"date-parts":[["2010"]]},"page":"296-343","publisher":"Elsevier","title":"The financial reporting environment: Review of the recent literature","type":"article-journal","volume":"50"},"uris":["http://www.mendeley.com/documents/?uuid=35d93388-e69b-4c84-8442-e4608c906c9b"]},{"id":"ITEM-2","itemData":{"ISBN":"1475-679X","ISSN":"1475679X","abstract":"\\n","author":[{"dropping-particle":"","family":"Leuz","given":"Christian","non-dropping-particle":"","parse-names":false,"suffix":""},{"dropping-particle":"","family":"Wysocki","given":"Peter D.","non-dropping-particle":"","parse-names":false,"suffix":""}],"container-title":"Journal of Accounting Research","id":"ITEM-2","issue":"2","issued":{"date-parts":[["2016"]]},"page":"525-622","title":"The Economics of Disclosure and Financial Reporting Regulation: Evidence and Suggestions for Future Research","type":"article-journal","volume":"54"},"uris":["http://www.mendeley.com/documents/?uuid=f088b4c1-cd8f-482a-bbb2-ea0fca15e469"]},{"id":"ITEM-3","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DP12145","id":"ITEM-3","issued":{"date-parts":[["2017"]]},"note":"We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?","type":"article-journal"},"uris":["http://www.mendeley.com/documents/?uuid=1244073f-8151-4447-8b41-8cd7e5d57e28"]}],"mendeley":{"formattedCitation":"(Beyer, Cohen, Lys, &amp; Walther, 2010; Duro, Heese, &amp; Ormazabal, 2017; Christian Leuz &amp; Wysocki, 2016)","manualFormatting":"(Beyer et al., 2010; Leuz and Wysocki, 2016 and Duro et al., 2017)","plainTextFormattedCitation":"(Beyer, Cohen, Lys, &amp; Walther, 2010; Duro, Heese, &amp; Ormazabal, 2017; Christian Leuz &amp; Wysocki, 2016)","previouslyFormattedCitation":"(Beyer, Cohen, Lys, &amp; Walther, 2010; Duro, Heese, &amp; Ormazabal, 2017; Christian Leuz &amp; Wysocki, 2016)"},"properties":{"noteIndex":0},"schema":"https://github.com/citation-style-language/schema/raw/master/csl-citation.json"}</w:instrText>
      </w:r>
      <w:r w:rsidRPr="00011D31">
        <w:rPr>
          <w:color w:val="000000" w:themeColor="text1"/>
        </w:rPr>
        <w:fldChar w:fldCharType="separate"/>
      </w:r>
      <w:r w:rsidRPr="00011D31">
        <w:rPr>
          <w:noProof/>
          <w:color w:val="000000" w:themeColor="text1"/>
        </w:rPr>
        <w:t>(Beyer et al., 2010; Leuz and Wysocki, 2016 and Duro et al., 2017)</w:t>
      </w:r>
      <w:r w:rsidRPr="00011D31">
        <w:rPr>
          <w:color w:val="000000" w:themeColor="text1"/>
        </w:rPr>
        <w:fldChar w:fldCharType="end"/>
      </w:r>
      <w:r w:rsidRPr="00011D31">
        <w:rPr>
          <w:color w:val="000000" w:themeColor="text1"/>
        </w:rPr>
        <w:t xml:space="preserve">.  </w:t>
      </w:r>
    </w:p>
    <w:p w14:paraId="129EC720" w14:textId="04619794" w:rsidR="005B694A" w:rsidRDefault="004C543F" w:rsidP="004C543F">
      <w:pPr>
        <w:pStyle w:val="ListParagraph"/>
        <w:spacing w:line="360" w:lineRule="auto"/>
        <w:ind w:left="0"/>
        <w:jc w:val="both"/>
        <w:rPr>
          <w:color w:val="000000" w:themeColor="text1"/>
        </w:rPr>
      </w:pPr>
      <w:r w:rsidRPr="00CA7218">
        <w:rPr>
          <w:color w:val="000000" w:themeColor="text1"/>
        </w:rPr>
        <w:t xml:space="preserve">The third milestone is the period of financial crisis 2008-2009, which is the worst crisis since the Stock Market Crash of 1929 causing systemic risks, contagion, regulatory failures and increasing risk-taking behaviours </w:t>
      </w:r>
      <w:r>
        <w:rPr>
          <w:lang w:eastAsia="en-US"/>
        </w:rPr>
        <w:fldChar w:fldCharType="begin" w:fldLock="1"/>
      </w:r>
      <w:r w:rsidR="00A611DF">
        <w:rPr>
          <w:lang w:eastAsia="en-US"/>
        </w:rPr>
        <w:instrText>ADDIN CSL_CITATION {"citationItems":[{"id":"ITEM-1","itemData":{"DOI":"10.1017/9781316492635.016","ISBN":"9781316492635","abstract":"along the same lines of MT and ANA * system wide persepctive * incorporation of incentives * crisis risk as always present","author":[{"dropping-particle":"","family":"Claessens","given":"S.","non-dropping-particle":"","parse-names":false,"suffix":""},{"dropping-particle":"","family":"Kodres","given":"L.","non-dropping-particle":"","parse-names":false,"suffix":""}],"container-title":"IMF Working paper","id":"ITEM-1","issued":{"date-parts":[["2014"]]},"page":"435-482","title":"The regulatory responses to the global financial crisis: Some uncomfortable questions","type":"article-journal"},"uris":["http://www.mendeley.com/documents/?uuid=fc65b2a9-a2fb-4f65-a00c-b9dd6689f063"]}],"mendeley":{"formattedCitation":"(Claessens &amp; Kodres, 2014)","plainTextFormattedCitation":"(Claessens &amp; Kodres, 2014)","previouslyFormattedCitation":"(Claessens &amp; Kodres, 2014)"},"properties":{"noteIndex":0},"schema":"https://github.com/citation-style-language/schema/raw/master/csl-citation.json"}</w:instrText>
      </w:r>
      <w:r>
        <w:rPr>
          <w:lang w:eastAsia="en-US"/>
        </w:rPr>
        <w:fldChar w:fldCharType="separate"/>
      </w:r>
      <w:r w:rsidRPr="00F330DF">
        <w:rPr>
          <w:noProof/>
          <w:lang w:eastAsia="en-US"/>
        </w:rPr>
        <w:t>(Claessens &amp; Kodres, 2014)</w:t>
      </w:r>
      <w:r>
        <w:rPr>
          <w:lang w:eastAsia="en-US"/>
        </w:rPr>
        <w:fldChar w:fldCharType="end"/>
      </w:r>
      <w:r w:rsidRPr="00CA7218">
        <w:rPr>
          <w:color w:val="000000" w:themeColor="text1"/>
        </w:rPr>
        <w:t xml:space="preserve">. The financial crisis results in more securities regulation reforms as well as reporting and disclosure requirements </w:t>
      </w:r>
      <w:r w:rsidRPr="00CA7218">
        <w:rPr>
          <w:color w:val="000000" w:themeColor="text1"/>
        </w:rPr>
        <w:fldChar w:fldCharType="begin" w:fldLock="1"/>
      </w:r>
      <w:r w:rsidR="00A611DF">
        <w:rPr>
          <w:color w:val="000000" w:themeColor="text1"/>
        </w:rPr>
        <w:instrText>ADDIN CSL_CITATION {"citationItems":[{"id":"ITEM-1","itemData":{"ISSN":"1556-5068","abstract":"On Nov 14, 2008, the SEC issued its proposed road map addressing when and under what circumstances US public companies might be permitted or required to adopt International Financial Reporting Standards (IFRS) when preparing their financial statements with the SEC. The discussion in this article will instead explore several of the important technical and practical considerations for a US public company adopting IFRS for the first time. The focus is on the issues deriving from applicable accounting standards regarding initial adoption. IFRS 1, First-time Adoption of International Financial Reporting Standards, was issued by the IASB in 2003 and has since been amended. It establishes the provisions that govern companies when adopting IFRS. The discussion in this article has focused on the particular accounting and reporting implications at the time of the first adoption of IFRS and thus excludes discussion of the many other dimensions of such a significant change in a company's basis of accounting.","author":[{"dropping-particle":"","family":"Leuz","given":"C.","non-dropping-particle":"","parse-names":false,"suffix":""},{"dropping-particle":"","family":"Wysocki","given":"P.","non-dropping-particle":"","parse-names":false,"suffix":""}],"container-title":"The CPA Journal","id":"ITEM-1","issue":"10","issued":{"date-parts":[["2008"]]},"page":"24","title":"Economic consequences of financial reporting and disclosure regulation: A review and suggestions for future research","type":"article-journal","volume":"79"},"uris":["http://www.mendeley.com/documents/?uuid=8265d82f-25f1-45f3-9ec1-dd6408afad05"]}],"mendeley":{"formattedCitation":"(C. Leuz &amp; Wysocki, 2008)","manualFormatting":"(Leuz &amp; Wysocki, 2008)","plainTextFormattedCitation":"(C. Leuz &amp; Wysocki, 2008)","previouslyFormattedCitation":"(C. Leuz &amp; Wysocki, 2008)"},"properties":{"noteIndex":0},"schema":"https://github.com/citation-style-language/schema/raw/master/csl-citation.json"}</w:instrText>
      </w:r>
      <w:r w:rsidRPr="00CA7218">
        <w:rPr>
          <w:color w:val="000000" w:themeColor="text1"/>
        </w:rPr>
        <w:fldChar w:fldCharType="separate"/>
      </w:r>
      <w:r w:rsidRPr="00CA7218">
        <w:rPr>
          <w:noProof/>
          <w:color w:val="000000" w:themeColor="text1"/>
        </w:rPr>
        <w:t>(Leuz &amp; Wysocki, 2008)</w:t>
      </w:r>
      <w:r w:rsidRPr="00CA7218">
        <w:rPr>
          <w:color w:val="000000" w:themeColor="text1"/>
        </w:rPr>
        <w:fldChar w:fldCharType="end"/>
      </w:r>
      <w:r w:rsidRPr="00CA7218">
        <w:rPr>
          <w:color w:val="000000" w:themeColor="text1"/>
        </w:rPr>
        <w:t>.</w:t>
      </w:r>
      <w:r>
        <w:rPr>
          <w:color w:val="000000" w:themeColor="text1"/>
        </w:rPr>
        <w:t xml:space="preserve"> </w:t>
      </w:r>
    </w:p>
    <w:p w14:paraId="50465433" w14:textId="32AF5D2C" w:rsidR="005B694A" w:rsidRDefault="004C543F" w:rsidP="004C543F">
      <w:pPr>
        <w:pStyle w:val="ListParagraph"/>
        <w:spacing w:line="360" w:lineRule="auto"/>
        <w:ind w:left="0"/>
        <w:jc w:val="both"/>
        <w:rPr>
          <w:color w:val="000000" w:themeColor="text1"/>
        </w:rPr>
      </w:pPr>
      <w:r w:rsidRPr="00C42E92">
        <w:rPr>
          <w:color w:val="000000" w:themeColor="text1"/>
        </w:rPr>
        <w:t>The fourth milestone is on 21</w:t>
      </w:r>
      <w:r w:rsidRPr="00C42E92">
        <w:rPr>
          <w:color w:val="000000" w:themeColor="text1"/>
          <w:vertAlign w:val="superscript"/>
        </w:rPr>
        <w:t>st</w:t>
      </w:r>
      <w:r w:rsidRPr="00C42E92">
        <w:rPr>
          <w:color w:val="000000" w:themeColor="text1"/>
        </w:rPr>
        <w:t xml:space="preserve"> July, 2010 when </w:t>
      </w:r>
      <w:r w:rsidRPr="003B541C">
        <w:rPr>
          <w:color w:val="000000" w:themeColor="text1"/>
        </w:rPr>
        <w:t>Dodd</w:t>
      </w:r>
      <w:r>
        <w:rPr>
          <w:color w:val="000000" w:themeColor="text1"/>
        </w:rPr>
        <w:t>-</w:t>
      </w:r>
      <w:r w:rsidRPr="003B541C">
        <w:rPr>
          <w:color w:val="000000" w:themeColor="text1"/>
        </w:rPr>
        <w:t>Frank</w:t>
      </w:r>
      <w:r>
        <w:rPr>
          <w:color w:val="000000" w:themeColor="text1"/>
        </w:rPr>
        <w:t xml:space="preserve"> </w:t>
      </w:r>
      <w:r w:rsidRPr="003B541C">
        <w:rPr>
          <w:color w:val="000000" w:themeColor="text1"/>
        </w:rPr>
        <w:t>Wall Street Reform</w:t>
      </w:r>
      <w:r>
        <w:rPr>
          <w:color w:val="000000" w:themeColor="text1"/>
        </w:rPr>
        <w:t xml:space="preserve"> </w:t>
      </w:r>
      <w:r w:rsidRPr="003B541C">
        <w:rPr>
          <w:color w:val="000000" w:themeColor="text1"/>
        </w:rPr>
        <w:t xml:space="preserve">and Consumer Protection Act </w:t>
      </w:r>
      <w:r w:rsidRPr="00C42E92">
        <w:rPr>
          <w:color w:val="000000" w:themeColor="text1"/>
        </w:rPr>
        <w:t xml:space="preserve">was enacted, with the goal of </w:t>
      </w:r>
      <w:r w:rsidRPr="00C42E92">
        <w:rPr>
          <w:lang w:eastAsia="en-US"/>
        </w:rPr>
        <w:t xml:space="preserve">strengthening oversight of particular organizations, offering severe criterions and management to provide protection for the economy and American consumers, investors and businesses </w:t>
      </w:r>
      <w:r w:rsidRPr="00C42E92">
        <w:rPr>
          <w:lang w:eastAsia="en-US"/>
        </w:rPr>
        <w:fldChar w:fldCharType="begin" w:fldLock="1"/>
      </w:r>
      <w:r w:rsidR="00A611DF">
        <w:rPr>
          <w:lang w:eastAsia="en-US"/>
        </w:rPr>
        <w:instrText>ADDIN CSL_CITATION {"citationItems":[{"id":"ITEM-1","itemData":{"author":[{"dropping-particle":"","family":"WilmerHale","given":"","non-dropping-particle":"","parse-names":false,"suffix":""}],"container-title":"Wilmer Cutler Pickering Hale And Dorr LLP","id":"ITEM-1","issued":{"date-parts":[["2011"]]},"title":"2011 IPO Report","type":"article-journal"},"uris":["http://www.mendeley.com/documents/?uuid=61ce636d-2fea-498c-998c-ca90a508b676"]}],"mendeley":{"formattedCitation":"(WilmerHale, 2011)","plainTextFormattedCitation":"(WilmerHale, 2011)","previouslyFormattedCitation":"(WilmerHale, 2011)"},"properties":{"noteIndex":0},"schema":"https://github.com/citation-style-language/schema/raw/master/csl-citation.json"}</w:instrText>
      </w:r>
      <w:r w:rsidRPr="00C42E92">
        <w:rPr>
          <w:lang w:eastAsia="en-US"/>
        </w:rPr>
        <w:fldChar w:fldCharType="separate"/>
      </w:r>
      <w:r w:rsidRPr="00C42E92">
        <w:rPr>
          <w:noProof/>
          <w:lang w:eastAsia="en-US"/>
        </w:rPr>
        <w:t>(WilmerHale, 2011)</w:t>
      </w:r>
      <w:r w:rsidRPr="00C42E92">
        <w:rPr>
          <w:lang w:eastAsia="en-US"/>
        </w:rPr>
        <w:fldChar w:fldCharType="end"/>
      </w:r>
      <w:r w:rsidRPr="00C42E92">
        <w:rPr>
          <w:lang w:eastAsia="en-US"/>
        </w:rPr>
        <w:t>.</w:t>
      </w:r>
      <w:r w:rsidRPr="00C42E92">
        <w:rPr>
          <w:color w:val="000000" w:themeColor="text1"/>
        </w:rPr>
        <w:t xml:space="preserve"> Responding to the Dodd-Frank 2010, the SEC adopted 67 mandatory rulemaking provisions of the Act</w:t>
      </w:r>
      <w:r>
        <w:rPr>
          <w:color w:val="000000" w:themeColor="text1"/>
        </w:rPr>
        <w:t xml:space="preserve"> </w:t>
      </w:r>
      <w:r w:rsidRPr="00F63961">
        <w:rPr>
          <w:color w:val="000000" w:themeColor="text1"/>
        </w:rPr>
        <w:t>(</w:t>
      </w:r>
      <w:proofErr w:type="gramStart"/>
      <w:r w:rsidRPr="00F63961">
        <w:rPr>
          <w:color w:val="000000" w:themeColor="text1"/>
        </w:rPr>
        <w:t>e.g.</w:t>
      </w:r>
      <w:proofErr w:type="gramEnd"/>
      <w:r w:rsidRPr="00F63961">
        <w:rPr>
          <w:color w:val="000000" w:themeColor="text1"/>
        </w:rPr>
        <w:t xml:space="preserve"> Section 952(b)</w:t>
      </w:r>
      <w:r w:rsidRPr="00F63961">
        <w:t>-</w:t>
      </w:r>
      <w:r w:rsidRPr="00F63961">
        <w:rPr>
          <w:color w:val="000000" w:themeColor="text1"/>
        </w:rPr>
        <w:t>Additional executive compensation disclosure, Section 972-Chairman/CEO structure disclosure in annual proxy</w:t>
      </w:r>
      <w:r>
        <w:rPr>
          <w:b/>
          <w:color w:val="000000" w:themeColor="text1"/>
        </w:rPr>
        <w:t>)</w:t>
      </w:r>
      <w:r w:rsidRPr="00443DDE">
        <w:rPr>
          <w:b/>
          <w:color w:val="000000" w:themeColor="text1"/>
        </w:rPr>
        <w:t xml:space="preserve"> </w:t>
      </w:r>
      <w:r w:rsidRPr="00443DDE">
        <w:rPr>
          <w:color w:val="000000" w:themeColor="text1"/>
        </w:rPr>
        <w:t>and established 5 new offices</w:t>
      </w:r>
      <w:r>
        <w:rPr>
          <w:color w:val="000000" w:themeColor="text1"/>
        </w:rPr>
        <w:t xml:space="preserve"> (</w:t>
      </w:r>
      <w:r w:rsidRPr="00815C89">
        <w:rPr>
          <w:color w:val="000000" w:themeColor="text1"/>
        </w:rPr>
        <w:t>e.g. Office of the Investor Advocate</w:t>
      </w:r>
      <w:r>
        <w:rPr>
          <w:b/>
          <w:color w:val="000000" w:themeColor="text1"/>
        </w:rPr>
        <w:t>)</w:t>
      </w:r>
      <w:r w:rsidRPr="00443DDE">
        <w:rPr>
          <w:color w:val="000000" w:themeColor="text1"/>
        </w:rPr>
        <w:t xml:space="preserve">. </w:t>
      </w:r>
      <w:r>
        <w:rPr>
          <w:color w:val="000000" w:themeColor="text1"/>
        </w:rPr>
        <w:t xml:space="preserve">In addition, </w:t>
      </w:r>
      <w:r w:rsidRPr="001D1D37">
        <w:rPr>
          <w:color w:val="000000" w:themeColor="text1"/>
        </w:rPr>
        <w:t>Dodd-Frank Act requires</w:t>
      </w:r>
      <w:r>
        <w:rPr>
          <w:color w:val="000000" w:themeColor="text1"/>
        </w:rPr>
        <w:t xml:space="preserve"> </w:t>
      </w:r>
      <w:r w:rsidRPr="001D1D37">
        <w:rPr>
          <w:color w:val="000000" w:themeColor="text1"/>
        </w:rPr>
        <w:t xml:space="preserve">the SEC </w:t>
      </w:r>
      <w:r>
        <w:rPr>
          <w:color w:val="000000" w:themeColor="text1"/>
        </w:rPr>
        <w:t xml:space="preserve">to </w:t>
      </w:r>
      <w:r w:rsidRPr="001D1D37">
        <w:rPr>
          <w:color w:val="000000" w:themeColor="text1"/>
        </w:rPr>
        <w:t xml:space="preserve">annually </w:t>
      </w:r>
      <w:r>
        <w:rPr>
          <w:color w:val="000000" w:themeColor="text1"/>
        </w:rPr>
        <w:t>provide</w:t>
      </w:r>
      <w:r w:rsidRPr="001D1D37">
        <w:rPr>
          <w:color w:val="000000" w:themeColor="text1"/>
        </w:rPr>
        <w:t xml:space="preserve"> Congress </w:t>
      </w:r>
      <w:r>
        <w:rPr>
          <w:color w:val="000000" w:themeColor="text1"/>
        </w:rPr>
        <w:t xml:space="preserve">with </w:t>
      </w:r>
      <w:r w:rsidRPr="001D1D37">
        <w:rPr>
          <w:color w:val="000000" w:themeColor="text1"/>
        </w:rPr>
        <w:t xml:space="preserve">a report on the effectiveness </w:t>
      </w:r>
      <w:r w:rsidRPr="009E2DC2">
        <w:rPr>
          <w:color w:val="000000" w:themeColor="text1"/>
        </w:rPr>
        <w:t>of the control activities in each SEC’s divisions</w:t>
      </w:r>
      <w:r>
        <w:rPr>
          <w:color w:val="000000" w:themeColor="text1"/>
        </w:rPr>
        <w:t xml:space="preserve"> </w:t>
      </w:r>
      <w:r>
        <w:rPr>
          <w:color w:val="000000" w:themeColor="text1"/>
        </w:rPr>
        <w:fldChar w:fldCharType="begin" w:fldLock="1"/>
      </w:r>
      <w:r w:rsidR="00A611DF">
        <w:rPr>
          <w:color w:val="000000" w:themeColor="text1"/>
        </w:rPr>
        <w:instrText>ADDIN CSL_CITATION {"citationItems":[{"id":"ITEM-1","itemData":{"ISSN":"18732070","abstract":"In an effort to enhance informational transparency for investors, the SEC periodically reviews public firms’ filings for regulatory compliance. Although the SEC dedicates significant resources to the filing review process, the efficacy of this process is unclear. Upon receipt of a comment letter consequent to the SEC's review, the firm can either remedy perceived disclosure deficiencies or attempt to avoid making substantive disclosure changes, including by requesting that certain additional information be treated as confidential or by negotiating with the SEC. In this paper, we first examine the nature, extent, and impact of modifications to firms’ disclosures requested by an SEC comment letter. While our initial evidence suggests that firms enhance their disclosure, we find that Rule 406 confidential treatment requests and registrant negotiation have an attenuating effect. Further, consistent with proprietary cost concerns, we show that firms in high tech industries and with greater amounts of R&amp;D are more likely to request confidential treatment. We then examine informational transparency in order to test the SEC's stated intention of the filing review process. We find that improvements to firms’ disclosures following a comment letter are associated with a decrease in information asymmetry and a reduction in litigation risk. Collectively, our paper contributes to the literature on disclosure regulation by providing evidence that the SEC comment letter process generally enhances firms’ disclosures, improves informational transparency for investors, and mitigates firms’ litigation risk, but that some firms take actions that diminish these enhancements.","author":[{"dropping-particle":"","family":"Bozanic","given":"Zahn","non-dropping-particle":"","parse-names":false,"suffix":""},{"dropping-particle":"","family":"Dietrich","given":"J. Richard","non-dropping-particle":"","parse-names":false,"suffix":""},{"dropping-particle":"","family":"Johnson","given":"Bret A.","non-dropping-particle":"","parse-names":false,"suffix":""}],"container-title":"Journal of Accounting and Public Policy","id":"ITEM-1","issue":"5","issued":{"date-parts":[["2017"]]},"page":"337-357","title":"SEC comment letters and firm disclosure","type":"article-journal","volume":"36"},"uris":["http://www.mendeley.com/documents/?uuid=75ad697f-bb57-4190-a91b-bf4a1df448a4"]}],"mendeley":{"formattedCitation":"(Bozanic, Dietrich, &amp; Johnson, 2017)","manualFormatting":"(Bozanic et al., 2017)","plainTextFormattedCitation":"(Bozanic, Dietrich, &amp; Johnson, 2017)","previouslyFormattedCitation":"(Bozanic, Dietrich, &amp; Johnson, 2017)"},"properties":{"noteIndex":0},"schema":"https://github.com/citation-style-language/schema/raw/master/csl-citation.json"}</w:instrText>
      </w:r>
      <w:r>
        <w:rPr>
          <w:color w:val="000000" w:themeColor="text1"/>
        </w:rPr>
        <w:fldChar w:fldCharType="separate"/>
      </w:r>
      <w:r w:rsidRPr="00EC4D5D">
        <w:rPr>
          <w:noProof/>
          <w:color w:val="000000" w:themeColor="text1"/>
        </w:rPr>
        <w:t>(Bozanic</w:t>
      </w:r>
      <w:r>
        <w:rPr>
          <w:noProof/>
          <w:color w:val="000000" w:themeColor="text1"/>
        </w:rPr>
        <w:t xml:space="preserve"> et al., </w:t>
      </w:r>
      <w:r w:rsidRPr="00EC4D5D">
        <w:rPr>
          <w:noProof/>
          <w:color w:val="000000" w:themeColor="text1"/>
        </w:rPr>
        <w:t>2017)</w:t>
      </w:r>
      <w:r>
        <w:rPr>
          <w:color w:val="000000" w:themeColor="text1"/>
        </w:rPr>
        <w:fldChar w:fldCharType="end"/>
      </w:r>
      <w:r w:rsidRPr="009E2DC2">
        <w:rPr>
          <w:color w:val="000000" w:themeColor="text1"/>
        </w:rPr>
        <w:t>.</w:t>
      </w:r>
      <w:r>
        <w:rPr>
          <w:color w:val="000000" w:themeColor="text1"/>
        </w:rPr>
        <w:t xml:space="preserve"> </w:t>
      </w:r>
    </w:p>
    <w:p w14:paraId="4C97DA60" w14:textId="13CF1B81" w:rsidR="004C543F" w:rsidRPr="00DB7918" w:rsidRDefault="004C543F" w:rsidP="004C543F">
      <w:pPr>
        <w:pStyle w:val="ListParagraph"/>
        <w:spacing w:line="360" w:lineRule="auto"/>
        <w:ind w:left="0"/>
        <w:jc w:val="both"/>
        <w:rPr>
          <w:lang w:eastAsia="en-US"/>
        </w:rPr>
      </w:pPr>
      <w:r w:rsidRPr="00B12895">
        <w:rPr>
          <w:color w:val="000000" w:themeColor="text1"/>
        </w:rPr>
        <w:t>The</w:t>
      </w:r>
      <w:r w:rsidRPr="00011D31">
        <w:rPr>
          <w:color w:val="000000" w:themeColor="text1"/>
        </w:rPr>
        <w:t xml:space="preserve"> </w:t>
      </w:r>
      <w:r w:rsidRPr="00E20240">
        <w:rPr>
          <w:color w:val="000000" w:themeColor="text1"/>
        </w:rPr>
        <w:t>fi</w:t>
      </w:r>
      <w:r>
        <w:rPr>
          <w:color w:val="000000" w:themeColor="text1"/>
        </w:rPr>
        <w:t xml:space="preserve">fth </w:t>
      </w:r>
      <w:r w:rsidRPr="00E20240">
        <w:rPr>
          <w:color w:val="000000" w:themeColor="text1"/>
        </w:rPr>
        <w:t>milestone</w:t>
      </w:r>
      <w:r w:rsidRPr="00011D31">
        <w:rPr>
          <w:color w:val="000000" w:themeColor="text1"/>
        </w:rPr>
        <w:t xml:space="preserve"> is on April 5, 2012, President Barrack Obama signed </w:t>
      </w:r>
      <w:r>
        <w:rPr>
          <w:color w:val="000000" w:themeColor="text1"/>
        </w:rPr>
        <w:t>JOBs</w:t>
      </w:r>
      <w:r w:rsidRPr="00011D31">
        <w:rPr>
          <w:color w:val="000000" w:themeColor="text1"/>
        </w:rPr>
        <w:t xml:space="preserve"> Act, which appeal</w:t>
      </w:r>
      <w:r>
        <w:rPr>
          <w:color w:val="000000" w:themeColor="text1"/>
        </w:rPr>
        <w:t>s</w:t>
      </w:r>
      <w:r w:rsidRPr="00011D31">
        <w:rPr>
          <w:color w:val="000000" w:themeColor="text1"/>
        </w:rPr>
        <w:t xml:space="preserve"> to the SEC for establishing rules and conducting research on capital formation, disclosure, and registration requirements. </w:t>
      </w:r>
      <w:r>
        <w:rPr>
          <w:lang w:eastAsia="en-US"/>
        </w:rPr>
        <w:t>After the dot-come bubble collapse in 2000,</w:t>
      </w:r>
      <w:r w:rsidRPr="003354FE">
        <w:t xml:space="preserve"> </w:t>
      </w:r>
      <w:r>
        <w:rPr>
          <w:lang w:eastAsia="en-US"/>
        </w:rPr>
        <w:t>Sarbanes-</w:t>
      </w:r>
      <w:r w:rsidRPr="003354FE">
        <w:rPr>
          <w:lang w:eastAsia="en-US"/>
        </w:rPr>
        <w:t xml:space="preserve">Oxley </w:t>
      </w:r>
      <w:r>
        <w:rPr>
          <w:lang w:eastAsia="en-US"/>
        </w:rPr>
        <w:t xml:space="preserve">Act </w:t>
      </w:r>
      <w:r w:rsidRPr="003354FE">
        <w:rPr>
          <w:lang w:eastAsia="en-US"/>
        </w:rPr>
        <w:t xml:space="preserve">and other regulations have </w:t>
      </w:r>
      <w:r>
        <w:rPr>
          <w:lang w:eastAsia="en-US"/>
        </w:rPr>
        <w:t>introduced which leads to prohibitive</w:t>
      </w:r>
      <w:r w:rsidRPr="003354FE">
        <w:rPr>
          <w:lang w:eastAsia="en-US"/>
        </w:rPr>
        <w:t xml:space="preserve"> compliance costs on emerging growth companies </w:t>
      </w:r>
      <w:r>
        <w:rPr>
          <w:lang w:eastAsia="en-US"/>
        </w:rPr>
        <w:t>going public</w:t>
      </w:r>
      <w:r w:rsidRPr="003354FE">
        <w:rPr>
          <w:lang w:eastAsia="en-US"/>
        </w:rPr>
        <w:t xml:space="preserve"> </w:t>
      </w:r>
      <w:r>
        <w:rPr>
          <w:lang w:eastAsia="en-US"/>
        </w:rPr>
        <w:t>regarding money</w:t>
      </w:r>
      <w:r w:rsidRPr="003354FE">
        <w:rPr>
          <w:lang w:eastAsia="en-US"/>
        </w:rPr>
        <w:t xml:space="preserve"> </w:t>
      </w:r>
      <w:r>
        <w:rPr>
          <w:lang w:eastAsia="en-US"/>
        </w:rPr>
        <w:t xml:space="preserve">and time </w:t>
      </w:r>
      <w:r w:rsidRPr="003354FE">
        <w:rPr>
          <w:lang w:eastAsia="en-US"/>
        </w:rPr>
        <w:t>wasted</w:t>
      </w:r>
      <w:r>
        <w:rPr>
          <w:lang w:eastAsia="en-US"/>
        </w:rPr>
        <w:t xml:space="preserve"> </w:t>
      </w:r>
      <w:r>
        <w:rPr>
          <w:lang w:eastAsia="en-US"/>
        </w:rPr>
        <w:fldChar w:fldCharType="begin" w:fldLock="1"/>
      </w:r>
      <w:r w:rsidR="00A611DF">
        <w:rPr>
          <w:lang w:eastAsia="en-US"/>
        </w:rPr>
        <w:instrText>ADDIN CSL_CITATION {"citationItems":[{"id":"ITEM-1","itemData":{"URL":"http://www.otcmarkets.com/content/doc/jobsact/keatingWhitepaper.pdf","author":[{"dropping-particle":"","family":"Keating","given":"T.","non-dropping-particle":"","parse-names":false,"suffix":""}],"container-title":"Keating Investments White Paper","id":"ITEM-1","issued":{"date-parts":[["2012"]]},"title":"The JOBS Act: Shifting into Gear and Accelerating Up the IPO On-Ramp","type":"webpage"},"uris":["http://www.mendeley.com/documents/?uuid=b47a9a35-0240-40c6-b2f4-98e19808a089"]}],"mendeley":{"formattedCitation":"(Keating, 2012)","plainTextFormattedCitation":"(Keating, 2012)","previouslyFormattedCitation":"(Keating, 2012)"},"properties":{"noteIndex":0},"schema":"https://github.com/citation-style-language/schema/raw/master/csl-citation.json"}</w:instrText>
      </w:r>
      <w:r>
        <w:rPr>
          <w:lang w:eastAsia="en-US"/>
        </w:rPr>
        <w:fldChar w:fldCharType="separate"/>
      </w:r>
      <w:r w:rsidRPr="00CA5C8A">
        <w:rPr>
          <w:noProof/>
          <w:lang w:eastAsia="en-US"/>
        </w:rPr>
        <w:t>(Keating, 2012)</w:t>
      </w:r>
      <w:r>
        <w:rPr>
          <w:lang w:eastAsia="en-US"/>
        </w:rPr>
        <w:fldChar w:fldCharType="end"/>
      </w:r>
      <w:r>
        <w:rPr>
          <w:lang w:eastAsia="en-US"/>
        </w:rPr>
        <w:t xml:space="preserve">, which lead to the decrease in the volume of IPOs. </w:t>
      </w:r>
      <w:r w:rsidR="004F5BE6">
        <w:rPr>
          <w:lang w:eastAsia="en-US"/>
        </w:rPr>
        <w:t>JOBs Act</w:t>
      </w:r>
      <w:r>
        <w:rPr>
          <w:lang w:eastAsia="en-US"/>
        </w:rPr>
        <w:t xml:space="preserve"> aims to</w:t>
      </w:r>
      <w:r w:rsidRPr="003354FE">
        <w:rPr>
          <w:lang w:eastAsia="en-US"/>
        </w:rPr>
        <w:t xml:space="preserve"> </w:t>
      </w:r>
      <w:r>
        <w:rPr>
          <w:lang w:eastAsia="en-US"/>
        </w:rPr>
        <w:t>secure</w:t>
      </w:r>
      <w:r w:rsidRPr="00F817FE">
        <w:rPr>
          <w:lang w:eastAsia="en-US"/>
        </w:rPr>
        <w:t xml:space="preserve"> a decade-long </w:t>
      </w:r>
      <w:r>
        <w:rPr>
          <w:lang w:eastAsia="en-US"/>
        </w:rPr>
        <w:t>decrease</w:t>
      </w:r>
      <w:r w:rsidRPr="00F817FE">
        <w:rPr>
          <w:lang w:eastAsia="en-US"/>
        </w:rPr>
        <w:t xml:space="preserve"> in the </w:t>
      </w:r>
      <w:r>
        <w:rPr>
          <w:lang w:eastAsia="en-US"/>
        </w:rPr>
        <w:t>volume</w:t>
      </w:r>
      <w:r w:rsidRPr="00F817FE">
        <w:rPr>
          <w:lang w:eastAsia="en-US"/>
        </w:rPr>
        <w:t xml:space="preserve"> of</w:t>
      </w:r>
      <w:r>
        <w:rPr>
          <w:lang w:eastAsia="en-US"/>
        </w:rPr>
        <w:t xml:space="preserve"> </w:t>
      </w:r>
      <w:r w:rsidRPr="00F817FE">
        <w:rPr>
          <w:lang w:eastAsia="en-US"/>
        </w:rPr>
        <w:t xml:space="preserve">IPOs, especially </w:t>
      </w:r>
      <w:r>
        <w:rPr>
          <w:lang w:eastAsia="en-US"/>
        </w:rPr>
        <w:t>emerging</w:t>
      </w:r>
      <w:r w:rsidRPr="00F817FE">
        <w:rPr>
          <w:lang w:eastAsia="en-US"/>
        </w:rPr>
        <w:t xml:space="preserve"> IPOs, in the United States</w:t>
      </w:r>
      <w:r>
        <w:rPr>
          <w:lang w:eastAsia="en-US"/>
        </w:rPr>
        <w:t xml:space="preserve"> by lessening</w:t>
      </w:r>
      <w:r w:rsidRPr="003354FE">
        <w:rPr>
          <w:lang w:eastAsia="en-US"/>
        </w:rPr>
        <w:t xml:space="preserve"> the </w:t>
      </w:r>
      <w:r>
        <w:rPr>
          <w:lang w:eastAsia="en-US"/>
        </w:rPr>
        <w:lastRenderedPageBreak/>
        <w:t>mandatory</w:t>
      </w:r>
      <w:r w:rsidRPr="003354FE">
        <w:rPr>
          <w:lang w:eastAsia="en-US"/>
        </w:rPr>
        <w:t xml:space="preserve"> </w:t>
      </w:r>
      <w:r>
        <w:rPr>
          <w:lang w:eastAsia="en-US"/>
        </w:rPr>
        <w:t>reports</w:t>
      </w:r>
      <w:r w:rsidRPr="003354FE">
        <w:rPr>
          <w:lang w:eastAsia="en-US"/>
        </w:rPr>
        <w:t xml:space="preserve"> and compliance </w:t>
      </w:r>
      <w:r>
        <w:rPr>
          <w:lang w:eastAsia="en-US"/>
        </w:rPr>
        <w:t>dutie</w:t>
      </w:r>
      <w:r w:rsidRPr="003354FE">
        <w:rPr>
          <w:lang w:eastAsia="en-US"/>
        </w:rPr>
        <w:t xml:space="preserve">s during the IPO process </w:t>
      </w:r>
      <w:r>
        <w:rPr>
          <w:lang w:eastAsia="en-US"/>
        </w:rPr>
        <w:fldChar w:fldCharType="begin" w:fldLock="1"/>
      </w:r>
      <w:r w:rsidR="00A611DF">
        <w:rPr>
          <w:lang w:eastAsia="en-US"/>
        </w:rPr>
        <w:instrText>ADDIN CSL_CITATION {"citationItems":[{"id":"ITEM-1","itemData":{"DOI":"10.1017/S0022109014000015","ISSN":"17566916","abstract":"During 1980-2000, an average of 310 companies per year went public in the U.S. Since the technology bubble burst in 2000, the average has been only 99 initial public offerings (IPOs) per year, with the drop especially precipitous among small firms. Many have blamed the Sarbanes-Oxley Act of 2002 and the 2003 Global Settlement’s effects on analyst coverage for the decline in U.S. IPO activity. Our alternative explanation posits that the advantages of selling out to a larger organization, which can speed a product to market and realize economies of scope, have increased relative to the benefits of remaining as an independent firm. Consistent with this hypothesis, we document that small company IPOs have had declining profitability and an increasing probability of being involved in acquisitions.","author":[{"dropping-particle":"","family":"Gao","given":"X.","non-dropping-particle":"","parse-names":false,"suffix":""},{"dropping-particle":"","family":"Ritter","given":"J.R.","non-dropping-particle":"","parse-names":false,"suffix":""},{"dropping-particle":"","family":"Zhu","given":"Z.","non-dropping-particle":"","parse-names":false,"suffix":""}],"container-title":"Journal of Financial and Quantitative Analysis","id":"ITEM-1","issue":"6","issued":{"date-parts":[["2013"]]},"page":"1663-1692","title":"Where have all the IPOs gone?","type":"article-journal","volume":"48"},"uris":["http://www.mendeley.com/documents/?uuid=4f061877-1ba6-46b7-b68c-cd02d844858c"]}],"mendeley":{"formattedCitation":"(Gao, Ritter, &amp; Zhu, 2013)","manualFormatting":"(Gao et al., 2013)","plainTextFormattedCitation":"(Gao, Ritter, &amp; Zhu, 2013)","previouslyFormattedCitation":"(Gao, Ritter, &amp; Zhu, 2013)"},"properties":{"noteIndex":0},"schema":"https://github.com/citation-style-language/schema/raw/master/csl-citation.json"}</w:instrText>
      </w:r>
      <w:r>
        <w:rPr>
          <w:lang w:eastAsia="en-US"/>
        </w:rPr>
        <w:fldChar w:fldCharType="separate"/>
      </w:r>
      <w:r w:rsidRPr="00F817FE">
        <w:rPr>
          <w:noProof/>
          <w:lang w:eastAsia="en-US"/>
        </w:rPr>
        <w:t>(Gao</w:t>
      </w:r>
      <w:r>
        <w:rPr>
          <w:noProof/>
          <w:lang w:eastAsia="en-US"/>
        </w:rPr>
        <w:t xml:space="preserve"> et al.</w:t>
      </w:r>
      <w:r w:rsidRPr="00F817FE">
        <w:rPr>
          <w:noProof/>
          <w:lang w:eastAsia="en-US"/>
        </w:rPr>
        <w:t>, 2013)</w:t>
      </w:r>
      <w:r>
        <w:rPr>
          <w:lang w:eastAsia="en-US"/>
        </w:rPr>
        <w:fldChar w:fldCharType="end"/>
      </w:r>
      <w:r>
        <w:rPr>
          <w:lang w:eastAsia="en-US"/>
        </w:rPr>
        <w:t>.</w:t>
      </w:r>
      <w:r w:rsidRPr="00EC26CF">
        <w:rPr>
          <w:rStyle w:val="FootnoteReference"/>
        </w:rPr>
        <w:footnoteReference w:id="3"/>
      </w:r>
      <w:r>
        <w:rPr>
          <w:lang w:eastAsia="en-US"/>
        </w:rPr>
        <w:t xml:space="preserve"> Particularly, </w:t>
      </w:r>
      <w:r w:rsidR="004F5BE6">
        <w:t>JOBs Act</w:t>
      </w:r>
      <w:r>
        <w:t xml:space="preserve"> eliminates restrictions on EGCs going public</w:t>
      </w:r>
      <w:r w:rsidRPr="00011D31">
        <w:rPr>
          <w:color w:val="000000" w:themeColor="text1"/>
        </w:rPr>
        <w:t>, which have total annual gross revenues that are less than $1 billion in the most recent fiscal year (SEC, 2018).</w:t>
      </w:r>
      <w:r>
        <w:rPr>
          <w:color w:val="000000" w:themeColor="text1"/>
        </w:rPr>
        <w:t xml:space="preserve"> </w:t>
      </w:r>
      <w:r>
        <w:rPr>
          <w:lang w:eastAsia="en-US"/>
        </w:rPr>
        <w:t xml:space="preserve">It is also worth noting the adoption of disclosure exemptions under the Act is voluntary, not mandatory, that is, the IPO firms with emerging growth status have rights to decide which </w:t>
      </w:r>
      <w:r w:rsidRPr="00E95380">
        <w:rPr>
          <w:lang w:eastAsia="en-US"/>
        </w:rPr>
        <w:t>disclosure exemptions</w:t>
      </w:r>
      <w:r>
        <w:rPr>
          <w:lang w:eastAsia="en-US"/>
        </w:rPr>
        <w:t xml:space="preserve"> under the Act they would adopt </w:t>
      </w:r>
      <w:r>
        <w:rPr>
          <w:lang w:eastAsia="en-US"/>
        </w:rPr>
        <w:fldChar w:fldCharType="begin" w:fldLock="1"/>
      </w:r>
      <w:r w:rsidR="00A611DF">
        <w:rPr>
          <w:lang w:eastAsia="en-US"/>
        </w:rPr>
        <w:instrText>ADDIN CSL_CITATION {"citationItems":[{"id":"ITEM-1","itemData":{"author":[{"dropping-particle":"","family":"SEC","given":"","non-dropping-particle":"","parse-names":false,"suffix":""}],"container-title":"Securities and Exchange Commission","id":"ITEM-1","issued":{"date-parts":[["2013"]]},"title":"The Investor's Advocate: How the SEC Protects Investors, Maintains Market Integrity, and Facilitates Capital Formation","type":"article-journal"},"uris":["http://www.mendeley.com/documents/?uuid=02f9d5a4-e5b7-4ea2-959b-617db2073a4d"]}],"mendeley":{"formattedCitation":"(SEC, 2013)","manualFormatting":"(SEC, 2013)","plainTextFormattedCitation":"(SEC, 2013)","previouslyFormattedCitation":"(SEC, 2013)"},"properties":{"noteIndex":0},"schema":"https://github.com/citation-style-language/schema/raw/master/csl-citation.json"}</w:instrText>
      </w:r>
      <w:r>
        <w:rPr>
          <w:lang w:eastAsia="en-US"/>
        </w:rPr>
        <w:fldChar w:fldCharType="separate"/>
      </w:r>
      <w:r>
        <w:rPr>
          <w:noProof/>
          <w:lang w:eastAsia="en-US"/>
        </w:rPr>
        <w:t>(SEC</w:t>
      </w:r>
      <w:r w:rsidRPr="00F72856">
        <w:rPr>
          <w:noProof/>
          <w:lang w:eastAsia="en-US"/>
        </w:rPr>
        <w:t>, 2013)</w:t>
      </w:r>
      <w:r>
        <w:rPr>
          <w:lang w:eastAsia="en-US"/>
        </w:rPr>
        <w:fldChar w:fldCharType="end"/>
      </w:r>
      <w:r>
        <w:rPr>
          <w:lang w:eastAsia="en-US"/>
        </w:rPr>
        <w:t>.</w:t>
      </w:r>
    </w:p>
    <w:p w14:paraId="5A31DFE6" w14:textId="1A6A4B87" w:rsidR="00A12F67" w:rsidRDefault="00A12F67" w:rsidP="009F7296">
      <w:pPr>
        <w:pStyle w:val="ListParagraph"/>
        <w:numPr>
          <w:ilvl w:val="0"/>
          <w:numId w:val="1"/>
        </w:numPr>
        <w:spacing w:line="360" w:lineRule="auto"/>
        <w:jc w:val="both"/>
        <w:outlineLvl w:val="0"/>
        <w:rPr>
          <w:b/>
          <w:lang w:eastAsia="en-US"/>
        </w:rPr>
      </w:pPr>
      <w:bookmarkStart w:id="5" w:name="_Toc9185775"/>
      <w:r w:rsidRPr="00A12F67">
        <w:rPr>
          <w:b/>
          <w:lang w:eastAsia="en-US"/>
        </w:rPr>
        <w:t>Theoretical background</w:t>
      </w:r>
      <w:bookmarkEnd w:id="5"/>
    </w:p>
    <w:p w14:paraId="52DDDD77" w14:textId="77777777" w:rsidR="007A049B" w:rsidRDefault="00D14697" w:rsidP="00F170A8">
      <w:pPr>
        <w:pStyle w:val="Heading2"/>
        <w:numPr>
          <w:ilvl w:val="1"/>
          <w:numId w:val="1"/>
        </w:numPr>
        <w:spacing w:line="360" w:lineRule="auto"/>
        <w:rPr>
          <w:rFonts w:ascii="Times New Roman" w:hAnsi="Times New Roman" w:cs="Times New Roman"/>
          <w:b/>
          <w:color w:val="000000" w:themeColor="text1"/>
          <w:sz w:val="24"/>
          <w:szCs w:val="24"/>
        </w:rPr>
      </w:pPr>
      <w:bookmarkStart w:id="6" w:name="_Toc515230642"/>
      <w:bookmarkStart w:id="7" w:name="_Toc9185776"/>
      <w:r w:rsidRPr="0028778C">
        <w:rPr>
          <w:rFonts w:ascii="Times New Roman" w:hAnsi="Times New Roman" w:cs="Times New Roman"/>
          <w:b/>
          <w:color w:val="000000" w:themeColor="text1"/>
          <w:sz w:val="24"/>
          <w:szCs w:val="24"/>
        </w:rPr>
        <w:t>Effective regulatory intervention</w:t>
      </w:r>
      <w:bookmarkEnd w:id="6"/>
      <w:bookmarkEnd w:id="7"/>
    </w:p>
    <w:p w14:paraId="2BF47D76" w14:textId="5E4A68C1" w:rsidR="00D14697" w:rsidRPr="0028778C" w:rsidRDefault="009F217B" w:rsidP="00C12135">
      <w:pPr>
        <w:pStyle w:val="Heading3"/>
        <w:numPr>
          <w:ilvl w:val="2"/>
          <w:numId w:val="1"/>
        </w:numPr>
        <w:rPr>
          <w:rFonts w:ascii="Times New Roman" w:hAnsi="Times New Roman" w:cs="Times New Roman"/>
          <w:b/>
          <w:color w:val="000000" w:themeColor="text1"/>
        </w:rPr>
      </w:pPr>
      <w:r w:rsidRPr="0028778C">
        <w:rPr>
          <w:rFonts w:ascii="Times New Roman" w:hAnsi="Times New Roman" w:cs="Times New Roman"/>
          <w:b/>
          <w:color w:val="000000" w:themeColor="text1"/>
        </w:rPr>
        <w:t xml:space="preserve"> </w:t>
      </w:r>
      <w:bookmarkStart w:id="8" w:name="_Toc9185777"/>
      <w:r w:rsidRPr="0028778C">
        <w:rPr>
          <w:rFonts w:ascii="Times New Roman" w:hAnsi="Times New Roman" w:cs="Times New Roman"/>
          <w:b/>
          <w:color w:val="000000" w:themeColor="text1"/>
        </w:rPr>
        <w:t>Public interest theory</w:t>
      </w:r>
      <w:bookmarkEnd w:id="8"/>
    </w:p>
    <w:p w14:paraId="685FBFD9" w14:textId="38C06871" w:rsidR="001D6FAC" w:rsidRDefault="00D14697" w:rsidP="0030659B">
      <w:pPr>
        <w:spacing w:line="360" w:lineRule="auto"/>
        <w:jc w:val="both"/>
        <w:rPr>
          <w:color w:val="000000" w:themeColor="text1"/>
        </w:rPr>
      </w:pPr>
      <w:r w:rsidRPr="00853913">
        <w:rPr>
          <w:color w:val="000000" w:themeColor="text1"/>
        </w:rPr>
        <w:t xml:space="preserve">Public interest theory is developed by </w:t>
      </w:r>
      <w:r w:rsidRPr="00853913">
        <w:rPr>
          <w:color w:val="000000" w:themeColor="text1"/>
        </w:rPr>
        <w:fldChar w:fldCharType="begin" w:fldLock="1"/>
      </w:r>
      <w:r w:rsidR="00813FA1">
        <w:rPr>
          <w:color w:val="000000" w:themeColor="text1"/>
        </w:rPr>
        <w:instrText>ADDIN CSL_CITATION {"citationItems":[{"id":"ITEM-1","itemData":{"author":[{"dropping-particle":"","family":"Pigou","given":"Arthur Cecil","non-dropping-particle":"","parse-names":false,"suffix":""}],"id":"ITEM-1","issued":{"date-parts":[["1932"]]},"publisher":"Macmillan and Co","publisher-place":"London","title":"The Economics of Welfare","type":"book"},"uris":["http://www.mendeley.com/documents/?uuid=304c7af4-9171-4656-88bf-8929093bf30b"]}],"mendeley":{"formattedCitation":"(Pigou, 1932)","manualFormatting":"Pigou (1932)","plainTextFormattedCitation":"(Pigou, 1932)","previouslyFormattedCitation":"(Pigou, 1932)"},"properties":{"noteIndex":0},"schema":"https://github.com/citation-style-language/schema/raw/master/csl-citation.json"}</w:instrText>
      </w:r>
      <w:r w:rsidRPr="00853913">
        <w:rPr>
          <w:color w:val="000000" w:themeColor="text1"/>
        </w:rPr>
        <w:fldChar w:fldCharType="separate"/>
      </w:r>
      <w:r w:rsidRPr="00853913">
        <w:rPr>
          <w:noProof/>
          <w:color w:val="000000" w:themeColor="text1"/>
        </w:rPr>
        <w:t>Pigou (1932)</w:t>
      </w:r>
      <w:r w:rsidRPr="00853913">
        <w:rPr>
          <w:color w:val="000000" w:themeColor="text1"/>
        </w:rPr>
        <w:fldChar w:fldCharType="end"/>
      </w:r>
      <w:r w:rsidRPr="00853913">
        <w:rPr>
          <w:color w:val="000000" w:themeColor="text1"/>
        </w:rPr>
        <w:t xml:space="preserve"> who suggests that the r</w:t>
      </w:r>
      <w:r w:rsidR="000E4F78">
        <w:rPr>
          <w:color w:val="000000" w:themeColor="text1"/>
        </w:rPr>
        <w:t>egulatory bodies</w:t>
      </w:r>
      <w:r w:rsidRPr="00853913">
        <w:rPr>
          <w:color w:val="000000" w:themeColor="text1"/>
        </w:rPr>
        <w:t xml:space="preserve"> aim to protect the benefits of the whole public rather than those of any individuals. He argues that the regulatory bodies aim to serve the public interest when they are required by the public for intervening, monitoring and reforming inefficient practices. Two main assumptions of public interest theory are (1) the markets are very weak and inefficient and (2) regulatory bodies are neutral arbiters. Considering the application of public interest theory, </w:t>
      </w:r>
      <w:r w:rsidRPr="00853913">
        <w:rPr>
          <w:color w:val="000000" w:themeColor="text1"/>
        </w:rPr>
        <w:fldChar w:fldCharType="begin" w:fldLock="1"/>
      </w:r>
      <w:r w:rsidR="002F4AA4">
        <w:rPr>
          <w:color w:val="000000" w:themeColor="text1"/>
        </w:rPr>
        <w:instrText>ADDIN CSL_CITATION {"citationItems":[{"id":"ITEM-1","itemData":{"author":[{"dropping-particle":"","family":"Godfrey","given":"Jayne","non-dropping-particle":"","parse-names":false,"suffix":""},{"dropping-particle":"","family":"Hodgson","given":"Allan","non-dropping-particle":"","parse-names":false,"suffix":""},{"dropping-particle":"","family":"Tarca","given":"Ann","non-dropping-particle":"","parse-names":false,"suffix":""},{"dropping-particle":"","family":"Jane","given":"Hamilton","non-dropping-particle":"","parse-names":false,"suffix":""},{"dropping-particle":"","family":"Holmes","given":"Scott","non-dropping-particle":"","parse-names":false,"suffix":""}],"id":"ITEM-1","issued":{"date-parts":[["2010"]]},"publisher":"John Wiley &amp; Sons","publisher-place":"Australia","title":"Accounting Theory","type":"book"},"uris":["http://www.mendeley.com/documents/?uuid=4158fbaa-fc06-4811-a10d-bd705cada11b"]}],"mendeley":{"formattedCitation":"(Godfrey, Hodgson, Tarca, Jane, &amp; Holmes, 2010)","manualFormatting":"Godfrey et al. (2010)","plainTextFormattedCitation":"(Godfrey, Hodgson, Tarca, Jane, &amp; Holmes, 2010)","previouslyFormattedCitation":"(Godfrey, Hodgson, Tarca, Jane, &amp; Holmes, 2010)"},"properties":{"noteIndex":0},"schema":"https://github.com/citation-style-language/schema/raw/master/csl-citation.json"}</w:instrText>
      </w:r>
      <w:r w:rsidRPr="00853913">
        <w:rPr>
          <w:color w:val="000000" w:themeColor="text1"/>
        </w:rPr>
        <w:fldChar w:fldCharType="separate"/>
      </w:r>
      <w:r w:rsidRPr="00853913">
        <w:rPr>
          <w:noProof/>
          <w:color w:val="000000" w:themeColor="text1"/>
        </w:rPr>
        <w:t>Godfrey et al. (2010)</w:t>
      </w:r>
      <w:r w:rsidRPr="00853913">
        <w:rPr>
          <w:color w:val="000000" w:themeColor="text1"/>
        </w:rPr>
        <w:fldChar w:fldCharType="end"/>
      </w:r>
      <w:r w:rsidRPr="00853913">
        <w:rPr>
          <w:color w:val="000000" w:themeColor="text1"/>
        </w:rPr>
        <w:t xml:space="preserve"> express that regulatory bodies will intervene in the firms’ disclosure processes in order to correct the wrongdoings in reporting information, protect investors and gain the confidence of all market participants. </w:t>
      </w:r>
    </w:p>
    <w:p w14:paraId="2F12C20F" w14:textId="72CC8154" w:rsidR="00D14697" w:rsidRDefault="005521AD" w:rsidP="0030659B">
      <w:pPr>
        <w:spacing w:line="360" w:lineRule="auto"/>
        <w:jc w:val="both"/>
        <w:rPr>
          <w:color w:val="000000" w:themeColor="text1"/>
        </w:rPr>
      </w:pPr>
      <w:r>
        <w:rPr>
          <w:lang w:eastAsia="en-US"/>
        </w:rPr>
        <w:fldChar w:fldCharType="begin" w:fldLock="1"/>
      </w:r>
      <w:r w:rsidR="00A611DF">
        <w:rPr>
          <w:lang w:eastAsia="en-US"/>
        </w:rPr>
        <w:instrText>ADDIN CSL_CITATION {"citationItems":[{"id":"ITEM-1","itemData":{"DOI":"10.2307/245729","ISBN":"00014826","ISSN":"0001-4826","PMID":"4500569","abstract":"JSTOR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ABSTRACT: This article provides the beginnings of a positive theory of accounting by exploring those factors influencing management's attitudes on accounting standards which are likely to affect corporate lobbying on accounting standards. Certain factors are expected to affect a firm's cashflows and in turn are affected by accounting standards. These factors are taxes, regulation, management compensation plans, bookkeeping costs, and political costs, and they are combined into a model which predicts that large firms which experience reduced earnings due to changed accounting standards favor the change. All other firms oppose the change if the additional bookkeeping costs justify the cost of lobbying. This prediction was tested using the corporate submissions to the FASB's Discussion Memorandum on General Price Level Adjustments. The empirical","author":[{"dropping-particle":"","family":"Watts","given":"Ross L","non-dropping-particle":"","parse-names":false,"suffix":""},{"dropping-particle":"","family":"Zimmerman","given":"Jerold L","non-dropping-particle":"","parse-names":false,"suffix":""}],"container-title":"The Accounting Review","id":"ITEM-1","issue":"I","issued":{"date-parts":[["1978"]]},"page":"112-134","title":"Towards a Positive Theory of the Determination of Accounting Standards","type":"article-journal","volume":"53"},"uris":["http://www.mendeley.com/documents/?uuid=e51e0751-b306-44ac-ba79-ca8765a21e49"]}],"mendeley":{"formattedCitation":"(R. L. Watts &amp; Zimmerman, 1978)","manualFormatting":"Watts &amp; Zimmerman (1978)","plainTextFormattedCitation":"(R. L. Watts &amp; Zimmerman, 1978)","previouslyFormattedCitation":"(R. L. Watts &amp; Zimmerman, 1978)"},"properties":{"noteIndex":0},"schema":"https://github.com/citation-style-language/schema/raw/master/csl-citation.json"}</w:instrText>
      </w:r>
      <w:r>
        <w:rPr>
          <w:lang w:eastAsia="en-US"/>
        </w:rPr>
        <w:fldChar w:fldCharType="separate"/>
      </w:r>
      <w:r>
        <w:rPr>
          <w:noProof/>
          <w:lang w:eastAsia="en-US"/>
        </w:rPr>
        <w:t>Watts &amp; Zimmerman (</w:t>
      </w:r>
      <w:r w:rsidRPr="005521AD">
        <w:rPr>
          <w:noProof/>
          <w:lang w:eastAsia="en-US"/>
        </w:rPr>
        <w:t>1978)</w:t>
      </w:r>
      <w:r>
        <w:rPr>
          <w:lang w:eastAsia="en-US"/>
        </w:rPr>
        <w:fldChar w:fldCharType="end"/>
      </w:r>
      <w:r>
        <w:rPr>
          <w:lang w:eastAsia="en-US"/>
        </w:rPr>
        <w:t xml:space="preserve"> </w:t>
      </w:r>
      <w:r w:rsidRPr="000912EF">
        <w:rPr>
          <w:lang w:eastAsia="en-US"/>
        </w:rPr>
        <w:t>propose the hypothesis that political costs impact managers’ reporting and disclosure motivations.</w:t>
      </w:r>
      <w:r w:rsidR="001D6FAC">
        <w:rPr>
          <w:lang w:eastAsia="en-US"/>
        </w:rPr>
        <w:t xml:space="preserve"> </w:t>
      </w:r>
      <w:r w:rsidR="00AF6682">
        <w:rPr>
          <w:lang w:eastAsia="en-US"/>
        </w:rPr>
        <w:t>In addition</w:t>
      </w:r>
      <w:r>
        <w:rPr>
          <w:lang w:eastAsia="en-US"/>
        </w:rPr>
        <w:t>,</w:t>
      </w:r>
      <w:r w:rsidRPr="000912EF">
        <w:rPr>
          <w:lang w:eastAsia="en-US"/>
        </w:rPr>
        <w:t xml:space="preserve"> </w:t>
      </w:r>
      <w:r w:rsidRPr="000912EF">
        <w:rPr>
          <w:lang w:eastAsia="en-US"/>
        </w:rPr>
        <w:fldChar w:fldCharType="begin" w:fldLock="1"/>
      </w:r>
      <w:r w:rsidR="00A611DF">
        <w:rPr>
          <w:lang w:eastAsia="en-US"/>
        </w:rPr>
        <w:instrText>ADDIN CSL_CITATION {"citationItems":[{"id":"ITEM-1","itemData":{"author":[{"dropping-particle":"","family":"Watts","given":"R.","non-dropping-particle":"","parse-names":false,"suffix":""},{"dropping-particle":"","family":"Zimmerman","given":"J.","non-dropping-particle":"","parse-names":false,"suffix":""}],"id":"ITEM-1","issued":{"date-parts":[["1986"]]},"publisher":"Prentice-Hall","publisher-place":"Englewood Cliffs, NJ","title":"Positive Accounting Theory","type":"book"},"uris":["http://www.mendeley.com/documents/?uuid=76c9e00f-e9c6-4a79-b067-7d1d4523ab6b"]}],"mendeley":{"formattedCitation":"(R. Watts &amp; Zimmerman, 1986)","manualFormatting":"Watts &amp; Zimmerman (1986)","plainTextFormattedCitation":"(R. Watts &amp; Zimmerman, 1986)","previouslyFormattedCitation":"(R. Watts &amp; Zimmerman, 1986)"},"properties":{"noteIndex":0},"schema":"https://github.com/citation-style-language/schema/raw/master/csl-citation.json"}</w:instrText>
      </w:r>
      <w:r w:rsidRPr="000912EF">
        <w:rPr>
          <w:lang w:eastAsia="en-US"/>
        </w:rPr>
        <w:fldChar w:fldCharType="separate"/>
      </w:r>
      <w:r>
        <w:rPr>
          <w:noProof/>
          <w:lang w:eastAsia="en-US"/>
        </w:rPr>
        <w:t>Watts &amp; Zimmerman (</w:t>
      </w:r>
      <w:r w:rsidRPr="000912EF">
        <w:rPr>
          <w:noProof/>
          <w:lang w:eastAsia="en-US"/>
        </w:rPr>
        <w:t>1986)</w:t>
      </w:r>
      <w:r w:rsidRPr="000912EF">
        <w:rPr>
          <w:lang w:eastAsia="en-US"/>
        </w:rPr>
        <w:fldChar w:fldCharType="end"/>
      </w:r>
      <w:r w:rsidRPr="000912EF">
        <w:rPr>
          <w:lang w:eastAsia="en-US"/>
        </w:rPr>
        <w:t xml:space="preserve"> </w:t>
      </w:r>
      <w:r w:rsidR="000E4F78">
        <w:rPr>
          <w:lang w:eastAsia="en-US"/>
        </w:rPr>
        <w:t xml:space="preserve">also </w:t>
      </w:r>
      <w:r w:rsidRPr="000912EF">
        <w:rPr>
          <w:lang w:eastAsia="en-US"/>
        </w:rPr>
        <w:t>claim that crises can strengthen the scrutiny of politicians and regulators to exact wealth transfers from regulated firms</w:t>
      </w:r>
      <w:r>
        <w:rPr>
          <w:lang w:eastAsia="en-US"/>
        </w:rPr>
        <w:t xml:space="preserve">. </w:t>
      </w:r>
      <w:r w:rsidR="00D14697" w:rsidRPr="00853913">
        <w:rPr>
          <w:color w:val="000000" w:themeColor="text1"/>
        </w:rPr>
        <w:t>However, t</w:t>
      </w:r>
      <w:r w:rsidR="00AF6682">
        <w:rPr>
          <w:color w:val="000000" w:themeColor="text1"/>
        </w:rPr>
        <w:t xml:space="preserve">here are some criticisms of </w:t>
      </w:r>
      <w:r w:rsidR="00D14697" w:rsidRPr="00853913">
        <w:rPr>
          <w:color w:val="000000" w:themeColor="text1"/>
        </w:rPr>
        <w:t xml:space="preserve">public interest theory. According to </w:t>
      </w:r>
      <w:r w:rsidR="00D14697" w:rsidRPr="00853913">
        <w:rPr>
          <w:color w:val="000000" w:themeColor="text1"/>
        </w:rPr>
        <w:fldChar w:fldCharType="begin" w:fldLock="1"/>
      </w:r>
      <w:r w:rsidR="00813FA1">
        <w:rPr>
          <w:color w:val="000000" w:themeColor="text1"/>
        </w:rPr>
        <w:instrText>ADDIN CSL_CITATION {"citationItems":[{"id":"ITEM-1","itemData":{"author":[{"dropping-particle":"","family":"Stigler","given":"George J","non-dropping-particle":"","parse-names":false,"suffix":""}],"container-title":"The Bell Journal of Economics and Mangement Science","id":"ITEM-1","issue":"1","issued":{"date-parts":[["1971"]]},"page":"3-21","title":"The Theory of Economic Regulation","type":"article-journal","volume":"2"},"uris":["http://www.mendeley.com/documents/?uuid=6fa6ee39-bc84-41c5-98d7-f82a1b197faf"]}],"mendeley":{"formattedCitation":"(Stigler, 1971)","manualFormatting":"Stigler (1971)","plainTextFormattedCitation":"(Stigler, 1971)","previouslyFormattedCitation":"(Stigler, 1971)"},"properties":{"noteIndex":0},"schema":"https://github.com/citation-style-language/schema/raw/master/csl-citation.json"}</w:instrText>
      </w:r>
      <w:r w:rsidR="00D14697" w:rsidRPr="00853913">
        <w:rPr>
          <w:color w:val="000000" w:themeColor="text1"/>
        </w:rPr>
        <w:fldChar w:fldCharType="separate"/>
      </w:r>
      <w:r w:rsidR="00D14697" w:rsidRPr="00853913">
        <w:rPr>
          <w:noProof/>
          <w:color w:val="000000" w:themeColor="text1"/>
        </w:rPr>
        <w:t>Stigler (1971)</w:t>
      </w:r>
      <w:r w:rsidR="00D14697" w:rsidRPr="00853913">
        <w:rPr>
          <w:color w:val="000000" w:themeColor="text1"/>
        </w:rPr>
        <w:fldChar w:fldCharType="end"/>
      </w:r>
      <w:r w:rsidR="00D14697" w:rsidRPr="00853913">
        <w:rPr>
          <w:color w:val="000000" w:themeColor="text1"/>
        </w:rPr>
        <w:t xml:space="preserve">, public interest theory could be applied only when the market requires a higher allocative efficiency. Otherwise, the critical question is whether the markets may perform inefficiently if they are not regulated. Another criticism is that public interest theory is less practical than public choice theory which is prone to the regulatory bodies’ behaviour and incentives and claim that the regulatory bodies are not neutral. For example, </w:t>
      </w:r>
      <w:r w:rsidR="00D14697" w:rsidRPr="00853913">
        <w:rPr>
          <w:color w:val="000000" w:themeColor="text1"/>
        </w:rPr>
        <w:fldChar w:fldCharType="begin" w:fldLock="1"/>
      </w:r>
      <w:r w:rsidR="00813FA1">
        <w:rPr>
          <w:color w:val="000000" w:themeColor="text1"/>
        </w:rPr>
        <w:instrText>ADDIN CSL_CITATION {"citationItems":[{"id":"ITEM-1","itemData":{"author":[{"dropping-particle":"","family":"Stigler","given":"George J","non-dropping-particle":"","parse-names":false,"suffix":""}],"container-title":"The Bell Journal of Economics and Mangement Science","id":"ITEM-1","issue":"1","issued":{"date-parts":[["1971"]]},"page":"3-21","title":"The Theory of Economic Regulation","type":"article-journal","volume":"2"},"uris":["http://www.mendeley.com/documents/?uuid=6fa6ee39-bc84-41c5-98d7-f82a1b197faf"]}],"mendeley":{"formattedCitation":"(Stigler, 1971)","manualFormatting":"Stigler (1971)","plainTextFormattedCitation":"(Stigler, 1971)","previouslyFormattedCitation":"(Stigler, 1971)"},"properties":{"noteIndex":0},"schema":"https://github.com/citation-style-language/schema/raw/master/csl-citation.json"}</w:instrText>
      </w:r>
      <w:r w:rsidR="00D14697" w:rsidRPr="00853913">
        <w:rPr>
          <w:color w:val="000000" w:themeColor="text1"/>
        </w:rPr>
        <w:fldChar w:fldCharType="separate"/>
      </w:r>
      <w:r w:rsidR="00D14697" w:rsidRPr="00853913">
        <w:rPr>
          <w:noProof/>
          <w:color w:val="000000" w:themeColor="text1"/>
        </w:rPr>
        <w:t>Stigler (1971)</w:t>
      </w:r>
      <w:r w:rsidR="00D14697" w:rsidRPr="00853913">
        <w:rPr>
          <w:color w:val="000000" w:themeColor="text1"/>
        </w:rPr>
        <w:fldChar w:fldCharType="end"/>
      </w:r>
      <w:r w:rsidR="00D14697" w:rsidRPr="00853913">
        <w:rPr>
          <w:color w:val="000000" w:themeColor="text1"/>
        </w:rPr>
        <w:t xml:space="preserve"> claims that regulatory bodies are usually captured by the big firms, who have sizable share</w:t>
      </w:r>
      <w:r w:rsidR="00A02079">
        <w:rPr>
          <w:color w:val="000000" w:themeColor="text1"/>
        </w:rPr>
        <w:t>s</w:t>
      </w:r>
      <w:r w:rsidR="00D14697" w:rsidRPr="00853913">
        <w:rPr>
          <w:color w:val="000000" w:themeColor="text1"/>
        </w:rPr>
        <w:t xml:space="preserve"> of the capital markets, to restrain the entry of their new competitors.</w:t>
      </w:r>
      <w:r w:rsidR="00D14697" w:rsidRPr="00853913">
        <w:rPr>
          <w:color w:val="000000" w:themeColor="text1"/>
        </w:rPr>
        <w:fldChar w:fldCharType="begin" w:fldLock="1"/>
      </w:r>
      <w:r w:rsidR="00A611DF">
        <w:rPr>
          <w:color w:val="000000" w:themeColor="text1"/>
        </w:rPr>
        <w:instrText>ADDIN CSL_CITATION {"citationItems":[{"id":"ITEM-1","itemData":{"author":[{"dropping-particle":"","family":"Watts","given":"R.","non-dropping-particle":"","parse-names":false,"suffix":""},{"dropping-particle":"","family":"Zimmerman","given":"J.","non-dropping-particle":"","parse-names":false,"suffix":""}],"id":"ITEM-1","issued":{"date-parts":[["1986"]]},"publisher":"Prentice-Hall","publisher-place":"Englewood Cliffs, NJ","title":"Positive Accounting Theory","type":"book"},"uris":["http://www.mendeley.com/documents/?uuid=76c9e00f-e9c6-4a79-b067-7d1d4523ab6b"]}],"mendeley":{"formattedCitation":"(R. Watts &amp; Zimmerman, 1986)","manualFormatting":" Watts and Zimmerman (1978)","plainTextFormattedCitation":"(R. Watts &amp; Zimmerman, 1986)","previouslyFormattedCitation":"(R. Watts &amp; Zimmerman, 1986)"},"properties":{"noteIndex":0},"schema":"https://github.com/citation-style-language/schema/raw/master/csl-citation.json"}</w:instrText>
      </w:r>
      <w:r w:rsidR="00D14697" w:rsidRPr="00853913">
        <w:rPr>
          <w:color w:val="000000" w:themeColor="text1"/>
        </w:rPr>
        <w:fldChar w:fldCharType="separate"/>
      </w:r>
      <w:r w:rsidR="00AF6682">
        <w:rPr>
          <w:noProof/>
          <w:color w:val="000000" w:themeColor="text1"/>
        </w:rPr>
        <w:t xml:space="preserve"> </w:t>
      </w:r>
      <w:r w:rsidR="00D14697" w:rsidRPr="00853913">
        <w:rPr>
          <w:noProof/>
          <w:color w:val="000000" w:themeColor="text1"/>
        </w:rPr>
        <w:t>Watts and Zimmerman (1978)</w:t>
      </w:r>
      <w:r w:rsidR="00D14697" w:rsidRPr="00853913">
        <w:rPr>
          <w:color w:val="000000" w:themeColor="text1"/>
        </w:rPr>
        <w:fldChar w:fldCharType="end"/>
      </w:r>
      <w:r w:rsidR="00D14697" w:rsidRPr="00853913">
        <w:rPr>
          <w:color w:val="000000" w:themeColor="text1"/>
        </w:rPr>
        <w:t xml:space="preserve"> suggest that the interest groups may </w:t>
      </w:r>
      <w:r w:rsidR="00AF6682">
        <w:rPr>
          <w:color w:val="000000" w:themeColor="text1"/>
        </w:rPr>
        <w:t>also</w:t>
      </w:r>
      <w:r w:rsidR="00D14697" w:rsidRPr="00853913">
        <w:rPr>
          <w:color w:val="000000" w:themeColor="text1"/>
        </w:rPr>
        <w:t xml:space="preserve"> lobby the regulatory bodies in order to protect their political and economic benefit</w:t>
      </w:r>
      <w:r w:rsidR="00F73083">
        <w:rPr>
          <w:color w:val="000000" w:themeColor="text1"/>
        </w:rPr>
        <w:t>s</w:t>
      </w:r>
      <w:r w:rsidR="00D14697" w:rsidRPr="00853913">
        <w:rPr>
          <w:color w:val="000000" w:themeColor="text1"/>
        </w:rPr>
        <w:t xml:space="preserve"> as well as enhance their wealth</w:t>
      </w:r>
      <w:r w:rsidR="009F217B">
        <w:rPr>
          <w:color w:val="000000" w:themeColor="text1"/>
        </w:rPr>
        <w:t>.</w:t>
      </w:r>
      <w:r w:rsidR="000B5187">
        <w:rPr>
          <w:color w:val="000000" w:themeColor="text1"/>
        </w:rPr>
        <w:t xml:space="preserve"> </w:t>
      </w:r>
    </w:p>
    <w:p w14:paraId="7626833E" w14:textId="00C9F430" w:rsidR="007A049B" w:rsidRPr="007A049B" w:rsidRDefault="007A049B" w:rsidP="007A049B">
      <w:pPr>
        <w:pStyle w:val="ListParagraph"/>
        <w:numPr>
          <w:ilvl w:val="2"/>
          <w:numId w:val="1"/>
        </w:numPr>
        <w:spacing w:line="360" w:lineRule="auto"/>
        <w:ind w:left="1276"/>
        <w:jc w:val="both"/>
        <w:outlineLvl w:val="2"/>
        <w:rPr>
          <w:b/>
          <w:color w:val="000000" w:themeColor="text1"/>
        </w:rPr>
      </w:pPr>
      <w:bookmarkStart w:id="9" w:name="_Toc9185778"/>
      <w:r w:rsidRPr="007A049B">
        <w:rPr>
          <w:b/>
        </w:rPr>
        <w:lastRenderedPageBreak/>
        <w:t>Upper echelons theory</w:t>
      </w:r>
      <w:r w:rsidR="004122BF">
        <w:rPr>
          <w:b/>
        </w:rPr>
        <w:t xml:space="preserve"> – </w:t>
      </w:r>
      <w:r w:rsidR="00E9635A">
        <w:rPr>
          <w:b/>
        </w:rPr>
        <w:t>perspective of individuals’ experience</w:t>
      </w:r>
      <w:bookmarkEnd w:id="9"/>
    </w:p>
    <w:p w14:paraId="7B39495F" w14:textId="19A70556" w:rsidR="00A200DB" w:rsidRDefault="00E9635A" w:rsidP="009A1215">
      <w:pPr>
        <w:spacing w:line="360" w:lineRule="auto"/>
        <w:jc w:val="both"/>
        <w:rPr>
          <w:color w:val="000000" w:themeColor="text1"/>
        </w:rPr>
      </w:pPr>
      <w:r>
        <w:rPr>
          <w:color w:val="000000" w:themeColor="text1"/>
        </w:rPr>
        <w:fldChar w:fldCharType="begin" w:fldLock="1"/>
      </w:r>
      <w:r w:rsidR="00143FD7">
        <w:rPr>
          <w:color w:val="000000" w:themeColor="text1"/>
        </w:rPr>
        <w:instrText>ADDIN CSL_CITATION {"citationItems":[{"id":"ITEM-1","itemData":{"abstract":"Theorists in various fields have discussed characteristics of top manag- ers. This paper attempts to synthesize these previously fragmented litera- tures around a more general \"upper echelons perspective.\" The theory states that organizational outcomes—strategic choices and performance levels—are partially predicted by managerial background characteristics. Propositions and methodological suggestions are included","author":[{"dropping-particle":"","family":"Hambrick","given":"D. C.","non-dropping-particle":"","parse-names":false,"suffix":""},{"dropping-particle":"","family":"Mason","given":"P. A.","non-dropping-particle":"","parse-names":false,"suffix":""}],"container-title":"Academy of Management Review","id":"ITEM-1","issue":"2","issued":{"date-parts":[["1984"]]},"page":"193-206","title":"Upper Echelons: The Organization as a Reflection of Its Top Managers.","type":"article-journal","volume":"9"},"uris":["http://www.mendeley.com/documents/?uuid=53dbf92e-53aa-4ada-8c12-81c9b39b4124"]}],"mendeley":{"formattedCitation":"(Hambrick &amp; Mason, 1984)","manualFormatting":"Hambrick &amp; Mason (1984)","plainTextFormattedCitation":"(Hambrick &amp; Mason, 1984)","previouslyFormattedCitation":"(Hambrick &amp; Mason, 1984)"},"properties":{"noteIndex":0},"schema":"https://github.com/citation-style-language/schema/raw/master/csl-citation.json"}</w:instrText>
      </w:r>
      <w:r>
        <w:rPr>
          <w:color w:val="000000" w:themeColor="text1"/>
        </w:rPr>
        <w:fldChar w:fldCharType="separate"/>
      </w:r>
      <w:r>
        <w:rPr>
          <w:noProof/>
          <w:color w:val="000000" w:themeColor="text1"/>
        </w:rPr>
        <w:t>Hambrick &amp; Mason (</w:t>
      </w:r>
      <w:r w:rsidRPr="00E9635A">
        <w:rPr>
          <w:noProof/>
          <w:color w:val="000000" w:themeColor="text1"/>
        </w:rPr>
        <w:t>1984)</w:t>
      </w:r>
      <w:r>
        <w:rPr>
          <w:color w:val="000000" w:themeColor="text1"/>
        </w:rPr>
        <w:fldChar w:fldCharType="end"/>
      </w:r>
      <w:r>
        <w:rPr>
          <w:color w:val="000000" w:themeColor="text1"/>
        </w:rPr>
        <w:t xml:space="preserve"> develop “Upper echelons theory” – a theory of individual style effects – stating that organizational performance in terms of strategies and effective is affected by values and cognitive behaviours of internal decision-makers. Particularly, career experiences – a value of </w:t>
      </w:r>
      <w:r w:rsidR="002E2C1E">
        <w:rPr>
          <w:color w:val="000000" w:themeColor="text1"/>
        </w:rPr>
        <w:t xml:space="preserve">decision-makers – are likely to have a significant impact on actions of decision makers and then organizational outcomes. </w:t>
      </w:r>
      <w:r w:rsidR="002E2C1E">
        <w:rPr>
          <w:color w:val="000000" w:themeColor="text1"/>
        </w:rPr>
        <w:fldChar w:fldCharType="begin" w:fldLock="1"/>
      </w:r>
      <w:r w:rsidR="00143FD7">
        <w:rPr>
          <w:color w:val="000000" w:themeColor="text1"/>
        </w:rPr>
        <w:instrText>ADDIN CSL_CITATION {"citationItems":[{"id":"ITEM-1","itemData":{"abstract":"Theorists in various fields have discussed characteristics of top manag- ers. This paper attempts to synthesize these previously fragmented litera- tures around a more general \"upper echelons perspective.\" The theory states that organizational outcomes—strategic choices and performance levels—are partially predicted by managerial background characteristics. Propositions and methodological suggestions are included","author":[{"dropping-particle":"","family":"Hambrick","given":"D. C.","non-dropping-particle":"","parse-names":false,"suffix":""},{"dropping-particle":"","family":"Mason","given":"P. A.","non-dropping-particle":"","parse-names":false,"suffix":""}],"container-title":"Academy of Management Review","id":"ITEM-1","issue":"2","issued":{"date-parts":[["1984"]]},"page":"193-206","title":"Upper Echelons: The Organization as a Reflection of Its Top Managers.","type":"article-journal","volume":"9"},"uris":["http://www.mendeley.com/documents/?uuid=53dbf92e-53aa-4ada-8c12-81c9b39b4124"]}],"mendeley":{"formattedCitation":"(Hambrick &amp; Mason, 1984)","manualFormatting":"Hambrick &amp; Mason (1984)","plainTextFormattedCitation":"(Hambrick &amp; Mason, 1984)","previouslyFormattedCitation":"(Hambrick &amp; Mason, 1984)"},"properties":{"noteIndex":0},"schema":"https://github.com/citation-style-language/schema/raw/master/csl-citation.json"}</w:instrText>
      </w:r>
      <w:r w:rsidR="002E2C1E">
        <w:rPr>
          <w:color w:val="000000" w:themeColor="text1"/>
        </w:rPr>
        <w:fldChar w:fldCharType="separate"/>
      </w:r>
      <w:r w:rsidR="002E2C1E">
        <w:rPr>
          <w:noProof/>
          <w:color w:val="000000" w:themeColor="text1"/>
        </w:rPr>
        <w:t>Hambrick &amp; Mason (</w:t>
      </w:r>
      <w:r w:rsidR="002E2C1E" w:rsidRPr="00E9635A">
        <w:rPr>
          <w:noProof/>
          <w:color w:val="000000" w:themeColor="text1"/>
        </w:rPr>
        <w:t>1984)</w:t>
      </w:r>
      <w:r w:rsidR="002E2C1E">
        <w:rPr>
          <w:color w:val="000000" w:themeColor="text1"/>
        </w:rPr>
        <w:fldChar w:fldCharType="end"/>
      </w:r>
      <w:r w:rsidR="002E2C1E">
        <w:rPr>
          <w:color w:val="000000" w:themeColor="text1"/>
        </w:rPr>
        <w:t xml:space="preserve"> also develop two opposite strands of the impact of careers experiences on organization outcomes. On the one hand, </w:t>
      </w:r>
      <w:r w:rsidR="00A200DB">
        <w:rPr>
          <w:color w:val="000000" w:themeColor="text1"/>
        </w:rPr>
        <w:t xml:space="preserve">the authors suggest that if an organization operates in a stable industry or market, career experience of decision-makers </w:t>
      </w:r>
      <w:r w:rsidR="00400441">
        <w:rPr>
          <w:color w:val="000000" w:themeColor="text1"/>
        </w:rPr>
        <w:t xml:space="preserve">are assumed to </w:t>
      </w:r>
      <w:r w:rsidR="00A200DB">
        <w:rPr>
          <w:color w:val="000000" w:themeColor="text1"/>
        </w:rPr>
        <w:t xml:space="preserve">enhance organizational performance. On the other hand, the authors </w:t>
      </w:r>
      <w:r w:rsidR="00400441">
        <w:rPr>
          <w:color w:val="000000" w:themeColor="text1"/>
        </w:rPr>
        <w:t xml:space="preserve">suggest that if an organization operates in </w:t>
      </w:r>
      <w:proofErr w:type="gramStart"/>
      <w:r w:rsidR="00400441">
        <w:rPr>
          <w:color w:val="000000" w:themeColor="text1"/>
        </w:rPr>
        <w:t>an</w:t>
      </w:r>
      <w:proofErr w:type="gramEnd"/>
      <w:r w:rsidR="00400441">
        <w:rPr>
          <w:color w:val="000000" w:themeColor="text1"/>
        </w:rPr>
        <w:t xml:space="preserve"> weak and instable environment, career experience of decision-makers are assumed to decrease organizational performance since the career experience could not support the decision-makers to overcome abnormal problem and even constrain them from adopting innovative solutions. </w:t>
      </w:r>
    </w:p>
    <w:p w14:paraId="62925767" w14:textId="582DFCB0" w:rsidR="009F217B" w:rsidRPr="00E36F2E" w:rsidRDefault="008223B8" w:rsidP="00F170A8">
      <w:pPr>
        <w:pStyle w:val="ListParagraph"/>
        <w:numPr>
          <w:ilvl w:val="1"/>
          <w:numId w:val="1"/>
        </w:numPr>
        <w:spacing w:line="360" w:lineRule="auto"/>
        <w:jc w:val="both"/>
        <w:outlineLvl w:val="1"/>
        <w:rPr>
          <w:b/>
          <w:color w:val="000000" w:themeColor="text1"/>
        </w:rPr>
      </w:pPr>
      <w:bookmarkStart w:id="10" w:name="_Toc9185779"/>
      <w:r w:rsidRPr="00E36F2E">
        <w:rPr>
          <w:b/>
          <w:color w:val="000000" w:themeColor="text1"/>
        </w:rPr>
        <w:t>Ineffective regulatory intervention</w:t>
      </w:r>
      <w:bookmarkEnd w:id="10"/>
    </w:p>
    <w:p w14:paraId="5AB8DE1F" w14:textId="030D4222" w:rsidR="00F53C16" w:rsidRPr="00E36F2E" w:rsidRDefault="00F53C16" w:rsidP="00F170A8">
      <w:pPr>
        <w:pStyle w:val="ListParagraph"/>
        <w:numPr>
          <w:ilvl w:val="2"/>
          <w:numId w:val="1"/>
        </w:numPr>
        <w:spacing w:line="360" w:lineRule="auto"/>
        <w:ind w:left="1350"/>
        <w:jc w:val="both"/>
        <w:outlineLvl w:val="2"/>
        <w:rPr>
          <w:b/>
          <w:color w:val="000000" w:themeColor="text1"/>
        </w:rPr>
      </w:pPr>
      <w:bookmarkStart w:id="11" w:name="_Toc9185780"/>
      <w:r w:rsidRPr="00E36F2E">
        <w:rPr>
          <w:b/>
          <w:color w:val="000000" w:themeColor="text1"/>
        </w:rPr>
        <w:t>Capture theory</w:t>
      </w:r>
      <w:bookmarkEnd w:id="11"/>
    </w:p>
    <w:p w14:paraId="1B345281" w14:textId="7471D2A3" w:rsidR="00C5562B" w:rsidRPr="00C5562B" w:rsidRDefault="00C5562B" w:rsidP="0030659B">
      <w:pPr>
        <w:spacing w:line="360" w:lineRule="auto"/>
        <w:jc w:val="both"/>
        <w:rPr>
          <w:color w:val="000000" w:themeColor="text1"/>
        </w:rPr>
      </w:pPr>
      <w:r w:rsidRPr="00C5562B">
        <w:rPr>
          <w:color w:val="000000" w:themeColor="text1"/>
        </w:rPr>
        <w:fldChar w:fldCharType="begin" w:fldLock="1"/>
      </w:r>
      <w:r w:rsidR="00813FA1">
        <w:rPr>
          <w:color w:val="000000" w:themeColor="text1"/>
        </w:rPr>
        <w:instrText>ADDIN CSL_CITATION {"citationItems":[{"id":"ITEM-1","itemData":{"author":[{"dropping-particle":"","family":"Stigler","given":"George J","non-dropping-particle":"","parse-names":false,"suffix":""}],"container-title":"The Bell Journal of Economics and Mangement Science","id":"ITEM-1","issue":"1","issued":{"date-parts":[["1971"]]},"page":"3-21","title":"The Theory of Economic Regulation","type":"article-journal","volume":"2"},"uris":["http://www.mendeley.com/documents/?uuid=6fa6ee39-bc84-41c5-98d7-f82a1b197faf"]}],"mendeley":{"formattedCitation":"(Stigler, 1971)","manualFormatting":"Stigler (1971)","plainTextFormattedCitation":"(Stigler, 1971)","previouslyFormattedCitation":"(Stigler, 1971)"},"properties":{"noteIndex":0},"schema":"https://github.com/citation-style-language/schema/raw/master/csl-citation.json"}</w:instrText>
      </w:r>
      <w:r w:rsidRPr="00C5562B">
        <w:rPr>
          <w:color w:val="000000" w:themeColor="text1"/>
        </w:rPr>
        <w:fldChar w:fldCharType="separate"/>
      </w:r>
      <w:r w:rsidRPr="00C5562B">
        <w:rPr>
          <w:noProof/>
          <w:color w:val="000000" w:themeColor="text1"/>
        </w:rPr>
        <w:t>Stigler (1971)</w:t>
      </w:r>
      <w:r w:rsidRPr="00C5562B">
        <w:rPr>
          <w:color w:val="000000" w:themeColor="text1"/>
        </w:rPr>
        <w:fldChar w:fldCharType="end"/>
      </w:r>
      <w:r w:rsidRPr="00C5562B">
        <w:rPr>
          <w:color w:val="000000" w:themeColor="text1"/>
        </w:rPr>
        <w:t xml:space="preserve"> argues that the regulators’ objectives to protect the public interest may not be met since the regulation that they release could be controlled (captured) by the regulated parties or industries who intend to drive the regulation in line with their advantages. Therefore, the regulators often face obstacles in being independent of these regulated parties or industries. Similarly, according to </w:t>
      </w:r>
      <w:r w:rsidRPr="00C5562B">
        <w:rPr>
          <w:color w:val="000000" w:themeColor="text1"/>
        </w:rPr>
        <w:fldChar w:fldCharType="begin" w:fldLock="1"/>
      </w:r>
      <w:r w:rsidR="00813FA1">
        <w:rPr>
          <w:color w:val="000000" w:themeColor="text1"/>
        </w:rPr>
        <w:instrText>ADDIN CSL_CITATION {"citationItems":[{"id":"ITEM-1","itemData":{"author":[{"dropping-particle":"","family":"Mitnick","given":"B.M.","non-dropping-particle":"","parse-names":false,"suffix":""}],"id":"ITEM-1","issued":{"date-parts":[["1980"]]},"publisher":"Columbia University Press","publisher-place":"New York","title":"The political economy of regulation","type":"book"},"uris":["http://www.mendeley.com/documents/?uuid=491091fa-dc50-40b0-b0cc-6d138137b3b8","http://www.mendeley.com/documents/?uuid=b5c9f49d-57b3-4b1c-8e61-c1134af569f9"]}],"mendeley":{"formattedCitation":"(Mitnick, 1980)","manualFormatting":"Mitnick (1980)","plainTextFormattedCitation":"(Mitnick, 1980)","previouslyFormattedCitation":"(Mitnick, 1980)"},"properties":{"noteIndex":0},"schema":"https://github.com/citation-style-language/schema/raw/master/csl-citation.json"}</w:instrText>
      </w:r>
      <w:r w:rsidRPr="00C5562B">
        <w:rPr>
          <w:color w:val="000000" w:themeColor="text1"/>
        </w:rPr>
        <w:fldChar w:fldCharType="separate"/>
      </w:r>
      <w:r w:rsidRPr="00C5562B">
        <w:rPr>
          <w:noProof/>
          <w:color w:val="000000" w:themeColor="text1"/>
        </w:rPr>
        <w:t>Mitnick (1980)</w:t>
      </w:r>
      <w:r w:rsidRPr="00C5562B">
        <w:rPr>
          <w:color w:val="000000" w:themeColor="text1"/>
        </w:rPr>
        <w:fldChar w:fldCharType="end"/>
      </w:r>
      <w:r w:rsidRPr="00C5562B">
        <w:rPr>
          <w:color w:val="000000" w:themeColor="text1"/>
        </w:rPr>
        <w:t>, a method by which a regulated party or industry could capture a regulatory body is controlling the regulation and the regulated agency.</w:t>
      </w:r>
      <w:r w:rsidR="002E566B">
        <w:rPr>
          <w:color w:val="000000" w:themeColor="text1"/>
        </w:rPr>
        <w:t xml:space="preserve"> </w:t>
      </w:r>
    </w:p>
    <w:p w14:paraId="65012935" w14:textId="6E79D2DB" w:rsidR="00F53C16" w:rsidRPr="00E36F2E" w:rsidRDefault="00F53C16" w:rsidP="00F170A8">
      <w:pPr>
        <w:pStyle w:val="ListParagraph"/>
        <w:numPr>
          <w:ilvl w:val="2"/>
          <w:numId w:val="1"/>
        </w:numPr>
        <w:spacing w:line="360" w:lineRule="auto"/>
        <w:ind w:left="1350"/>
        <w:jc w:val="both"/>
        <w:outlineLvl w:val="2"/>
        <w:rPr>
          <w:b/>
          <w:color w:val="000000" w:themeColor="text1"/>
        </w:rPr>
      </w:pPr>
      <w:bookmarkStart w:id="12" w:name="_Toc9185781"/>
      <w:r w:rsidRPr="00E36F2E">
        <w:rPr>
          <w:b/>
          <w:color w:val="000000" w:themeColor="text1"/>
        </w:rPr>
        <w:t>Economic interest group theory</w:t>
      </w:r>
      <w:bookmarkEnd w:id="12"/>
    </w:p>
    <w:p w14:paraId="3E685D7A" w14:textId="2DA30E15" w:rsidR="00626DC3" w:rsidRPr="00E36F2E" w:rsidRDefault="0067596C" w:rsidP="0030659B">
      <w:pPr>
        <w:spacing w:line="360" w:lineRule="auto"/>
        <w:jc w:val="both"/>
        <w:rPr>
          <w:color w:val="000000" w:themeColor="text1"/>
        </w:rPr>
      </w:pPr>
      <w:r w:rsidRPr="0067596C">
        <w:rPr>
          <w:color w:val="000000" w:themeColor="text1"/>
        </w:rPr>
        <w:t xml:space="preserve">As stated by </w:t>
      </w:r>
      <w:r w:rsidRPr="0067596C">
        <w:rPr>
          <w:color w:val="000000" w:themeColor="text1"/>
        </w:rPr>
        <w:fldChar w:fldCharType="begin" w:fldLock="1"/>
      </w:r>
      <w:r w:rsidR="00813FA1">
        <w:rPr>
          <w:color w:val="000000" w:themeColor="text1"/>
        </w:rPr>
        <w:instrText>ADDIN CSL_CITATION {"citationItems":[{"id":"ITEM-1","itemData":{"author":[{"dropping-particle":"","family":"Posner","given":"R.A.","non-dropping-particle":"","parse-names":false,"suffix":""}],"container-title":"Bell Journal of Economics and Management Science","id":"ITEM-1","issued":{"date-parts":[["1974"]]},"page":"335-358","title":"Theories of economic regulation","type":"article-journal","volume":"5"},"uris":["http://www.mendeley.com/documents/?uuid=14565540-733b-412b-a523-c3271db0bbcd","http://www.mendeley.com/documents/?uuid=335c30a4-8188-4abd-8038-2f9795eafb2e"]}],"mendeley":{"formattedCitation":"(Posner, 1974)","manualFormatting":"Posner (1974)","plainTextFormattedCitation":"(Posner, 1974)","previouslyFormattedCitation":"(Posner, 1974)"},"properties":{"noteIndex":0},"schema":"https://github.com/citation-style-language/schema/raw/master/csl-citation.json"}</w:instrText>
      </w:r>
      <w:r w:rsidRPr="0067596C">
        <w:rPr>
          <w:color w:val="000000" w:themeColor="text1"/>
        </w:rPr>
        <w:fldChar w:fldCharType="separate"/>
      </w:r>
      <w:r w:rsidRPr="0067596C">
        <w:rPr>
          <w:noProof/>
          <w:color w:val="000000" w:themeColor="text1"/>
        </w:rPr>
        <w:t>Posner (1974)</w:t>
      </w:r>
      <w:r w:rsidRPr="0067596C">
        <w:rPr>
          <w:color w:val="000000" w:themeColor="text1"/>
        </w:rPr>
        <w:fldChar w:fldCharType="end"/>
      </w:r>
      <w:r w:rsidRPr="0067596C">
        <w:rPr>
          <w:color w:val="000000" w:themeColor="text1"/>
        </w:rPr>
        <w:t xml:space="preserve">, regarding the ‘economic interest’ perspective of regulation, the regulations are assumed to serve the private interest of politically effective parties. </w:t>
      </w:r>
      <w:r w:rsidR="000B5187">
        <w:rPr>
          <w:lang w:eastAsia="en-US"/>
        </w:rPr>
        <w:t>S</w:t>
      </w:r>
      <w:r w:rsidR="000B5187" w:rsidRPr="00937519">
        <w:rPr>
          <w:lang w:eastAsia="en-US"/>
        </w:rPr>
        <w:t>pecific interest groups exert disproportionate influence on regulators because they have more power (social</w:t>
      </w:r>
      <w:r w:rsidR="000B5187">
        <w:rPr>
          <w:lang w:eastAsia="en-US"/>
        </w:rPr>
        <w:t xml:space="preserve">, economic political resources). In addition, </w:t>
      </w:r>
      <w:r w:rsidR="000B5187">
        <w:rPr>
          <w:color w:val="000000" w:themeColor="text1"/>
        </w:rPr>
        <w:t>t</w:t>
      </w:r>
      <w:r w:rsidRPr="0067596C">
        <w:rPr>
          <w:color w:val="000000" w:themeColor="text1"/>
        </w:rPr>
        <w:t>hese private-interes</w:t>
      </w:r>
      <w:r w:rsidR="00F73083">
        <w:rPr>
          <w:color w:val="000000" w:themeColor="text1"/>
        </w:rPr>
        <w:t xml:space="preserve">t parties may seek to lobby </w:t>
      </w:r>
      <w:r w:rsidRPr="0067596C">
        <w:rPr>
          <w:color w:val="000000" w:themeColor="text1"/>
        </w:rPr>
        <w:t xml:space="preserve">regulatory bodies to drive the regulation in line with their economic benefits </w:t>
      </w:r>
      <w:r w:rsidR="00F73083">
        <w:rPr>
          <w:color w:val="000000" w:themeColor="text1"/>
        </w:rPr>
        <w:t>to the detriment of</w:t>
      </w:r>
      <w:r w:rsidRPr="0067596C">
        <w:rPr>
          <w:color w:val="000000" w:themeColor="text1"/>
        </w:rPr>
        <w:t xml:space="preserve"> others. Furthermore, according to </w:t>
      </w:r>
      <w:r w:rsidRPr="0067596C">
        <w:rPr>
          <w:color w:val="000000" w:themeColor="text1"/>
        </w:rPr>
        <w:fldChar w:fldCharType="begin" w:fldLock="1"/>
      </w:r>
      <w:r w:rsidR="00813FA1">
        <w:rPr>
          <w:color w:val="000000" w:themeColor="text1"/>
        </w:rPr>
        <w:instrText>ADDIN CSL_CITATION {"citationItems":[{"id":"ITEM-1","itemData":{"author":[{"dropping-particle":"","family":"Stigler","given":"George J","non-dropping-particle":"","parse-names":false,"suffix":""}],"container-title":"The Bell Journal of Economics and Mangement Science","id":"ITEM-1","issue":"1","issued":{"date-parts":[["1971"]]},"page":"3-21","title":"The Theory of Economic Regulation","type":"article-journal","volume":"2"},"uris":["http://www.mendeley.com/documents/?uuid=6fa6ee39-bc84-41c5-98d7-f82a1b197faf"]}],"mendeley":{"formattedCitation":"(Stigler, 1971)","manualFormatting":"Stigler (1971)","plainTextFormattedCitation":"(Stigler, 1971)","previouslyFormattedCitation":"(Stigler, 1971)"},"properties":{"noteIndex":0},"schema":"https://github.com/citation-style-language/schema/raw/master/csl-citation.json"}</w:instrText>
      </w:r>
      <w:r w:rsidRPr="0067596C">
        <w:rPr>
          <w:color w:val="000000" w:themeColor="text1"/>
        </w:rPr>
        <w:fldChar w:fldCharType="separate"/>
      </w:r>
      <w:r w:rsidRPr="0067596C">
        <w:rPr>
          <w:noProof/>
          <w:color w:val="000000" w:themeColor="text1"/>
        </w:rPr>
        <w:t>Stigler (1971)</w:t>
      </w:r>
      <w:r w:rsidRPr="0067596C">
        <w:rPr>
          <w:color w:val="000000" w:themeColor="text1"/>
        </w:rPr>
        <w:fldChar w:fldCharType="end"/>
      </w:r>
      <w:r w:rsidR="00F73083">
        <w:rPr>
          <w:color w:val="000000" w:themeColor="text1"/>
        </w:rPr>
        <w:t xml:space="preserve">, </w:t>
      </w:r>
      <w:r w:rsidRPr="0067596C">
        <w:rPr>
          <w:color w:val="000000" w:themeColor="text1"/>
        </w:rPr>
        <w:t>regulatory bodies themselves are int</w:t>
      </w:r>
      <w:r w:rsidR="00F73083">
        <w:rPr>
          <w:color w:val="000000" w:themeColor="text1"/>
        </w:rPr>
        <w:t xml:space="preserve">erest groups who will adopt </w:t>
      </w:r>
      <w:r w:rsidRPr="0067596C">
        <w:rPr>
          <w:color w:val="000000" w:themeColor="text1"/>
        </w:rPr>
        <w:t xml:space="preserve">policies that guarantee the re-election or their power within the society. </w:t>
      </w:r>
    </w:p>
    <w:p w14:paraId="3FD2DA82" w14:textId="2BAEFB7C" w:rsidR="009A1215" w:rsidRPr="007A049B" w:rsidRDefault="009A1215" w:rsidP="009A1215">
      <w:pPr>
        <w:pStyle w:val="ListParagraph"/>
        <w:numPr>
          <w:ilvl w:val="2"/>
          <w:numId w:val="1"/>
        </w:numPr>
        <w:spacing w:line="360" w:lineRule="auto"/>
        <w:ind w:left="1276"/>
        <w:jc w:val="both"/>
        <w:outlineLvl w:val="2"/>
        <w:rPr>
          <w:b/>
          <w:color w:val="000000" w:themeColor="text1"/>
        </w:rPr>
      </w:pPr>
      <w:bookmarkStart w:id="13" w:name="_Toc9185782"/>
      <w:r w:rsidRPr="007A049B">
        <w:rPr>
          <w:b/>
        </w:rPr>
        <w:t>Upper echelons theory</w:t>
      </w:r>
      <w:r w:rsidR="004122BF">
        <w:rPr>
          <w:b/>
        </w:rPr>
        <w:t xml:space="preserve"> –</w:t>
      </w:r>
      <w:r w:rsidR="00E9635A">
        <w:rPr>
          <w:b/>
        </w:rPr>
        <w:t xml:space="preserve"> </w:t>
      </w:r>
      <w:r w:rsidR="004122BF">
        <w:rPr>
          <w:b/>
        </w:rPr>
        <w:t>perspective</w:t>
      </w:r>
      <w:r w:rsidR="00E9635A">
        <w:rPr>
          <w:b/>
        </w:rPr>
        <w:t xml:space="preserve"> of individuals’ expertise</w:t>
      </w:r>
      <w:bookmarkEnd w:id="13"/>
    </w:p>
    <w:p w14:paraId="6A5F9046" w14:textId="4FDC888E" w:rsidR="00400441" w:rsidRDefault="00400441" w:rsidP="007C5CEB">
      <w:pPr>
        <w:spacing w:line="360" w:lineRule="auto"/>
        <w:jc w:val="both"/>
        <w:rPr>
          <w:color w:val="000000" w:themeColor="text1"/>
        </w:rPr>
      </w:pPr>
      <w:r>
        <w:rPr>
          <w:color w:val="000000" w:themeColor="text1"/>
        </w:rPr>
        <w:t>Besides theorizing effect of career experience of decision-makers on organizational performance</w:t>
      </w:r>
      <w:r w:rsidR="003020EA">
        <w:rPr>
          <w:color w:val="000000" w:themeColor="text1"/>
        </w:rPr>
        <w:t xml:space="preserve"> under “Upper echelons theory”</w:t>
      </w:r>
      <w:r>
        <w:rPr>
          <w:color w:val="000000" w:themeColor="text1"/>
        </w:rPr>
        <w:t xml:space="preserve">, </w:t>
      </w:r>
      <w:r>
        <w:rPr>
          <w:color w:val="000000" w:themeColor="text1"/>
        </w:rPr>
        <w:fldChar w:fldCharType="begin" w:fldLock="1"/>
      </w:r>
      <w:r w:rsidR="00143FD7">
        <w:rPr>
          <w:color w:val="000000" w:themeColor="text1"/>
        </w:rPr>
        <w:instrText>ADDIN CSL_CITATION {"citationItems":[{"id":"ITEM-1","itemData":{"abstract":"Theorists in various fields have discussed characteristics of top manag- ers. This paper attempts to synthesize these previously fragmented litera- tures around a more general \"upper echelons perspective.\" The theory states that organizational outcomes—strategic choices and performance levels—are partially predicted by managerial background characteristics. Propositions and methodological suggestions are included","author":[{"dropping-particle":"","family":"Hambrick","given":"D. C.","non-dropping-particle":"","parse-names":false,"suffix":""},{"dropping-particle":"","family":"Mason","given":"P. A.","non-dropping-particle":"","parse-names":false,"suffix":""}],"container-title":"Academy of Management Review","id":"ITEM-1","issue":"2","issued":{"date-parts":[["1984"]]},"page":"193-206","title":"Upper Echelons: The Organization as a Reflection of Its Top Managers.","type":"article-journal","volume":"9"},"uris":["http://www.mendeley.com/documents/?uuid=53dbf92e-53aa-4ada-8c12-81c9b39b4124"]}],"mendeley":{"formattedCitation":"(Hambrick &amp; Mason, 1984)","manualFormatting":"Hambrick &amp; Mason (1984)","plainTextFormattedCitation":"(Hambrick &amp; Mason, 1984)","previouslyFormattedCitation":"(Hambrick &amp; Mason, 1984)"},"properties":{"noteIndex":0},"schema":"https://github.com/citation-style-language/schema/raw/master/csl-citation.json"}</w:instrText>
      </w:r>
      <w:r>
        <w:rPr>
          <w:color w:val="000000" w:themeColor="text1"/>
        </w:rPr>
        <w:fldChar w:fldCharType="separate"/>
      </w:r>
      <w:r>
        <w:rPr>
          <w:noProof/>
          <w:color w:val="000000" w:themeColor="text1"/>
        </w:rPr>
        <w:t>Hambrick &amp; Mason (</w:t>
      </w:r>
      <w:r w:rsidRPr="00E9635A">
        <w:rPr>
          <w:noProof/>
          <w:color w:val="000000" w:themeColor="text1"/>
        </w:rPr>
        <w:t>1984)</w:t>
      </w:r>
      <w:r>
        <w:rPr>
          <w:color w:val="000000" w:themeColor="text1"/>
        </w:rPr>
        <w:fldChar w:fldCharType="end"/>
      </w:r>
      <w:r>
        <w:rPr>
          <w:color w:val="000000" w:themeColor="text1"/>
        </w:rPr>
        <w:t xml:space="preserve"> also suggest that </w:t>
      </w:r>
      <w:r w:rsidR="003020EA">
        <w:rPr>
          <w:color w:val="000000" w:themeColor="text1"/>
        </w:rPr>
        <w:t xml:space="preserve">organizational outcomes are also impacted by decision-makers’ expertise in terms of their educational </w:t>
      </w:r>
      <w:r w:rsidR="003020EA">
        <w:rPr>
          <w:color w:val="000000" w:themeColor="text1"/>
        </w:rPr>
        <w:lastRenderedPageBreak/>
        <w:t xml:space="preserve">background, knowledge and skill base. The authors state that to some degree, decision-makers’ education indicates their value and cognitive preferences. For example, a staff has expertise on engineering may have different cognitive preferences compared with a staff has expertise on history or law. </w:t>
      </w:r>
      <w:r w:rsidR="007C5CEB">
        <w:rPr>
          <w:color w:val="000000" w:themeColor="text1"/>
        </w:rPr>
        <w:t xml:space="preserve">In short, according to “Upper echelons theory”, decision-makers are assumed to </w:t>
      </w:r>
      <w:r w:rsidR="007C5CEB" w:rsidRPr="00AE73A7">
        <w:rPr>
          <w:noProof/>
          <w:color w:val="000000" w:themeColor="text1"/>
        </w:rPr>
        <w:t>follow policies to emphasize sectors in whi</w:t>
      </w:r>
      <w:r w:rsidR="007C5CEB">
        <w:rPr>
          <w:noProof/>
          <w:color w:val="000000" w:themeColor="text1"/>
        </w:rPr>
        <w:t xml:space="preserve">ch they have expertise. However, the </w:t>
      </w:r>
      <w:r w:rsidR="007C5CEB">
        <w:rPr>
          <w:color w:val="000000" w:themeColor="text1"/>
        </w:rPr>
        <w:t xml:space="preserve">decision-makers expertise </w:t>
      </w:r>
      <w:proofErr w:type="gramStart"/>
      <w:r w:rsidR="007C5CEB">
        <w:rPr>
          <w:color w:val="000000" w:themeColor="text1"/>
        </w:rPr>
        <w:t>are</w:t>
      </w:r>
      <w:proofErr w:type="gramEnd"/>
      <w:r w:rsidR="007C5CEB">
        <w:rPr>
          <w:color w:val="000000" w:themeColor="text1"/>
        </w:rPr>
        <w:t xml:space="preserve"> believed to not increase organizational performance.</w:t>
      </w:r>
      <w:r w:rsidR="002E566B">
        <w:rPr>
          <w:color w:val="000000" w:themeColor="text1"/>
        </w:rPr>
        <w:t xml:space="preserve"> </w:t>
      </w:r>
    </w:p>
    <w:p w14:paraId="668FCE65" w14:textId="28F2EFA9" w:rsidR="00941475" w:rsidRPr="00AB4B74" w:rsidRDefault="00941475" w:rsidP="009A1215">
      <w:pPr>
        <w:pStyle w:val="ListParagraph"/>
        <w:numPr>
          <w:ilvl w:val="2"/>
          <w:numId w:val="1"/>
        </w:numPr>
        <w:spacing w:line="360" w:lineRule="auto"/>
        <w:ind w:left="1276"/>
        <w:jc w:val="both"/>
        <w:outlineLvl w:val="2"/>
        <w:rPr>
          <w:b/>
          <w:color w:val="000000" w:themeColor="text1"/>
        </w:rPr>
      </w:pPr>
      <w:bookmarkStart w:id="14" w:name="_Toc9185783"/>
      <w:r w:rsidRPr="00AB4B74">
        <w:rPr>
          <w:b/>
          <w:color w:val="000000" w:themeColor="text1"/>
        </w:rPr>
        <w:t>Behav</w:t>
      </w:r>
      <w:r w:rsidR="00AB4B74" w:rsidRPr="00AB4B74">
        <w:rPr>
          <w:b/>
          <w:color w:val="000000" w:themeColor="text1"/>
        </w:rPr>
        <w:t>i</w:t>
      </w:r>
      <w:r w:rsidRPr="00AB4B74">
        <w:rPr>
          <w:b/>
          <w:color w:val="000000" w:themeColor="text1"/>
        </w:rPr>
        <w:t>oural effects</w:t>
      </w:r>
      <w:bookmarkEnd w:id="14"/>
      <w:r w:rsidRPr="00AB4B74">
        <w:rPr>
          <w:b/>
          <w:color w:val="000000" w:themeColor="text1"/>
        </w:rPr>
        <w:t xml:space="preserve"> </w:t>
      </w:r>
    </w:p>
    <w:p w14:paraId="516AAFDF" w14:textId="13C09B1D" w:rsidR="000B77C5" w:rsidRDefault="000F1B6A" w:rsidP="0012744A">
      <w:pPr>
        <w:pStyle w:val="ListParagraph"/>
        <w:spacing w:line="360" w:lineRule="auto"/>
        <w:ind w:left="0"/>
        <w:jc w:val="both"/>
        <w:rPr>
          <w:color w:val="000000" w:themeColor="text1"/>
        </w:rPr>
      </w:pPr>
      <w:r w:rsidRPr="000F1B6A">
        <w:rPr>
          <w:color w:val="000000" w:themeColor="text1"/>
        </w:rPr>
        <w:t xml:space="preserve">Tan &amp; </w:t>
      </w:r>
      <w:proofErr w:type="spellStart"/>
      <w:r w:rsidRPr="000F1B6A">
        <w:rPr>
          <w:color w:val="000000" w:themeColor="text1"/>
        </w:rPr>
        <w:t>Netessine</w:t>
      </w:r>
      <w:proofErr w:type="spellEnd"/>
      <w:r w:rsidRPr="000F1B6A">
        <w:rPr>
          <w:color w:val="000000" w:themeColor="text1"/>
        </w:rPr>
        <w:t xml:space="preserve"> (</w:t>
      </w:r>
      <w:r w:rsidR="00F73083">
        <w:rPr>
          <w:color w:val="000000" w:themeColor="text1"/>
        </w:rPr>
        <w:t>2014) theorize</w:t>
      </w:r>
      <w:r>
        <w:rPr>
          <w:color w:val="000000" w:themeColor="text1"/>
        </w:rPr>
        <w:t xml:space="preserve"> </w:t>
      </w:r>
      <w:r w:rsidR="0012744A">
        <w:rPr>
          <w:color w:val="000000" w:themeColor="text1"/>
        </w:rPr>
        <w:t xml:space="preserve">behavioural effects </w:t>
      </w:r>
      <w:r>
        <w:rPr>
          <w:color w:val="000000" w:themeColor="text1"/>
        </w:rPr>
        <w:t>w</w:t>
      </w:r>
      <w:r w:rsidRPr="000F1B6A">
        <w:rPr>
          <w:color w:val="000000" w:themeColor="text1"/>
        </w:rPr>
        <w:t xml:space="preserve">hen workload is </w:t>
      </w:r>
      <w:r w:rsidR="00F73083">
        <w:rPr>
          <w:color w:val="000000" w:themeColor="text1"/>
        </w:rPr>
        <w:t>excessive</w:t>
      </w:r>
      <w:r w:rsidRPr="000F1B6A">
        <w:rPr>
          <w:color w:val="000000" w:themeColor="text1"/>
        </w:rPr>
        <w:t xml:space="preserve">, it may </w:t>
      </w:r>
      <w:r w:rsidR="00F73083">
        <w:rPr>
          <w:color w:val="000000" w:themeColor="text1"/>
        </w:rPr>
        <w:t>be</w:t>
      </w:r>
      <w:r w:rsidRPr="000F1B6A">
        <w:rPr>
          <w:color w:val="000000" w:themeColor="text1"/>
        </w:rPr>
        <w:t xml:space="preserve"> a hindrance that creates obstruction and induce</w:t>
      </w:r>
      <w:r w:rsidR="00F73083">
        <w:rPr>
          <w:color w:val="000000" w:themeColor="text1"/>
        </w:rPr>
        <w:t>s</w:t>
      </w:r>
      <w:r w:rsidRPr="000F1B6A">
        <w:rPr>
          <w:color w:val="000000" w:themeColor="text1"/>
        </w:rPr>
        <w:t xml:space="preserve"> anti</w:t>
      </w:r>
      <w:r w:rsidR="000E4F78">
        <w:rPr>
          <w:color w:val="000000" w:themeColor="text1"/>
        </w:rPr>
        <w:t>-</w:t>
      </w:r>
      <w:r w:rsidRPr="000F1B6A">
        <w:rPr>
          <w:color w:val="000000" w:themeColor="text1"/>
        </w:rPr>
        <w:t>productive emotions, which obstructs workers from fulfilling their targets and reduce</w:t>
      </w:r>
      <w:r w:rsidR="00F73083">
        <w:rPr>
          <w:color w:val="000000" w:themeColor="text1"/>
        </w:rPr>
        <w:t>s</w:t>
      </w:r>
      <w:r w:rsidRPr="000F1B6A">
        <w:rPr>
          <w:color w:val="000000" w:themeColor="text1"/>
        </w:rPr>
        <w:t xml:space="preserve"> the workers’ motivation and commitment</w:t>
      </w:r>
      <w:r>
        <w:rPr>
          <w:color w:val="000000" w:themeColor="text1"/>
        </w:rPr>
        <w:t>.</w:t>
      </w:r>
      <w:r w:rsidR="00AB4B74">
        <w:rPr>
          <w:color w:val="000000" w:themeColor="text1"/>
        </w:rPr>
        <w:t xml:space="preserve"> </w:t>
      </w:r>
      <w:r w:rsidR="002352A3">
        <w:rPr>
          <w:color w:val="000000" w:themeColor="text1"/>
        </w:rPr>
        <w:t xml:space="preserve">Furthermore, extensive workload </w:t>
      </w:r>
      <w:r w:rsidR="000B77C5">
        <w:rPr>
          <w:color w:val="000000" w:themeColor="text1"/>
        </w:rPr>
        <w:t>is claimed to</w:t>
      </w:r>
      <w:r w:rsidR="002352A3">
        <w:rPr>
          <w:color w:val="000000" w:themeColor="text1"/>
        </w:rPr>
        <w:t xml:space="preserve"> put workers into a situa</w:t>
      </w:r>
      <w:r w:rsidR="00D73458">
        <w:rPr>
          <w:color w:val="000000" w:themeColor="text1"/>
        </w:rPr>
        <w:t xml:space="preserve">tion to conduct multiple works within a limited time. These multiple works possibly cause conflicts and intensify obstacle to reach targets and hence, </w:t>
      </w:r>
      <w:r w:rsidR="000B77C5">
        <w:rPr>
          <w:color w:val="000000" w:themeColor="text1"/>
        </w:rPr>
        <w:t>reduce the workers’ commitment. In addition, extensive workload is also believed to result in tiredness</w:t>
      </w:r>
      <w:r w:rsidR="001341BD" w:rsidRPr="001341BD">
        <w:rPr>
          <w:color w:val="000000" w:themeColor="text1"/>
        </w:rPr>
        <w:t xml:space="preserve"> </w:t>
      </w:r>
      <w:r w:rsidR="000B77C5">
        <w:rPr>
          <w:color w:val="000000" w:themeColor="text1"/>
        </w:rPr>
        <w:t xml:space="preserve">which can decrease motivation and effort. </w:t>
      </w:r>
    </w:p>
    <w:p w14:paraId="7B1EBF52" w14:textId="1E43EFAF" w:rsidR="000043EB" w:rsidRPr="00A067DF" w:rsidRDefault="00D975A0" w:rsidP="00A067DF">
      <w:pPr>
        <w:pStyle w:val="ListParagraph"/>
        <w:numPr>
          <w:ilvl w:val="1"/>
          <w:numId w:val="1"/>
        </w:numPr>
        <w:spacing w:line="360" w:lineRule="auto"/>
        <w:jc w:val="both"/>
        <w:outlineLvl w:val="1"/>
        <w:rPr>
          <w:b/>
          <w:color w:val="000000" w:themeColor="text1"/>
        </w:rPr>
      </w:pPr>
      <w:bookmarkStart w:id="15" w:name="_Toc9185784"/>
      <w:r w:rsidRPr="00A067DF">
        <w:rPr>
          <w:b/>
          <w:color w:val="000000" w:themeColor="text1"/>
        </w:rPr>
        <w:t>Information uncertainty</w:t>
      </w:r>
      <w:bookmarkEnd w:id="15"/>
    </w:p>
    <w:p w14:paraId="2F4ECCCA" w14:textId="7821B730" w:rsidR="00D975A0" w:rsidRDefault="00E60D52" w:rsidP="0030659B">
      <w:pPr>
        <w:spacing w:line="360" w:lineRule="auto"/>
        <w:jc w:val="both"/>
        <w:rPr>
          <w:color w:val="000000" w:themeColor="text1"/>
        </w:rPr>
      </w:pPr>
      <w:r w:rsidRPr="00853913">
        <w:rPr>
          <w:color w:val="000000" w:themeColor="text1"/>
        </w:rPr>
        <w:t xml:space="preserve">According to </w:t>
      </w:r>
      <w:r w:rsidRPr="00853913">
        <w:rPr>
          <w:color w:val="000000" w:themeColor="text1"/>
        </w:rPr>
        <w:fldChar w:fldCharType="begin" w:fldLock="1"/>
      </w:r>
      <w:r w:rsidR="002F4AA4">
        <w:rPr>
          <w:color w:val="000000" w:themeColor="text1"/>
        </w:rPr>
        <w:instrText>ADDIN CSL_CITATION {"citationItems":[{"id":"ITEM-1","itemData":{"ISBN":"0165-4101","ISSN":"01654101","PMID":"122","abstract":"Financial reporting and disclosure are potentially important means for management to communicate firm performance and governance to outside investors. We provide a framework for analyzing managers' reporting and disclosure decisions in a capital markets setting, and identify key research questions. We then review current empirical research on disclosure regulation, information intermediaries, and the determinants and economic consequences of corporate disclosure. Our survey concludes that current research has generated a number of useful insights. We identify many fundamental questions that remain unanswered, and changes in the economic environment that raise new questions for research. © 2001 Published by Elsevier Science B.V.","author":[{"dropping-particle":"","family":"Healy","given":"Paul M.","non-dropping-particle":"","parse-names":false,"suffix":""},{"dropping-particle":"","family":"Palepu","given":"Krishna G.","non-dropping-particle":"","parse-names":false,"suffix":""}],"container-title":"Journal of Accounting and Economics","id":"ITEM-1","issue":"1-3","issued":{"date-parts":[["2001"]]},"page":"405-440","title":"Information asymmetry, corporate disclosure, and the capital markets: A review of the empirical disclosure literature","type":"article-journal","volume":"31"},"uris":["http://www.mendeley.com/documents/?uuid=49c6711d-0fc9-4f33-9c7f-851c240cab79"]}],"mendeley":{"formattedCitation":"(Healy &amp; Palepu, 2001)","manualFormatting":"Healy and Palepu (2001)","plainTextFormattedCitation":"(Healy &amp; Palepu, 2001)","previouslyFormattedCitation":"(Healy &amp; Palepu, 2001)"},"properties":{"noteIndex":0},"schema":"https://github.com/citation-style-language/schema/raw/master/csl-citation.json"}</w:instrText>
      </w:r>
      <w:r w:rsidRPr="00853913">
        <w:rPr>
          <w:color w:val="000000" w:themeColor="text1"/>
        </w:rPr>
        <w:fldChar w:fldCharType="separate"/>
      </w:r>
      <w:r w:rsidRPr="00853913">
        <w:rPr>
          <w:noProof/>
          <w:color w:val="000000" w:themeColor="text1"/>
        </w:rPr>
        <w:t>Healy and Palepu (2001)</w:t>
      </w:r>
      <w:r w:rsidRPr="00853913">
        <w:rPr>
          <w:color w:val="000000" w:themeColor="text1"/>
        </w:rPr>
        <w:fldChar w:fldCharType="end"/>
      </w:r>
      <w:r w:rsidRPr="00853913">
        <w:rPr>
          <w:color w:val="000000" w:themeColor="text1"/>
        </w:rPr>
        <w:t xml:space="preserve">, private firms decide to go public for the first time because they intend to raise additional capital from </w:t>
      </w:r>
      <w:r w:rsidR="00EF1289">
        <w:rPr>
          <w:color w:val="000000" w:themeColor="text1"/>
        </w:rPr>
        <w:t>a</w:t>
      </w:r>
      <w:r w:rsidRPr="00853913">
        <w:rPr>
          <w:color w:val="000000" w:themeColor="text1"/>
        </w:rPr>
        <w:t xml:space="preserve"> wide range of investors in order to finance their operating strategies and expand their business</w:t>
      </w:r>
      <w:r w:rsidR="00EF1289">
        <w:rPr>
          <w:color w:val="000000" w:themeColor="text1"/>
        </w:rPr>
        <w:t>es</w:t>
      </w:r>
      <w:r w:rsidRPr="00853913">
        <w:rPr>
          <w:color w:val="000000" w:themeColor="text1"/>
        </w:rPr>
        <w:t xml:space="preserve">. </w:t>
      </w:r>
      <w:r w:rsidR="00EF1289">
        <w:rPr>
          <w:color w:val="000000" w:themeColor="text1"/>
        </w:rPr>
        <w:t>O</w:t>
      </w:r>
      <w:r w:rsidRPr="00853913">
        <w:rPr>
          <w:color w:val="000000" w:themeColor="text1"/>
        </w:rPr>
        <w:t>utside investors may confront</w:t>
      </w:r>
      <w:r>
        <w:rPr>
          <w:color w:val="000000" w:themeColor="text1"/>
        </w:rPr>
        <w:t xml:space="preserve"> “lemon” problem</w:t>
      </w:r>
      <w:r w:rsidR="005A21E5">
        <w:rPr>
          <w:color w:val="000000" w:themeColor="text1"/>
        </w:rPr>
        <w:t xml:space="preserve">, </w:t>
      </w:r>
      <w:r w:rsidR="00852B1B">
        <w:rPr>
          <w:color w:val="000000" w:themeColor="text1"/>
        </w:rPr>
        <w:t>an ou</w:t>
      </w:r>
      <w:r w:rsidR="00A02079">
        <w:rPr>
          <w:color w:val="000000" w:themeColor="text1"/>
        </w:rPr>
        <w:t>tcome</w:t>
      </w:r>
      <w:r w:rsidR="005A21E5">
        <w:rPr>
          <w:color w:val="000000" w:themeColor="text1"/>
        </w:rPr>
        <w:t xml:space="preserve"> of </w:t>
      </w:r>
      <w:r w:rsidR="005A21E5" w:rsidRPr="005A21E5">
        <w:rPr>
          <w:color w:val="000000" w:themeColor="text1"/>
        </w:rPr>
        <w:t>i</w:t>
      </w:r>
      <w:r w:rsidR="005A21E5">
        <w:rPr>
          <w:color w:val="000000" w:themeColor="text1"/>
        </w:rPr>
        <w:t xml:space="preserve">nformation uncertainty, </w:t>
      </w:r>
      <w:r w:rsidR="00BD287F">
        <w:rPr>
          <w:color w:val="000000" w:themeColor="text1"/>
        </w:rPr>
        <w:t>due to</w:t>
      </w:r>
      <w:r w:rsidRPr="00853913">
        <w:rPr>
          <w:color w:val="000000" w:themeColor="text1"/>
        </w:rPr>
        <w:t xml:space="preserve"> information asymmetry and different interest between inside managers and outside investors. According to </w:t>
      </w:r>
      <w:r w:rsidRPr="00853913">
        <w:rPr>
          <w:color w:val="000000" w:themeColor="text1"/>
        </w:rPr>
        <w:fldChar w:fldCharType="begin" w:fldLock="1"/>
      </w:r>
      <w:r w:rsidR="00813FA1">
        <w:rPr>
          <w:color w:val="000000" w:themeColor="text1"/>
        </w:rPr>
        <w:instrText>ADDIN CSL_CITATION {"citationItems":[{"id":"ITEM-1","itemData":{"author":[{"dropping-particle":"","family":"Akerlof","given":"G","non-dropping-particle":"","parse-names":false,"suffix":""}],"container-title":"The Quarterly Journal of Economics","id":"ITEM-1","issue":"3","issued":{"date-parts":[["1970"]]},"page":"488-500","title":"The Market for \" Lemons \": Quality Uncertainty and the Market Mechanism","type":"article-journal","volume":"84"},"uris":["http://www.mendeley.com/documents/?uuid=86244e50-be3d-442a-9529-79070ad740ad"]}],"mendeley":{"formattedCitation":"(Akerlof, 1970)","manualFormatting":"Akerlof (1970)","plainTextFormattedCitation":"(Akerlof, 1970)","previouslyFormattedCitation":"(Akerlof, 1970)"},"properties":{"noteIndex":0},"schema":"https://github.com/citation-style-language/schema/raw/master/csl-citation.json"}</w:instrText>
      </w:r>
      <w:r w:rsidRPr="00853913">
        <w:rPr>
          <w:color w:val="000000" w:themeColor="text1"/>
        </w:rPr>
        <w:fldChar w:fldCharType="separate"/>
      </w:r>
      <w:r w:rsidRPr="00853913">
        <w:rPr>
          <w:noProof/>
          <w:color w:val="000000" w:themeColor="text1"/>
        </w:rPr>
        <w:t>Akerlof (1970)</w:t>
      </w:r>
      <w:r w:rsidRPr="00853913">
        <w:rPr>
          <w:color w:val="000000" w:themeColor="text1"/>
        </w:rPr>
        <w:fldChar w:fldCharType="end"/>
      </w:r>
      <w:r w:rsidRPr="00853913">
        <w:rPr>
          <w:color w:val="000000" w:themeColor="text1"/>
        </w:rPr>
        <w:t xml:space="preserve">, “lemon” problem could collapse operating mechanism of capital market. For instance, </w:t>
      </w:r>
      <w:r w:rsidR="00EF1289">
        <w:rPr>
          <w:color w:val="000000" w:themeColor="text1"/>
        </w:rPr>
        <w:t>if</w:t>
      </w:r>
      <w:r w:rsidRPr="00853913">
        <w:rPr>
          <w:color w:val="000000" w:themeColor="text1"/>
        </w:rPr>
        <w:t xml:space="preserve"> good IPO firms coexist with bad IPO firms and the outside investors are rational, </w:t>
      </w:r>
      <w:r w:rsidR="00EF1289">
        <w:rPr>
          <w:color w:val="000000" w:themeColor="text1"/>
        </w:rPr>
        <w:t>they</w:t>
      </w:r>
      <w:r w:rsidRPr="00853913">
        <w:rPr>
          <w:color w:val="000000" w:themeColor="text1"/>
        </w:rPr>
        <w:t xml:space="preserve"> will evaluate IPO firms’ </w:t>
      </w:r>
      <w:r w:rsidR="00BD287F">
        <w:rPr>
          <w:color w:val="000000" w:themeColor="text1"/>
        </w:rPr>
        <w:t>quality</w:t>
      </w:r>
      <w:r w:rsidR="00EF1289">
        <w:rPr>
          <w:color w:val="000000" w:themeColor="text1"/>
        </w:rPr>
        <w:t xml:space="preserve"> based</w:t>
      </w:r>
      <w:r w:rsidRPr="00853913">
        <w:rPr>
          <w:color w:val="000000" w:themeColor="text1"/>
        </w:rPr>
        <w:t xml:space="preserve"> on the information from these firms’ reporting documents. According to</w:t>
      </w:r>
      <w:r w:rsidRPr="00853913">
        <w:rPr>
          <w:color w:val="000000" w:themeColor="text1"/>
        </w:rPr>
        <w:fldChar w:fldCharType="begin" w:fldLock="1"/>
      </w:r>
      <w:r w:rsidR="00813FA1">
        <w:rPr>
          <w:color w:val="000000" w:themeColor="text1"/>
        </w:rPr>
        <w:instrText>ADDIN CSL_CITATION {"citationItems":[{"id":"ITEM-1","itemData":{"author":[{"dropping-particle":"","family":"Skinner","given":"Douglas","non-dropping-particle":"","parse-names":false,"suffix":""}],"container-title":"Journal of Accounting Research","id":"ITEM-1","issue":"1","issued":{"date-parts":[["1994"]]},"page":"38-60","title":"Why Firms Voluntarily Disclose Bad Business","type":"article-journal","volume":"32"},"uris":["http://www.mendeley.com/documents/?uuid=361e131e-bf6f-4e7b-8fa2-7d602ed4a8f1"]}],"mendeley":{"formattedCitation":"(Skinner, 1994)","manualFormatting":" Skinner (1994)","plainTextFormattedCitation":"(Skinner, 1994)","previouslyFormattedCitation":"(Skinner, 1994)"},"properties":{"noteIndex":0},"schema":"https://github.com/citation-style-language/schema/raw/master/csl-citation.json"}</w:instrText>
      </w:r>
      <w:r w:rsidRPr="00853913">
        <w:rPr>
          <w:color w:val="000000" w:themeColor="text1"/>
        </w:rPr>
        <w:fldChar w:fldCharType="separate"/>
      </w:r>
      <w:r w:rsidRPr="00853913">
        <w:rPr>
          <w:noProof/>
          <w:color w:val="000000" w:themeColor="text1"/>
        </w:rPr>
        <w:t xml:space="preserve"> Skinner (1994)</w:t>
      </w:r>
      <w:r w:rsidRPr="00853913">
        <w:rPr>
          <w:color w:val="000000" w:themeColor="text1"/>
        </w:rPr>
        <w:fldChar w:fldCharType="end"/>
      </w:r>
      <w:r w:rsidRPr="00853913">
        <w:rPr>
          <w:color w:val="000000" w:themeColor="text1"/>
        </w:rPr>
        <w:t xml:space="preserve">, both good and bad information are </w:t>
      </w:r>
      <w:r w:rsidR="00BD287F">
        <w:rPr>
          <w:color w:val="000000" w:themeColor="text1"/>
        </w:rPr>
        <w:t>disclose</w:t>
      </w:r>
      <w:r w:rsidRPr="00853913">
        <w:rPr>
          <w:color w:val="000000" w:themeColor="text1"/>
        </w:rPr>
        <w:t xml:space="preserve"> voluntarily. It will be difficult for investors to determine which IPO firms are good because bad IPO firms may try to mislead </w:t>
      </w:r>
      <w:r w:rsidR="00BD287F">
        <w:rPr>
          <w:color w:val="000000" w:themeColor="text1"/>
        </w:rPr>
        <w:t>by posing as</w:t>
      </w:r>
      <w:r w:rsidRPr="00853913">
        <w:rPr>
          <w:color w:val="000000" w:themeColor="text1"/>
        </w:rPr>
        <w:t xml:space="preserve"> good ones. To overcome this difficulty to some extent, investor</w:t>
      </w:r>
      <w:r w:rsidR="00BD287F">
        <w:rPr>
          <w:color w:val="000000" w:themeColor="text1"/>
        </w:rPr>
        <w:t>s</w:t>
      </w:r>
      <w:r w:rsidRPr="00853913">
        <w:rPr>
          <w:color w:val="000000" w:themeColor="text1"/>
        </w:rPr>
        <w:t xml:space="preserve"> may evaluate both good and bad IPO firms at an average level. Hence, if the “lemon” problem exists in the </w:t>
      </w:r>
      <w:r w:rsidR="00BD287F">
        <w:rPr>
          <w:color w:val="000000" w:themeColor="text1"/>
        </w:rPr>
        <w:t xml:space="preserve">IPO </w:t>
      </w:r>
      <w:r w:rsidRPr="00853913">
        <w:rPr>
          <w:color w:val="000000" w:themeColor="text1"/>
        </w:rPr>
        <w:t>information environment</w:t>
      </w:r>
      <w:r w:rsidR="00BD287F">
        <w:rPr>
          <w:color w:val="000000" w:themeColor="text1"/>
        </w:rPr>
        <w:t>,</w:t>
      </w:r>
      <w:r w:rsidRPr="00853913">
        <w:rPr>
          <w:color w:val="000000" w:themeColor="text1"/>
        </w:rPr>
        <w:t xml:space="preserve"> investors may rationally underestimate good IPO firms and overestimate bad IPO firms.</w:t>
      </w:r>
    </w:p>
    <w:p w14:paraId="19AB3C1B" w14:textId="1E19BE9F" w:rsidR="00B148F4" w:rsidRPr="00C57AB6" w:rsidRDefault="000E4F78" w:rsidP="0030659B">
      <w:pPr>
        <w:spacing w:line="360" w:lineRule="auto"/>
        <w:jc w:val="both"/>
        <w:rPr>
          <w:b/>
          <w:color w:val="000000" w:themeColor="text1"/>
        </w:rPr>
      </w:pPr>
      <w:r>
        <w:rPr>
          <w:color w:val="000000" w:themeColor="text1"/>
        </w:rPr>
        <w:t>In addition, w</w:t>
      </w:r>
      <w:r w:rsidR="00B148F4" w:rsidRPr="00853913">
        <w:rPr>
          <w:color w:val="000000" w:themeColor="text1"/>
        </w:rPr>
        <w:t>hen going public in order to attract capital from potential investors, self-interested IPO firms may</w:t>
      </w:r>
      <w:r w:rsidR="00B148F4">
        <w:rPr>
          <w:color w:val="000000" w:themeColor="text1"/>
        </w:rPr>
        <w:t xml:space="preserve"> have opportunistic behaviours, which</w:t>
      </w:r>
      <w:r w:rsidR="00B148F4" w:rsidRPr="00853913">
        <w:rPr>
          <w:color w:val="000000" w:themeColor="text1"/>
        </w:rPr>
        <w:t xml:space="preserve"> could be contrary to the invertors’ interests, in order to obtain more proceeds, creating an agency problem</w:t>
      </w:r>
      <w:r w:rsidR="00BD287F">
        <w:rPr>
          <w:color w:val="000000" w:themeColor="text1"/>
        </w:rPr>
        <w:t xml:space="preserve"> which induces</w:t>
      </w:r>
      <w:r w:rsidR="00852B1B" w:rsidRPr="00852B1B">
        <w:rPr>
          <w:color w:val="000000" w:themeColor="text1"/>
        </w:rPr>
        <w:t xml:space="preserve"> uncertainty in performance </w:t>
      </w:r>
      <w:r w:rsidR="00852B1B">
        <w:rPr>
          <w:color w:val="000000" w:themeColor="text1"/>
        </w:rPr>
        <w:t>results</w:t>
      </w:r>
      <w:r w:rsidR="00BD287F">
        <w:rPr>
          <w:color w:val="000000" w:themeColor="text1"/>
        </w:rPr>
        <w:t xml:space="preserve"> due</w:t>
      </w:r>
      <w:r w:rsidR="00852B1B">
        <w:rPr>
          <w:color w:val="000000" w:themeColor="text1"/>
        </w:rPr>
        <w:t xml:space="preserve"> to moral hazard and </w:t>
      </w:r>
      <w:r w:rsidR="00852B1B" w:rsidRPr="00852B1B">
        <w:rPr>
          <w:color w:val="000000" w:themeColor="text1"/>
        </w:rPr>
        <w:t>adverse selection</w:t>
      </w:r>
      <w:r w:rsidR="00852B1B">
        <w:rPr>
          <w:color w:val="000000" w:themeColor="text1"/>
        </w:rPr>
        <w:t xml:space="preserve"> </w:t>
      </w:r>
      <w:r w:rsidR="00852B1B">
        <w:rPr>
          <w:color w:val="000000" w:themeColor="text1"/>
        </w:rPr>
        <w:fldChar w:fldCharType="begin" w:fldLock="1"/>
      </w:r>
      <w:r w:rsidR="00A611DF">
        <w:rPr>
          <w:color w:val="000000" w:themeColor="text1"/>
        </w:rPr>
        <w:instrText>ADDIN CSL_CITATION {"citationItems":[{"id":"ITEM-1","itemData":{"author":[{"dropping-particle":"","family":"Nilakant","given":"V.","non-dropping-particle":"","parse-names":false,"suffix":""},{"dropping-particle":"","family":"Rao","given":"H.","non-dropping-particle":"","parse-names":false,"suffix":""}],"container-title":"Organization Studies","id":"ITEM-1","issue":"5","issued":{"date-parts":[["1994"]]},"page":"649-672","title":"Agency Theory and Uncertainty in Organizations: An Evaluation","type":"article-journal","volume":"15"},"uris":["http://www.mendeley.com/documents/?uuid=60b4db60-88aa-48e6-821e-2ab567b3d91f"]}],"mendeley":{"formattedCitation":"(Nilakant &amp; Rao, 1994)","plainTextFormattedCitation":"(Nilakant &amp; Rao, 1994)","previouslyFormattedCitation":"(Nilakant &amp; Rao, 1994)"},"properties":{"noteIndex":0},"schema":"https://github.com/citation-style-language/schema/raw/master/csl-citation.json"}</w:instrText>
      </w:r>
      <w:r w:rsidR="00852B1B">
        <w:rPr>
          <w:color w:val="000000" w:themeColor="text1"/>
        </w:rPr>
        <w:fldChar w:fldCharType="separate"/>
      </w:r>
      <w:r w:rsidR="00852B1B" w:rsidRPr="00852B1B">
        <w:rPr>
          <w:noProof/>
          <w:color w:val="000000" w:themeColor="text1"/>
        </w:rPr>
        <w:t>(Nilakant &amp; Rao, 1994)</w:t>
      </w:r>
      <w:r w:rsidR="00852B1B">
        <w:rPr>
          <w:color w:val="000000" w:themeColor="text1"/>
        </w:rPr>
        <w:fldChar w:fldCharType="end"/>
      </w:r>
      <w:r w:rsidR="00B148F4" w:rsidRPr="00853913">
        <w:rPr>
          <w:color w:val="000000" w:themeColor="text1"/>
        </w:rPr>
        <w:t>. The agency problem exists since investors put their money into IPO firms and delegate the decision-</w:t>
      </w:r>
      <w:r w:rsidR="00B148F4" w:rsidRPr="00853913">
        <w:rPr>
          <w:color w:val="000000" w:themeColor="text1"/>
        </w:rPr>
        <w:lastRenderedPageBreak/>
        <w:t>making authority to these firms. In addition, agency problem</w:t>
      </w:r>
      <w:r w:rsidR="00BD287F">
        <w:rPr>
          <w:color w:val="000000" w:themeColor="text1"/>
        </w:rPr>
        <w:t>s arise</w:t>
      </w:r>
      <w:r w:rsidR="00B148F4" w:rsidRPr="00853913">
        <w:rPr>
          <w:color w:val="000000" w:themeColor="text1"/>
        </w:rPr>
        <w:t xml:space="preserve"> because IPO </w:t>
      </w:r>
      <w:r w:rsidR="00BD287F">
        <w:rPr>
          <w:color w:val="000000" w:themeColor="text1"/>
        </w:rPr>
        <w:t>firm managers</w:t>
      </w:r>
      <w:r w:rsidR="00B148F4" w:rsidRPr="00853913">
        <w:rPr>
          <w:color w:val="000000" w:themeColor="text1"/>
        </w:rPr>
        <w:t xml:space="preserve"> have overwhelming superiority in accessing internal information. Consequently, the IPO firms could undertake moral-hazard actions</w:t>
      </w:r>
      <w:r>
        <w:rPr>
          <w:color w:val="000000" w:themeColor="text1"/>
        </w:rPr>
        <w:t xml:space="preserve">, for example, </w:t>
      </w:r>
      <w:r w:rsidR="00BD287F">
        <w:rPr>
          <w:color w:val="000000" w:themeColor="text1"/>
        </w:rPr>
        <w:t>misleading</w:t>
      </w:r>
      <w:r>
        <w:rPr>
          <w:color w:val="000000" w:themeColor="text1"/>
        </w:rPr>
        <w:t xml:space="preserve"> reporting information,</w:t>
      </w:r>
      <w:r w:rsidR="00B148F4" w:rsidRPr="00853913">
        <w:rPr>
          <w:color w:val="000000" w:themeColor="text1"/>
        </w:rPr>
        <w:t xml:space="preserve"> </w:t>
      </w:r>
      <w:r w:rsidR="00BD287F">
        <w:rPr>
          <w:color w:val="000000" w:themeColor="text1"/>
        </w:rPr>
        <w:t>which is</w:t>
      </w:r>
      <w:r w:rsidR="00B148F4" w:rsidRPr="00853913">
        <w:rPr>
          <w:color w:val="000000" w:themeColor="text1"/>
        </w:rPr>
        <w:t xml:space="preserve"> detrimental to investors</w:t>
      </w:r>
      <w:r w:rsidR="00BD287F">
        <w:rPr>
          <w:color w:val="000000" w:themeColor="text1"/>
        </w:rPr>
        <w:t>,</w:t>
      </w:r>
      <w:r w:rsidR="00B148F4" w:rsidRPr="00853913">
        <w:rPr>
          <w:color w:val="000000" w:themeColor="text1"/>
        </w:rPr>
        <w:t xml:space="preserve"> in order to benefit themselves. </w:t>
      </w:r>
      <w:r w:rsidR="00B148F4" w:rsidRPr="00853913">
        <w:rPr>
          <w:color w:val="000000" w:themeColor="text1"/>
        </w:rPr>
        <w:fldChar w:fldCharType="begin" w:fldLock="1"/>
      </w:r>
      <w:r w:rsidR="002F4AA4">
        <w:rPr>
          <w:color w:val="000000" w:themeColor="text1"/>
        </w:rPr>
        <w:instrText>ADDIN CSL_CITATION {"citationItems":[{"id":"ITEM-1","itemData":{"ISBN":"0304-405X","ISSN":"0304405X","PMID":"12243301","abstract":"This paper integrates elements from the theory of agency, the theory of property rights and the theory of finance to develop a theory of the ownership structure of the firm. We define the concept of agency costs, show its relationship to the 'separation and control' issue, investigate the nature of the agency costs generated by the existence of debt and outside equity, demonstrate who bears these costs and why, and investigate the Pareto optimality of their existence. We also provide a new definition of the firm, and show how our analysis of the factors influencing the creation and issuance of debt and equity claims is a special case of the supply side of the completeness of markets problem. The directors of such [joint-stock] companies, however, being the managers rather of other people's money than of their own, it cannot well be expected, that they should watch over it with the same anxious vigilance with which the partners in a private copartnery frequently watch over their own. Like the stewards of a rich man, they are apt to consider attention to small matters as not for their master's honour, and very easily give themselves a dispensation from having it. Negligence and profusion, therefore, must always prevail, more or less, in the management of the affairs of such a company. Adam Smith, The Wealth of Nations, 1776, Cannan Edition. (Modern Library, New York, 1937) p. 700. © 1976.","author":[{"dropping-particle":"","family":"Jensen","given":"Michael C.","non-dropping-particle":"","parse-names":false,"suffix":""},{"dropping-particle":"","family":"Meckling","given":"William H.","non-dropping-particle":"","parse-names":false,"suffix":""}],"container-title":"Journal of Financial Economics","id":"ITEM-1","issue":"4","issued":{"date-parts":[["1976"]]},"page":"305-360","title":"Theory of the firm: Managerial behavior, agency costs and ownership structure","type":"article-journal","volume":"3"},"uris":["http://www.mendeley.com/documents/?uuid=6e3baded-4eae-42ef-a0ec-8ecff2dd5506"]}],"mendeley":{"formattedCitation":"(Jensen &amp; Meckling, 1976)","manualFormatting":"Jensen and Meckling (1976)","plainTextFormattedCitation":"(Jensen &amp; Meckling, 1976)","previouslyFormattedCitation":"(Jensen &amp; Meckling, 1976)"},"properties":{"noteIndex":0},"schema":"https://github.com/citation-style-language/schema/raw/master/csl-citation.json"}</w:instrText>
      </w:r>
      <w:r w:rsidR="00B148F4" w:rsidRPr="00853913">
        <w:rPr>
          <w:color w:val="000000" w:themeColor="text1"/>
        </w:rPr>
        <w:fldChar w:fldCharType="separate"/>
      </w:r>
      <w:r w:rsidR="00B148F4" w:rsidRPr="00853913">
        <w:rPr>
          <w:noProof/>
          <w:color w:val="000000" w:themeColor="text1"/>
        </w:rPr>
        <w:t>Jensen and Meckling (1976)</w:t>
      </w:r>
      <w:r w:rsidR="00B148F4" w:rsidRPr="00853913">
        <w:rPr>
          <w:color w:val="000000" w:themeColor="text1"/>
        </w:rPr>
        <w:fldChar w:fldCharType="end"/>
      </w:r>
      <w:r w:rsidR="00B148F4" w:rsidRPr="00853913">
        <w:rPr>
          <w:color w:val="000000" w:themeColor="text1"/>
        </w:rPr>
        <w:t xml:space="preserve"> find that when an investor buys an equity stake in a public firm, managers may invest t</w:t>
      </w:r>
      <w:r w:rsidR="00B148F4">
        <w:rPr>
          <w:color w:val="000000" w:themeColor="text1"/>
        </w:rPr>
        <w:t>he</w:t>
      </w:r>
      <w:r w:rsidR="008160D5">
        <w:rPr>
          <w:color w:val="000000" w:themeColor="text1"/>
        </w:rPr>
        <w:t xml:space="preserve">ir </w:t>
      </w:r>
      <w:r w:rsidR="00B148F4" w:rsidRPr="00853913">
        <w:rPr>
          <w:color w:val="000000" w:themeColor="text1"/>
        </w:rPr>
        <w:t>capital in opportunistic ways which are detrimen</w:t>
      </w:r>
      <w:bookmarkStart w:id="16" w:name="_Toc501137578"/>
      <w:r w:rsidR="00B148F4">
        <w:rPr>
          <w:color w:val="000000" w:themeColor="text1"/>
        </w:rPr>
        <w:t xml:space="preserve">tal to </w:t>
      </w:r>
      <w:r w:rsidR="00BD287F">
        <w:rPr>
          <w:color w:val="000000" w:themeColor="text1"/>
        </w:rPr>
        <w:t>investors</w:t>
      </w:r>
      <w:r w:rsidR="00B148F4">
        <w:rPr>
          <w:color w:val="000000" w:themeColor="text1"/>
        </w:rPr>
        <w:t>.</w:t>
      </w:r>
      <w:bookmarkEnd w:id="16"/>
      <w:r w:rsidR="005B5287">
        <w:rPr>
          <w:b/>
          <w:color w:val="000000" w:themeColor="text1"/>
        </w:rPr>
        <w:t xml:space="preserve"> </w:t>
      </w:r>
    </w:p>
    <w:p w14:paraId="1C3B32E8" w14:textId="4A89A6E7" w:rsidR="009F7296" w:rsidRPr="00552BA1" w:rsidRDefault="00521669" w:rsidP="009F7296">
      <w:pPr>
        <w:pStyle w:val="ListParagraph"/>
        <w:numPr>
          <w:ilvl w:val="0"/>
          <w:numId w:val="1"/>
        </w:numPr>
        <w:spacing w:line="360" w:lineRule="auto"/>
        <w:jc w:val="both"/>
        <w:outlineLvl w:val="0"/>
        <w:rPr>
          <w:b/>
          <w:lang w:eastAsia="en-US"/>
        </w:rPr>
      </w:pPr>
      <w:bookmarkStart w:id="17" w:name="_Toc9185785"/>
      <w:r w:rsidRPr="00552BA1">
        <w:rPr>
          <w:b/>
          <w:lang w:eastAsia="en-US"/>
        </w:rPr>
        <w:t>Literature review</w:t>
      </w:r>
      <w:bookmarkEnd w:id="17"/>
    </w:p>
    <w:p w14:paraId="1DD4D80B" w14:textId="6E6A7D47" w:rsidR="005570E2" w:rsidRPr="00540DBF" w:rsidRDefault="005570E2" w:rsidP="001E756A">
      <w:pPr>
        <w:pStyle w:val="ListParagraph"/>
        <w:numPr>
          <w:ilvl w:val="1"/>
          <w:numId w:val="1"/>
        </w:numPr>
        <w:spacing w:line="360" w:lineRule="auto"/>
        <w:jc w:val="both"/>
        <w:outlineLvl w:val="1"/>
        <w:rPr>
          <w:b/>
          <w:lang w:eastAsia="en-US"/>
        </w:rPr>
      </w:pPr>
      <w:bookmarkStart w:id="18" w:name="_Toc9185786"/>
      <w:r w:rsidRPr="00540DBF">
        <w:rPr>
          <w:b/>
          <w:lang w:eastAsia="en-US"/>
        </w:rPr>
        <w:t>Effective regulatory intervention</w:t>
      </w:r>
      <w:bookmarkEnd w:id="18"/>
    </w:p>
    <w:p w14:paraId="04F7EF15" w14:textId="0D3067FF" w:rsidR="00D7275E" w:rsidRDefault="00DA60D0" w:rsidP="0030659B">
      <w:pPr>
        <w:spacing w:line="360" w:lineRule="auto"/>
        <w:jc w:val="both"/>
        <w:rPr>
          <w:lang w:eastAsia="en-US"/>
        </w:rPr>
      </w:pPr>
      <w:r>
        <w:rPr>
          <w:lang w:eastAsia="en-US"/>
        </w:rPr>
        <w:t xml:space="preserve">Growing literature </w:t>
      </w:r>
      <w:r w:rsidR="00E23C4B">
        <w:rPr>
          <w:lang w:eastAsia="en-US"/>
        </w:rPr>
        <w:t>examin</w:t>
      </w:r>
      <w:r>
        <w:rPr>
          <w:lang w:eastAsia="en-US"/>
        </w:rPr>
        <w:t>ing</w:t>
      </w:r>
      <w:r w:rsidR="00E23C4B">
        <w:rPr>
          <w:lang w:eastAsia="en-US"/>
        </w:rPr>
        <w:t xml:space="preserve"> factors affecting </w:t>
      </w:r>
      <w:r w:rsidR="008A6091">
        <w:rPr>
          <w:lang w:eastAsia="en-US"/>
        </w:rPr>
        <w:t>SEC review</w:t>
      </w:r>
      <w:r>
        <w:rPr>
          <w:lang w:eastAsia="en-US"/>
        </w:rPr>
        <w:t xml:space="preserve"> supports effectiveness of the SEC review</w:t>
      </w:r>
      <w:r w:rsidR="0028567B">
        <w:rPr>
          <w:noProof/>
          <w:lang w:eastAsia="en-US"/>
        </w:rPr>
        <w:t>.</w:t>
      </w:r>
      <w:r w:rsidR="00813FA1">
        <w:rPr>
          <w:lang w:eastAsia="en-US"/>
        </w:rPr>
        <w:t xml:space="preserve"> </w:t>
      </w:r>
      <w:r w:rsidR="005357C1">
        <w:rPr>
          <w:lang w:eastAsia="en-US"/>
        </w:rPr>
        <w:t xml:space="preserve">In terms of impact of IPO firm characteristics, </w:t>
      </w:r>
      <w:r w:rsidR="00813FA1" w:rsidRPr="00F06128">
        <w:rPr>
          <w:lang w:eastAsia="en-US"/>
        </w:rPr>
        <w:fldChar w:fldCharType="begin" w:fldLock="1"/>
      </w:r>
      <w:r w:rsidR="002F4AA4">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Dreher, &amp; Myers, 2013)","manualFormatting":"Cassell et al. (2013)","plainTextFormattedCitation":"(Cassell, Dreher, &amp; Myers, 2013)","previouslyFormattedCitation":"(Cassell, Dreher, &amp; Myers, 2013)"},"properties":{"noteIndex":0},"schema":"https://github.com/citation-style-language/schema/raw/master/csl-citation.json"}</w:instrText>
      </w:r>
      <w:r w:rsidR="00813FA1" w:rsidRPr="00F06128">
        <w:rPr>
          <w:lang w:eastAsia="en-US"/>
        </w:rPr>
        <w:fldChar w:fldCharType="separate"/>
      </w:r>
      <w:r w:rsidR="00813FA1" w:rsidRPr="00F06128">
        <w:rPr>
          <w:noProof/>
          <w:lang w:eastAsia="en-US"/>
        </w:rPr>
        <w:t>Cassell et al. (2013)</w:t>
      </w:r>
      <w:r w:rsidR="00813FA1" w:rsidRPr="00F06128">
        <w:rPr>
          <w:lang w:eastAsia="en-US"/>
        </w:rPr>
        <w:fldChar w:fldCharType="end"/>
      </w:r>
      <w:r w:rsidR="00813FA1" w:rsidRPr="00F06128">
        <w:rPr>
          <w:lang w:eastAsia="en-US"/>
        </w:rPr>
        <w:t xml:space="preserve"> </w:t>
      </w:r>
      <w:r>
        <w:rPr>
          <w:lang w:eastAsia="en-US"/>
        </w:rPr>
        <w:t>find evidence</w:t>
      </w:r>
      <w:r w:rsidR="00C26300" w:rsidRPr="00F06128">
        <w:rPr>
          <w:lang w:eastAsia="en-US"/>
        </w:rPr>
        <w:t xml:space="preserve"> that</w:t>
      </w:r>
      <w:r w:rsidR="00521669" w:rsidRPr="00F06128">
        <w:rPr>
          <w:lang w:eastAsia="en-US"/>
        </w:rPr>
        <w:t xml:space="preserve"> </w:t>
      </w:r>
      <w:r w:rsidR="008160D5" w:rsidRPr="00F06128">
        <w:rPr>
          <w:lang w:eastAsia="en-US"/>
        </w:rPr>
        <w:t xml:space="preserve">besides factors </w:t>
      </w:r>
      <w:r w:rsidR="00244601" w:rsidRPr="00F06128">
        <w:rPr>
          <w:lang w:eastAsia="en-US"/>
        </w:rPr>
        <w:t xml:space="preserve">suggested </w:t>
      </w:r>
      <w:r w:rsidR="008160D5" w:rsidRPr="00F06128">
        <w:rPr>
          <w:lang w:eastAsia="en-US"/>
        </w:rPr>
        <w:t xml:space="preserve">to </w:t>
      </w:r>
      <w:r w:rsidR="00244601" w:rsidRPr="00F06128">
        <w:rPr>
          <w:lang w:eastAsia="en-US"/>
        </w:rPr>
        <w:t xml:space="preserve">raise </w:t>
      </w:r>
      <w:r w:rsidR="008160D5" w:rsidRPr="00F06128">
        <w:rPr>
          <w:lang w:eastAsia="en-US"/>
        </w:rPr>
        <w:t xml:space="preserve">SEC </w:t>
      </w:r>
      <w:r w:rsidR="00A23ACF" w:rsidRPr="00F06128">
        <w:rPr>
          <w:lang w:eastAsia="en-US"/>
        </w:rPr>
        <w:t>oversight</w:t>
      </w:r>
      <w:r w:rsidR="008160D5" w:rsidRPr="00F06128">
        <w:rPr>
          <w:lang w:eastAsia="en-US"/>
        </w:rPr>
        <w:t xml:space="preserve"> </w:t>
      </w:r>
      <w:r>
        <w:rPr>
          <w:lang w:eastAsia="en-US"/>
        </w:rPr>
        <w:t>on 10-K filings as required</w:t>
      </w:r>
      <w:r w:rsidRPr="00F06128">
        <w:rPr>
          <w:lang w:eastAsia="en-US"/>
        </w:rPr>
        <w:t xml:space="preserve"> </w:t>
      </w:r>
      <w:r w:rsidR="008160D5" w:rsidRPr="00F06128">
        <w:rPr>
          <w:lang w:eastAsia="en-US"/>
        </w:rPr>
        <w:t xml:space="preserve">in Section 408 of the Sarbanes-Oxley Act, low profitability, </w:t>
      </w:r>
      <w:r>
        <w:rPr>
          <w:lang w:eastAsia="en-US"/>
        </w:rPr>
        <w:t>high</w:t>
      </w:r>
      <w:r w:rsidR="008160D5" w:rsidRPr="00F06128">
        <w:rPr>
          <w:lang w:eastAsia="en-US"/>
        </w:rPr>
        <w:t xml:space="preserve"> complexity, </w:t>
      </w:r>
      <w:r w:rsidR="001A1AAE" w:rsidRPr="00F06128">
        <w:rPr>
          <w:lang w:eastAsia="en-US"/>
        </w:rPr>
        <w:t xml:space="preserve">being </w:t>
      </w:r>
      <w:r w:rsidR="00386119" w:rsidRPr="00F06128">
        <w:rPr>
          <w:lang w:eastAsia="en-US"/>
        </w:rPr>
        <w:t xml:space="preserve">audited by </w:t>
      </w:r>
      <w:r w:rsidR="008160D5" w:rsidRPr="00F06128">
        <w:rPr>
          <w:lang w:eastAsia="en-US"/>
        </w:rPr>
        <w:t xml:space="preserve"> </w:t>
      </w:r>
      <w:r w:rsidR="001A1AAE" w:rsidRPr="00F06128">
        <w:rPr>
          <w:lang w:eastAsia="en-US"/>
        </w:rPr>
        <w:t>small auditors</w:t>
      </w:r>
      <w:r w:rsidR="008160D5" w:rsidRPr="00F06128">
        <w:rPr>
          <w:lang w:eastAsia="en-US"/>
        </w:rPr>
        <w:t xml:space="preserve">, and </w:t>
      </w:r>
      <w:r w:rsidR="00125D69" w:rsidRPr="00F06128">
        <w:rPr>
          <w:lang w:eastAsia="en-US"/>
        </w:rPr>
        <w:t>frailty</w:t>
      </w:r>
      <w:r w:rsidR="008160D5" w:rsidRPr="00F06128">
        <w:rPr>
          <w:lang w:eastAsia="en-US"/>
        </w:rPr>
        <w:t xml:space="preserve"> in </w:t>
      </w:r>
      <w:r w:rsidR="00125D69" w:rsidRPr="00F06128">
        <w:rPr>
          <w:lang w:eastAsia="en-US"/>
        </w:rPr>
        <w:t xml:space="preserve">corporate </w:t>
      </w:r>
      <w:r w:rsidR="008160D5" w:rsidRPr="00F06128">
        <w:rPr>
          <w:lang w:eastAsia="en-US"/>
        </w:rPr>
        <w:t>governance</w:t>
      </w:r>
      <w:r w:rsidR="005570E2">
        <w:rPr>
          <w:lang w:eastAsia="en-US"/>
        </w:rPr>
        <w:t>, which are indicators of  low reporting quality, have</w:t>
      </w:r>
      <w:r w:rsidR="00125D69" w:rsidRPr="00F06128">
        <w:rPr>
          <w:lang w:eastAsia="en-US"/>
        </w:rPr>
        <w:t xml:space="preserve"> positive</w:t>
      </w:r>
      <w:r w:rsidR="00F47D87" w:rsidRPr="00F06128">
        <w:rPr>
          <w:lang w:eastAsia="en-US"/>
        </w:rPr>
        <w:t xml:space="preserve"> </w:t>
      </w:r>
      <w:r w:rsidRPr="00F06128">
        <w:rPr>
          <w:lang w:eastAsia="en-US"/>
        </w:rPr>
        <w:t>association</w:t>
      </w:r>
      <w:r w:rsidR="005570E2">
        <w:rPr>
          <w:lang w:eastAsia="en-US"/>
        </w:rPr>
        <w:t>s</w:t>
      </w:r>
      <w:r w:rsidR="00F47D87" w:rsidRPr="00F06128">
        <w:rPr>
          <w:lang w:eastAsia="en-US"/>
        </w:rPr>
        <w:t xml:space="preserve"> with the probability of </w:t>
      </w:r>
      <w:r w:rsidR="00183581" w:rsidRPr="00F06128">
        <w:rPr>
          <w:lang w:eastAsia="en-US"/>
        </w:rPr>
        <w:t>receiving</w:t>
      </w:r>
      <w:r w:rsidR="008160D5" w:rsidRPr="00F06128">
        <w:rPr>
          <w:lang w:eastAsia="en-US"/>
        </w:rPr>
        <w:t xml:space="preserve"> </w:t>
      </w:r>
      <w:r>
        <w:rPr>
          <w:lang w:eastAsia="en-US"/>
        </w:rPr>
        <w:t>an</w:t>
      </w:r>
      <w:r w:rsidR="00183581" w:rsidRPr="00F06128">
        <w:rPr>
          <w:lang w:eastAsia="en-US"/>
        </w:rPr>
        <w:t xml:space="preserve"> SEC </w:t>
      </w:r>
      <w:r w:rsidR="008160D5" w:rsidRPr="00F06128">
        <w:rPr>
          <w:lang w:eastAsia="en-US"/>
        </w:rPr>
        <w:t xml:space="preserve">letter, the </w:t>
      </w:r>
      <w:r w:rsidR="00183581" w:rsidRPr="00F06128">
        <w:rPr>
          <w:lang w:eastAsia="en-US"/>
        </w:rPr>
        <w:t>number</w:t>
      </w:r>
      <w:r w:rsidR="008160D5" w:rsidRPr="00F06128">
        <w:rPr>
          <w:lang w:eastAsia="en-US"/>
        </w:rPr>
        <w:t xml:space="preserve"> of </w:t>
      </w:r>
      <w:r w:rsidR="00BE5ED0" w:rsidRPr="00F06128">
        <w:rPr>
          <w:lang w:eastAsia="en-US"/>
        </w:rPr>
        <w:t xml:space="preserve">issues mentioned in the </w:t>
      </w:r>
      <w:r w:rsidR="007638D1" w:rsidRPr="00F06128">
        <w:rPr>
          <w:lang w:eastAsia="en-US"/>
        </w:rPr>
        <w:t xml:space="preserve">initial </w:t>
      </w:r>
      <w:r w:rsidR="00BE5ED0" w:rsidRPr="00F06128">
        <w:rPr>
          <w:lang w:eastAsia="en-US"/>
        </w:rPr>
        <w:t>SEC comment letter</w:t>
      </w:r>
      <w:r w:rsidR="007638D1" w:rsidRPr="00F06128">
        <w:rPr>
          <w:lang w:eastAsia="en-US"/>
        </w:rPr>
        <w:t xml:space="preserve">, the </w:t>
      </w:r>
      <w:r w:rsidR="001E3D1C" w:rsidRPr="00F06128">
        <w:rPr>
          <w:lang w:eastAsia="en-US"/>
        </w:rPr>
        <w:t xml:space="preserve">review </w:t>
      </w:r>
      <w:r w:rsidR="007638D1" w:rsidRPr="00F06128">
        <w:rPr>
          <w:lang w:eastAsia="en-US"/>
        </w:rPr>
        <w:t xml:space="preserve">duration from the </w:t>
      </w:r>
      <w:r w:rsidR="00293BE5" w:rsidRPr="00F06128">
        <w:rPr>
          <w:lang w:eastAsia="en-US"/>
        </w:rPr>
        <w:t>date of the initial comment letters to the date of “no further comment” letter</w:t>
      </w:r>
      <w:r w:rsidR="008160D5" w:rsidRPr="00F06128">
        <w:rPr>
          <w:lang w:eastAsia="en-US"/>
        </w:rPr>
        <w:t xml:space="preserve"> and </w:t>
      </w:r>
      <w:r w:rsidR="001E3D1C" w:rsidRPr="00F06128">
        <w:rPr>
          <w:lang w:eastAsia="en-US"/>
        </w:rPr>
        <w:t xml:space="preserve">the number of comment letters during the review duration. </w:t>
      </w:r>
      <w:r w:rsidR="00F72A55" w:rsidRPr="005454D6">
        <w:rPr>
          <w:lang w:eastAsia="en-US"/>
        </w:rPr>
        <w:t xml:space="preserve">Furthermore, employing the sample of firms </w:t>
      </w:r>
      <w:r w:rsidR="0096502C" w:rsidRPr="005454D6">
        <w:rPr>
          <w:lang w:eastAsia="en-US"/>
        </w:rPr>
        <w:t>whose mandatory executive compensation disclosures</w:t>
      </w:r>
      <w:r w:rsidR="004E7E95" w:rsidRPr="005454D6">
        <w:rPr>
          <w:lang w:eastAsia="en-US"/>
        </w:rPr>
        <w:t xml:space="preserve"> </w:t>
      </w:r>
      <w:r w:rsidR="005570E2">
        <w:rPr>
          <w:lang w:eastAsia="en-US"/>
        </w:rPr>
        <w:t xml:space="preserve">in proxy statement filings </w:t>
      </w:r>
      <w:r w:rsidR="004E7E95" w:rsidRPr="005454D6">
        <w:rPr>
          <w:lang w:eastAsia="en-US"/>
        </w:rPr>
        <w:t xml:space="preserve">are reviewed by the SEC, </w:t>
      </w:r>
      <w:r w:rsidR="002F4AA4" w:rsidRPr="005454D6">
        <w:rPr>
          <w:lang w:eastAsia="en-US"/>
        </w:rPr>
        <w:fldChar w:fldCharType="begin" w:fldLock="1"/>
      </w:r>
      <w:r w:rsidR="003121D0">
        <w:rPr>
          <w:lang w:eastAsia="en-US"/>
        </w:rPr>
        <w:instrText>ADDIN CSL_CITATION {"citationItems":[{"id":"ITEM-1","itemData":{"DOI":"10.2308/accr-10033","ISSN":"00014826","abstract":"We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Review","id":"ITEM-1","issue":"4","issued":{"date-parts":[["2011"]]},"page":"1415-1444","title":"Determinants of disclosure noncompliance and the effect of the SEC review: Evidence from the 2006 mandated compensation disclosure regulations","type":"article-journal","volume":"86"},"uris":["http://www.mendeley.com/documents/?uuid=e8971756-f262-4b89-b55d-978e24fc4f8c"]}],"mendeley":{"formattedCitation":"(Robinson, Xue, &amp; Yu, 2011)","manualFormatting":"Robinson et al. (2011)","plainTextFormattedCitation":"(Robinson, Xue, &amp; Yu, 2011)","previouslyFormattedCitation":"(Robinson, Xue, &amp; Yu, 2011)"},"properties":{"noteIndex":0},"schema":"https://github.com/citation-style-language/schema/raw/master/csl-citation.json"}</w:instrText>
      </w:r>
      <w:r w:rsidR="002F4AA4" w:rsidRPr="005454D6">
        <w:rPr>
          <w:lang w:eastAsia="en-US"/>
        </w:rPr>
        <w:fldChar w:fldCharType="separate"/>
      </w:r>
      <w:r w:rsidR="002F4AA4" w:rsidRPr="005454D6">
        <w:rPr>
          <w:noProof/>
          <w:lang w:eastAsia="en-US"/>
        </w:rPr>
        <w:t>Robinson et al. (2011)</w:t>
      </w:r>
      <w:r w:rsidR="002F4AA4" w:rsidRPr="005454D6">
        <w:rPr>
          <w:lang w:eastAsia="en-US"/>
        </w:rPr>
        <w:fldChar w:fldCharType="end"/>
      </w:r>
      <w:r w:rsidR="005454D6">
        <w:rPr>
          <w:b/>
          <w:lang w:eastAsia="en-US"/>
        </w:rPr>
        <w:t xml:space="preserve"> </w:t>
      </w:r>
      <w:r w:rsidR="005454D6" w:rsidRPr="004312CA">
        <w:rPr>
          <w:lang w:eastAsia="en-US"/>
        </w:rPr>
        <w:t xml:space="preserve">identify </w:t>
      </w:r>
      <w:r w:rsidR="005454D6" w:rsidRPr="00EA5232">
        <w:rPr>
          <w:lang w:eastAsia="en-US"/>
        </w:rPr>
        <w:t xml:space="preserve">that </w:t>
      </w:r>
      <w:r w:rsidR="004312CA" w:rsidRPr="00EA5232">
        <w:rPr>
          <w:lang w:eastAsia="en-US"/>
        </w:rPr>
        <w:t xml:space="preserve">the number of comments </w:t>
      </w:r>
      <w:r w:rsidR="00501B55" w:rsidRPr="00EA5232">
        <w:rPr>
          <w:lang w:eastAsia="en-US"/>
        </w:rPr>
        <w:t xml:space="preserve">is more for </w:t>
      </w:r>
      <w:r w:rsidR="005570E2">
        <w:rPr>
          <w:lang w:eastAsia="en-US"/>
        </w:rPr>
        <w:t>firms with</w:t>
      </w:r>
      <w:r w:rsidR="00501B55" w:rsidRPr="00EA5232">
        <w:rPr>
          <w:lang w:eastAsia="en-US"/>
        </w:rPr>
        <w:t xml:space="preserve"> weak corporate governance </w:t>
      </w:r>
      <w:r w:rsidR="004B345D" w:rsidRPr="00EA5232">
        <w:rPr>
          <w:lang w:eastAsia="en-US"/>
        </w:rPr>
        <w:t xml:space="preserve">as indicated by </w:t>
      </w:r>
      <w:r w:rsidR="000B60BB" w:rsidRPr="00EA5232">
        <w:rPr>
          <w:lang w:eastAsia="en-US"/>
        </w:rPr>
        <w:t>the combination of CEO and chairman</w:t>
      </w:r>
      <w:r w:rsidR="004F5AD3" w:rsidRPr="00EA5232">
        <w:rPr>
          <w:lang w:eastAsia="en-US"/>
        </w:rPr>
        <w:t xml:space="preserve"> positions and the </w:t>
      </w:r>
      <w:r w:rsidR="007B331C" w:rsidRPr="00EA5232">
        <w:rPr>
          <w:lang w:eastAsia="en-US"/>
        </w:rPr>
        <w:t xml:space="preserve">small number of independent board members, and for the firm </w:t>
      </w:r>
      <w:r w:rsidR="005570E2">
        <w:rPr>
          <w:lang w:eastAsia="en-US"/>
        </w:rPr>
        <w:t>with</w:t>
      </w:r>
      <w:r w:rsidR="007B331C" w:rsidRPr="00EA5232">
        <w:rPr>
          <w:lang w:eastAsia="en-US"/>
        </w:rPr>
        <w:t xml:space="preserve"> </w:t>
      </w:r>
      <w:r w:rsidR="00EA5232" w:rsidRPr="00EA5232">
        <w:rPr>
          <w:lang w:eastAsia="en-US"/>
        </w:rPr>
        <w:t>excessive CEO compensation.</w:t>
      </w:r>
      <w:r w:rsidR="00EA5232">
        <w:rPr>
          <w:lang w:eastAsia="en-US"/>
        </w:rPr>
        <w:t xml:space="preserve"> </w:t>
      </w:r>
      <w:r w:rsidR="003121D0">
        <w:rPr>
          <w:lang w:eastAsia="en-US"/>
        </w:rPr>
        <w:t xml:space="preserve">Similarly, </w:t>
      </w:r>
      <w:r w:rsidR="003121D0">
        <w:rPr>
          <w:lang w:eastAsia="en-US"/>
        </w:rPr>
        <w:fldChar w:fldCharType="begin" w:fldLock="1"/>
      </w:r>
      <w:r w:rsidR="005E0336">
        <w:rPr>
          <w:lang w:eastAsia="en-US"/>
        </w:rPr>
        <w:instrText>ADDIN CSL_CITATION {"citationItems":[{"id":"ITEM-1","itemData":{"DOI":"10.1007/s11142-011-9153-8","ISSN":"13806653","abstract":"Motivated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Johnstone, Stone, &amp; Wang, 2011)","manualFormatting":"Ettredge et al. (2011)","plainTextFormattedCitation":"(Ettredge, Johnstone, Stone, &amp; Wang, 2011)","previouslyFormattedCitation":"(Ettredge, Johnstone, Stone, &amp; Wang, 2011)"},"properties":{"noteIndex":0},"schema":"https://github.com/citation-style-language/schema/raw/master/csl-citation.json"}</w:instrText>
      </w:r>
      <w:r w:rsidR="003121D0">
        <w:rPr>
          <w:lang w:eastAsia="en-US"/>
        </w:rPr>
        <w:fldChar w:fldCharType="separate"/>
      </w:r>
      <w:r w:rsidR="003121D0" w:rsidRPr="003121D0">
        <w:rPr>
          <w:noProof/>
          <w:lang w:eastAsia="en-US"/>
        </w:rPr>
        <w:t>Ettredge</w:t>
      </w:r>
      <w:r w:rsidR="003121D0">
        <w:rPr>
          <w:noProof/>
          <w:lang w:eastAsia="en-US"/>
        </w:rPr>
        <w:t xml:space="preserve"> et al.</w:t>
      </w:r>
      <w:r w:rsidR="00D165DB">
        <w:rPr>
          <w:noProof/>
          <w:lang w:eastAsia="en-US"/>
        </w:rPr>
        <w:t xml:space="preserve"> (</w:t>
      </w:r>
      <w:r w:rsidR="003121D0" w:rsidRPr="003121D0">
        <w:rPr>
          <w:noProof/>
          <w:lang w:eastAsia="en-US"/>
        </w:rPr>
        <w:t>2011)</w:t>
      </w:r>
      <w:r w:rsidR="003121D0">
        <w:rPr>
          <w:lang w:eastAsia="en-US"/>
        </w:rPr>
        <w:fldChar w:fldCharType="end"/>
      </w:r>
      <w:r w:rsidR="00D165DB">
        <w:rPr>
          <w:lang w:eastAsia="en-US"/>
        </w:rPr>
        <w:t xml:space="preserve"> </w:t>
      </w:r>
      <w:r w:rsidR="005570E2">
        <w:rPr>
          <w:lang w:eastAsia="en-US"/>
        </w:rPr>
        <w:t>conduct examination on SEC review on 8-K filings and observe</w:t>
      </w:r>
      <w:r w:rsidR="00D165DB">
        <w:rPr>
          <w:lang w:eastAsia="en-US"/>
        </w:rPr>
        <w:t xml:space="preserve"> that </w:t>
      </w:r>
      <w:r w:rsidR="0096441B">
        <w:rPr>
          <w:lang w:eastAsia="en-US"/>
        </w:rPr>
        <w:t xml:space="preserve">the probability of receiving a comment </w:t>
      </w:r>
      <w:r w:rsidR="00A02079">
        <w:rPr>
          <w:lang w:eastAsia="en-US"/>
        </w:rPr>
        <w:t>letter</w:t>
      </w:r>
      <w:r w:rsidR="0096441B">
        <w:rPr>
          <w:lang w:eastAsia="en-US"/>
        </w:rPr>
        <w:t xml:space="preserve"> is </w:t>
      </w:r>
      <w:r w:rsidR="00971B85">
        <w:rPr>
          <w:lang w:eastAsia="en-US"/>
        </w:rPr>
        <w:t xml:space="preserve">lower </w:t>
      </w:r>
      <w:r w:rsidR="00971B85" w:rsidRPr="00053E17">
        <w:rPr>
          <w:lang w:eastAsia="en-US"/>
        </w:rPr>
        <w:t xml:space="preserve">when the firms have stronger </w:t>
      </w:r>
      <w:r w:rsidR="00971B85" w:rsidRPr="001306FE">
        <w:rPr>
          <w:lang w:eastAsia="en-US"/>
        </w:rPr>
        <w:t xml:space="preserve">internal control and corporate governance as indicated by the </w:t>
      </w:r>
      <w:r w:rsidR="000A0DA2" w:rsidRPr="001306FE">
        <w:rPr>
          <w:lang w:eastAsia="en-US"/>
        </w:rPr>
        <w:t xml:space="preserve">separation of CEO and chairman positions </w:t>
      </w:r>
      <w:r w:rsidR="00053E17" w:rsidRPr="001306FE">
        <w:rPr>
          <w:lang w:eastAsia="en-US"/>
        </w:rPr>
        <w:t xml:space="preserve">and the increase in </w:t>
      </w:r>
      <w:r w:rsidR="00A02079">
        <w:rPr>
          <w:lang w:eastAsia="en-US"/>
        </w:rPr>
        <w:t xml:space="preserve">the </w:t>
      </w:r>
      <w:r w:rsidR="00053E17" w:rsidRPr="001306FE">
        <w:rPr>
          <w:lang w:eastAsia="en-US"/>
        </w:rPr>
        <w:t>frequency of board or audit committee meetings.</w:t>
      </w:r>
      <w:r w:rsidR="00DA5996" w:rsidRPr="001306FE">
        <w:rPr>
          <w:lang w:eastAsia="en-US"/>
        </w:rPr>
        <w:fldChar w:fldCharType="begin" w:fldLock="1"/>
      </w:r>
      <w:r w:rsidR="008D6BD9" w:rsidRPr="001306FE">
        <w:rPr>
          <w:lang w:eastAsia="en-US"/>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Khan, &amp; Ramanna, 2017)","manualFormatting":" Heese et al. (2017)","plainTextFormattedCitation":"(Heese, Khan, &amp; Ramanna, 2017)","previouslyFormattedCitation":"(Heese, Khan, &amp; Ramanna, 2017)"},"properties":{"noteIndex":0},"schema":"https://github.com/citation-style-language/schema/raw/master/csl-citation.json"}</w:instrText>
      </w:r>
      <w:r w:rsidR="00DA5996" w:rsidRPr="001306FE">
        <w:rPr>
          <w:lang w:eastAsia="en-US"/>
        </w:rPr>
        <w:fldChar w:fldCharType="separate"/>
      </w:r>
      <w:r w:rsidR="00DA5996" w:rsidRPr="001306FE">
        <w:rPr>
          <w:noProof/>
          <w:lang w:eastAsia="en-US"/>
        </w:rPr>
        <w:t xml:space="preserve"> Heese et al. (2017)</w:t>
      </w:r>
      <w:r w:rsidR="00DA5996" w:rsidRPr="001306FE">
        <w:rPr>
          <w:lang w:eastAsia="en-US"/>
        </w:rPr>
        <w:fldChar w:fldCharType="end"/>
      </w:r>
      <w:r w:rsidR="00DA5996" w:rsidRPr="001306FE">
        <w:rPr>
          <w:lang w:eastAsia="en-US"/>
        </w:rPr>
        <w:t xml:space="preserve"> ex</w:t>
      </w:r>
      <w:r w:rsidR="004A4145" w:rsidRPr="001306FE">
        <w:rPr>
          <w:lang w:eastAsia="en-US"/>
        </w:rPr>
        <w:t xml:space="preserve">amine </w:t>
      </w:r>
      <w:r w:rsidR="00CD2C09" w:rsidRPr="001306FE">
        <w:rPr>
          <w:lang w:eastAsia="en-US"/>
        </w:rPr>
        <w:t xml:space="preserve">SEC review on 10-K filings and identify that </w:t>
      </w:r>
      <w:r w:rsidR="001A06C6" w:rsidRPr="001306FE">
        <w:rPr>
          <w:lang w:eastAsia="en-US"/>
        </w:rPr>
        <w:t xml:space="preserve">probability of receiving a SEC comment </w:t>
      </w:r>
      <w:r w:rsidR="00A02079">
        <w:rPr>
          <w:lang w:eastAsia="en-US"/>
        </w:rPr>
        <w:t>letter</w:t>
      </w:r>
      <w:r w:rsidR="001A06C6" w:rsidRPr="001306FE">
        <w:rPr>
          <w:lang w:eastAsia="en-US"/>
        </w:rPr>
        <w:t xml:space="preserve"> is</w:t>
      </w:r>
      <w:r w:rsidR="00A33DC5" w:rsidRPr="001306FE">
        <w:rPr>
          <w:lang w:eastAsia="en-US"/>
        </w:rPr>
        <w:t xml:space="preserve"> higher for bigger </w:t>
      </w:r>
      <w:r w:rsidR="005570E2">
        <w:rPr>
          <w:lang w:eastAsia="en-US"/>
        </w:rPr>
        <w:t xml:space="preserve">and </w:t>
      </w:r>
      <w:r w:rsidR="00A33DC5" w:rsidRPr="001306FE">
        <w:rPr>
          <w:lang w:eastAsia="en-US"/>
        </w:rPr>
        <w:t>older firms</w:t>
      </w:r>
      <w:r w:rsidR="005570E2">
        <w:rPr>
          <w:lang w:eastAsia="en-US"/>
        </w:rPr>
        <w:t xml:space="preserve"> who may have more complexity in their business, as well as</w:t>
      </w:r>
      <w:r w:rsidR="00A33DC5" w:rsidRPr="001306FE">
        <w:rPr>
          <w:lang w:eastAsia="en-US"/>
        </w:rPr>
        <w:t xml:space="preserve"> </w:t>
      </w:r>
      <w:r w:rsidR="00C27F7F" w:rsidRPr="001306FE">
        <w:rPr>
          <w:lang w:eastAsia="en-US"/>
        </w:rPr>
        <w:t>firm</w:t>
      </w:r>
      <w:r w:rsidR="005570E2">
        <w:rPr>
          <w:lang w:eastAsia="en-US"/>
        </w:rPr>
        <w:t>s</w:t>
      </w:r>
      <w:r w:rsidR="00C27F7F" w:rsidRPr="001306FE">
        <w:rPr>
          <w:lang w:eastAsia="en-US"/>
        </w:rPr>
        <w:t xml:space="preserve"> having loss</w:t>
      </w:r>
      <w:r w:rsidR="00CF38EE" w:rsidRPr="001306FE">
        <w:rPr>
          <w:lang w:eastAsia="en-US"/>
        </w:rPr>
        <w:t>,</w:t>
      </w:r>
      <w:r w:rsidR="00C2761E" w:rsidRPr="001306FE">
        <w:rPr>
          <w:lang w:eastAsia="en-US"/>
        </w:rPr>
        <w:t xml:space="preserve"> </w:t>
      </w:r>
      <w:r w:rsidR="005570E2">
        <w:rPr>
          <w:lang w:eastAsia="en-US"/>
        </w:rPr>
        <w:t xml:space="preserve">firms with </w:t>
      </w:r>
      <w:r w:rsidR="00C2761E" w:rsidRPr="001306FE">
        <w:rPr>
          <w:lang w:eastAsia="en-US"/>
        </w:rPr>
        <w:t>lower ratio market-to-book value</w:t>
      </w:r>
      <w:r w:rsidR="00F2368A" w:rsidRPr="001306FE">
        <w:rPr>
          <w:lang w:eastAsia="en-US"/>
        </w:rPr>
        <w:t xml:space="preserve"> </w:t>
      </w:r>
      <w:r w:rsidR="005570E2">
        <w:rPr>
          <w:lang w:eastAsia="en-US"/>
        </w:rPr>
        <w:t xml:space="preserve">who may have higher information uncertainty, </w:t>
      </w:r>
      <w:r w:rsidR="00F2368A" w:rsidRPr="001306FE">
        <w:rPr>
          <w:lang w:eastAsia="en-US"/>
        </w:rPr>
        <w:t xml:space="preserve">and </w:t>
      </w:r>
      <w:r w:rsidR="005570E2">
        <w:rPr>
          <w:lang w:eastAsia="en-US"/>
        </w:rPr>
        <w:t>firms</w:t>
      </w:r>
      <w:r w:rsidR="00910194" w:rsidRPr="001306FE">
        <w:rPr>
          <w:lang w:eastAsia="en-US"/>
        </w:rPr>
        <w:t xml:space="preserve"> not conducting external financing </w:t>
      </w:r>
      <w:r w:rsidR="00F2368A" w:rsidRPr="001306FE">
        <w:rPr>
          <w:lang w:eastAsia="en-US"/>
        </w:rPr>
        <w:t>activities</w:t>
      </w:r>
      <w:r w:rsidR="005570E2">
        <w:rPr>
          <w:lang w:eastAsia="en-US"/>
        </w:rPr>
        <w:t>, who  may have lower reporting quality</w:t>
      </w:r>
      <w:r w:rsidR="00F2368A" w:rsidRPr="001306FE">
        <w:rPr>
          <w:lang w:eastAsia="en-US"/>
        </w:rPr>
        <w:t>.</w:t>
      </w:r>
      <w:r w:rsidR="008D6BD9" w:rsidRPr="001306FE">
        <w:rPr>
          <w:lang w:eastAsia="en-US"/>
        </w:rPr>
        <w:fldChar w:fldCharType="begin" w:fldLock="1"/>
      </w:r>
      <w:r w:rsidR="006C238F">
        <w:rPr>
          <w:lang w:eastAsia="en-US"/>
        </w:rPr>
        <w:instrText>ADDIN CSL_CITATION {"citationItems":[{"id":"ITEM-1","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DP12145","id":"ITEM-1","issued":{"date-parts":[["2017"]]},"note":"We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?","type":"article-journal"},"uris":["http://www.mendeley.com/documents/?uuid=1244073f-8151-4447-8b41-8cd7e5d57e28"]}],"mendeley":{"formattedCitation":"(Duro et al., 2017)","manualFormatting":" Duro et al. (2017)","plainTextFormattedCitation":"(Duro et al., 2017)","previouslyFormattedCitation":"(Duro et al., 2017)"},"properties":{"noteIndex":0},"schema":"https://github.com/citation-style-language/schema/raw/master/csl-citation.json"}</w:instrText>
      </w:r>
      <w:r w:rsidR="008D6BD9" w:rsidRPr="001306FE">
        <w:rPr>
          <w:lang w:eastAsia="en-US"/>
        </w:rPr>
        <w:fldChar w:fldCharType="separate"/>
      </w:r>
      <w:r w:rsidR="008D6BD9" w:rsidRPr="001306FE">
        <w:rPr>
          <w:noProof/>
          <w:lang w:eastAsia="en-US"/>
        </w:rPr>
        <w:t xml:space="preserve"> Duro et al. (2017)</w:t>
      </w:r>
      <w:r w:rsidR="008D6BD9" w:rsidRPr="001306FE">
        <w:rPr>
          <w:lang w:eastAsia="en-US"/>
        </w:rPr>
        <w:fldChar w:fldCharType="end"/>
      </w:r>
      <w:r w:rsidR="008D6BD9" w:rsidRPr="001306FE">
        <w:rPr>
          <w:lang w:eastAsia="en-US"/>
        </w:rPr>
        <w:t xml:space="preserve"> </w:t>
      </w:r>
      <w:r w:rsidR="00F73D0B" w:rsidRPr="001306FE">
        <w:rPr>
          <w:lang w:eastAsia="en-US"/>
        </w:rPr>
        <w:t xml:space="preserve">also investigate the SEC review on 10-K filings and find evidence that </w:t>
      </w:r>
      <w:r w:rsidR="00C72D4A" w:rsidRPr="001306FE">
        <w:rPr>
          <w:lang w:eastAsia="en-US"/>
        </w:rPr>
        <w:t>after May 12</w:t>
      </w:r>
      <w:r w:rsidR="00C72D4A" w:rsidRPr="001306FE">
        <w:rPr>
          <w:vertAlign w:val="superscript"/>
          <w:lang w:eastAsia="en-US"/>
        </w:rPr>
        <w:t>th</w:t>
      </w:r>
      <w:r w:rsidR="00C72D4A" w:rsidRPr="001306FE">
        <w:rPr>
          <w:lang w:eastAsia="en-US"/>
        </w:rPr>
        <w:t>, 2005 when the SEC began publish</w:t>
      </w:r>
      <w:r w:rsidR="00A02079">
        <w:rPr>
          <w:lang w:eastAsia="en-US"/>
        </w:rPr>
        <w:t>ing</w:t>
      </w:r>
      <w:r w:rsidR="00C72D4A" w:rsidRPr="001306FE">
        <w:rPr>
          <w:lang w:eastAsia="en-US"/>
        </w:rPr>
        <w:t xml:space="preserve"> their comment letters and the firms’ correspondence, </w:t>
      </w:r>
      <w:r w:rsidR="00F73D0B" w:rsidRPr="001306FE">
        <w:rPr>
          <w:lang w:eastAsia="en-US"/>
        </w:rPr>
        <w:t xml:space="preserve">the probability of receiving a SEC comment </w:t>
      </w:r>
      <w:r w:rsidR="00A02079">
        <w:rPr>
          <w:lang w:eastAsia="en-US"/>
        </w:rPr>
        <w:t>letter</w:t>
      </w:r>
      <w:r w:rsidR="00F73D0B" w:rsidRPr="001306FE">
        <w:rPr>
          <w:lang w:eastAsia="en-US"/>
        </w:rPr>
        <w:t xml:space="preserve"> is higher for </w:t>
      </w:r>
      <w:r w:rsidR="0002285E" w:rsidRPr="001306FE">
        <w:rPr>
          <w:lang w:eastAsia="en-US"/>
        </w:rPr>
        <w:t xml:space="preserve">firms </w:t>
      </w:r>
      <w:r w:rsidR="005357C1">
        <w:rPr>
          <w:lang w:eastAsia="en-US"/>
        </w:rPr>
        <w:t>with</w:t>
      </w:r>
      <w:r w:rsidR="0002285E" w:rsidRPr="001306FE">
        <w:rPr>
          <w:lang w:eastAsia="en-US"/>
        </w:rPr>
        <w:t xml:space="preserve"> </w:t>
      </w:r>
      <w:r w:rsidR="00677F9F">
        <w:rPr>
          <w:lang w:eastAsia="en-US"/>
        </w:rPr>
        <w:t>higher</w:t>
      </w:r>
      <w:r w:rsidR="0002285E" w:rsidRPr="001306FE">
        <w:rPr>
          <w:lang w:eastAsia="en-US"/>
        </w:rPr>
        <w:t xml:space="preserve"> leverage</w:t>
      </w:r>
      <w:r w:rsidR="005357C1">
        <w:rPr>
          <w:lang w:eastAsia="en-US"/>
        </w:rPr>
        <w:t xml:space="preserve"> who have higher debt level</w:t>
      </w:r>
      <w:r w:rsidR="00CF38EE" w:rsidRPr="001306FE">
        <w:rPr>
          <w:lang w:eastAsia="en-US"/>
        </w:rPr>
        <w:t xml:space="preserve">, </w:t>
      </w:r>
      <w:r w:rsidR="005357C1">
        <w:rPr>
          <w:lang w:eastAsia="en-US"/>
        </w:rPr>
        <w:t>firms with</w:t>
      </w:r>
      <w:r w:rsidR="00CF38EE" w:rsidRPr="001306FE">
        <w:rPr>
          <w:lang w:eastAsia="en-US"/>
        </w:rPr>
        <w:t xml:space="preserve"> higher ratio of book-to-market value</w:t>
      </w:r>
      <w:r w:rsidR="001306FE" w:rsidRPr="001306FE">
        <w:rPr>
          <w:lang w:eastAsia="en-US"/>
        </w:rPr>
        <w:t xml:space="preserve"> </w:t>
      </w:r>
      <w:r w:rsidR="005357C1">
        <w:rPr>
          <w:lang w:eastAsia="en-US"/>
        </w:rPr>
        <w:t xml:space="preserve">who may have higher </w:t>
      </w:r>
      <w:r w:rsidR="005357C1">
        <w:rPr>
          <w:lang w:eastAsia="en-US"/>
        </w:rPr>
        <w:lastRenderedPageBreak/>
        <w:t>information uncertainty,</w:t>
      </w:r>
      <w:r w:rsidR="001306FE" w:rsidRPr="001306FE">
        <w:rPr>
          <w:lang w:eastAsia="en-US"/>
        </w:rPr>
        <w:t xml:space="preserve"> and </w:t>
      </w:r>
      <w:r w:rsidR="0002285E" w:rsidRPr="001306FE">
        <w:rPr>
          <w:lang w:eastAsia="en-US"/>
        </w:rPr>
        <w:t>firms conducting M&amp;A</w:t>
      </w:r>
      <w:r w:rsidR="005357C1">
        <w:rPr>
          <w:lang w:eastAsia="en-US"/>
        </w:rPr>
        <w:t xml:space="preserve"> who may have more complexity</w:t>
      </w:r>
      <w:r w:rsidR="00E95781" w:rsidRPr="00D32409">
        <w:rPr>
          <w:lang w:eastAsia="en-US"/>
        </w:rPr>
        <w:t xml:space="preserve"> in </w:t>
      </w:r>
      <w:r w:rsidR="005357C1">
        <w:rPr>
          <w:lang w:eastAsia="en-US"/>
        </w:rPr>
        <w:t>their business</w:t>
      </w:r>
      <w:r w:rsidR="00DE6C5A">
        <w:rPr>
          <w:b/>
          <w:lang w:eastAsia="en-US"/>
        </w:rPr>
        <w:t>.</w:t>
      </w:r>
      <w:r w:rsidR="007146C1">
        <w:rPr>
          <w:b/>
          <w:lang w:eastAsia="en-US"/>
        </w:rPr>
        <w:t xml:space="preserve"> </w:t>
      </w:r>
    </w:p>
    <w:p w14:paraId="43B62717" w14:textId="3B548F00" w:rsidR="006A3303" w:rsidRDefault="007E25C2" w:rsidP="0030659B">
      <w:pPr>
        <w:spacing w:line="360" w:lineRule="auto"/>
        <w:jc w:val="both"/>
        <w:rPr>
          <w:lang w:eastAsia="en-US"/>
        </w:rPr>
      </w:pPr>
      <w:r w:rsidRPr="00EB29B0">
        <w:rPr>
          <w:lang w:eastAsia="en-US"/>
        </w:rPr>
        <w:t xml:space="preserve">Regarding impact of </w:t>
      </w:r>
      <w:r w:rsidR="00D92D32">
        <w:rPr>
          <w:lang w:eastAsia="en-US"/>
        </w:rPr>
        <w:t>incidences</w:t>
      </w:r>
      <w:r w:rsidR="005357C1">
        <w:rPr>
          <w:lang w:eastAsia="en-US"/>
        </w:rPr>
        <w:t xml:space="preserve"> of regulatory changes and financial crisis</w:t>
      </w:r>
      <w:r w:rsidR="00540DBF">
        <w:rPr>
          <w:lang w:eastAsia="en-US"/>
        </w:rPr>
        <w:t>,</w:t>
      </w:r>
      <w:r w:rsidR="001648E7">
        <w:rPr>
          <w:lang w:eastAsia="en-US"/>
        </w:rPr>
        <w:t xml:space="preserve"> </w:t>
      </w:r>
      <w:r w:rsidR="00024D10">
        <w:rPr>
          <w:lang w:eastAsia="en-US"/>
        </w:rPr>
        <w:fldChar w:fldCharType="begin" w:fldLock="1"/>
      </w:r>
      <w:r w:rsidR="00A611DF">
        <w:rPr>
          <w:lang w:eastAsia="en-US"/>
        </w:rPr>
        <w:instrText>ADDIN CSL_CITATION {"citationItems":[{"id":"ITEM-1","itemData":{"DOI":"10.1016/j.jbankfin.2014.01.021","ISSN":"03784266","abstract":"We investigate whether or not market discipline on banking firms changed after the Dodd-Frank Wall Street Reform and Consumer Protection Act (DFA) of 2010. If market discipline is improved, we should see a lower discount for size on yield spreads, particularly for banks identified as too-big-to-fail (TBTF) or systemically important (SIFI). Using secondary market subordinated debt transactions we find that the size discount is reduced by 47% and TBTF discount is reduced by 94% after the DFA. The DFA has been effective in reducing, but not in eliminating the size and TBTF discounts on yield spreads. Market discipline of banks appears to have improved further after the rating criteria changes by Moody's. © 2014.","author":[{"dropping-particle":"","family":"Balasubramnian","given":"B.","non-dropping-particle":"","parse-names":false,"suffix":""},{"dropping-particle":"","family":"Cyree","given":"K.B.","non-dropping-particle":"","parse-names":false,"suffix":""}],"container-title":"Journal of Banking and Finance","id":"ITEM-1","issue":"1","issued":{"date-parts":[["2014"]]},"page":"155-166","publisher":"Elsevier B.V.","title":"Has market discipline on banks improved after the Dodd-Frank Act?","type":"article-journal","volume":"41"},"uris":["http://www.mendeley.com/documents/?uuid=75077377-866e-4864-aa49-595f9ad0afa6"]}],"mendeley":{"formattedCitation":"(Balasubramnian &amp; Cyree, 2014)","manualFormatting":"Balasubramnian &amp; Cyree (2014)","plainTextFormattedCitation":"(Balasubramnian &amp; Cyree, 2014)","previouslyFormattedCitation":"(Balasubramnian &amp; Cyree, 2014)"},"properties":{"noteIndex":0},"schema":"https://github.com/citation-style-language/schema/raw/master/csl-citation.json"}</w:instrText>
      </w:r>
      <w:r w:rsidR="00024D10">
        <w:rPr>
          <w:lang w:eastAsia="en-US"/>
        </w:rPr>
        <w:fldChar w:fldCharType="separate"/>
      </w:r>
      <w:r w:rsidR="00024D10" w:rsidRPr="00024D10">
        <w:rPr>
          <w:noProof/>
          <w:lang w:eastAsia="en-US"/>
        </w:rPr>
        <w:t>Balasubr</w:t>
      </w:r>
      <w:r w:rsidR="00024D10">
        <w:rPr>
          <w:noProof/>
          <w:lang w:eastAsia="en-US"/>
        </w:rPr>
        <w:t>amnian &amp; Cyree (</w:t>
      </w:r>
      <w:r w:rsidR="00024D10" w:rsidRPr="00024D10">
        <w:rPr>
          <w:noProof/>
          <w:lang w:eastAsia="en-US"/>
        </w:rPr>
        <w:t>2014)</w:t>
      </w:r>
      <w:r w:rsidR="00024D10">
        <w:rPr>
          <w:lang w:eastAsia="en-US"/>
        </w:rPr>
        <w:fldChar w:fldCharType="end"/>
      </w:r>
      <w:r w:rsidR="00024D10">
        <w:rPr>
          <w:lang w:eastAsia="en-US"/>
        </w:rPr>
        <w:t xml:space="preserve"> </w:t>
      </w:r>
      <w:r w:rsidR="005357C1">
        <w:rPr>
          <w:lang w:eastAsia="en-US"/>
        </w:rPr>
        <w:t>find evidence</w:t>
      </w:r>
      <w:r w:rsidR="00024D10">
        <w:rPr>
          <w:lang w:eastAsia="en-US"/>
        </w:rPr>
        <w:t xml:space="preserve"> that</w:t>
      </w:r>
      <w:r w:rsidR="00444AB6" w:rsidRPr="00EB29B0">
        <w:rPr>
          <w:lang w:eastAsia="en-US"/>
        </w:rPr>
        <w:t xml:space="preserve"> </w:t>
      </w:r>
      <w:r w:rsidR="00C8729F" w:rsidRPr="00EB29B0">
        <w:rPr>
          <w:lang w:eastAsia="en-US"/>
        </w:rPr>
        <w:t xml:space="preserve">after the enactment of </w:t>
      </w:r>
      <w:r w:rsidR="005357C1">
        <w:rPr>
          <w:lang w:eastAsia="en-US"/>
        </w:rPr>
        <w:t>Dodd-Frank, regulatory oversight could improve market discipline.</w:t>
      </w:r>
      <w:r w:rsidR="00525C37">
        <w:rPr>
          <w:lang w:eastAsia="en-US"/>
        </w:rPr>
        <w:t xml:space="preserve"> </w:t>
      </w:r>
      <w:r w:rsidR="00461261" w:rsidRPr="00F90E77">
        <w:fldChar w:fldCharType="begin" w:fldLock="1"/>
      </w:r>
      <w:r w:rsidR="00EC4D5D">
        <w:instrText>ADDIN CSL_CITATION {"citationItems":[{"id":"ITEM-1","itemData":{"author":[{"dropping-particle":"","family":"Blackburne","given":"Terrence","non-dropping-particle":"","parse-names":false,"suffix":""}],"container-title":"Working paper","id":"ITEM-1","issued":{"date-parts":[["2014"]]},"title":"Regulatory Oversight and Reporting Incentives: Evidence from SEC Budget Allocations Terrence","type":"article-journal"},"uris":["http://www.mendeley.com/documents/?uuid=9a5e3877-0197-49fd-9514-481934d4138a"]}],"mendeley":{"formattedCitation":"(Blackburne, 2014)","manualFormatting":"Blackburne (2014)","plainTextFormattedCitation":"(Blackburne, 2014)","previouslyFormattedCitation":"(Blackburne, 2014)"},"properties":{"noteIndex":0},"schema":"https://github.com/citation-style-language/schema/raw/master/csl-citation.json"}</w:instrText>
      </w:r>
      <w:r w:rsidR="00461261" w:rsidRPr="00F90E77">
        <w:fldChar w:fldCharType="separate"/>
      </w:r>
      <w:r w:rsidR="00461261" w:rsidRPr="00F90E77">
        <w:rPr>
          <w:noProof/>
        </w:rPr>
        <w:t>Blackburne (2014)</w:t>
      </w:r>
      <w:r w:rsidR="00461261" w:rsidRPr="00F90E77">
        <w:fldChar w:fldCharType="end"/>
      </w:r>
      <w:r w:rsidR="00461261" w:rsidRPr="00F90E77">
        <w:t xml:space="preserve"> </w:t>
      </w:r>
      <w:r w:rsidR="00540DBF">
        <w:t xml:space="preserve">observe that SEC increase estimated budget for Division of Corporation Finance to conduct review on firms’ disclosure during </w:t>
      </w:r>
      <w:r w:rsidR="00F90E77" w:rsidRPr="00F90E77">
        <w:t xml:space="preserve">the financial crisis </w:t>
      </w:r>
      <w:r w:rsidR="00540DBF">
        <w:t xml:space="preserve">in </w:t>
      </w:r>
      <w:r w:rsidR="00F90E77" w:rsidRPr="00F90E77">
        <w:t>2008.</w:t>
      </w:r>
    </w:p>
    <w:p w14:paraId="2AA9B6B0" w14:textId="41AEB73A" w:rsidR="00667A16" w:rsidRDefault="00667A16" w:rsidP="0030659B">
      <w:pPr>
        <w:spacing w:line="360" w:lineRule="auto"/>
        <w:jc w:val="both"/>
        <w:rPr>
          <w:lang w:eastAsia="en-US"/>
        </w:rPr>
      </w:pPr>
      <w:r>
        <w:t>Concerning the impact of i</w:t>
      </w:r>
      <w:r w:rsidR="004C013E">
        <w:t xml:space="preserve">ndustry/market characteristics, </w:t>
      </w:r>
      <w:r w:rsidR="00540DBF">
        <w:rPr>
          <w:i/>
          <w:lang w:eastAsia="en-US"/>
        </w:rPr>
        <w:fldChar w:fldCharType="begin" w:fldLock="1"/>
      </w:r>
      <w:r w:rsidR="00900BF8">
        <w:rPr>
          <w:i/>
          <w:lang w:eastAsia="en-US"/>
        </w:rPr>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et al., 2014)","manualFormatting":"Ali et al. (2014)","plainTextFormattedCitation":"(Ali et al., 2014)","previouslyFormattedCitation":"(Ali et al., 2014)"},"properties":{"noteIndex":0},"schema":"https://github.com/citation-style-language/schema/raw/master/csl-citation.json"}</w:instrText>
      </w:r>
      <w:r w:rsidR="00540DBF">
        <w:rPr>
          <w:i/>
          <w:lang w:eastAsia="en-US"/>
        </w:rPr>
        <w:fldChar w:fldCharType="separate"/>
      </w:r>
      <w:r w:rsidR="00540DBF">
        <w:rPr>
          <w:noProof/>
          <w:lang w:eastAsia="en-US"/>
        </w:rPr>
        <w:t>Ali et al. (</w:t>
      </w:r>
      <w:r w:rsidR="00540DBF" w:rsidRPr="00A611DF">
        <w:rPr>
          <w:noProof/>
          <w:lang w:eastAsia="en-US"/>
        </w:rPr>
        <w:t>2014)</w:t>
      </w:r>
      <w:r w:rsidR="00540DBF">
        <w:rPr>
          <w:i/>
          <w:lang w:eastAsia="en-US"/>
        </w:rPr>
        <w:fldChar w:fldCharType="end"/>
      </w:r>
      <w:r w:rsidR="00540DBF">
        <w:rPr>
          <w:i/>
          <w:lang w:eastAsia="en-US"/>
        </w:rPr>
        <w:t xml:space="preserve"> </w:t>
      </w:r>
      <w:r w:rsidR="005F78FD">
        <w:rPr>
          <w:i/>
          <w:lang w:eastAsia="en-US"/>
        </w:rPr>
        <w:t xml:space="preserve"> </w:t>
      </w:r>
      <w:r w:rsidR="005F78FD">
        <w:rPr>
          <w:lang w:eastAsia="en-US"/>
        </w:rPr>
        <w:t>demonstrate</w:t>
      </w:r>
      <w:r w:rsidR="005F78FD" w:rsidRPr="006F229B">
        <w:rPr>
          <w:i/>
          <w:lang w:eastAsia="en-US"/>
        </w:rPr>
        <w:t xml:space="preserve"> </w:t>
      </w:r>
      <w:r w:rsidR="005F78FD" w:rsidRPr="006F229B">
        <w:rPr>
          <w:lang w:eastAsia="en-US"/>
        </w:rPr>
        <w:t>that</w:t>
      </w:r>
      <w:r w:rsidR="00540DBF">
        <w:rPr>
          <w:lang w:eastAsia="en-US"/>
        </w:rPr>
        <w:t xml:space="preserve"> due to proprietary costs of dis</w:t>
      </w:r>
      <w:r w:rsidR="00143FD7">
        <w:rPr>
          <w:lang w:eastAsia="en-US"/>
        </w:rPr>
        <w:t xml:space="preserve">closures, </w:t>
      </w:r>
      <w:r w:rsidR="005F78FD" w:rsidRPr="006F229B">
        <w:rPr>
          <w:lang w:eastAsia="en-US"/>
        </w:rPr>
        <w:t xml:space="preserve">firms </w:t>
      </w:r>
      <w:r w:rsidR="005F78FD">
        <w:rPr>
          <w:lang w:eastAsia="en-US"/>
        </w:rPr>
        <w:t xml:space="preserve">operating in </w:t>
      </w:r>
      <w:r w:rsidR="00600B99">
        <w:rPr>
          <w:lang w:eastAsia="en-US"/>
        </w:rPr>
        <w:t>high</w:t>
      </w:r>
      <w:r w:rsidR="005F78FD">
        <w:rPr>
          <w:lang w:eastAsia="en-US"/>
        </w:rPr>
        <w:t>-concentrated</w:t>
      </w:r>
      <w:r w:rsidR="005F78FD" w:rsidRPr="006F229B">
        <w:rPr>
          <w:lang w:eastAsia="en-US"/>
        </w:rPr>
        <w:t xml:space="preserve"> </w:t>
      </w:r>
      <w:r w:rsidR="00AC754E">
        <w:rPr>
          <w:lang w:eastAsia="en-US"/>
        </w:rPr>
        <w:t xml:space="preserve">or </w:t>
      </w:r>
      <w:r w:rsidR="00600B99">
        <w:rPr>
          <w:lang w:eastAsia="en-US"/>
        </w:rPr>
        <w:t>low</w:t>
      </w:r>
      <w:r w:rsidR="00AC754E">
        <w:rPr>
          <w:lang w:eastAsia="en-US"/>
        </w:rPr>
        <w:t xml:space="preserve">-competitive </w:t>
      </w:r>
      <w:r w:rsidR="005F78FD" w:rsidRPr="006F229B">
        <w:rPr>
          <w:lang w:eastAsia="en-US"/>
        </w:rPr>
        <w:t xml:space="preserve">markets have </w:t>
      </w:r>
      <w:r w:rsidR="00540DBF">
        <w:rPr>
          <w:lang w:eastAsia="en-US"/>
        </w:rPr>
        <w:t>wider dispersion in analysts’ earnings forecasts</w:t>
      </w:r>
      <w:r w:rsidR="005F78FD" w:rsidRPr="006F229B">
        <w:rPr>
          <w:lang w:eastAsia="en-US"/>
        </w:rPr>
        <w:t xml:space="preserve"> </w:t>
      </w:r>
      <w:r w:rsidR="005F78FD">
        <w:rPr>
          <w:lang w:eastAsia="en-US"/>
        </w:rPr>
        <w:t>caused by</w:t>
      </w:r>
      <w:r w:rsidR="005F78FD" w:rsidRPr="006F229B">
        <w:rPr>
          <w:lang w:eastAsia="en-US"/>
        </w:rPr>
        <w:t xml:space="preserve"> the higher </w:t>
      </w:r>
      <w:r w:rsidR="005F78FD">
        <w:rPr>
          <w:lang w:eastAsia="en-US"/>
        </w:rPr>
        <w:t>information uncertainty, which could attract more SEC scrutiny</w:t>
      </w:r>
      <w:r w:rsidR="004C013E">
        <w:rPr>
          <w:lang w:eastAsia="en-US"/>
        </w:rPr>
        <w:t xml:space="preserve"> on 10-K and 10-Q filings</w:t>
      </w:r>
      <w:r w:rsidR="005F78FD">
        <w:rPr>
          <w:lang w:eastAsia="en-US"/>
        </w:rPr>
        <w:t xml:space="preserve"> </w:t>
      </w:r>
      <w:r w:rsidR="005F78FD">
        <w:rPr>
          <w:lang w:eastAsia="en-US"/>
        </w:rPr>
        <w:fldChar w:fldCharType="begin" w:fldLock="1"/>
      </w:r>
      <w:r w:rsidR="004C013E">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paper","id":"ITEM-2","issued":{"date-parts":[["2006"]]},"title":"IPO Firms and the SEC Comment Letter Process","type":"report"},"uris":["http://www.mendeley.com/documents/?uuid=01b61a32-44a8-4cff-b503-d4d5cb89a0fb"]},{"id":"ITEM-3","itemData":{"ISSN":"14664364","abstract":"The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Finance","id":"ITEM-3","issue":"0","issued":{"date-parts":[["2017"]]},"page":"1-34","publisher":"Taylor &amp; Francis","title":"The waiting period of initial public offerings","type":"article-journal","volume":"0"},"uris":["http://www.mendeley.com/documents/?uuid=bda34aca-b6ea-4d0e-acb5-9e39bbde12a4"]}],"mendeley":{"formattedCitation":"(R. Chen &amp; Johnston, 2010; Colaco, De Cesari, &amp; Hegde, 2017; Ertimur &amp; Nondorf, 2006)","manualFormatting":"( Chen &amp; Johnston, 2010) ","plainTextFormattedCitation":"(R. Chen &amp; Johnston, 2010; Colaco, De Cesari, &amp; Hegde, 2017; Ertimur &amp; Nondorf, 2006)","previouslyFormattedCitation":"(R. Chen &amp; Johnston, 2010; Colaco, De Cesari, &amp; Hegde, 2017; Ertimur &amp; Nondorf, 2006)"},"properties":{"noteIndex":0},"schema":"https://github.com/citation-style-language/schema/raw/master/csl-citation.json"}</w:instrText>
      </w:r>
      <w:r w:rsidR="005F78FD">
        <w:rPr>
          <w:lang w:eastAsia="en-US"/>
        </w:rPr>
        <w:fldChar w:fldCharType="separate"/>
      </w:r>
      <w:r w:rsidR="005F78FD">
        <w:rPr>
          <w:noProof/>
          <w:lang w:eastAsia="en-US"/>
        </w:rPr>
        <w:t>(</w:t>
      </w:r>
      <w:r w:rsidR="005F78FD" w:rsidRPr="005F78FD">
        <w:rPr>
          <w:noProof/>
          <w:lang w:eastAsia="en-US"/>
        </w:rPr>
        <w:t xml:space="preserve"> Chen &amp; John</w:t>
      </w:r>
      <w:r w:rsidR="004C013E">
        <w:rPr>
          <w:noProof/>
          <w:lang w:eastAsia="en-US"/>
        </w:rPr>
        <w:t>ston, 2010</w:t>
      </w:r>
      <w:r w:rsidR="005F78FD">
        <w:rPr>
          <w:noProof/>
          <w:lang w:eastAsia="en-US"/>
        </w:rPr>
        <w:t>)</w:t>
      </w:r>
      <w:r w:rsidR="005F78FD" w:rsidRPr="005F78FD">
        <w:rPr>
          <w:noProof/>
          <w:lang w:eastAsia="en-US"/>
        </w:rPr>
        <w:t xml:space="preserve"> </w:t>
      </w:r>
      <w:r w:rsidR="005F78FD">
        <w:rPr>
          <w:lang w:eastAsia="en-US"/>
        </w:rPr>
        <w:fldChar w:fldCharType="end"/>
      </w:r>
    </w:p>
    <w:p w14:paraId="2C7B2021" w14:textId="184F5317" w:rsidR="00AC754E" w:rsidRDefault="005E2975" w:rsidP="0030659B">
      <w:pPr>
        <w:spacing w:line="360" w:lineRule="auto"/>
        <w:jc w:val="both"/>
        <w:rPr>
          <w:lang w:eastAsia="en-US"/>
        </w:rPr>
      </w:pPr>
      <w:r>
        <w:rPr>
          <w:lang w:eastAsia="en-US"/>
        </w:rPr>
        <w:t>Regarding impac</w:t>
      </w:r>
      <w:r w:rsidR="0028567B">
        <w:rPr>
          <w:lang w:eastAsia="en-US"/>
        </w:rPr>
        <w:t>t of the SEC’s characteristics, i</w:t>
      </w:r>
      <w:r w:rsidR="00AC754E" w:rsidRPr="000912EF">
        <w:rPr>
          <w:lang w:eastAsia="en-US"/>
        </w:rPr>
        <w:t xml:space="preserve">n the study of effect of SEC reviewers on </w:t>
      </w:r>
      <w:r w:rsidR="00AC754E">
        <w:rPr>
          <w:lang w:eastAsia="en-US"/>
        </w:rPr>
        <w:t>the review of annual filings (e.g. 10-K, 40-F)</w:t>
      </w:r>
      <w:r w:rsidR="0004705C">
        <w:rPr>
          <w:lang w:eastAsia="en-US"/>
        </w:rPr>
        <w:t>, which provides</w:t>
      </w:r>
      <w:r w:rsidR="0004705C" w:rsidRPr="0004705C">
        <w:rPr>
          <w:lang w:eastAsia="en-US"/>
        </w:rPr>
        <w:t xml:space="preserve"> a comprehensive summary of a company's financial </w:t>
      </w:r>
      <w:r w:rsidR="0004705C">
        <w:rPr>
          <w:lang w:eastAsia="en-US"/>
        </w:rPr>
        <w:t>health</w:t>
      </w:r>
      <w:r w:rsidR="00AC754E" w:rsidRPr="000912EF">
        <w:rPr>
          <w:lang w:eastAsia="en-US"/>
        </w:rPr>
        <w:t xml:space="preserve">, </w:t>
      </w:r>
      <w:r w:rsidR="00AC754E"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AC754E" w:rsidRPr="000912EF">
        <w:rPr>
          <w:lang w:eastAsia="en-US"/>
        </w:rPr>
        <w:fldChar w:fldCharType="separate"/>
      </w:r>
      <w:r w:rsidR="00AC754E" w:rsidRPr="000912EF">
        <w:rPr>
          <w:noProof/>
          <w:lang w:eastAsia="en-US"/>
        </w:rPr>
        <w:t>Baugh et al. (2017)</w:t>
      </w:r>
      <w:r w:rsidR="00AC754E" w:rsidRPr="000912EF">
        <w:rPr>
          <w:lang w:eastAsia="en-US"/>
        </w:rPr>
        <w:fldChar w:fldCharType="end"/>
      </w:r>
      <w:r w:rsidR="00AC754E" w:rsidRPr="000912EF">
        <w:rPr>
          <w:lang w:eastAsia="en-US"/>
        </w:rPr>
        <w:t xml:space="preserve"> u</w:t>
      </w:r>
      <w:r w:rsidR="0023705B">
        <w:rPr>
          <w:lang w:eastAsia="en-US"/>
        </w:rPr>
        <w:t xml:space="preserve">se SEC reviewers’ job position, which is </w:t>
      </w:r>
      <w:r w:rsidR="00AC754E" w:rsidRPr="000912EF">
        <w:rPr>
          <w:lang w:eastAsia="en-US"/>
        </w:rPr>
        <w:t>A</w:t>
      </w:r>
      <w:r w:rsidR="0023705B">
        <w:rPr>
          <w:lang w:eastAsia="en-US"/>
        </w:rPr>
        <w:t xml:space="preserve">ssistant </w:t>
      </w:r>
      <w:r w:rsidR="00AC754E" w:rsidRPr="000912EF">
        <w:rPr>
          <w:lang w:eastAsia="en-US"/>
        </w:rPr>
        <w:t>Director</w:t>
      </w:r>
      <w:r w:rsidR="0023705B">
        <w:rPr>
          <w:lang w:eastAsia="en-US"/>
        </w:rPr>
        <w:t>,</w:t>
      </w:r>
      <w:r w:rsidR="00AC754E" w:rsidRPr="000912EF">
        <w:rPr>
          <w:lang w:eastAsia="en-US"/>
        </w:rPr>
        <w:t xml:space="preserve"> as a proxy of their ability and exp</w:t>
      </w:r>
      <w:r w:rsidR="0023705B">
        <w:rPr>
          <w:lang w:eastAsia="en-US"/>
        </w:rPr>
        <w:t xml:space="preserve">erience, </w:t>
      </w:r>
      <w:r w:rsidR="00EC63C2">
        <w:rPr>
          <w:lang w:eastAsia="en-US"/>
        </w:rPr>
        <w:t>and suggest</w:t>
      </w:r>
      <w:r w:rsidR="0023705B">
        <w:rPr>
          <w:lang w:eastAsia="en-US"/>
        </w:rPr>
        <w:t xml:space="preserve"> that the</w:t>
      </w:r>
      <w:r w:rsidR="00F953F3">
        <w:rPr>
          <w:lang w:eastAsia="en-US"/>
        </w:rPr>
        <w:t xml:space="preserve"> </w:t>
      </w:r>
      <w:r w:rsidR="004C013E">
        <w:rPr>
          <w:lang w:eastAsia="en-US"/>
        </w:rPr>
        <w:t>re</w:t>
      </w:r>
      <w:r w:rsidR="00AC754E">
        <w:rPr>
          <w:lang w:eastAsia="en-US"/>
        </w:rPr>
        <w:t>viewer with higher job position could have more experience.</w:t>
      </w:r>
      <w:r w:rsidR="0023705B">
        <w:rPr>
          <w:lang w:eastAsia="en-US"/>
        </w:rPr>
        <w:t xml:space="preserve"> </w:t>
      </w:r>
      <w:r w:rsidR="00F953F3">
        <w:rPr>
          <w:lang w:eastAsia="en-US"/>
        </w:rPr>
        <w:t>They also identify a</w:t>
      </w:r>
      <w:r w:rsidR="0028567B">
        <w:rPr>
          <w:lang w:eastAsia="en-US"/>
        </w:rPr>
        <w:t>n</w:t>
      </w:r>
      <w:r w:rsidR="00F953F3">
        <w:rPr>
          <w:lang w:eastAsia="en-US"/>
        </w:rPr>
        <w:t xml:space="preserve"> Assistant Director </w:t>
      </w:r>
      <w:r w:rsidR="0028567B">
        <w:rPr>
          <w:lang w:eastAsia="en-US"/>
        </w:rPr>
        <w:t xml:space="preserve">reviewer </w:t>
      </w:r>
      <w:r w:rsidR="00F953F3">
        <w:rPr>
          <w:lang w:eastAsia="en-US"/>
        </w:rPr>
        <w:t xml:space="preserve">tend to address more issues in initial comment letters. </w:t>
      </w:r>
    </w:p>
    <w:p w14:paraId="7F3952F8" w14:textId="797ACAC4" w:rsidR="00E23C4B" w:rsidRDefault="005E2975" w:rsidP="0030659B">
      <w:pPr>
        <w:spacing w:line="360" w:lineRule="auto"/>
        <w:jc w:val="both"/>
        <w:rPr>
          <w:lang w:eastAsia="en-US"/>
        </w:rPr>
      </w:pPr>
      <w:r>
        <w:rPr>
          <w:lang w:eastAsia="en-US"/>
        </w:rPr>
        <w:t>In addition, previous literature identif</w:t>
      </w:r>
      <w:r w:rsidR="00A02079">
        <w:rPr>
          <w:lang w:eastAsia="en-US"/>
        </w:rPr>
        <w:t>ies</w:t>
      </w:r>
      <w:r>
        <w:rPr>
          <w:lang w:eastAsia="en-US"/>
        </w:rPr>
        <w:t xml:space="preserve"> that </w:t>
      </w:r>
      <w:r w:rsidR="00386BD5">
        <w:rPr>
          <w:lang w:eastAsia="en-US"/>
        </w:rPr>
        <w:t xml:space="preserve">when </w:t>
      </w:r>
      <w:r>
        <w:rPr>
          <w:lang w:eastAsia="en-US"/>
        </w:rPr>
        <w:t xml:space="preserve">the information uncertainty increase, the SEC could conduct their review in more conservative way in order to protect investors from the possible misstatements in the IPO firms’ disclosure. </w:t>
      </w:r>
      <w:r>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letters","type":"article-journal"},"uris":["http://www.mendeley.com/documents/?uuid=31cb3f38-3b03-4c18-80a9-efacdd595b49"]}],"mendeley":{"formattedCitation":"(R. Chen &amp; Johnston, 2010)","manualFormatting":"Chen &amp; Johnston, (2010)","plainTextFormattedCitation":"(R. Chen &amp; Johnston, 2010)","previouslyFormattedCitation":"(R. Chen &amp; Johnston, 2010)"},"properties":{"noteIndex":0},"schema":"https://github.com/citation-style-language/schema/raw/master/csl-citation.json"}</w:instrText>
      </w:r>
      <w:r>
        <w:rPr>
          <w:lang w:eastAsia="en-US"/>
        </w:rPr>
        <w:fldChar w:fldCharType="separate"/>
      </w:r>
      <w:r w:rsidRPr="003C1724">
        <w:rPr>
          <w:noProof/>
          <w:lang w:eastAsia="en-US"/>
        </w:rPr>
        <w:t xml:space="preserve">Chen &amp; Johnston, </w:t>
      </w:r>
      <w:r>
        <w:rPr>
          <w:noProof/>
          <w:lang w:eastAsia="en-US"/>
        </w:rPr>
        <w:t>(</w:t>
      </w:r>
      <w:r w:rsidRPr="003C1724">
        <w:rPr>
          <w:noProof/>
          <w:lang w:eastAsia="en-US"/>
        </w:rPr>
        <w:t>2010)</w:t>
      </w:r>
      <w:r>
        <w:rPr>
          <w:lang w:eastAsia="en-US"/>
        </w:rPr>
        <w:fldChar w:fldCharType="end"/>
      </w:r>
      <w:r>
        <w:rPr>
          <w:lang w:eastAsia="en-US"/>
        </w:rPr>
        <w:t xml:space="preserve"> find evidence that the SEC tend to make more </w:t>
      </w:r>
      <w:proofErr w:type="gramStart"/>
      <w:r>
        <w:rPr>
          <w:lang w:eastAsia="en-US"/>
        </w:rPr>
        <w:t>careful scrutiny</w:t>
      </w:r>
      <w:proofErr w:type="gramEnd"/>
      <w:r>
        <w:rPr>
          <w:lang w:eastAsia="en-US"/>
        </w:rPr>
        <w:t xml:space="preserve"> </w:t>
      </w:r>
      <w:r w:rsidR="004E37D0">
        <w:rPr>
          <w:lang w:eastAsia="en-US"/>
        </w:rPr>
        <w:t>on 10-K and 10-Q filings when information environments have</w:t>
      </w:r>
      <w:r>
        <w:rPr>
          <w:lang w:eastAsia="en-US"/>
        </w:rPr>
        <w:t xml:space="preserve"> higher operating uncertainty. The authors also identify that the firms with higher information uncertainty are more likely to make more reporting errors. </w:t>
      </w:r>
    </w:p>
    <w:p w14:paraId="3A44119D" w14:textId="77777777" w:rsidR="005357C1" w:rsidRDefault="005357C1" w:rsidP="001E756A">
      <w:pPr>
        <w:pStyle w:val="ListParagraph"/>
        <w:numPr>
          <w:ilvl w:val="1"/>
          <w:numId w:val="1"/>
        </w:numPr>
        <w:spacing w:line="360" w:lineRule="auto"/>
        <w:jc w:val="both"/>
        <w:outlineLvl w:val="1"/>
        <w:rPr>
          <w:b/>
          <w:lang w:eastAsia="en-US"/>
        </w:rPr>
      </w:pPr>
      <w:bookmarkStart w:id="19" w:name="_Toc9185787"/>
      <w:r w:rsidRPr="005357C1">
        <w:rPr>
          <w:b/>
          <w:lang w:eastAsia="en-US"/>
        </w:rPr>
        <w:t>Ineffectiveness of regulatory intervention</w:t>
      </w:r>
      <w:bookmarkEnd w:id="19"/>
    </w:p>
    <w:p w14:paraId="0A9D4499" w14:textId="3565D79A" w:rsidR="00143FD7" w:rsidRPr="00143FD7" w:rsidRDefault="004E37D0" w:rsidP="005357C1">
      <w:pPr>
        <w:spacing w:line="360" w:lineRule="auto"/>
        <w:jc w:val="both"/>
        <w:rPr>
          <w:lang w:eastAsia="en-US"/>
        </w:rPr>
      </w:pPr>
      <w:r>
        <w:rPr>
          <w:lang w:eastAsia="en-US"/>
        </w:rPr>
        <w:t xml:space="preserve">Previous literature on factors affecting SEC review contrarily provide evidence of ineffectiveness of SEC review. </w:t>
      </w:r>
      <w:r w:rsidR="00143FD7">
        <w:rPr>
          <w:lang w:eastAsia="en-US"/>
        </w:rPr>
        <w:t xml:space="preserve">In terms of impact of incidences of regulatory changes, </w:t>
      </w:r>
      <w:r w:rsidR="00143FD7">
        <w:rPr>
          <w:lang w:eastAsia="en-US"/>
        </w:rPr>
        <w:fldChar w:fldCharType="begin" w:fldLock="1"/>
      </w:r>
      <w:r w:rsidR="00900BF8">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143FD7">
        <w:rPr>
          <w:lang w:eastAsia="en-US"/>
        </w:rPr>
        <w:fldChar w:fldCharType="separate"/>
      </w:r>
      <w:r w:rsidR="00143FD7">
        <w:rPr>
          <w:noProof/>
          <w:lang w:eastAsia="en-US"/>
        </w:rPr>
        <w:t>Chaplinsky et al. (</w:t>
      </w:r>
      <w:r w:rsidR="00143FD7" w:rsidRPr="00143FD7">
        <w:rPr>
          <w:noProof/>
          <w:lang w:eastAsia="en-US"/>
        </w:rPr>
        <w:t>2017)</w:t>
      </w:r>
      <w:r w:rsidR="00143FD7">
        <w:rPr>
          <w:lang w:eastAsia="en-US"/>
        </w:rPr>
        <w:fldChar w:fldCharType="end"/>
      </w:r>
      <w:r w:rsidR="00143FD7">
        <w:rPr>
          <w:lang w:eastAsia="en-US"/>
        </w:rPr>
        <w:t xml:space="preserve"> s</w:t>
      </w:r>
      <w:r w:rsidR="00DE0368">
        <w:rPr>
          <w:lang w:eastAsia="en-US"/>
        </w:rPr>
        <w:t>uggest that Title I of JOBs Act, which aims to reduce regulatory burden, may constrain</w:t>
      </w:r>
      <w:r w:rsidR="00143FD7">
        <w:rPr>
          <w:lang w:eastAsia="en-US"/>
        </w:rPr>
        <w:t xml:space="preserve"> regulators </w:t>
      </w:r>
      <w:r w:rsidR="00DE0368">
        <w:rPr>
          <w:lang w:eastAsia="en-US"/>
        </w:rPr>
        <w:t xml:space="preserve">from </w:t>
      </w:r>
      <w:r w:rsidR="00143FD7">
        <w:rPr>
          <w:lang w:eastAsia="en-US"/>
        </w:rPr>
        <w:t>address</w:t>
      </w:r>
      <w:r w:rsidR="00DE0368">
        <w:rPr>
          <w:lang w:eastAsia="en-US"/>
        </w:rPr>
        <w:t>ing</w:t>
      </w:r>
      <w:r w:rsidR="00143FD7">
        <w:rPr>
          <w:lang w:eastAsia="en-US"/>
        </w:rPr>
        <w:t xml:space="preserve"> and prosecut</w:t>
      </w:r>
      <w:r w:rsidR="00DE0368">
        <w:rPr>
          <w:lang w:eastAsia="en-US"/>
        </w:rPr>
        <w:t>ing</w:t>
      </w:r>
      <w:r w:rsidR="00143FD7">
        <w:rPr>
          <w:lang w:eastAsia="en-US"/>
        </w:rPr>
        <w:t xml:space="preserve"> f</w:t>
      </w:r>
      <w:r w:rsidR="00DE0368">
        <w:rPr>
          <w:lang w:eastAsia="en-US"/>
        </w:rPr>
        <w:t>r</w:t>
      </w:r>
      <w:r w:rsidR="00143FD7">
        <w:rPr>
          <w:lang w:eastAsia="en-US"/>
        </w:rPr>
        <w:t xml:space="preserve">aud. </w:t>
      </w:r>
    </w:p>
    <w:p w14:paraId="7C2E9EDB" w14:textId="5B160BB0" w:rsidR="004C013E" w:rsidRDefault="00DE0368" w:rsidP="004C013E">
      <w:pPr>
        <w:spacing w:line="360" w:lineRule="auto"/>
        <w:jc w:val="both"/>
        <w:rPr>
          <w:lang w:eastAsia="en-US"/>
        </w:rPr>
      </w:pPr>
      <w:r>
        <w:rPr>
          <w:lang w:eastAsia="en-US"/>
        </w:rPr>
        <w:t xml:space="preserve">Regarding impact of SEC characteristics, </w:t>
      </w:r>
      <w:r w:rsidRPr="000912EF">
        <w:rPr>
          <w:lang w:eastAsia="en-US"/>
        </w:rPr>
        <w:fldChar w:fldCharType="begin" w:fldLock="1"/>
      </w:r>
      <w:r>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Pr="000912EF">
        <w:rPr>
          <w:lang w:eastAsia="en-US"/>
        </w:rPr>
        <w:fldChar w:fldCharType="separate"/>
      </w:r>
      <w:r w:rsidRPr="000912EF">
        <w:rPr>
          <w:noProof/>
          <w:lang w:eastAsia="en-US"/>
        </w:rPr>
        <w:t>Baugh et al. (2017)</w:t>
      </w:r>
      <w:r w:rsidRPr="000912EF">
        <w:rPr>
          <w:lang w:eastAsia="en-US"/>
        </w:rPr>
        <w:fldChar w:fldCharType="end"/>
      </w:r>
      <w:r>
        <w:rPr>
          <w:lang w:eastAsia="en-US"/>
        </w:rPr>
        <w:t xml:space="preserve"> </w:t>
      </w:r>
      <w:r w:rsidR="004C013E">
        <w:rPr>
          <w:lang w:eastAsia="en-US"/>
        </w:rPr>
        <w:t xml:space="preserve">observe that reviewers who </w:t>
      </w:r>
      <w:r>
        <w:rPr>
          <w:lang w:eastAsia="en-US"/>
        </w:rPr>
        <w:t>hold</w:t>
      </w:r>
      <w:r w:rsidR="004C013E">
        <w:rPr>
          <w:lang w:eastAsia="en-US"/>
        </w:rPr>
        <w:t xml:space="preserve"> position as Assistant Directors are more l</w:t>
      </w:r>
      <w:r>
        <w:rPr>
          <w:lang w:eastAsia="en-US"/>
        </w:rPr>
        <w:t xml:space="preserve">ikely to spend less time on </w:t>
      </w:r>
      <w:r w:rsidR="004C013E">
        <w:rPr>
          <w:lang w:eastAsia="en-US"/>
        </w:rPr>
        <w:t>review</w:t>
      </w:r>
      <w:r>
        <w:rPr>
          <w:lang w:eastAsia="en-US"/>
        </w:rPr>
        <w:t xml:space="preserve"> on annual filings (</w:t>
      </w:r>
      <w:proofErr w:type="spellStart"/>
      <w:r>
        <w:rPr>
          <w:lang w:eastAsia="en-US"/>
        </w:rPr>
        <w:t>e,g</w:t>
      </w:r>
      <w:proofErr w:type="spellEnd"/>
      <w:r>
        <w:rPr>
          <w:lang w:eastAsia="en-US"/>
        </w:rPr>
        <w:t>, 10-K, 20-F, 40-F), which is not likely to enhance reporting quality</w:t>
      </w:r>
      <w:r w:rsidR="004C013E">
        <w:rPr>
          <w:lang w:eastAsia="en-US"/>
        </w:rPr>
        <w:t>.</w:t>
      </w:r>
      <w:r w:rsidR="004C013E" w:rsidRPr="004C013E">
        <w:rPr>
          <w:lang w:eastAsia="en-US"/>
        </w:rPr>
        <w:t xml:space="preserve"> </w:t>
      </w:r>
      <w:r w:rsidR="004C013E">
        <w:rPr>
          <w:lang w:eastAsia="en-US"/>
        </w:rPr>
        <w:t xml:space="preserve">Furthermore, </w:t>
      </w:r>
      <w:r>
        <w:rPr>
          <w:lang w:eastAsia="en-US"/>
        </w:rPr>
        <w:t xml:space="preserve">basing </w:t>
      </w:r>
      <w:r w:rsidR="004C013E">
        <w:rPr>
          <w:lang w:eastAsia="en-US"/>
        </w:rPr>
        <w:t>on assumption of personal expertise of the individual style effects theory</w:t>
      </w:r>
      <w:r>
        <w:rPr>
          <w:lang w:eastAsia="en-US"/>
        </w:rPr>
        <w:t xml:space="preserve">, </w:t>
      </w:r>
      <w:r w:rsidRPr="000912EF">
        <w:rPr>
          <w:lang w:eastAsia="en-US"/>
        </w:rPr>
        <w:fldChar w:fldCharType="begin" w:fldLock="1"/>
      </w:r>
      <w:r>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Pr="000912EF">
        <w:rPr>
          <w:lang w:eastAsia="en-US"/>
        </w:rPr>
        <w:fldChar w:fldCharType="separate"/>
      </w:r>
      <w:r w:rsidRPr="000912EF">
        <w:rPr>
          <w:noProof/>
          <w:lang w:eastAsia="en-US"/>
        </w:rPr>
        <w:t>Baugh et al. (2017)</w:t>
      </w:r>
      <w:r w:rsidRPr="000912EF">
        <w:rPr>
          <w:lang w:eastAsia="en-US"/>
        </w:rPr>
        <w:fldChar w:fldCharType="end"/>
      </w:r>
      <w:r>
        <w:rPr>
          <w:lang w:eastAsia="en-US"/>
        </w:rPr>
        <w:t xml:space="preserve"> </w:t>
      </w:r>
      <w:r w:rsidR="004C013E">
        <w:rPr>
          <w:lang w:eastAsia="en-US"/>
        </w:rPr>
        <w:t xml:space="preserve">suggest that accountant reviewers, who have more accounting expertise, could focus more on the </w:t>
      </w:r>
      <w:r w:rsidR="004C013E">
        <w:rPr>
          <w:lang w:eastAsia="en-US"/>
        </w:rPr>
        <w:lastRenderedPageBreak/>
        <w:t>accounting information in the filings review.</w:t>
      </w:r>
      <w:r w:rsidR="004C013E" w:rsidRPr="000912EF">
        <w:rPr>
          <w:lang w:eastAsia="en-US"/>
        </w:rPr>
        <w:t xml:space="preserve"> </w:t>
      </w:r>
      <w:r w:rsidR="004C013E">
        <w:rPr>
          <w:lang w:eastAsia="en-US"/>
        </w:rPr>
        <w:t xml:space="preserve">They identify that accountant reviewers address more issues in the review of annual filings which mainly contain accounting information about the firms’ financial health. </w:t>
      </w:r>
    </w:p>
    <w:p w14:paraId="1B0B5651" w14:textId="666FC71C" w:rsidR="00143FD7" w:rsidRPr="00143FD7" w:rsidRDefault="00143FD7" w:rsidP="001E756A">
      <w:pPr>
        <w:pStyle w:val="ListParagraph"/>
        <w:numPr>
          <w:ilvl w:val="1"/>
          <w:numId w:val="1"/>
        </w:numPr>
        <w:spacing w:line="360" w:lineRule="auto"/>
        <w:jc w:val="both"/>
        <w:outlineLvl w:val="1"/>
        <w:rPr>
          <w:b/>
          <w:lang w:eastAsia="en-US"/>
        </w:rPr>
      </w:pPr>
      <w:bookmarkStart w:id="20" w:name="_Toc9185788"/>
      <w:r w:rsidRPr="00143FD7">
        <w:rPr>
          <w:b/>
          <w:lang w:eastAsia="en-US"/>
        </w:rPr>
        <w:t>Research on SEC review on registration statements</w:t>
      </w:r>
      <w:bookmarkEnd w:id="20"/>
    </w:p>
    <w:p w14:paraId="3B21E9B9" w14:textId="2FBFE6D1" w:rsidR="00745308" w:rsidRDefault="004E37D0" w:rsidP="005357C1">
      <w:pPr>
        <w:spacing w:line="360" w:lineRule="auto"/>
        <w:jc w:val="both"/>
        <w:rPr>
          <w:lang w:eastAsia="en-US"/>
        </w:rPr>
      </w:pPr>
      <w:r>
        <w:rPr>
          <w:lang w:eastAsia="en-US"/>
        </w:rPr>
        <w:t>Previous research examining factors affecting SEC review as mentioned above generally concentrate on SEC review on the annual filings (</w:t>
      </w:r>
      <w:proofErr w:type="gramStart"/>
      <w:r>
        <w:rPr>
          <w:lang w:eastAsia="en-US"/>
        </w:rPr>
        <w:t>e.g.</w:t>
      </w:r>
      <w:proofErr w:type="gramEnd"/>
      <w:r>
        <w:rPr>
          <w:lang w:eastAsia="en-US"/>
        </w:rPr>
        <w:t xml:space="preserve"> 10-K, 20-F, 40-F), 8-K filings, proxy statement filings and filings other than registration statements (e.g. S-1 filings). </w:t>
      </w:r>
      <w:r w:rsidR="00DE0368" w:rsidRPr="00D32409">
        <w:rPr>
          <w:lang w:eastAsia="en-US"/>
        </w:rPr>
        <w:t>More relevant to my study,</w:t>
      </w:r>
      <w:r>
        <w:rPr>
          <w:lang w:eastAsia="en-US"/>
        </w:rPr>
        <w:t xml:space="preserve"> </w:t>
      </w:r>
      <w:r w:rsidR="00745308" w:rsidRPr="00D32409">
        <w:rPr>
          <w:lang w:eastAsia="en-US"/>
        </w:rPr>
        <w:fldChar w:fldCharType="begin" w:fldLock="1"/>
      </w:r>
      <w:r w:rsidR="00745308">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2006)","manualFormatting":"Ertimur &amp; Nondorf (2006)","plainTextFormattedCitation":"(Ertimur &amp; Nondorf, 2006)","previouslyFormattedCitation":"(Ertimur &amp; Nondorf, 2006)"},"properties":{"noteIndex":0},"schema":"https://github.com/citation-style-language/schema/raw/master/csl-citation.json"}</w:instrText>
      </w:r>
      <w:r w:rsidR="00745308" w:rsidRPr="00D32409">
        <w:rPr>
          <w:lang w:eastAsia="en-US"/>
        </w:rPr>
        <w:fldChar w:fldCharType="separate"/>
      </w:r>
      <w:r w:rsidR="00745308" w:rsidRPr="00D32409">
        <w:rPr>
          <w:noProof/>
          <w:lang w:eastAsia="en-US"/>
        </w:rPr>
        <w:t>Ertimur &amp; Nondorf (2006)</w:t>
      </w:r>
      <w:r w:rsidR="00745308" w:rsidRPr="00D32409">
        <w:rPr>
          <w:lang w:eastAsia="en-US"/>
        </w:rPr>
        <w:fldChar w:fldCharType="end"/>
      </w:r>
      <w:r w:rsidR="00745308">
        <w:rPr>
          <w:lang w:eastAsia="en-US"/>
        </w:rPr>
        <w:t xml:space="preserve"> examine </w:t>
      </w:r>
      <w:r w:rsidR="00717958">
        <w:rPr>
          <w:lang w:eastAsia="en-US"/>
        </w:rPr>
        <w:t xml:space="preserve">impacts of corporate governance and </w:t>
      </w:r>
      <w:proofErr w:type="spellStart"/>
      <w:r w:rsidR="00717958">
        <w:rPr>
          <w:lang w:eastAsia="en-US"/>
        </w:rPr>
        <w:t>magerial</w:t>
      </w:r>
      <w:proofErr w:type="spellEnd"/>
      <w:r w:rsidR="00717958">
        <w:rPr>
          <w:lang w:eastAsia="en-US"/>
        </w:rPr>
        <w:t xml:space="preserve"> expertise on</w:t>
      </w:r>
      <w:r w:rsidR="00745308">
        <w:rPr>
          <w:lang w:eastAsia="en-US"/>
        </w:rPr>
        <w:t xml:space="preserve"> SEC review on S-1 and SB-2 filings. </w:t>
      </w:r>
      <w:r w:rsidR="00717958">
        <w:rPr>
          <w:lang w:eastAsia="en-US"/>
        </w:rPr>
        <w:t xml:space="preserve">Second </w:t>
      </w:r>
      <w:r w:rsidR="00745308">
        <w:rPr>
          <w:lang w:eastAsia="en-US"/>
        </w:rPr>
        <w:t xml:space="preserve">study </w:t>
      </w:r>
      <w:r w:rsidR="00717958">
        <w:rPr>
          <w:lang w:eastAsia="en-US"/>
        </w:rPr>
        <w:t xml:space="preserve">similar to my study </w:t>
      </w:r>
      <w:r w:rsidR="00745308">
        <w:rPr>
          <w:lang w:eastAsia="en-US"/>
        </w:rPr>
        <w:t xml:space="preserve">is </w:t>
      </w:r>
      <w:r w:rsidR="00745308" w:rsidRPr="00F90E77">
        <w:rPr>
          <w:lang w:eastAsia="en-US"/>
        </w:rPr>
        <w:fldChar w:fldCharType="begin" w:fldLock="1"/>
      </w:r>
      <w:r w:rsidR="00900BF8">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745308" w:rsidRPr="00F90E77">
        <w:rPr>
          <w:lang w:eastAsia="en-US"/>
        </w:rPr>
        <w:fldChar w:fldCharType="separate"/>
      </w:r>
      <w:r w:rsidR="00745308">
        <w:rPr>
          <w:noProof/>
          <w:lang w:eastAsia="en-US"/>
        </w:rPr>
        <w:t>Colaco et al. (2018</w:t>
      </w:r>
      <w:r w:rsidR="00745308" w:rsidRPr="00F90E77">
        <w:rPr>
          <w:noProof/>
          <w:lang w:eastAsia="en-US"/>
        </w:rPr>
        <w:t>)</w:t>
      </w:r>
      <w:r w:rsidR="00745308" w:rsidRPr="00F90E77">
        <w:rPr>
          <w:lang w:eastAsia="en-US"/>
        </w:rPr>
        <w:fldChar w:fldCharType="end"/>
      </w:r>
      <w:r w:rsidR="00717958">
        <w:rPr>
          <w:lang w:eastAsia="en-US"/>
        </w:rPr>
        <w:t xml:space="preserve"> who examine impact of industry/markets characteristics on duration of IPO process. Third study similar to my study is </w:t>
      </w:r>
      <w:r w:rsidR="00717958" w:rsidRPr="00EB29B0">
        <w:rPr>
          <w:lang w:eastAsia="en-US"/>
        </w:rPr>
        <w:fldChar w:fldCharType="begin" w:fldLock="1"/>
      </w:r>
      <w:r w:rsidR="00717958">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sidR="00717958" w:rsidRPr="00EB29B0">
        <w:rPr>
          <w:lang w:eastAsia="en-US"/>
        </w:rPr>
        <w:fldChar w:fldCharType="separate"/>
      </w:r>
      <w:r w:rsidR="00717958" w:rsidRPr="00EB29B0">
        <w:rPr>
          <w:noProof/>
          <w:lang w:eastAsia="en-US"/>
        </w:rPr>
        <w:t>Agarwal et al. (2017)</w:t>
      </w:r>
      <w:r w:rsidR="00717958" w:rsidRPr="00EB29B0">
        <w:rPr>
          <w:lang w:eastAsia="en-US"/>
        </w:rPr>
        <w:fldChar w:fldCharType="end"/>
      </w:r>
      <w:r w:rsidR="00717958">
        <w:rPr>
          <w:lang w:eastAsia="en-US"/>
        </w:rPr>
        <w:t xml:space="preserve"> who examine impact of JOBs Act on style of SEC review on registration statements.</w:t>
      </w:r>
    </w:p>
    <w:p w14:paraId="795F9C25" w14:textId="68F3FA02" w:rsidR="004E37D0" w:rsidRPr="00717958" w:rsidRDefault="00717958" w:rsidP="005357C1">
      <w:pPr>
        <w:spacing w:line="360" w:lineRule="auto"/>
        <w:jc w:val="both"/>
        <w:rPr>
          <w:b/>
          <w:lang w:eastAsia="en-US"/>
        </w:rPr>
      </w:pPr>
      <w:r>
        <w:rPr>
          <w:lang w:eastAsia="en-US"/>
        </w:rPr>
        <w:t>Supporting effectiveness of regulatory intervention, r</w:t>
      </w:r>
      <w:r w:rsidR="004E37D0">
        <w:rPr>
          <w:lang w:eastAsia="en-US"/>
        </w:rPr>
        <w:t>egarding impact of IPO firms characteristics,</w:t>
      </w:r>
      <w:r w:rsidR="00DE0368" w:rsidRPr="00D32409">
        <w:rPr>
          <w:lang w:eastAsia="en-US"/>
        </w:rPr>
        <w:t xml:space="preserve"> </w:t>
      </w:r>
      <w:r w:rsidR="00DE0368" w:rsidRPr="00D32409">
        <w:rPr>
          <w:lang w:eastAsia="en-US"/>
        </w:rPr>
        <w:fldChar w:fldCharType="begin" w:fldLock="1"/>
      </w:r>
      <w:r w:rsidR="00DE0368">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2006)","manualFormatting":"Ertimur &amp; Nondorf (2006)","plainTextFormattedCitation":"(Ertimur &amp; Nondorf, 2006)","previouslyFormattedCitation":"(Ertimur &amp; Nondorf, 2006)"},"properties":{"noteIndex":0},"schema":"https://github.com/citation-style-language/schema/raw/master/csl-citation.json"}</w:instrText>
      </w:r>
      <w:r w:rsidR="00DE0368" w:rsidRPr="00D32409">
        <w:rPr>
          <w:lang w:eastAsia="en-US"/>
        </w:rPr>
        <w:fldChar w:fldCharType="separate"/>
      </w:r>
      <w:r w:rsidR="00DE0368" w:rsidRPr="00D32409">
        <w:rPr>
          <w:noProof/>
          <w:lang w:eastAsia="en-US"/>
        </w:rPr>
        <w:t>Ertimur &amp; Nondorf (2006)</w:t>
      </w:r>
      <w:r w:rsidR="00DE0368" w:rsidRPr="00D32409">
        <w:rPr>
          <w:lang w:eastAsia="en-US"/>
        </w:rPr>
        <w:fldChar w:fldCharType="end"/>
      </w:r>
      <w:r w:rsidR="00DE0368" w:rsidRPr="00D32409">
        <w:rPr>
          <w:lang w:eastAsia="en-US"/>
        </w:rPr>
        <w:t xml:space="preserve"> examine the determinants of the SEC </w:t>
      </w:r>
      <w:r w:rsidR="004E37D0">
        <w:rPr>
          <w:lang w:eastAsia="en-US"/>
        </w:rPr>
        <w:t>review on S-1 and SB-2 filings and</w:t>
      </w:r>
      <w:r w:rsidR="00DE0368" w:rsidRPr="00D32409">
        <w:rPr>
          <w:lang w:eastAsia="en-US"/>
        </w:rPr>
        <w:t xml:space="preserve"> observe negative relationship between the level of managerial expertise and the number of issues mentioned in the initial SEC comment letters</w:t>
      </w:r>
      <w:r w:rsidR="00DE0368">
        <w:rPr>
          <w:lang w:eastAsia="en-US"/>
        </w:rPr>
        <w:t>.</w:t>
      </w:r>
      <w:r w:rsidR="00DE0368" w:rsidRPr="007C2255">
        <w:t xml:space="preserve"> They also identify that the firms’ corporate governance </w:t>
      </w:r>
      <w:r w:rsidR="00DE0368" w:rsidRPr="007C2255">
        <w:rPr>
          <w:lang w:eastAsia="en-US"/>
        </w:rPr>
        <w:t xml:space="preserve">is likely to affect the efficiency of the IPO process, as indicated by the duration form the date of initial registration statement to the date the IPO </w:t>
      </w:r>
      <w:r w:rsidR="00DE0368" w:rsidRPr="005C3D38">
        <w:rPr>
          <w:lang w:eastAsia="en-US"/>
        </w:rPr>
        <w:t xml:space="preserve">become effective time from filing an initial offering document through the IPO effective date. </w:t>
      </w:r>
      <w:r>
        <w:rPr>
          <w:lang w:eastAsia="en-US"/>
        </w:rPr>
        <w:t>In terms of</w:t>
      </w:r>
      <w:r w:rsidR="004E37D0">
        <w:rPr>
          <w:lang w:eastAsia="en-US"/>
        </w:rPr>
        <w:t xml:space="preserve"> impact of incidences of regulatory changes and crisis, </w:t>
      </w:r>
      <w:r w:rsidR="00DE0368" w:rsidRPr="00F90E77">
        <w:rPr>
          <w:lang w:eastAsia="en-US"/>
        </w:rPr>
        <w:fldChar w:fldCharType="begin" w:fldLock="1"/>
      </w:r>
      <w:r w:rsidR="00745308">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DE0368" w:rsidRPr="00F90E77">
        <w:rPr>
          <w:lang w:eastAsia="en-US"/>
        </w:rPr>
        <w:fldChar w:fldCharType="separate"/>
      </w:r>
      <w:r w:rsidR="00745308">
        <w:rPr>
          <w:noProof/>
          <w:lang w:eastAsia="en-US"/>
        </w:rPr>
        <w:t>Colaco et al. (2018</w:t>
      </w:r>
      <w:r w:rsidR="00DE0368" w:rsidRPr="00F90E77">
        <w:rPr>
          <w:noProof/>
          <w:lang w:eastAsia="en-US"/>
        </w:rPr>
        <w:t>)</w:t>
      </w:r>
      <w:r w:rsidR="00DE0368" w:rsidRPr="00F90E77">
        <w:rPr>
          <w:lang w:eastAsia="en-US"/>
        </w:rPr>
        <w:fldChar w:fldCharType="end"/>
      </w:r>
      <w:r w:rsidR="00745308">
        <w:rPr>
          <w:lang w:eastAsia="en-US"/>
        </w:rPr>
        <w:t xml:space="preserve"> observe </w:t>
      </w:r>
      <w:r w:rsidR="00DE0368" w:rsidRPr="00F90E77">
        <w:rPr>
          <w:lang w:eastAsia="en-US"/>
        </w:rPr>
        <w:t xml:space="preserve">that the IPO firms’ waiting periods, which include several oversights from </w:t>
      </w:r>
      <w:r w:rsidR="00DE0368" w:rsidRPr="00F90E77">
        <w:t>underwriters, auditors, venture capitalists, institutional investors, and regulators, is longer during the period of financial crisis 2008-2009.</w:t>
      </w:r>
      <w:r w:rsidR="00DE0368">
        <w:t xml:space="preserve"> </w:t>
      </w:r>
      <w:r>
        <w:rPr>
          <w:lang w:eastAsia="en-US"/>
        </w:rPr>
        <w:t xml:space="preserve">In addition, previous literature find evidence that when SEC may conduct their review in more conservative way when information </w:t>
      </w:r>
      <w:proofErr w:type="spellStart"/>
      <w:r>
        <w:rPr>
          <w:lang w:eastAsia="en-US"/>
        </w:rPr>
        <w:t>uncertainy</w:t>
      </w:r>
      <w:proofErr w:type="spellEnd"/>
      <w:r>
        <w:rPr>
          <w:lang w:eastAsia="en-US"/>
        </w:rPr>
        <w:t xml:space="preserve"> increase. </w:t>
      </w:r>
      <w:r>
        <w:rPr>
          <w:lang w:eastAsia="en-US"/>
        </w:rPr>
        <w:fldChar w:fldCharType="begin" w:fldLock="1"/>
      </w:r>
      <w:r>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2006)","manualFormatting":"Ertimur &amp; Nondorf (2006)","plainTextFormattedCitation":"(Ertimur &amp; Nondorf, 2006)","previouslyFormattedCitation":"(Ertimur &amp; Nondorf, 2006)"},"properties":{"noteIndex":0},"schema":"https://github.com/citation-style-language/schema/raw/master/csl-citation.json"}</w:instrText>
      </w:r>
      <w:r>
        <w:rPr>
          <w:lang w:eastAsia="en-US"/>
        </w:rPr>
        <w:fldChar w:fldCharType="separate"/>
      </w:r>
      <w:r>
        <w:rPr>
          <w:noProof/>
          <w:lang w:eastAsia="en-US"/>
        </w:rPr>
        <w:t>Ertimur &amp; Nondorf (</w:t>
      </w:r>
      <w:r w:rsidRPr="00A23417">
        <w:rPr>
          <w:noProof/>
          <w:lang w:eastAsia="en-US"/>
        </w:rPr>
        <w:t>2006)</w:t>
      </w:r>
      <w:r>
        <w:rPr>
          <w:lang w:eastAsia="en-US"/>
        </w:rPr>
        <w:fldChar w:fldCharType="end"/>
      </w:r>
      <w:r>
        <w:rPr>
          <w:lang w:eastAsia="en-US"/>
        </w:rPr>
        <w:t xml:space="preserve"> find evidence that the SEC address more issues and provide more comments on S-1 filings when the level of information uncertainty is high. </w:t>
      </w:r>
      <w:r>
        <w:rPr>
          <w:lang w:eastAsia="en-US"/>
        </w:rPr>
        <w:fldChar w:fldCharType="begin" w:fldLock="1"/>
      </w:r>
      <w:r>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Pr>
          <w:lang w:eastAsia="en-US"/>
        </w:rPr>
        <w:fldChar w:fldCharType="separate"/>
      </w:r>
      <w:r>
        <w:rPr>
          <w:noProof/>
          <w:lang w:eastAsia="en-US"/>
        </w:rPr>
        <w:t>Colaco et al. (2018</w:t>
      </w:r>
      <w:r w:rsidRPr="00A23417">
        <w:rPr>
          <w:noProof/>
          <w:lang w:eastAsia="en-US"/>
        </w:rPr>
        <w:t>)</w:t>
      </w:r>
      <w:r>
        <w:rPr>
          <w:lang w:eastAsia="en-US"/>
        </w:rPr>
        <w:fldChar w:fldCharType="end"/>
      </w:r>
      <w:r>
        <w:rPr>
          <w:lang w:eastAsia="en-US"/>
        </w:rPr>
        <w:t xml:space="preserve"> identify that longer duration of IPO process is derived from higher </w:t>
      </w:r>
      <w:r w:rsidRPr="00A23417">
        <w:rPr>
          <w:lang w:eastAsia="en-US"/>
        </w:rPr>
        <w:t>ex</w:t>
      </w:r>
      <w:r>
        <w:rPr>
          <w:lang w:eastAsia="en-US"/>
        </w:rPr>
        <w:t>-</w:t>
      </w:r>
      <w:r w:rsidRPr="00A23417">
        <w:rPr>
          <w:lang w:eastAsia="en-US"/>
        </w:rPr>
        <w:t xml:space="preserve">ante uncertainty about </w:t>
      </w:r>
      <w:r>
        <w:rPr>
          <w:lang w:eastAsia="en-US"/>
        </w:rPr>
        <w:t xml:space="preserve">the IPO firms’ </w:t>
      </w:r>
      <w:r w:rsidRPr="00A23417">
        <w:rPr>
          <w:lang w:eastAsia="en-US"/>
        </w:rPr>
        <w:t>future cash flow</w:t>
      </w:r>
      <w:r>
        <w:t>.</w:t>
      </w:r>
    </w:p>
    <w:p w14:paraId="561B9CFB" w14:textId="75DD72C2" w:rsidR="00745308" w:rsidRDefault="00717958" w:rsidP="005357C1">
      <w:pPr>
        <w:spacing w:line="360" w:lineRule="auto"/>
        <w:jc w:val="both"/>
        <w:rPr>
          <w:lang w:eastAsia="en-US"/>
        </w:rPr>
      </w:pPr>
      <w:r>
        <w:t>Supporting ineffectiveness of regulatory intervention, r</w:t>
      </w:r>
      <w:r w:rsidR="004E37D0">
        <w:t xml:space="preserve">egarding industry/market characteristics, </w:t>
      </w:r>
      <w:r w:rsidR="00745308">
        <w:fldChar w:fldCharType="begin" w:fldLock="1"/>
      </w:r>
      <w:r w:rsidR="00745308">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2006)","manualFormatting":"Ertimur &amp; Nondorf (2006)","plainTextFormattedCitation":"(Ertimur &amp; Nondorf, 2006)","previouslyFormattedCitation":"(Ertimur &amp; Nondorf, 2006)"},"properties":{"noteIndex":0},"schema":"https://github.com/citation-style-language/schema/raw/master/csl-citation.json"}</w:instrText>
      </w:r>
      <w:r w:rsidR="00745308">
        <w:fldChar w:fldCharType="separate"/>
      </w:r>
      <w:r w:rsidR="00745308">
        <w:rPr>
          <w:noProof/>
        </w:rPr>
        <w:t>Ertimur &amp; Nondorf (</w:t>
      </w:r>
      <w:r w:rsidR="00745308" w:rsidRPr="00667A16">
        <w:rPr>
          <w:noProof/>
        </w:rPr>
        <w:t>2006)</w:t>
      </w:r>
      <w:r w:rsidR="00745308">
        <w:fldChar w:fldCharType="end"/>
      </w:r>
      <w:r w:rsidR="00745308">
        <w:t xml:space="preserve"> observe that the SEC address fewer issues on the initial S-1 filings prepared by the firms operating in the regulated industries including; e</w:t>
      </w:r>
      <w:r w:rsidR="00745308" w:rsidRPr="00667A16">
        <w:t>lectric/gas/sanitary services, banks, insurance carriers, real estate, hold</w:t>
      </w:r>
      <w:r w:rsidR="00745308">
        <w:t>ing and other investment offices. They suggest the explanation</w:t>
      </w:r>
      <w:r w:rsidR="00745308" w:rsidRPr="00667A16">
        <w:t xml:space="preserve"> that </w:t>
      </w:r>
      <w:r w:rsidR="00745308">
        <w:t xml:space="preserve">the regulated </w:t>
      </w:r>
      <w:r w:rsidR="00745308" w:rsidRPr="00667A16">
        <w:t xml:space="preserve">firms </w:t>
      </w:r>
      <w:r w:rsidR="00745308">
        <w:t>are likely to have</w:t>
      </w:r>
      <w:r w:rsidR="00745308" w:rsidRPr="00667A16">
        <w:t xml:space="preserve"> more </w:t>
      </w:r>
      <w:r w:rsidR="00745308">
        <w:t>skills</w:t>
      </w:r>
      <w:r w:rsidR="00745308" w:rsidRPr="00667A16">
        <w:t xml:space="preserve"> in preparing </w:t>
      </w:r>
      <w:r w:rsidR="00745308">
        <w:t xml:space="preserve">the reports required by </w:t>
      </w:r>
      <w:r w:rsidR="00745308" w:rsidRPr="00667A16">
        <w:t>regulatory bodies</w:t>
      </w:r>
      <w:r w:rsidR="00745308">
        <w:t xml:space="preserve">. </w:t>
      </w:r>
      <w:r w:rsidR="00DE0368">
        <w:fldChar w:fldCharType="begin" w:fldLock="1"/>
      </w:r>
      <w:r w:rsidR="00DE0368">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DE0368">
        <w:fldChar w:fldCharType="separate"/>
      </w:r>
      <w:r w:rsidR="00DE0368">
        <w:rPr>
          <w:noProof/>
        </w:rPr>
        <w:t>Colaco et al. (2018</w:t>
      </w:r>
      <w:r w:rsidR="00DE0368" w:rsidRPr="00667A16">
        <w:rPr>
          <w:noProof/>
        </w:rPr>
        <w:t>)</w:t>
      </w:r>
      <w:r w:rsidR="00DE0368">
        <w:fldChar w:fldCharType="end"/>
      </w:r>
      <w:r w:rsidR="00DE0368">
        <w:t xml:space="preserve"> provide evidence that the waiting </w:t>
      </w:r>
      <w:r w:rsidR="00DE0368">
        <w:lastRenderedPageBreak/>
        <w:t>period is shorter when the IPO market is hot.</w:t>
      </w:r>
      <w:r w:rsidR="00DE0368" w:rsidRPr="0039468F">
        <w:rPr>
          <w:rStyle w:val="FootnoteReference"/>
        </w:rPr>
        <w:footnoteReference w:id="4"/>
      </w:r>
      <w:r w:rsidR="00745308">
        <w:rPr>
          <w:lang w:eastAsia="en-US"/>
        </w:rPr>
        <w:t xml:space="preserve">. </w:t>
      </w:r>
      <w:r w:rsidR="00745308">
        <w:fldChar w:fldCharType="begin" w:fldLock="1"/>
      </w:r>
      <w:r w:rsidR="00745308">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745308">
        <w:fldChar w:fldCharType="separate"/>
      </w:r>
      <w:r w:rsidR="00745308">
        <w:rPr>
          <w:noProof/>
        </w:rPr>
        <w:t>Colaco et al. (2018</w:t>
      </w:r>
      <w:r w:rsidR="00745308" w:rsidRPr="00667A16">
        <w:rPr>
          <w:noProof/>
        </w:rPr>
        <w:t>)</w:t>
      </w:r>
      <w:r w:rsidR="00745308">
        <w:fldChar w:fldCharType="end"/>
      </w:r>
      <w:r>
        <w:t xml:space="preserve"> </w:t>
      </w:r>
      <w:r w:rsidR="00745308">
        <w:t xml:space="preserve">also identify that the duration of waiting periods of the firms operating in the technology industries are shorter than those of other firms because the competition in the industry is very high. </w:t>
      </w:r>
      <w:r w:rsidR="00745308">
        <w:rPr>
          <w:lang w:eastAsia="en-US"/>
        </w:rPr>
        <w:t xml:space="preserve">Regarding SEC characteristics, </w:t>
      </w:r>
      <w:r w:rsidR="00DE0368" w:rsidRPr="00EB29B0">
        <w:rPr>
          <w:lang w:eastAsia="en-US"/>
        </w:rPr>
        <w:fldChar w:fldCharType="begin" w:fldLock="1"/>
      </w:r>
      <w:r w:rsidR="00DE0368">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sidR="00DE0368" w:rsidRPr="00EB29B0">
        <w:rPr>
          <w:lang w:eastAsia="en-US"/>
        </w:rPr>
        <w:fldChar w:fldCharType="separate"/>
      </w:r>
      <w:r w:rsidR="00DE0368" w:rsidRPr="00EB29B0">
        <w:rPr>
          <w:noProof/>
          <w:lang w:eastAsia="en-US"/>
        </w:rPr>
        <w:t>Agarwal et al. (2017)</w:t>
      </w:r>
      <w:r w:rsidR="00DE0368" w:rsidRPr="00EB29B0">
        <w:rPr>
          <w:lang w:eastAsia="en-US"/>
        </w:rPr>
        <w:fldChar w:fldCharType="end"/>
      </w:r>
      <w:r w:rsidR="00DE0368" w:rsidRPr="00EB29B0">
        <w:rPr>
          <w:lang w:eastAsia="en-US"/>
        </w:rPr>
        <w:t xml:space="preserve"> observe that the SEC adjust their styles in reviewing the registration statements after the enactment of JOBs Act</w:t>
      </w:r>
      <w:r w:rsidR="00DE0368">
        <w:rPr>
          <w:lang w:eastAsia="en-US"/>
        </w:rPr>
        <w:t xml:space="preserve">. </w:t>
      </w:r>
      <w:r w:rsidR="00DE0368" w:rsidRPr="00EB29B0">
        <w:rPr>
          <w:lang w:eastAsia="en-US"/>
        </w:rPr>
        <w:t xml:space="preserve">Particularly, </w:t>
      </w:r>
      <w:r w:rsidR="00DE0368">
        <w:rPr>
          <w:lang w:eastAsia="en-US"/>
        </w:rPr>
        <w:t xml:space="preserve">they state that </w:t>
      </w:r>
      <w:r w:rsidR="00DE0368" w:rsidRPr="00EB29B0">
        <w:rPr>
          <w:lang w:eastAsia="en-US"/>
        </w:rPr>
        <w:t>the SEC concentrate more on the quantitative contents and provide comment letters containing more negative tone and more forceful suggestion.</w:t>
      </w:r>
      <w:r w:rsidR="00DE0368">
        <w:rPr>
          <w:lang w:eastAsia="en-US"/>
        </w:rPr>
        <w:t xml:space="preserve"> </w:t>
      </w:r>
    </w:p>
    <w:p w14:paraId="1E5C5FA4" w14:textId="2532E696" w:rsidR="00C20F6A" w:rsidRPr="000912EF" w:rsidRDefault="00577A84" w:rsidP="00C20F6A">
      <w:pPr>
        <w:pStyle w:val="ListParagraph"/>
        <w:numPr>
          <w:ilvl w:val="0"/>
          <w:numId w:val="1"/>
        </w:numPr>
        <w:spacing w:line="360" w:lineRule="auto"/>
        <w:jc w:val="both"/>
        <w:outlineLvl w:val="0"/>
        <w:rPr>
          <w:b/>
          <w:lang w:eastAsia="en-US"/>
        </w:rPr>
      </w:pPr>
      <w:bookmarkStart w:id="21" w:name="_Toc9185789"/>
      <w:r>
        <w:rPr>
          <w:b/>
          <w:lang w:eastAsia="en-US"/>
        </w:rPr>
        <w:t>Research design</w:t>
      </w:r>
      <w:bookmarkEnd w:id="21"/>
      <w:r>
        <w:rPr>
          <w:b/>
          <w:lang w:eastAsia="en-US"/>
        </w:rPr>
        <w:t xml:space="preserve"> </w:t>
      </w:r>
    </w:p>
    <w:p w14:paraId="58CDCE8C" w14:textId="3BAC9AA4" w:rsidR="00EF78F3" w:rsidRDefault="00EF78F3" w:rsidP="00C20F6A">
      <w:pPr>
        <w:pStyle w:val="ListParagraph"/>
        <w:numPr>
          <w:ilvl w:val="1"/>
          <w:numId w:val="1"/>
        </w:numPr>
        <w:spacing w:line="360" w:lineRule="auto"/>
        <w:jc w:val="both"/>
        <w:outlineLvl w:val="1"/>
        <w:rPr>
          <w:b/>
          <w:lang w:eastAsia="en-US"/>
        </w:rPr>
      </w:pPr>
      <w:bookmarkStart w:id="22" w:name="_Toc9185790"/>
      <w:r w:rsidRPr="000912EF">
        <w:rPr>
          <w:b/>
          <w:lang w:eastAsia="en-US"/>
        </w:rPr>
        <w:t xml:space="preserve">Sample </w:t>
      </w:r>
      <w:r w:rsidR="00674484" w:rsidRPr="000912EF">
        <w:rPr>
          <w:b/>
          <w:lang w:eastAsia="en-US"/>
        </w:rPr>
        <w:t>selection</w:t>
      </w:r>
      <w:bookmarkEnd w:id="22"/>
    </w:p>
    <w:p w14:paraId="67B5669C" w14:textId="51F39724" w:rsidR="00726E92" w:rsidRPr="00726E92" w:rsidRDefault="00726E92" w:rsidP="781474D5">
      <w:pPr>
        <w:pStyle w:val="ListParagraph"/>
        <w:spacing w:line="360" w:lineRule="auto"/>
        <w:ind w:left="0"/>
        <w:jc w:val="both"/>
        <w:rPr>
          <w:lang w:eastAsia="en-US"/>
        </w:rPr>
      </w:pPr>
      <w:r w:rsidRPr="00726E92">
        <w:rPr>
          <w:lang w:eastAsia="en-US"/>
        </w:rPr>
        <w:t xml:space="preserve">I collect from the </w:t>
      </w:r>
      <w:r>
        <w:rPr>
          <w:lang w:eastAsia="en-US"/>
        </w:rPr>
        <w:t>Thomson Reuters Eikon</w:t>
      </w:r>
      <w:r w:rsidRPr="00726E92">
        <w:rPr>
          <w:lang w:eastAsia="en-US"/>
        </w:rPr>
        <w:t xml:space="preserve"> database the population of IPOs </w:t>
      </w:r>
      <w:r w:rsidR="00F87A41">
        <w:rPr>
          <w:lang w:eastAsia="en-US"/>
        </w:rPr>
        <w:t>who filed</w:t>
      </w:r>
      <w:r w:rsidR="0046785F">
        <w:rPr>
          <w:lang w:eastAsia="en-US"/>
        </w:rPr>
        <w:t xml:space="preserve"> their S-1 </w:t>
      </w:r>
      <w:r w:rsidR="00F87A41">
        <w:rPr>
          <w:lang w:eastAsia="en-US"/>
        </w:rPr>
        <w:t>forms</w:t>
      </w:r>
      <w:r w:rsidR="0046785F">
        <w:rPr>
          <w:lang w:eastAsia="en-US"/>
        </w:rPr>
        <w:t xml:space="preserve"> during</w:t>
      </w:r>
      <w:r w:rsidRPr="00726E92">
        <w:rPr>
          <w:lang w:eastAsia="en-US"/>
        </w:rPr>
        <w:t xml:space="preserve"> the period of 12 </w:t>
      </w:r>
      <w:proofErr w:type="gramStart"/>
      <w:r>
        <w:rPr>
          <w:lang w:eastAsia="en-US"/>
        </w:rPr>
        <w:t>May,</w:t>
      </w:r>
      <w:proofErr w:type="gramEnd"/>
      <w:r>
        <w:rPr>
          <w:lang w:eastAsia="en-US"/>
        </w:rPr>
        <w:t xml:space="preserve"> </w:t>
      </w:r>
      <w:r w:rsidR="00A258EF">
        <w:rPr>
          <w:lang w:eastAsia="en-US"/>
        </w:rPr>
        <w:t>2005</w:t>
      </w:r>
      <w:r>
        <w:rPr>
          <w:lang w:eastAsia="en-US"/>
        </w:rPr>
        <w:t xml:space="preserve"> to 31 December, 2017</w:t>
      </w:r>
      <w:r w:rsidRPr="00726E92">
        <w:rPr>
          <w:lang w:eastAsia="en-US"/>
        </w:rPr>
        <w:t>.</w:t>
      </w:r>
      <w:r w:rsidR="00CA4AAD" w:rsidRPr="00CA4AAD">
        <w:rPr>
          <w:rStyle w:val="FootnoteReference"/>
          <w:lang w:eastAsia="en-US"/>
        </w:rPr>
        <w:t xml:space="preserve"> </w:t>
      </w:r>
      <w:r w:rsidR="00CA4AAD" w:rsidRPr="00EC26CF">
        <w:rPr>
          <w:rStyle w:val="FootnoteReference"/>
        </w:rPr>
        <w:footnoteReference w:id="5"/>
      </w:r>
      <w:r w:rsidRPr="00726E92">
        <w:rPr>
          <w:lang w:eastAsia="en-US"/>
        </w:rPr>
        <w:t xml:space="preserve"> Following previous studies in the IPO context, I eliminate IPOs with the o</w:t>
      </w:r>
      <w:r w:rsidR="00337B13">
        <w:rPr>
          <w:lang w:eastAsia="en-US"/>
        </w:rPr>
        <w:t>ffering price less $5 per share</w:t>
      </w:r>
      <w:r w:rsidRPr="00726E92">
        <w:rPr>
          <w:lang w:eastAsia="en-US"/>
        </w:rPr>
        <w:t>, Ameri</w:t>
      </w:r>
      <w:r w:rsidR="007839E4">
        <w:rPr>
          <w:lang w:eastAsia="en-US"/>
        </w:rPr>
        <w:t xml:space="preserve">can Depositary Receipts (ADRs) </w:t>
      </w:r>
      <w:r w:rsidR="0046785F">
        <w:rPr>
          <w:lang w:eastAsia="en-US"/>
        </w:rPr>
        <w:t>and financial firms</w:t>
      </w:r>
      <w:r w:rsidR="0080445A">
        <w:rPr>
          <w:lang w:eastAsia="en-US"/>
        </w:rPr>
        <w:t>, unit issues</w:t>
      </w:r>
      <w:r w:rsidRPr="00726E92">
        <w:rPr>
          <w:lang w:eastAsia="en-US"/>
        </w:rPr>
        <w:t>, simultan</w:t>
      </w:r>
      <w:r>
        <w:rPr>
          <w:lang w:eastAsia="en-US"/>
        </w:rPr>
        <w:t>eous offerings and withdrawals</w:t>
      </w:r>
      <w:r w:rsidRPr="00726E92">
        <w:rPr>
          <w:lang w:eastAsia="en-US"/>
        </w:rPr>
        <w:t xml:space="preserve">. </w:t>
      </w:r>
      <w:r w:rsidR="0046785F">
        <w:rPr>
          <w:lang w:eastAsia="en-US"/>
        </w:rPr>
        <w:t xml:space="preserve">Because my focus is on the S-1 review process, I exclude the IPO firms do not file S-1 filings. </w:t>
      </w:r>
      <w:r w:rsidRPr="00726E92">
        <w:rPr>
          <w:lang w:eastAsia="en-US"/>
        </w:rPr>
        <w:t xml:space="preserve">Consequently, the sample remains </w:t>
      </w:r>
      <w:r>
        <w:rPr>
          <w:lang w:eastAsia="en-US"/>
        </w:rPr>
        <w:t>909</w:t>
      </w:r>
      <w:r w:rsidRPr="00726E92">
        <w:rPr>
          <w:lang w:eastAsia="en-US"/>
        </w:rPr>
        <w:t xml:space="preserve"> IPOs firms. </w:t>
      </w:r>
      <w:r w:rsidR="781474D5" w:rsidRPr="781474D5">
        <w:rPr>
          <w:rFonts w:eastAsia="Times New Roman"/>
        </w:rPr>
        <w:t>Of these, 784 IPO firms receive the SEC comment letters in which 710 IPO firms receive the SEC comment letters for their initial S-1 filings.</w:t>
      </w:r>
      <w:r w:rsidRPr="00726E92">
        <w:rPr>
          <w:lang w:eastAsia="en-US"/>
        </w:rPr>
        <w:t xml:space="preserve"> Table 1 presents the sample selection procedures in more detail. The SEC comment letters</w:t>
      </w:r>
      <w:r w:rsidR="007839E4">
        <w:rPr>
          <w:lang w:eastAsia="en-US"/>
        </w:rPr>
        <w:t xml:space="preserve"> </w:t>
      </w:r>
      <w:r w:rsidRPr="00726E92">
        <w:rPr>
          <w:lang w:eastAsia="en-US"/>
        </w:rPr>
        <w:t xml:space="preserve">are </w:t>
      </w:r>
      <w:r w:rsidR="00337B13">
        <w:rPr>
          <w:lang w:eastAsia="en-US"/>
        </w:rPr>
        <w:t xml:space="preserve">manually collected from the </w:t>
      </w:r>
      <w:r w:rsidRPr="00726E92">
        <w:rPr>
          <w:lang w:eastAsia="en-US"/>
        </w:rPr>
        <w:t>EDGAR database.</w:t>
      </w:r>
      <w:r w:rsidR="00CA4AAD">
        <w:rPr>
          <w:rStyle w:val="FootnoteReference"/>
          <w:lang w:eastAsia="en-US"/>
        </w:rPr>
        <w:footnoteReference w:id="6"/>
      </w:r>
      <w:r w:rsidR="007839E4">
        <w:rPr>
          <w:lang w:eastAsia="en-US"/>
        </w:rPr>
        <w:t xml:space="preserve"> </w:t>
      </w:r>
      <w:r w:rsidR="003D0581">
        <w:rPr>
          <w:lang w:eastAsia="en-US"/>
        </w:rPr>
        <w:t xml:space="preserve">I extract </w:t>
      </w:r>
      <w:r w:rsidR="00AF665C">
        <w:rPr>
          <w:lang w:eastAsia="en-US"/>
        </w:rPr>
        <w:t xml:space="preserve">information about </w:t>
      </w:r>
      <w:r w:rsidR="003D0581">
        <w:rPr>
          <w:lang w:eastAsia="en-US"/>
        </w:rPr>
        <w:t xml:space="preserve">the SEC comments, the </w:t>
      </w:r>
      <w:r w:rsidR="00AF2FB2">
        <w:rPr>
          <w:lang w:eastAsia="en-US"/>
        </w:rPr>
        <w:t>SEC reviewers’ job position and job classification from the SEC comment letters. If the SEC comment letters do not contain the information about the reviewers’ job position and job classification</w:t>
      </w:r>
      <w:r w:rsidR="003D0581">
        <w:rPr>
          <w:lang w:eastAsia="en-US"/>
        </w:rPr>
        <w:t>,</w:t>
      </w:r>
      <w:r w:rsidR="00AF2FB2">
        <w:rPr>
          <w:lang w:eastAsia="en-US"/>
        </w:rPr>
        <w:t xml:space="preserve"> I alternatively collect the data from the Federal.org</w:t>
      </w:r>
      <w:r w:rsidR="00780F60">
        <w:rPr>
          <w:lang w:eastAsia="en-US"/>
        </w:rPr>
        <w:t xml:space="preserve"> website by using the reviewers’ names</w:t>
      </w:r>
      <w:r w:rsidR="00AF2FB2">
        <w:t>.</w:t>
      </w:r>
      <w:r w:rsidR="00CA4AAD" w:rsidRPr="00EC26CF">
        <w:rPr>
          <w:rStyle w:val="FootnoteReference"/>
        </w:rPr>
        <w:footnoteReference w:id="7"/>
      </w:r>
      <w:r w:rsidR="00AF2FB2">
        <w:t xml:space="preserve"> </w:t>
      </w:r>
      <w:r w:rsidR="007839E4">
        <w:rPr>
          <w:lang w:eastAsia="en-US"/>
        </w:rPr>
        <w:t xml:space="preserve">The date of initial S-1 filings and the effective date of IPOs are </w:t>
      </w:r>
      <w:r w:rsidR="00AF2FB2">
        <w:rPr>
          <w:lang w:eastAsia="en-US"/>
        </w:rPr>
        <w:t>collected</w:t>
      </w:r>
      <w:r w:rsidR="00EF2780">
        <w:rPr>
          <w:lang w:eastAsia="en-US"/>
        </w:rPr>
        <w:t>.</w:t>
      </w:r>
      <w:r w:rsidR="00EF2780">
        <w:rPr>
          <w:rStyle w:val="FootnoteReference"/>
          <w:lang w:eastAsia="en-US"/>
        </w:rPr>
        <w:footnoteReference w:id="8"/>
      </w:r>
      <w:r w:rsidRPr="00726E92">
        <w:rPr>
          <w:lang w:eastAsia="en-US"/>
        </w:rPr>
        <w:t xml:space="preserve"> </w:t>
      </w:r>
      <w:r w:rsidR="007839E4">
        <w:rPr>
          <w:lang w:eastAsia="en-US"/>
        </w:rPr>
        <w:t xml:space="preserve">I obtain the IPO firms’ characteristics and the industry’s characteristics data from </w:t>
      </w:r>
      <w:proofErr w:type="spellStart"/>
      <w:r w:rsidR="007839E4">
        <w:rPr>
          <w:lang w:eastAsia="en-US"/>
        </w:rPr>
        <w:t>Compustat</w:t>
      </w:r>
      <w:proofErr w:type="spellEnd"/>
      <w:r w:rsidR="007839E4">
        <w:rPr>
          <w:lang w:eastAsia="en-US"/>
        </w:rPr>
        <w:t xml:space="preserve"> North America and Thomson Reuters </w:t>
      </w:r>
      <w:proofErr w:type="spellStart"/>
      <w:r w:rsidR="007839E4">
        <w:rPr>
          <w:lang w:eastAsia="en-US"/>
        </w:rPr>
        <w:t>Datastream</w:t>
      </w:r>
      <w:proofErr w:type="spellEnd"/>
      <w:r w:rsidR="007839E4">
        <w:rPr>
          <w:lang w:eastAsia="en-US"/>
        </w:rPr>
        <w:t xml:space="preserve"> database</w:t>
      </w:r>
      <w:r w:rsidR="003D0581">
        <w:rPr>
          <w:lang w:eastAsia="en-US"/>
        </w:rPr>
        <w:t>s.</w:t>
      </w:r>
    </w:p>
    <w:p w14:paraId="6A79C4FF" w14:textId="3612435F" w:rsidR="00EF78F3" w:rsidRPr="00D94396" w:rsidRDefault="00D94396" w:rsidP="00D94396">
      <w:pPr>
        <w:spacing w:line="360" w:lineRule="auto"/>
        <w:jc w:val="center"/>
        <w:rPr>
          <w:b/>
          <w:lang w:eastAsia="en-US"/>
        </w:rPr>
      </w:pPr>
      <w:r>
        <w:rPr>
          <w:b/>
          <w:lang w:eastAsia="en-US"/>
        </w:rPr>
        <w:t>[Insert Table 1 about here]</w:t>
      </w:r>
    </w:p>
    <w:p w14:paraId="06E01216" w14:textId="404CAEA0" w:rsidR="003B157F" w:rsidRDefault="000A79C2" w:rsidP="003B157F">
      <w:pPr>
        <w:pStyle w:val="ListParagraph"/>
        <w:numPr>
          <w:ilvl w:val="1"/>
          <w:numId w:val="1"/>
        </w:numPr>
        <w:spacing w:line="360" w:lineRule="auto"/>
        <w:jc w:val="both"/>
        <w:outlineLvl w:val="1"/>
        <w:rPr>
          <w:b/>
          <w:lang w:eastAsia="en-US"/>
        </w:rPr>
      </w:pPr>
      <w:bookmarkStart w:id="23" w:name="_Toc9185791"/>
      <w:r>
        <w:rPr>
          <w:b/>
          <w:lang w:eastAsia="en-US"/>
        </w:rPr>
        <w:t>Key v</w:t>
      </w:r>
      <w:r w:rsidR="00EF78F3" w:rsidRPr="000912EF">
        <w:rPr>
          <w:b/>
          <w:lang w:eastAsia="en-US"/>
        </w:rPr>
        <w:t>ariables</w:t>
      </w:r>
      <w:bookmarkEnd w:id="23"/>
    </w:p>
    <w:p w14:paraId="1F845522" w14:textId="77777777" w:rsidR="003B157F" w:rsidRDefault="003B157F" w:rsidP="00C17F90">
      <w:pPr>
        <w:pStyle w:val="ListParagraph"/>
        <w:numPr>
          <w:ilvl w:val="2"/>
          <w:numId w:val="1"/>
        </w:numPr>
        <w:spacing w:line="360" w:lineRule="auto"/>
        <w:ind w:left="1134"/>
        <w:jc w:val="both"/>
        <w:outlineLvl w:val="2"/>
        <w:rPr>
          <w:b/>
          <w:lang w:eastAsia="en-US"/>
        </w:rPr>
      </w:pPr>
      <w:bookmarkStart w:id="24" w:name="_Toc9185792"/>
      <w:r w:rsidRPr="003B157F">
        <w:rPr>
          <w:b/>
          <w:lang w:eastAsia="en-US"/>
        </w:rPr>
        <w:lastRenderedPageBreak/>
        <w:t>The SEC review process</w:t>
      </w:r>
      <w:bookmarkEnd w:id="24"/>
    </w:p>
    <w:p w14:paraId="419AF939" w14:textId="0909CC01" w:rsidR="00ED4338" w:rsidRDefault="003B157F" w:rsidP="0030659B">
      <w:pPr>
        <w:spacing w:line="360" w:lineRule="auto"/>
        <w:jc w:val="both"/>
        <w:rPr>
          <w:i/>
          <w:lang w:eastAsia="en-US"/>
        </w:rPr>
      </w:pPr>
      <w:r w:rsidRPr="003B157F">
        <w:rPr>
          <w:lang w:eastAsia="en-US"/>
        </w:rPr>
        <w:t xml:space="preserve">As stated by Li &amp; Liu (2017), the SEC review process is usually composed of numerous comment letters issued by the SEC and amendments provided by IPO firms. Only when all of the issues highlighted by the SEC in the comment letters are addressed will the review process be </w:t>
      </w:r>
      <w:proofErr w:type="gramStart"/>
      <w:r w:rsidRPr="003B157F">
        <w:rPr>
          <w:lang w:eastAsia="en-US"/>
        </w:rPr>
        <w:t>complete</w:t>
      </w:r>
      <w:proofErr w:type="gramEnd"/>
      <w:r w:rsidRPr="003B157F">
        <w:rPr>
          <w:lang w:eastAsia="en-US"/>
        </w:rPr>
        <w:t xml:space="preserve"> and the SEC be willing to declare the registration statement as ‘effective’. Based on this institutional background, </w:t>
      </w:r>
      <w:proofErr w:type="gramStart"/>
      <w:r w:rsidRPr="003B157F">
        <w:rPr>
          <w:lang w:eastAsia="en-US"/>
        </w:rPr>
        <w:t>a number of</w:t>
      </w:r>
      <w:proofErr w:type="gramEnd"/>
      <w:r w:rsidRPr="003B157F">
        <w:rPr>
          <w:lang w:eastAsia="en-US"/>
        </w:rPr>
        <w:t xml:space="preserve"> attributes of the SEC review process could be considered </w:t>
      </w:r>
      <w:r w:rsidR="007B4C8E">
        <w:rPr>
          <w:lang w:eastAsia="en-US"/>
        </w:rPr>
        <w:t>including duration of IPO process (</w:t>
      </w:r>
      <w:r w:rsidR="007B4C8E">
        <w:rPr>
          <w:i/>
          <w:lang w:eastAsia="en-US"/>
        </w:rPr>
        <w:t xml:space="preserve">Duration), </w:t>
      </w:r>
      <w:r w:rsidR="007B4C8E">
        <w:rPr>
          <w:lang w:eastAsia="en-US"/>
        </w:rPr>
        <w:t>the volume of SEC comment letters (</w:t>
      </w:r>
      <w:r w:rsidR="007B4C8E">
        <w:rPr>
          <w:i/>
          <w:lang w:eastAsia="en-US"/>
        </w:rPr>
        <w:t>Letters</w:t>
      </w:r>
      <w:r w:rsidR="00A258EF">
        <w:rPr>
          <w:i/>
          <w:lang w:eastAsia="en-US"/>
        </w:rPr>
        <w:t xml:space="preserve">) </w:t>
      </w:r>
      <w:r w:rsidR="00A258EF">
        <w:rPr>
          <w:lang w:eastAsia="en-US"/>
        </w:rPr>
        <w:t>and</w:t>
      </w:r>
      <w:r w:rsidR="007B4C8E">
        <w:rPr>
          <w:lang w:eastAsia="en-US"/>
        </w:rPr>
        <w:t xml:space="preserve"> the volume of comments for initial S-1 filings (</w:t>
      </w:r>
      <w:r w:rsidR="007B4C8E">
        <w:rPr>
          <w:i/>
          <w:lang w:eastAsia="en-US"/>
        </w:rPr>
        <w:t>Comments)</w:t>
      </w:r>
      <w:r w:rsidR="007B4C8E">
        <w:rPr>
          <w:lang w:eastAsia="en-US"/>
        </w:rPr>
        <w:t xml:space="preserve">. </w:t>
      </w:r>
    </w:p>
    <w:p w14:paraId="1F6E6D07" w14:textId="5E0EF841" w:rsidR="00ED4338" w:rsidRDefault="007B4C8E" w:rsidP="0030659B">
      <w:pPr>
        <w:spacing w:line="360" w:lineRule="auto"/>
        <w:jc w:val="both"/>
        <w:rPr>
          <w:lang w:eastAsia="en-US"/>
        </w:rPr>
      </w:pPr>
      <w:r>
        <w:rPr>
          <w:lang w:eastAsia="en-US"/>
        </w:rPr>
        <w:t xml:space="preserve">Particularly, I measure </w:t>
      </w:r>
      <w:r>
        <w:rPr>
          <w:i/>
          <w:lang w:eastAsia="en-US"/>
        </w:rPr>
        <w:t xml:space="preserve">Duration </w:t>
      </w:r>
      <w:r>
        <w:rPr>
          <w:lang w:eastAsia="en-US"/>
        </w:rPr>
        <w:t xml:space="preserve">by calculating the </w:t>
      </w:r>
      <w:r w:rsidRPr="003B157F">
        <w:rPr>
          <w:lang w:eastAsia="en-US"/>
        </w:rPr>
        <w:t>number of days from the date of initial S-1 filing to the date that the IPO becomes effective. This measure represents the length of the SEC review process for each IPO firm.</w:t>
      </w:r>
      <w:r>
        <w:rPr>
          <w:lang w:eastAsia="en-US"/>
        </w:rPr>
        <w:t xml:space="preserve"> According to </w:t>
      </w:r>
      <w:r>
        <w:rPr>
          <w:lang w:eastAsia="en-US"/>
        </w:rPr>
        <w:fldChar w:fldCharType="begin" w:fldLock="1"/>
      </w:r>
      <w:r>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2006)","manualFormatting":"Ertimur &amp; Nondorf (2006)","plainTextFormattedCitation":"(Ertimur &amp; Nondorf, 2006)","previouslyFormattedCitation":"(Ertimur &amp; Nondorf, 2006)"},"properties":{"noteIndex":0},"schema":"https://github.com/citation-style-language/schema/raw/master/csl-citation.json"}</w:instrText>
      </w:r>
      <w:r>
        <w:rPr>
          <w:lang w:eastAsia="en-US"/>
        </w:rPr>
        <w:fldChar w:fldCharType="separate"/>
      </w:r>
      <w:r>
        <w:rPr>
          <w:noProof/>
          <w:lang w:eastAsia="en-US"/>
        </w:rPr>
        <w:t>Ertimur &amp; Nondorf (</w:t>
      </w:r>
      <w:r w:rsidRPr="00AE7669">
        <w:rPr>
          <w:noProof/>
          <w:lang w:eastAsia="en-US"/>
        </w:rPr>
        <w:t>2006)</w:t>
      </w:r>
      <w:r>
        <w:rPr>
          <w:lang w:eastAsia="en-US"/>
        </w:rPr>
        <w:fldChar w:fldCharType="end"/>
      </w:r>
      <w:r>
        <w:rPr>
          <w:lang w:eastAsia="en-US"/>
        </w:rPr>
        <w:t>, although this period cover</w:t>
      </w:r>
      <w:r w:rsidR="00A02079">
        <w:rPr>
          <w:lang w:eastAsia="en-US"/>
        </w:rPr>
        <w:t>s</w:t>
      </w:r>
      <w:r>
        <w:rPr>
          <w:lang w:eastAsia="en-US"/>
        </w:rPr>
        <w:t xml:space="preserve"> not only the SEC review period but also other periods (e.g. road shows, execution of underwriting agreement) in the IPO process, it </w:t>
      </w:r>
      <w:r w:rsidR="00A258EF">
        <w:rPr>
          <w:lang w:eastAsia="en-US"/>
        </w:rPr>
        <w:t>mainly relates</w:t>
      </w:r>
      <w:r>
        <w:rPr>
          <w:lang w:eastAsia="en-US"/>
        </w:rPr>
        <w:t xml:space="preserve"> to the </w:t>
      </w:r>
      <w:r w:rsidR="00A258EF">
        <w:rPr>
          <w:lang w:eastAsia="en-US"/>
        </w:rPr>
        <w:t xml:space="preserve">extensiveness of the </w:t>
      </w:r>
      <w:r>
        <w:rPr>
          <w:lang w:eastAsia="en-US"/>
        </w:rPr>
        <w:t xml:space="preserve">SEC’s </w:t>
      </w:r>
      <w:r w:rsidR="00A258EF">
        <w:rPr>
          <w:lang w:eastAsia="en-US"/>
        </w:rPr>
        <w:t>review</w:t>
      </w:r>
      <w:r>
        <w:rPr>
          <w:lang w:eastAsia="en-US"/>
        </w:rPr>
        <w:t>.</w:t>
      </w:r>
      <w:r>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 Colaco et al. (2018)","plainTextFormattedCitation":"(Colaco et al., 2018)","previouslyFormattedCitation":"(Colaco et al., 2018)"},"properties":{"noteIndex":0},"schema":"https://github.com/citation-style-language/schema/raw/master/csl-citation.json"}</w:instrText>
      </w:r>
      <w:r>
        <w:rPr>
          <w:lang w:eastAsia="en-US"/>
        </w:rPr>
        <w:fldChar w:fldCharType="separate"/>
      </w:r>
      <w:r>
        <w:rPr>
          <w:noProof/>
          <w:lang w:eastAsia="en-US"/>
        </w:rPr>
        <w:t xml:space="preserve"> Colaco et al. (</w:t>
      </w:r>
      <w:r w:rsidR="00F57010">
        <w:rPr>
          <w:noProof/>
          <w:lang w:eastAsia="en-US"/>
        </w:rPr>
        <w:t>2018</w:t>
      </w:r>
      <w:r w:rsidRPr="00714456">
        <w:rPr>
          <w:noProof/>
          <w:lang w:eastAsia="en-US"/>
        </w:rPr>
        <w:t>)</w:t>
      </w:r>
      <w:r>
        <w:rPr>
          <w:lang w:eastAsia="en-US"/>
        </w:rPr>
        <w:fldChar w:fldCharType="end"/>
      </w:r>
      <w:r>
        <w:rPr>
          <w:lang w:eastAsia="en-US"/>
        </w:rPr>
        <w:t xml:space="preserve"> suggest that </w:t>
      </w:r>
      <w:r w:rsidR="00D13D3F">
        <w:rPr>
          <w:lang w:eastAsia="en-US"/>
        </w:rPr>
        <w:t>a long</w:t>
      </w:r>
      <w:r>
        <w:rPr>
          <w:lang w:eastAsia="en-US"/>
        </w:rPr>
        <w:t xml:space="preserve"> IPO </w:t>
      </w:r>
      <w:r w:rsidR="00D13D3F">
        <w:rPr>
          <w:lang w:eastAsia="en-US"/>
        </w:rPr>
        <w:t>duration</w:t>
      </w:r>
      <w:r>
        <w:rPr>
          <w:lang w:eastAsia="en-US"/>
        </w:rPr>
        <w:t xml:space="preserve"> indicates multiple layers of oversight from the regulators. </w:t>
      </w:r>
    </w:p>
    <w:p w14:paraId="7299D687" w14:textId="462BB151" w:rsidR="00A051F9" w:rsidRDefault="007B4C8E" w:rsidP="0030659B">
      <w:pPr>
        <w:spacing w:line="360" w:lineRule="auto"/>
        <w:jc w:val="both"/>
        <w:rPr>
          <w:lang w:eastAsia="en-US"/>
        </w:rPr>
      </w:pPr>
      <w:r>
        <w:rPr>
          <w:lang w:eastAsia="en-US"/>
        </w:rPr>
        <w:t xml:space="preserve">Regarding </w:t>
      </w:r>
      <w:r w:rsidR="003B157F" w:rsidRPr="007B4C8E">
        <w:rPr>
          <w:i/>
          <w:lang w:eastAsia="en-US"/>
        </w:rPr>
        <w:t>L</w:t>
      </w:r>
      <w:r>
        <w:rPr>
          <w:i/>
          <w:lang w:eastAsia="en-US"/>
        </w:rPr>
        <w:t xml:space="preserve">etters, </w:t>
      </w:r>
      <w:r>
        <w:rPr>
          <w:lang w:eastAsia="en-US"/>
        </w:rPr>
        <w:t>I calculate this variable by counting t</w:t>
      </w:r>
      <w:r w:rsidR="003B157F" w:rsidRPr="003B157F">
        <w:rPr>
          <w:lang w:eastAsia="en-US"/>
        </w:rPr>
        <w:t xml:space="preserve">he number of comment letters </w:t>
      </w:r>
      <w:r w:rsidR="00461703" w:rsidRPr="003B157F">
        <w:rPr>
          <w:lang w:eastAsia="en-US"/>
        </w:rPr>
        <w:t>that t</w:t>
      </w:r>
      <w:r w:rsidR="00461703">
        <w:rPr>
          <w:lang w:eastAsia="en-US"/>
        </w:rPr>
        <w:t xml:space="preserve">he SEC issues on each S-1 filing (including initial S-1 and amended S-1 filing) </w:t>
      </w:r>
      <w:r w:rsidR="00AF665C">
        <w:rPr>
          <w:lang w:eastAsia="en-US"/>
        </w:rPr>
        <w:t>as listed on the EDGAR database for each IPO firms</w:t>
      </w:r>
      <w:r w:rsidR="00461703">
        <w:rPr>
          <w:lang w:eastAsia="en-US"/>
        </w:rPr>
        <w:t xml:space="preserve">. I consider an SEC filing as an SEC comment letter when this filing meets all three criteria including, (1) </w:t>
      </w:r>
      <w:r w:rsidR="00CD6A87">
        <w:rPr>
          <w:lang w:eastAsia="en-US"/>
        </w:rPr>
        <w:t>having filing</w:t>
      </w:r>
      <w:r w:rsidR="00FC3CEE">
        <w:rPr>
          <w:lang w:eastAsia="en-US"/>
        </w:rPr>
        <w:t xml:space="preserve"> type as “UPLOAD”</w:t>
      </w:r>
      <w:r w:rsidR="00461703">
        <w:rPr>
          <w:lang w:eastAsia="en-US"/>
        </w:rPr>
        <w:t xml:space="preserve">, (2) being published </w:t>
      </w:r>
      <w:r w:rsidR="00AF665C">
        <w:rPr>
          <w:lang w:eastAsia="en-US"/>
        </w:rPr>
        <w:t xml:space="preserve">during the period </w:t>
      </w:r>
      <w:r w:rsidR="0026451D">
        <w:rPr>
          <w:lang w:eastAsia="en-US"/>
        </w:rPr>
        <w:t xml:space="preserve">from the date of initial </w:t>
      </w:r>
      <w:r w:rsidR="00461703">
        <w:rPr>
          <w:lang w:eastAsia="en-US"/>
        </w:rPr>
        <w:t>S-1 filings</w:t>
      </w:r>
      <w:r w:rsidR="0026451D">
        <w:rPr>
          <w:lang w:eastAsia="en-US"/>
        </w:rPr>
        <w:t xml:space="preserve"> to the </w:t>
      </w:r>
      <w:r w:rsidR="00461703">
        <w:rPr>
          <w:lang w:eastAsia="en-US"/>
        </w:rPr>
        <w:t>effective date of the IPO and (3) having the subject line as</w:t>
      </w:r>
      <w:r w:rsidR="00461703" w:rsidRPr="00461703">
        <w:t xml:space="preserve"> </w:t>
      </w:r>
      <w:r w:rsidR="00461703">
        <w:t>“</w:t>
      </w:r>
      <w:r w:rsidR="00461703">
        <w:rPr>
          <w:lang w:eastAsia="en-US"/>
        </w:rPr>
        <w:t xml:space="preserve">Re: […] </w:t>
      </w:r>
      <w:r w:rsidR="00461703" w:rsidRPr="00461703">
        <w:rPr>
          <w:lang w:eastAsia="en-US"/>
        </w:rPr>
        <w:t>Registration Statement on Form S-1</w:t>
      </w:r>
      <w:r w:rsidR="00461703">
        <w:rPr>
          <w:lang w:eastAsia="en-US"/>
        </w:rPr>
        <w:t xml:space="preserve">[..]” </w:t>
      </w:r>
      <w:r w:rsidR="00ED4338">
        <w:rPr>
          <w:lang w:eastAsia="en-US"/>
        </w:rPr>
        <w:t xml:space="preserve">for initial SEC comment letter </w:t>
      </w:r>
      <w:r w:rsidR="00461703">
        <w:rPr>
          <w:lang w:eastAsia="en-US"/>
        </w:rPr>
        <w:t xml:space="preserve">or “Amendment No.[…] to </w:t>
      </w:r>
      <w:r w:rsidR="00461703" w:rsidRPr="00461703">
        <w:rPr>
          <w:lang w:eastAsia="en-US"/>
        </w:rPr>
        <w:t>Registration Statement on Form S-1</w:t>
      </w:r>
      <w:r w:rsidR="00461703">
        <w:rPr>
          <w:lang w:eastAsia="en-US"/>
        </w:rPr>
        <w:t>”</w:t>
      </w:r>
      <w:r w:rsidR="00ED4338">
        <w:rPr>
          <w:lang w:eastAsia="en-US"/>
        </w:rPr>
        <w:t xml:space="preserve"> for </w:t>
      </w:r>
      <w:r w:rsidR="00D13D3F">
        <w:rPr>
          <w:lang w:eastAsia="en-US"/>
        </w:rPr>
        <w:t>comment letters relating to amended S-1 filings.</w:t>
      </w:r>
      <w:r w:rsidR="00C240EF">
        <w:rPr>
          <w:rStyle w:val="FootnoteReference"/>
          <w:lang w:eastAsia="en-US"/>
        </w:rPr>
        <w:footnoteReference w:id="9"/>
      </w:r>
      <w:r w:rsidR="00461703">
        <w:rPr>
          <w:lang w:eastAsia="en-US"/>
        </w:rPr>
        <w:t xml:space="preserve"> </w:t>
      </w:r>
    </w:p>
    <w:p w14:paraId="559103B9" w14:textId="13044410" w:rsidR="00ED4338" w:rsidRDefault="007B4C8E" w:rsidP="0030659B">
      <w:pPr>
        <w:spacing w:line="360" w:lineRule="auto"/>
        <w:jc w:val="both"/>
        <w:rPr>
          <w:lang w:eastAsia="en-US"/>
        </w:rPr>
      </w:pPr>
      <w:r>
        <w:rPr>
          <w:color w:val="000000" w:themeColor="text1"/>
          <w:lang w:eastAsia="en-US"/>
        </w:rPr>
        <w:t xml:space="preserve">I calculate </w:t>
      </w:r>
      <w:r>
        <w:rPr>
          <w:i/>
          <w:color w:val="000000" w:themeColor="text1"/>
          <w:lang w:eastAsia="en-US"/>
        </w:rPr>
        <w:t xml:space="preserve">Comments </w:t>
      </w:r>
      <w:r>
        <w:rPr>
          <w:color w:val="000000" w:themeColor="text1"/>
          <w:lang w:eastAsia="en-US"/>
        </w:rPr>
        <w:t xml:space="preserve">by counting the </w:t>
      </w:r>
      <w:r w:rsidRPr="003B157F">
        <w:rPr>
          <w:lang w:eastAsia="en-US"/>
        </w:rPr>
        <w:t>number of comments in initial comment letters that the SEC issues to each IPO firm</w:t>
      </w:r>
      <w:r>
        <w:rPr>
          <w:lang w:eastAsia="en-US"/>
        </w:rPr>
        <w:t>. If the SEC do not issue the comment letters for initial S-1 filings</w:t>
      </w:r>
      <w:r w:rsidR="00C81A22">
        <w:rPr>
          <w:lang w:eastAsia="en-US"/>
        </w:rPr>
        <w:t xml:space="preserve"> or they do not issue any comment letters during their review process</w:t>
      </w:r>
      <w:r w:rsidR="007A49E4">
        <w:rPr>
          <w:lang w:eastAsia="en-US"/>
        </w:rPr>
        <w:t>,</w:t>
      </w:r>
      <w:r w:rsidR="00C81A22">
        <w:rPr>
          <w:lang w:eastAsia="en-US"/>
        </w:rPr>
        <w:t xml:space="preserve"> or they do not provide detailed comments in their letters due to </w:t>
      </w:r>
      <w:r w:rsidR="00F36A9F">
        <w:rPr>
          <w:lang w:eastAsia="en-US"/>
        </w:rPr>
        <w:t xml:space="preserve">numerous </w:t>
      </w:r>
      <w:proofErr w:type="gramStart"/>
      <w:r w:rsidR="00F36A9F">
        <w:rPr>
          <w:lang w:eastAsia="en-US"/>
        </w:rPr>
        <w:t>material</w:t>
      </w:r>
      <w:proofErr w:type="gramEnd"/>
      <w:r w:rsidR="00F36A9F">
        <w:rPr>
          <w:lang w:eastAsia="en-US"/>
        </w:rPr>
        <w:t xml:space="preserve"> re</w:t>
      </w:r>
      <w:r w:rsidR="00A02079">
        <w:rPr>
          <w:lang w:eastAsia="en-US"/>
        </w:rPr>
        <w:t>latin</w:t>
      </w:r>
      <w:r w:rsidR="00F36A9F">
        <w:rPr>
          <w:lang w:eastAsia="en-US"/>
        </w:rPr>
        <w:t xml:space="preserve">g to </w:t>
      </w:r>
      <w:r w:rsidR="00D13D3F">
        <w:rPr>
          <w:lang w:eastAsia="en-US"/>
        </w:rPr>
        <w:t>compliance</w:t>
      </w:r>
      <w:r w:rsidR="00F36A9F">
        <w:rPr>
          <w:lang w:eastAsia="en-US"/>
        </w:rPr>
        <w:t xml:space="preserve"> with the SEC regulations, </w:t>
      </w:r>
      <w:r w:rsidR="00F36A9F">
        <w:rPr>
          <w:i/>
          <w:lang w:eastAsia="en-US"/>
        </w:rPr>
        <w:t xml:space="preserve">Comments </w:t>
      </w:r>
      <w:r w:rsidR="00F36A9F">
        <w:rPr>
          <w:lang w:eastAsia="en-US"/>
        </w:rPr>
        <w:t>is equal zero.</w:t>
      </w:r>
      <w:r w:rsidR="007A49E4">
        <w:rPr>
          <w:rStyle w:val="FootnoteReference"/>
          <w:lang w:eastAsia="en-US"/>
        </w:rPr>
        <w:footnoteReference w:id="10"/>
      </w:r>
    </w:p>
    <w:p w14:paraId="3686D5E3" w14:textId="75705395" w:rsidR="003B157F" w:rsidRPr="00F36A9F" w:rsidRDefault="00F36A9F" w:rsidP="0030659B">
      <w:pPr>
        <w:spacing w:line="360" w:lineRule="auto"/>
        <w:jc w:val="both"/>
        <w:rPr>
          <w:color w:val="000000" w:themeColor="text1"/>
          <w:lang w:eastAsia="en-US"/>
        </w:rPr>
      </w:pPr>
      <w:r>
        <w:rPr>
          <w:lang w:eastAsia="en-US"/>
        </w:rPr>
        <w:t xml:space="preserve">Regarding </w:t>
      </w:r>
      <w:r>
        <w:rPr>
          <w:i/>
          <w:lang w:eastAsia="en-US"/>
        </w:rPr>
        <w:t xml:space="preserve">Accounting/Offering/Business/Corporate Governance/Disclosure Comments, </w:t>
      </w:r>
      <w:r>
        <w:rPr>
          <w:lang w:eastAsia="en-US"/>
        </w:rPr>
        <w:t>I calculate these variables by counting t</w:t>
      </w:r>
      <w:r w:rsidRPr="00F36A9F">
        <w:rPr>
          <w:lang w:eastAsia="en-US"/>
        </w:rPr>
        <w:t xml:space="preserve">he number of comments highlighted in initial SEC </w:t>
      </w:r>
      <w:r w:rsidRPr="00F36A9F">
        <w:rPr>
          <w:lang w:eastAsia="en-US"/>
        </w:rPr>
        <w:lastRenderedPageBreak/>
        <w:t>comment letters about the accounting/offering/business/corporate governance/ disclosure issues in the initial S-1 filing of each IPO firms.</w:t>
      </w:r>
      <w:r w:rsidR="00AF665C">
        <w:rPr>
          <w:lang w:eastAsia="en-US"/>
        </w:rPr>
        <w:t xml:space="preserve"> </w:t>
      </w:r>
      <w:r w:rsidR="003918BB">
        <w:rPr>
          <w:lang w:eastAsia="en-US"/>
        </w:rPr>
        <w:t>These variable</w:t>
      </w:r>
      <w:r w:rsidR="0026451D">
        <w:rPr>
          <w:lang w:eastAsia="en-US"/>
        </w:rPr>
        <w:t>s</w:t>
      </w:r>
      <w:r w:rsidR="003918BB">
        <w:rPr>
          <w:lang w:eastAsia="en-US"/>
        </w:rPr>
        <w:t xml:space="preserve"> are calculated by using the data from the</w:t>
      </w:r>
      <w:r w:rsidR="003B157F" w:rsidRPr="003B157F">
        <w:rPr>
          <w:lang w:eastAsia="en-US"/>
        </w:rPr>
        <w:t xml:space="preserve"> manual coding of comment letters </w:t>
      </w:r>
      <w:r w:rsidR="003918BB">
        <w:rPr>
          <w:lang w:eastAsia="en-US"/>
        </w:rPr>
        <w:t>which is based on the</w:t>
      </w:r>
      <w:r w:rsidR="003B157F" w:rsidRPr="003B157F">
        <w:rPr>
          <w:lang w:eastAsia="en-US"/>
        </w:rPr>
        <w:t xml:space="preserve"> self-constructed coding scheme to identify specific issues highlighted in the SEC’s comment letters</w:t>
      </w:r>
      <w:r w:rsidR="003918BB">
        <w:rPr>
          <w:lang w:eastAsia="en-US"/>
        </w:rPr>
        <w:t xml:space="preserve"> as mentioned in </w:t>
      </w:r>
      <w:r w:rsidR="00D13D3F">
        <w:rPr>
          <w:lang w:eastAsia="en-US"/>
        </w:rPr>
        <w:t xml:space="preserve">Appendix </w:t>
      </w:r>
      <w:r w:rsidR="003918BB">
        <w:rPr>
          <w:lang w:eastAsia="en-US"/>
        </w:rPr>
        <w:t>2</w:t>
      </w:r>
      <w:r w:rsidR="003B157F" w:rsidRPr="003B157F">
        <w:rPr>
          <w:lang w:eastAsia="en-US"/>
        </w:rPr>
        <w:t xml:space="preserve">. </w:t>
      </w:r>
    </w:p>
    <w:p w14:paraId="74378028" w14:textId="1E27D51C" w:rsidR="0026451D" w:rsidRDefault="0026451D" w:rsidP="00C17F90">
      <w:pPr>
        <w:pStyle w:val="ListParagraph"/>
        <w:numPr>
          <w:ilvl w:val="2"/>
          <w:numId w:val="1"/>
        </w:numPr>
        <w:spacing w:line="360" w:lineRule="auto"/>
        <w:ind w:left="1276"/>
        <w:jc w:val="both"/>
        <w:outlineLvl w:val="2"/>
        <w:rPr>
          <w:b/>
          <w:lang w:eastAsia="en-US"/>
        </w:rPr>
      </w:pPr>
      <w:bookmarkStart w:id="25" w:name="_Toc9185793"/>
      <w:r>
        <w:rPr>
          <w:b/>
          <w:lang w:eastAsia="en-US"/>
        </w:rPr>
        <w:t>IPO firms’ characteristics</w:t>
      </w:r>
      <w:bookmarkEnd w:id="25"/>
    </w:p>
    <w:p w14:paraId="1618DE6E" w14:textId="7FDA2CEF" w:rsidR="0026451D" w:rsidRDefault="0082621D" w:rsidP="0030659B">
      <w:pPr>
        <w:pStyle w:val="ListParagraph"/>
        <w:spacing w:line="360" w:lineRule="auto"/>
        <w:ind w:left="0"/>
        <w:jc w:val="both"/>
        <w:rPr>
          <w:i/>
          <w:lang w:eastAsia="en-US"/>
        </w:rPr>
      </w:pPr>
      <w:r>
        <w:rPr>
          <w:lang w:eastAsia="en-US"/>
        </w:rPr>
        <w:t xml:space="preserve">Regarding the IPO firms’ characteristics, following the studies of </w:t>
      </w:r>
      <w:r>
        <w:rPr>
          <w:lang w:eastAsia="en-US"/>
        </w:rPr>
        <w:fldChar w:fldCharType="begin" w:fldLock="1"/>
      </w:r>
      <w:r w:rsidR="00F817FE">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DP12145","id":"ITEM-2","issued":{"date-parts":[["2017"]]},"note":"We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?","type":"article-journal"},"uris":["http://www.mendeley.com/documents/?uuid=1244073f-8151-4447-8b41-8cd7e5d57e28"]},{"id":"ITEM-3","itemData":{"ISSN":"01654101","abstract":"SEC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Economics","id":"ITEM-3","issue":"1","issued":{"date-parts":[["2017"]]},"page":"98-122","title":"Is the SEC captured? Evidence from comment-letter reviews","type":"article-journal","volume":"64"},"uris":["http://www.mendeley.com/documents/?uuid=98505591-58a4-4e58-99ad-9f9350630e93"]},{"id":"ITEM-4","itemData":{"ISBN":"7133486296","ISSN":"19113846","PMID":"25246403","abstract":"The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Research","id":"ITEM-4","issue":"2","issued":{"date-parts":[["2017"]]},"page":"1128-1155","title":"Regulatory Oversight of Financial Reporting: Securities and Exchange Commission Comment Letters","type":"article-journal","volume":"34"},"uris":["http://www.mendeley.com/documents/?uuid=6f0a5987-96ef-4573-9c9a-4445f9fb6ad8"]}],"mendeley":{"formattedCitation":"(Cassell et al., 2013; Duro et al., 2017; Heese et al., 2017; Johnston &amp; Petacchi, 2017)","manualFormatting":"Cassell et al.  (2013); Duro et al., (2017); Heese et al., (2017) and Johnston &amp; Petacchi (2017)","plainTextFormattedCitation":"(Cassell et al., 2013; Duro et al., 2017; Heese et al., 2017; Johnston &amp; Petacchi, 2017)","previouslyFormattedCitation":"(Cassell et al., 2013; Duro et al., 2017; Heese et al., 2017; Johnston &amp; Petacchi, 2017)"},"properties":{"noteIndex":0},"schema":"https://github.com/citation-style-language/schema/raw/master/csl-citation.json"}</w:instrText>
      </w:r>
      <w:r>
        <w:rPr>
          <w:lang w:eastAsia="en-US"/>
        </w:rPr>
        <w:fldChar w:fldCharType="separate"/>
      </w:r>
      <w:r>
        <w:rPr>
          <w:noProof/>
          <w:lang w:eastAsia="en-US"/>
        </w:rPr>
        <w:t>Cassell et al.  (</w:t>
      </w:r>
      <w:r w:rsidRPr="0082621D">
        <w:rPr>
          <w:noProof/>
          <w:lang w:eastAsia="en-US"/>
        </w:rPr>
        <w:t>2013</w:t>
      </w:r>
      <w:r>
        <w:rPr>
          <w:noProof/>
          <w:lang w:eastAsia="en-US"/>
        </w:rPr>
        <w:t>); Duro et al., (</w:t>
      </w:r>
      <w:r w:rsidRPr="0082621D">
        <w:rPr>
          <w:noProof/>
          <w:lang w:eastAsia="en-US"/>
        </w:rPr>
        <w:t>2017</w:t>
      </w:r>
      <w:r>
        <w:rPr>
          <w:noProof/>
          <w:lang w:eastAsia="en-US"/>
        </w:rPr>
        <w:t>); Heese et al., (</w:t>
      </w:r>
      <w:r w:rsidRPr="0082621D">
        <w:rPr>
          <w:noProof/>
          <w:lang w:eastAsia="en-US"/>
        </w:rPr>
        <w:t>2017</w:t>
      </w:r>
      <w:r>
        <w:rPr>
          <w:noProof/>
          <w:lang w:eastAsia="en-US"/>
        </w:rPr>
        <w:t>) and Johnston &amp; Petacchi (</w:t>
      </w:r>
      <w:r w:rsidRPr="0082621D">
        <w:rPr>
          <w:noProof/>
          <w:lang w:eastAsia="en-US"/>
        </w:rPr>
        <w:t>2017)</w:t>
      </w:r>
      <w:r>
        <w:rPr>
          <w:lang w:eastAsia="en-US"/>
        </w:rPr>
        <w:fldChar w:fldCharType="end"/>
      </w:r>
      <w:r>
        <w:rPr>
          <w:lang w:eastAsia="en-US"/>
        </w:rPr>
        <w:t>, I e</w:t>
      </w:r>
      <w:r w:rsidR="00301527">
        <w:rPr>
          <w:lang w:eastAsia="en-US"/>
        </w:rPr>
        <w:t xml:space="preserve">mploy proxies for business </w:t>
      </w:r>
      <w:r w:rsidR="00615247">
        <w:rPr>
          <w:lang w:eastAsia="en-US"/>
        </w:rPr>
        <w:t>complexity (</w:t>
      </w:r>
      <w:r w:rsidR="00301527">
        <w:rPr>
          <w:i/>
          <w:lang w:eastAsia="en-US"/>
        </w:rPr>
        <w:t xml:space="preserve">Size, Firm age, </w:t>
      </w:r>
      <w:r w:rsidR="00615247">
        <w:rPr>
          <w:i/>
          <w:lang w:eastAsia="en-US"/>
        </w:rPr>
        <w:t>Segments, Restructuring, M&amp;A)</w:t>
      </w:r>
      <w:r w:rsidR="00301527">
        <w:rPr>
          <w:lang w:eastAsia="en-US"/>
        </w:rPr>
        <w:t>, future performance (</w:t>
      </w:r>
      <w:r w:rsidR="00296848">
        <w:rPr>
          <w:i/>
          <w:lang w:eastAsia="en-US"/>
        </w:rPr>
        <w:t>Sales</w:t>
      </w:r>
      <w:r w:rsidR="00301527">
        <w:rPr>
          <w:i/>
          <w:lang w:eastAsia="en-US"/>
        </w:rPr>
        <w:t xml:space="preserve"> growth, BM)</w:t>
      </w:r>
      <w:r w:rsidR="00301527">
        <w:rPr>
          <w:lang w:eastAsia="en-US"/>
        </w:rPr>
        <w:t xml:space="preserve">, </w:t>
      </w:r>
      <w:r w:rsidR="006768D1">
        <w:rPr>
          <w:lang w:eastAsia="en-US"/>
        </w:rPr>
        <w:t>auditor characteristics (</w:t>
      </w:r>
      <w:r w:rsidR="006768D1">
        <w:rPr>
          <w:i/>
          <w:lang w:eastAsia="en-US"/>
        </w:rPr>
        <w:t>Big 4)</w:t>
      </w:r>
      <w:r w:rsidR="00D9356B">
        <w:rPr>
          <w:lang w:eastAsia="en-US"/>
        </w:rPr>
        <w:t>, c</w:t>
      </w:r>
      <w:r w:rsidR="006768D1">
        <w:rPr>
          <w:lang w:eastAsia="en-US"/>
        </w:rPr>
        <w:t>orporate governance characteristics (</w:t>
      </w:r>
      <w:proofErr w:type="spellStart"/>
      <w:r w:rsidR="00B90319">
        <w:rPr>
          <w:i/>
          <w:lang w:eastAsia="en-US"/>
        </w:rPr>
        <w:t>CEOchairman</w:t>
      </w:r>
      <w:proofErr w:type="spellEnd"/>
      <w:r w:rsidR="00301527">
        <w:rPr>
          <w:i/>
          <w:lang w:eastAsia="en-US"/>
        </w:rPr>
        <w:t xml:space="preserve">), </w:t>
      </w:r>
      <w:r w:rsidR="00301527">
        <w:rPr>
          <w:lang w:eastAsia="en-US"/>
        </w:rPr>
        <w:t>management’s plan to issue new equity or security debt (</w:t>
      </w:r>
      <w:r w:rsidR="00301527">
        <w:rPr>
          <w:i/>
          <w:lang w:eastAsia="en-US"/>
        </w:rPr>
        <w:t xml:space="preserve">External financing), </w:t>
      </w:r>
      <w:r w:rsidR="006768D1">
        <w:rPr>
          <w:lang w:eastAsia="en-US"/>
        </w:rPr>
        <w:t xml:space="preserve">and financial health including; </w:t>
      </w:r>
      <w:r w:rsidR="00301527">
        <w:rPr>
          <w:lang w:eastAsia="en-US"/>
        </w:rPr>
        <w:t>debt level (</w:t>
      </w:r>
      <w:r w:rsidR="00301527">
        <w:rPr>
          <w:i/>
          <w:lang w:eastAsia="en-US"/>
        </w:rPr>
        <w:t xml:space="preserve">leverage), </w:t>
      </w:r>
      <w:r w:rsidR="008E670C">
        <w:rPr>
          <w:lang w:eastAsia="en-US"/>
        </w:rPr>
        <w:t>f</w:t>
      </w:r>
      <w:r w:rsidR="00301527">
        <w:rPr>
          <w:lang w:eastAsia="en-US"/>
        </w:rPr>
        <w:t>inancial distress (</w:t>
      </w:r>
      <w:proofErr w:type="spellStart"/>
      <w:r w:rsidR="00B90319">
        <w:rPr>
          <w:i/>
          <w:lang w:eastAsia="en-US"/>
        </w:rPr>
        <w:t>Zscore</w:t>
      </w:r>
      <w:proofErr w:type="spellEnd"/>
      <w:r w:rsidR="00301527">
        <w:rPr>
          <w:i/>
          <w:lang w:eastAsia="en-US"/>
        </w:rPr>
        <w:t xml:space="preserve">), </w:t>
      </w:r>
      <w:r w:rsidR="00301527">
        <w:rPr>
          <w:lang w:eastAsia="en-US"/>
        </w:rPr>
        <w:t>profitability (</w:t>
      </w:r>
      <w:r w:rsidR="00301527">
        <w:rPr>
          <w:i/>
          <w:lang w:eastAsia="en-US"/>
        </w:rPr>
        <w:t>Positive ear</w:t>
      </w:r>
      <w:r w:rsidR="006768D1">
        <w:rPr>
          <w:i/>
          <w:lang w:eastAsia="en-US"/>
        </w:rPr>
        <w:t xml:space="preserve">nings). </w:t>
      </w:r>
    </w:p>
    <w:p w14:paraId="075D5FED" w14:textId="3E640EAB" w:rsidR="00296848" w:rsidRDefault="008E670C" w:rsidP="0030659B">
      <w:pPr>
        <w:pStyle w:val="ListParagraph"/>
        <w:spacing w:line="360" w:lineRule="auto"/>
        <w:ind w:left="0"/>
        <w:jc w:val="both"/>
        <w:rPr>
          <w:lang w:eastAsia="en-US"/>
        </w:rPr>
      </w:pPr>
      <w:r>
        <w:rPr>
          <w:lang w:eastAsia="en-US"/>
        </w:rPr>
        <w:t xml:space="preserve">Particularly, regarding the business complexity, I measure </w:t>
      </w:r>
      <w:r>
        <w:rPr>
          <w:i/>
          <w:lang w:eastAsia="en-US"/>
        </w:rPr>
        <w:t xml:space="preserve">Size, </w:t>
      </w:r>
      <w:r>
        <w:rPr>
          <w:lang w:eastAsia="en-US"/>
        </w:rPr>
        <w:t xml:space="preserve">which is an indicator of the IPO firm’s market capitalization, as </w:t>
      </w:r>
      <w:r w:rsidR="00D13D3F">
        <w:rPr>
          <w:lang w:eastAsia="en-US"/>
        </w:rPr>
        <w:t xml:space="preserve">the </w:t>
      </w:r>
      <w:r w:rsidR="00BF4779">
        <w:rPr>
          <w:lang w:eastAsia="en-US"/>
        </w:rPr>
        <w:t xml:space="preserve">natural </w:t>
      </w:r>
      <w:r>
        <w:rPr>
          <w:lang w:eastAsia="en-US"/>
        </w:rPr>
        <w:t xml:space="preserve">logarithm of </w:t>
      </w:r>
      <w:r w:rsidR="00D13D3F">
        <w:rPr>
          <w:lang w:eastAsia="en-US"/>
        </w:rPr>
        <w:t>common</w:t>
      </w:r>
      <w:r>
        <w:rPr>
          <w:lang w:eastAsia="en-US"/>
        </w:rPr>
        <w:t xml:space="preserve"> share outstanding times the share price </w:t>
      </w:r>
      <w:r w:rsidR="0011038D">
        <w:rPr>
          <w:lang w:eastAsia="en-US"/>
        </w:rPr>
        <w:t xml:space="preserve">as reported </w:t>
      </w:r>
      <w:r w:rsidR="00DC16FA">
        <w:rPr>
          <w:lang w:eastAsia="en-US"/>
        </w:rPr>
        <w:t>in year prior to the filing year of initial S-1 filings</w:t>
      </w:r>
      <w:r w:rsidR="0011038D">
        <w:rPr>
          <w:lang w:eastAsia="en-US"/>
        </w:rPr>
        <w:t xml:space="preserve"> (t-1)</w:t>
      </w:r>
      <w:r w:rsidR="00BF4779">
        <w:rPr>
          <w:lang w:eastAsia="en-US"/>
        </w:rPr>
        <w:t xml:space="preserve"> </w:t>
      </w:r>
      <w:r w:rsidR="00BF4779">
        <w:rPr>
          <w:lang w:eastAsia="en-US"/>
        </w:rPr>
        <w:fldChar w:fldCharType="begin" w:fldLock="1"/>
      </w:r>
      <w:r w:rsidR="00BF4779">
        <w:rPr>
          <w:lang w:eastAsia="en-US"/>
        </w:rPr>
        <w:instrText>ADDIN CSL_CITATION {"citationItems":[{"id":"ITEM-1","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DP12145","id":"ITEM-1","issued":{"date-parts":[["2017"]]},"note":"We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?","type":"article-journal"},"uris":["http://www.mendeley.com/documents/?uuid=1244073f-8151-4447-8b41-8cd7e5d57e28"]}],"mendeley":{"formattedCitation":"(Duro et al., 2017)","plainTextFormattedCitation":"(Duro et al., 2017)","previouslyFormattedCitation":"(Duro et al., 2017)"},"properties":{"noteIndex":0},"schema":"https://github.com/citation-style-language/schema/raw/master/csl-citation.json"}</w:instrText>
      </w:r>
      <w:r w:rsidR="00BF4779">
        <w:rPr>
          <w:lang w:eastAsia="en-US"/>
        </w:rPr>
        <w:fldChar w:fldCharType="separate"/>
      </w:r>
      <w:r w:rsidR="00BF4779" w:rsidRPr="00BF4779">
        <w:rPr>
          <w:noProof/>
          <w:lang w:eastAsia="en-US"/>
        </w:rPr>
        <w:t>(Duro et al., 2017)</w:t>
      </w:r>
      <w:r w:rsidR="00BF4779">
        <w:rPr>
          <w:lang w:eastAsia="en-US"/>
        </w:rPr>
        <w:fldChar w:fldCharType="end"/>
      </w:r>
      <w:r w:rsidR="0011038D">
        <w:rPr>
          <w:lang w:eastAsia="en-US"/>
        </w:rPr>
        <w:t xml:space="preserve">. </w:t>
      </w:r>
      <w:r w:rsidR="00FE47B9">
        <w:rPr>
          <w:lang w:eastAsia="en-US"/>
        </w:rPr>
        <w:t>I employ l</w:t>
      </w:r>
      <w:r w:rsidR="00FE47B9" w:rsidRPr="00FE47B9">
        <w:rPr>
          <w:lang w:eastAsia="en-US"/>
        </w:rPr>
        <w:t>ogarithmic transformations</w:t>
      </w:r>
      <w:r w:rsidR="00FE47B9">
        <w:rPr>
          <w:lang w:eastAsia="en-US"/>
        </w:rPr>
        <w:t xml:space="preserve"> for the firm’s market ca</w:t>
      </w:r>
      <w:r w:rsidR="00F471B7">
        <w:rPr>
          <w:lang w:eastAsia="en-US"/>
        </w:rPr>
        <w:t xml:space="preserve">pitalization since this variable is highly right-skewed. </w:t>
      </w:r>
      <w:r w:rsidR="007A53DE">
        <w:rPr>
          <w:lang w:eastAsia="en-US"/>
        </w:rPr>
        <w:t>Mixed expectations are suggested</w:t>
      </w:r>
      <w:r w:rsidR="00C503E1">
        <w:rPr>
          <w:lang w:eastAsia="en-US"/>
        </w:rPr>
        <w:t xml:space="preserve"> on the relationship between </w:t>
      </w:r>
      <w:r w:rsidR="00C503E1">
        <w:rPr>
          <w:i/>
          <w:lang w:eastAsia="en-US"/>
        </w:rPr>
        <w:t xml:space="preserve">Size </w:t>
      </w:r>
      <w:r w:rsidR="00C503E1">
        <w:rPr>
          <w:lang w:eastAsia="en-US"/>
        </w:rPr>
        <w:t xml:space="preserve">and the SEC review attributes. </w:t>
      </w:r>
      <w:r w:rsidR="00DD6A76">
        <w:rPr>
          <w:lang w:eastAsia="en-US"/>
        </w:rPr>
        <w:t>T</w:t>
      </w:r>
      <w:r w:rsidR="00C503E1">
        <w:rPr>
          <w:lang w:eastAsia="en-US"/>
        </w:rPr>
        <w:t>his relationship is claimed to be positive</w:t>
      </w:r>
      <w:r w:rsidR="004A2E26">
        <w:rPr>
          <w:lang w:eastAsia="en-US"/>
        </w:rPr>
        <w:t>, suggesting that bigger firm, who have more comp</w:t>
      </w:r>
      <w:r w:rsidR="00D13D3F">
        <w:rPr>
          <w:lang w:eastAsia="en-US"/>
        </w:rPr>
        <w:t>lexity in their business,</w:t>
      </w:r>
      <w:r w:rsidR="00DD6A76">
        <w:rPr>
          <w:lang w:eastAsia="en-US"/>
        </w:rPr>
        <w:t xml:space="preserve"> may have lower reporting quality and hence</w:t>
      </w:r>
      <w:r w:rsidR="00D13D3F">
        <w:rPr>
          <w:lang w:eastAsia="en-US"/>
        </w:rPr>
        <w:t xml:space="preserve"> </w:t>
      </w:r>
      <w:r w:rsidR="004A2E26">
        <w:rPr>
          <w:lang w:eastAsia="en-US"/>
        </w:rPr>
        <w:t>attract more SEC oversight</w:t>
      </w:r>
      <w:r w:rsidR="00C503E1">
        <w:rPr>
          <w:lang w:eastAsia="en-US"/>
        </w:rPr>
        <w:t xml:space="preserve"> </w:t>
      </w:r>
      <w:r w:rsidR="00C503E1">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C503E1">
        <w:rPr>
          <w:lang w:eastAsia="en-US"/>
        </w:rPr>
        <w:fldChar w:fldCharType="separate"/>
      </w:r>
      <w:r w:rsidR="00C503E1" w:rsidRPr="00C503E1">
        <w:rPr>
          <w:noProof/>
          <w:lang w:eastAsia="en-US"/>
        </w:rPr>
        <w:t>(Cassell et al., 2013; Heese et al., 2017)</w:t>
      </w:r>
      <w:r w:rsidR="00C503E1">
        <w:rPr>
          <w:lang w:eastAsia="en-US"/>
        </w:rPr>
        <w:fldChar w:fldCharType="end"/>
      </w:r>
      <w:r w:rsidR="004A2E26">
        <w:rPr>
          <w:lang w:eastAsia="en-US"/>
        </w:rPr>
        <w:t>. H</w:t>
      </w:r>
      <w:r w:rsidR="00DD6A76">
        <w:rPr>
          <w:lang w:eastAsia="en-US"/>
        </w:rPr>
        <w:t>owever</w:t>
      </w:r>
      <w:r w:rsidR="00C503E1">
        <w:rPr>
          <w:lang w:eastAsia="en-US"/>
        </w:rPr>
        <w:t xml:space="preserve">, this relationship </w:t>
      </w:r>
      <w:r w:rsidR="004A39F6">
        <w:rPr>
          <w:lang w:eastAsia="en-US"/>
        </w:rPr>
        <w:t>is claimed to be negative since</w:t>
      </w:r>
      <w:r w:rsidR="00462474">
        <w:rPr>
          <w:lang w:eastAsia="en-US"/>
        </w:rPr>
        <w:fldChar w:fldCharType="begin" w:fldLock="1"/>
      </w:r>
      <w:r w:rsidR="00A611DF">
        <w:rPr>
          <w:lang w:eastAsia="en-US"/>
        </w:rPr>
        <w:instrText>ADDIN CSL_CITATION {"citationItems":[{"id":"ITEM-1","itemData":{"abstract":"This article examines the cross-sectional variation in analysts' published evaluations of firms' disclosure practices. The authors also show that the analysts' ratings are increasing in firm size and in firm performance, and decreasing within the relationship between earings and returns. The Financial Analysts Federation issues an annual report evaluating the disclosure of firms in a variety of industries. The results of their research are generally consistent with existing data on voluntary disclosure.","author":[{"dropping-particle":"","family":"Lang","given":"M.","non-dropping-particle":"","parse-names":false,"suffix":""},{"dropping-particle":"","family":"Lundholm","given":"R.","non-dropping-particle":"","parse-names":false,"suffix":""}],"container-title":"Journal of Accounting Research","id":"ITEM-1","issue":"2","issued":{"date-parts":[["1993"]]},"page":"246-271","title":"Cross-Sectional Determinants of Analyst Ratings of Corporate Disclosures","type":"article-journal","volume":"31"},"uris":["http://www.mendeley.com/documents/?uuid=42f44ade-f51a-4e89-a05e-daec31c5a104"]},{"id":"ITEM-2","itemData":{"author":[{"dropping-particle":"","family":"Singhvi","given":"S.S.","non-dropping-particle":"","parse-names":false,"suffix":""},{"dropping-particle":"","family":"Desai","given":"H.B.","non-dropping-particle":"","parse-names":false,"suffix":""}],"container-title":"The Accounting Review","id":"ITEM-2","issue":"1","issued":{"date-parts":[["1971"]]},"page":"129-138","title":"An Empirical Analysis of the Quality of Corporate Financial Disclosure","type":"article-journal","volume":"46"},"uris":["http://www.mendeley.com/documents/?uuid=51db53d1-8e51-496d-8047-bde0e357c65c"]},{"id":"ITEM-3","itemData":{"ISBN":"0165-4101","ISSN":"01654101","abstract":"We examine determinants of weaknesses in internal control for 779 firms disclosing material weaknesses from August 2002 to 2005. We find that these firms tend to be smaller, younger, financially weaker, more complex, growing rapidly, or undergoing restructuring. Firms with more serious entity-wide control problems are smaller, younger and weaker financially, while firms with less severe, account-specific problems are healthy financially but have complex, diversified, and rapidly changing operations. Finally, we find that the determinants also vary based on the specific reason for the material weakness, consistent with each firm facing their own unique set of internal control challenges. © 2006 Elsevier B.V. All rights reserved.","author":[{"dropping-particle":"","family":"Doyle","given":"J.","non-dropping-particle":"","parse-names":false,"suffix":""},{"dropping-particle":"","family":"Ge","given":"W.","non-dropping-particle":"","parse-names":false,"suffix":""},{"dropping-particle":"","family":"McVay","given":"S.","non-dropping-particle":"","parse-names":false,"suffix":""}],"container-title":"Journal of Accounting and Economics","id":"ITEM-3","issue":"1-2","issued":{"date-parts":[["2007"]]},"page":"193-223","title":"Determinants of weaknesses in internal control over financial reporting","type":"article-journal","volume":"44"},"uris":["http://www.mendeley.com/documents/?uuid=02127812-9abe-4b8c-bec5-5b2e37361d7e"]}],"mendeley":{"formattedCitation":"(Doyle, Ge, &amp; McVay, 2007; Lang &amp; Lundholm, 1993; Singhvi &amp; Desai, 1971)","manualFormatting":" Singhvi &amp; Desai (1971), Lang &amp; Lundholm (1993) and Doyle et al., 2007)","plainTextFormattedCitation":"(Doyle, Ge, &amp; McVay, 2007; Lang &amp; Lundholm, 1993; Singhvi &amp; Desai, 1971)","previouslyFormattedCitation":"(Doyle, Ge, &amp; McVay, 2007; Lang &amp; Lundholm, 1993; Singhvi &amp; Desai, 1971)"},"properties":{"noteIndex":0},"schema":"https://github.com/citation-style-language/schema/raw/master/csl-citation.json"}</w:instrText>
      </w:r>
      <w:r w:rsidR="00462474">
        <w:rPr>
          <w:lang w:eastAsia="en-US"/>
        </w:rPr>
        <w:fldChar w:fldCharType="separate"/>
      </w:r>
      <w:r w:rsidR="00462474">
        <w:rPr>
          <w:noProof/>
          <w:lang w:eastAsia="en-US"/>
        </w:rPr>
        <w:t xml:space="preserve"> Singhvi &amp; Desai (</w:t>
      </w:r>
      <w:r w:rsidR="00462474" w:rsidRPr="00FF2469">
        <w:rPr>
          <w:noProof/>
          <w:lang w:eastAsia="en-US"/>
        </w:rPr>
        <w:t>1971</w:t>
      </w:r>
      <w:r w:rsidR="00462474">
        <w:rPr>
          <w:noProof/>
          <w:lang w:eastAsia="en-US"/>
        </w:rPr>
        <w:t>), Lang &amp; Lundholm (</w:t>
      </w:r>
      <w:r w:rsidR="00462474" w:rsidRPr="00FF2469">
        <w:rPr>
          <w:noProof/>
          <w:lang w:eastAsia="en-US"/>
        </w:rPr>
        <w:t>1993</w:t>
      </w:r>
      <w:r w:rsidR="00462474">
        <w:rPr>
          <w:noProof/>
          <w:lang w:eastAsia="en-US"/>
        </w:rPr>
        <w:t xml:space="preserve">) and </w:t>
      </w:r>
      <w:r w:rsidR="00462474" w:rsidRPr="00FF2469">
        <w:rPr>
          <w:noProof/>
          <w:lang w:eastAsia="en-US"/>
        </w:rPr>
        <w:t>Doyle</w:t>
      </w:r>
      <w:r w:rsidR="00462474">
        <w:rPr>
          <w:noProof/>
          <w:lang w:eastAsia="en-US"/>
        </w:rPr>
        <w:t xml:space="preserve"> et al., 2007</w:t>
      </w:r>
      <w:r w:rsidR="00462474" w:rsidRPr="00FF2469">
        <w:rPr>
          <w:noProof/>
          <w:lang w:eastAsia="en-US"/>
        </w:rPr>
        <w:t>)</w:t>
      </w:r>
      <w:r w:rsidR="00462474">
        <w:rPr>
          <w:lang w:eastAsia="en-US"/>
        </w:rPr>
        <w:fldChar w:fldCharType="end"/>
      </w:r>
      <w:r w:rsidR="00462474" w:rsidRPr="0001369C">
        <w:rPr>
          <w:lang w:eastAsia="en-US"/>
        </w:rPr>
        <w:t xml:space="preserve"> </w:t>
      </w:r>
      <w:r w:rsidR="00462474">
        <w:rPr>
          <w:lang w:eastAsia="en-US"/>
        </w:rPr>
        <w:t>identify that</w:t>
      </w:r>
      <w:r w:rsidR="00462474" w:rsidRPr="0001369C">
        <w:rPr>
          <w:lang w:eastAsia="en-US"/>
        </w:rPr>
        <w:t xml:space="preserve"> financial reporting quality is </w:t>
      </w:r>
      <w:r w:rsidR="006D21E0">
        <w:rPr>
          <w:lang w:eastAsia="en-US"/>
        </w:rPr>
        <w:t xml:space="preserve">lower </w:t>
      </w:r>
      <w:r w:rsidR="00462474" w:rsidRPr="0001369C">
        <w:rPr>
          <w:lang w:eastAsia="en-US"/>
        </w:rPr>
        <w:t xml:space="preserve">for </w:t>
      </w:r>
      <w:r w:rsidR="006D21E0">
        <w:rPr>
          <w:lang w:eastAsia="en-US"/>
        </w:rPr>
        <w:t xml:space="preserve">smaller </w:t>
      </w:r>
      <w:r w:rsidR="00462474">
        <w:rPr>
          <w:lang w:eastAsia="en-US"/>
        </w:rPr>
        <w:t>firms</w:t>
      </w:r>
      <w:r w:rsidR="00462474" w:rsidRPr="0001369C">
        <w:rPr>
          <w:lang w:eastAsia="en-US"/>
        </w:rPr>
        <w:t xml:space="preserve">, suggesting a lower </w:t>
      </w:r>
      <w:r w:rsidR="00462474">
        <w:rPr>
          <w:lang w:eastAsia="en-US"/>
        </w:rPr>
        <w:t>degree of the SEC review</w:t>
      </w:r>
      <w:r w:rsidR="00DD6A76">
        <w:rPr>
          <w:lang w:eastAsia="en-US"/>
        </w:rPr>
        <w:t xml:space="preserve">. These expectations are both in line with </w:t>
      </w:r>
      <w:r w:rsidR="00DD6A76">
        <w:t>p</w:t>
      </w:r>
      <w:r w:rsidR="002C1C02">
        <w:t xml:space="preserve">ublic interest theory </w:t>
      </w:r>
      <w:r w:rsidR="00DD6A76">
        <w:t xml:space="preserve">assuming </w:t>
      </w:r>
      <w:r w:rsidR="002C1C02">
        <w:t>that the regulators are neutral and aim to protect the benefits of the whole public in the weak and inefficient markets.</w:t>
      </w:r>
      <w:r w:rsidR="002C1C02">
        <w:rPr>
          <w:lang w:eastAsia="en-US"/>
        </w:rPr>
        <w:t xml:space="preserve"> </w:t>
      </w:r>
    </w:p>
    <w:p w14:paraId="5DCD25BA" w14:textId="03E642DD" w:rsidR="007A53DE" w:rsidRDefault="0011038D" w:rsidP="0030659B">
      <w:pPr>
        <w:pStyle w:val="ListParagraph"/>
        <w:spacing w:line="360" w:lineRule="auto"/>
        <w:ind w:left="0"/>
        <w:jc w:val="both"/>
        <w:rPr>
          <w:lang w:eastAsia="en-US"/>
        </w:rPr>
      </w:pPr>
      <w:r>
        <w:rPr>
          <w:lang w:eastAsia="en-US"/>
        </w:rPr>
        <w:t xml:space="preserve">As for </w:t>
      </w:r>
      <w:r>
        <w:rPr>
          <w:i/>
          <w:lang w:eastAsia="en-US"/>
        </w:rPr>
        <w:t xml:space="preserve">Firm age, </w:t>
      </w:r>
      <w:r w:rsidR="00BF4779">
        <w:rPr>
          <w:lang w:eastAsia="en-US"/>
        </w:rPr>
        <w:t xml:space="preserve">I </w:t>
      </w:r>
      <w:r w:rsidR="00F471B7">
        <w:rPr>
          <w:lang w:eastAsia="en-US"/>
        </w:rPr>
        <w:t xml:space="preserve">follow the study of </w:t>
      </w:r>
      <w:r w:rsidR="00F471B7">
        <w:rPr>
          <w:noProof/>
          <w:lang w:eastAsia="en-US"/>
        </w:rPr>
        <w:t>Heese et al. (</w:t>
      </w:r>
      <w:r w:rsidR="00F471B7" w:rsidRPr="00BF4779">
        <w:rPr>
          <w:noProof/>
          <w:lang w:eastAsia="en-US"/>
        </w:rPr>
        <w:t>2017</w:t>
      </w:r>
      <w:r w:rsidR="00F471B7">
        <w:rPr>
          <w:noProof/>
          <w:lang w:eastAsia="en-US"/>
        </w:rPr>
        <w:t xml:space="preserve">) which </w:t>
      </w:r>
      <w:r w:rsidR="00BF4779">
        <w:rPr>
          <w:lang w:eastAsia="en-US"/>
        </w:rPr>
        <w:t>calculate</w:t>
      </w:r>
      <w:r w:rsidR="00F471B7">
        <w:rPr>
          <w:lang w:eastAsia="en-US"/>
        </w:rPr>
        <w:t>s</w:t>
      </w:r>
      <w:r w:rsidR="00BF4779">
        <w:rPr>
          <w:lang w:eastAsia="en-US"/>
        </w:rPr>
        <w:t xml:space="preserve"> this proxy as the period between year t and the year when the data of IPO firm first appeared on </w:t>
      </w:r>
      <w:proofErr w:type="spellStart"/>
      <w:r w:rsidR="00BF4779">
        <w:rPr>
          <w:lang w:eastAsia="en-US"/>
        </w:rPr>
        <w:t>C</w:t>
      </w:r>
      <w:r w:rsidR="00F471B7">
        <w:rPr>
          <w:lang w:eastAsia="en-US"/>
        </w:rPr>
        <w:t>ompustat</w:t>
      </w:r>
      <w:proofErr w:type="spellEnd"/>
      <w:r w:rsidR="00F471B7">
        <w:rPr>
          <w:lang w:eastAsia="en-US"/>
        </w:rPr>
        <w:t xml:space="preserve"> database. </w:t>
      </w:r>
      <w:r w:rsidR="00296848">
        <w:rPr>
          <w:lang w:eastAsia="en-US"/>
        </w:rPr>
        <w:t>Mixed</w:t>
      </w:r>
      <w:r w:rsidR="002D7189">
        <w:rPr>
          <w:lang w:eastAsia="en-US"/>
        </w:rPr>
        <w:t xml:space="preserve"> </w:t>
      </w:r>
      <w:proofErr w:type="gramStart"/>
      <w:r w:rsidR="002D7189">
        <w:rPr>
          <w:lang w:eastAsia="en-US"/>
        </w:rPr>
        <w:t>expectation</w:t>
      </w:r>
      <w:proofErr w:type="gramEnd"/>
      <w:r w:rsidR="002D7189">
        <w:rPr>
          <w:lang w:eastAsia="en-US"/>
        </w:rPr>
        <w:t xml:space="preserve"> </w:t>
      </w:r>
      <w:r w:rsidR="00296848">
        <w:rPr>
          <w:lang w:eastAsia="en-US"/>
        </w:rPr>
        <w:t>are</w:t>
      </w:r>
      <w:r w:rsidR="002D7189">
        <w:rPr>
          <w:lang w:eastAsia="en-US"/>
        </w:rPr>
        <w:t xml:space="preserve"> suggested on the relationship between </w:t>
      </w:r>
      <w:r w:rsidR="002D7189">
        <w:rPr>
          <w:i/>
          <w:lang w:eastAsia="en-US"/>
        </w:rPr>
        <w:t xml:space="preserve">Age </w:t>
      </w:r>
      <w:r w:rsidR="002D7189">
        <w:rPr>
          <w:lang w:eastAsia="en-US"/>
        </w:rPr>
        <w:t xml:space="preserve">and the SEC review attributes.  </w:t>
      </w:r>
      <w:r w:rsidR="00CB3B3A">
        <w:rPr>
          <w:lang w:eastAsia="en-US"/>
        </w:rPr>
        <w:t>In terms of</w:t>
      </w:r>
      <w:r w:rsidR="002D7189">
        <w:rPr>
          <w:lang w:eastAsia="en-US"/>
        </w:rPr>
        <w:t xml:space="preserve"> company complexity, </w:t>
      </w:r>
      <w:r w:rsidR="002D7189">
        <w:rPr>
          <w:color w:val="000000" w:themeColor="text1"/>
          <w:lang w:eastAsia="en-US"/>
        </w:rPr>
        <w:t xml:space="preserve">this relationship is </w:t>
      </w:r>
      <w:r w:rsidR="00C909C3">
        <w:rPr>
          <w:color w:val="000000" w:themeColor="text1"/>
          <w:lang w:eastAsia="en-US"/>
        </w:rPr>
        <w:t xml:space="preserve">claimed to be </w:t>
      </w:r>
      <w:r w:rsidR="002D7189">
        <w:rPr>
          <w:color w:val="000000" w:themeColor="text1"/>
          <w:lang w:eastAsia="en-US"/>
        </w:rPr>
        <w:t>positive</w:t>
      </w:r>
      <w:r w:rsidR="00462474">
        <w:rPr>
          <w:lang w:eastAsia="en-US"/>
        </w:rPr>
        <w:t xml:space="preserve"> because company complexity is higher for the older firm, </w:t>
      </w:r>
      <w:r w:rsidR="00DD6A76">
        <w:rPr>
          <w:lang w:eastAsia="en-US"/>
        </w:rPr>
        <w:t xml:space="preserve">who may have lower reporting quality and hen attract more </w:t>
      </w:r>
      <w:r w:rsidR="00462474">
        <w:rPr>
          <w:lang w:eastAsia="en-US"/>
        </w:rPr>
        <w:t xml:space="preserve">SEC </w:t>
      </w:r>
      <w:r w:rsidR="00DD6A76">
        <w:rPr>
          <w:lang w:eastAsia="en-US"/>
        </w:rPr>
        <w:t>scrutiny</w:t>
      </w:r>
      <w:r w:rsidR="00462474">
        <w:rPr>
          <w:lang w:eastAsia="en-US"/>
        </w:rPr>
        <w:t xml:space="preserve"> </w:t>
      </w:r>
      <w:r w:rsidR="00462474">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462474">
        <w:rPr>
          <w:lang w:eastAsia="en-US"/>
        </w:rPr>
        <w:fldChar w:fldCharType="separate"/>
      </w:r>
      <w:r w:rsidR="00462474" w:rsidRPr="00C503E1">
        <w:rPr>
          <w:noProof/>
          <w:lang w:eastAsia="en-US"/>
        </w:rPr>
        <w:t>(Cassell et al., 2013; Heese et al., 2017)</w:t>
      </w:r>
      <w:r w:rsidR="00462474">
        <w:rPr>
          <w:lang w:eastAsia="en-US"/>
        </w:rPr>
        <w:fldChar w:fldCharType="end"/>
      </w:r>
      <w:r w:rsidR="00462474">
        <w:rPr>
          <w:lang w:eastAsia="en-US"/>
        </w:rPr>
        <w:t>.</w:t>
      </w:r>
      <w:r w:rsidR="00F471B7">
        <w:rPr>
          <w:lang w:eastAsia="en-US"/>
        </w:rPr>
        <w:t xml:space="preserve"> </w:t>
      </w:r>
      <w:r w:rsidR="002D7189">
        <w:rPr>
          <w:lang w:eastAsia="en-US"/>
        </w:rPr>
        <w:t xml:space="preserve">However, </w:t>
      </w:r>
      <w:r w:rsidR="00CB3B3A">
        <w:rPr>
          <w:lang w:eastAsia="en-US"/>
        </w:rPr>
        <w:t>in terms of</w:t>
      </w:r>
      <w:r w:rsidR="002D7189">
        <w:rPr>
          <w:lang w:eastAsia="en-US"/>
        </w:rPr>
        <w:t xml:space="preserve"> information uncertainty, this relationship is</w:t>
      </w:r>
      <w:r w:rsidR="00C909C3">
        <w:rPr>
          <w:lang w:eastAsia="en-US"/>
        </w:rPr>
        <w:t xml:space="preserve"> claim to be</w:t>
      </w:r>
      <w:r w:rsidR="002D7189">
        <w:rPr>
          <w:lang w:eastAsia="en-US"/>
        </w:rPr>
        <w:t xml:space="preserve"> negative because</w:t>
      </w:r>
      <w:r w:rsidR="005E2975">
        <w:rPr>
          <w:lang w:eastAsia="en-US"/>
        </w:rPr>
        <w:t xml:space="preserve"> the older firms</w:t>
      </w:r>
      <w:r w:rsidR="002D7189">
        <w:rPr>
          <w:lang w:eastAsia="en-US"/>
        </w:rPr>
        <w:t xml:space="preserve"> may</w:t>
      </w:r>
      <w:r w:rsidR="005E2975">
        <w:rPr>
          <w:lang w:eastAsia="en-US"/>
        </w:rPr>
        <w:t xml:space="preserve"> have less information uncertainty </w:t>
      </w:r>
      <w:r w:rsidR="005E2975">
        <w:rPr>
          <w:lang w:eastAsia="en-US"/>
        </w:rPr>
        <w:fldChar w:fldCharType="begin" w:fldLock="1"/>
      </w:r>
      <w:r w:rsidR="00A611DF">
        <w:rPr>
          <w:lang w:eastAsia="en-US"/>
        </w:rP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2006)","plainTextFormattedCitation":"(Barry &amp; Brown, 1985; Zhang, 2006)","previouslyFormattedCitation":"(Barry &amp; Brown, 1985; Zhang, 2006)"},"properties":{"noteIndex":0},"schema":"https://github.com/citation-style-language/schema/raw/master/csl-citation.json"}</w:instrText>
      </w:r>
      <w:r w:rsidR="005E2975">
        <w:rPr>
          <w:lang w:eastAsia="en-US"/>
        </w:rPr>
        <w:fldChar w:fldCharType="separate"/>
      </w:r>
      <w:r w:rsidR="005E2975" w:rsidRPr="00D727AF">
        <w:rPr>
          <w:noProof/>
          <w:lang w:eastAsia="en-US"/>
        </w:rPr>
        <w:t>(Barry &amp; Brown, 1985; Zhang, 2006)</w:t>
      </w:r>
      <w:r w:rsidR="005E2975">
        <w:rPr>
          <w:lang w:eastAsia="en-US"/>
        </w:rPr>
        <w:fldChar w:fldCharType="end"/>
      </w:r>
      <w:r w:rsidR="005E2975">
        <w:rPr>
          <w:lang w:eastAsia="en-US"/>
        </w:rPr>
        <w:t xml:space="preserve">, </w:t>
      </w:r>
      <w:r w:rsidR="001D2998">
        <w:rPr>
          <w:lang w:eastAsia="en-US"/>
        </w:rPr>
        <w:t>who could attract</w:t>
      </w:r>
      <w:r w:rsidR="005E2975">
        <w:rPr>
          <w:lang w:eastAsia="en-US"/>
        </w:rPr>
        <w:t xml:space="preserve"> less SEC scrutiny</w:t>
      </w:r>
      <w:r w:rsidR="002D7189">
        <w:rPr>
          <w:lang w:eastAsia="en-US"/>
        </w:rPr>
        <w:t xml:space="preserve"> </w:t>
      </w:r>
      <w:r w:rsidR="002D7189">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rsidR="002D7189">
        <w:rPr>
          <w:lang w:eastAsia="en-US"/>
        </w:rPr>
        <w:fldChar w:fldCharType="separate"/>
      </w:r>
      <w:r w:rsidR="002D7189">
        <w:rPr>
          <w:noProof/>
          <w:lang w:eastAsia="en-US"/>
        </w:rPr>
        <w:t>(</w:t>
      </w:r>
      <w:r w:rsidR="002D7189" w:rsidRPr="002D7189">
        <w:rPr>
          <w:noProof/>
          <w:lang w:eastAsia="en-US"/>
        </w:rPr>
        <w:t xml:space="preserve"> Ertimur &amp; Nondorf, 2006</w:t>
      </w:r>
      <w:r w:rsidR="002D7189">
        <w:rPr>
          <w:noProof/>
          <w:lang w:eastAsia="en-US"/>
        </w:rPr>
        <w:t xml:space="preserve">; </w:t>
      </w:r>
      <w:r w:rsidR="002D7189" w:rsidRPr="002D7189">
        <w:rPr>
          <w:noProof/>
          <w:lang w:eastAsia="en-US"/>
        </w:rPr>
        <w:t>Chen &amp; John</w:t>
      </w:r>
      <w:r w:rsidR="00F57010">
        <w:rPr>
          <w:noProof/>
          <w:lang w:eastAsia="en-US"/>
        </w:rPr>
        <w:t>ston, 2010; Colaco et al., 2018</w:t>
      </w:r>
      <w:r w:rsidR="002D7189" w:rsidRPr="002D7189">
        <w:rPr>
          <w:noProof/>
          <w:lang w:eastAsia="en-US"/>
        </w:rPr>
        <w:t>)</w:t>
      </w:r>
      <w:r w:rsidR="002D7189">
        <w:rPr>
          <w:lang w:eastAsia="en-US"/>
        </w:rPr>
        <w:fldChar w:fldCharType="end"/>
      </w:r>
      <w:r w:rsidR="002D7189">
        <w:rPr>
          <w:lang w:eastAsia="en-US"/>
        </w:rPr>
        <w:t>.</w:t>
      </w:r>
      <w:r w:rsidR="005E2975">
        <w:rPr>
          <w:lang w:eastAsia="en-US"/>
        </w:rPr>
        <w:t xml:space="preserve"> </w:t>
      </w:r>
      <w:r w:rsidR="00DD6A76">
        <w:rPr>
          <w:lang w:eastAsia="en-US"/>
        </w:rPr>
        <w:t xml:space="preserve">These expectations are both in accordance with </w:t>
      </w:r>
      <w:r w:rsidR="00DD6A76">
        <w:t>public interest theory.</w:t>
      </w:r>
    </w:p>
    <w:p w14:paraId="72ABC47B" w14:textId="77777777" w:rsidR="007A53DE" w:rsidRDefault="00F471B7" w:rsidP="0030659B">
      <w:pPr>
        <w:pStyle w:val="ListParagraph"/>
        <w:spacing w:line="360" w:lineRule="auto"/>
        <w:ind w:left="0"/>
        <w:jc w:val="both"/>
        <w:rPr>
          <w:lang w:eastAsia="en-US"/>
        </w:rPr>
      </w:pPr>
      <w:r>
        <w:rPr>
          <w:lang w:eastAsia="en-US"/>
        </w:rPr>
        <w:lastRenderedPageBreak/>
        <w:t xml:space="preserve">Concerning </w:t>
      </w:r>
      <w:r>
        <w:rPr>
          <w:i/>
          <w:lang w:eastAsia="en-US"/>
        </w:rPr>
        <w:t xml:space="preserve">Segments, </w:t>
      </w:r>
      <w:r>
        <w:rPr>
          <w:lang w:eastAsia="en-US"/>
        </w:rPr>
        <w:t>I calculate this prox</w:t>
      </w:r>
      <w:r w:rsidR="00AA1D10">
        <w:rPr>
          <w:lang w:eastAsia="en-US"/>
        </w:rPr>
        <w:t>y</w:t>
      </w:r>
      <w:r>
        <w:rPr>
          <w:lang w:eastAsia="en-US"/>
        </w:rPr>
        <w:t xml:space="preserve"> as </w:t>
      </w:r>
      <w:r w:rsidR="00AA1D10">
        <w:rPr>
          <w:lang w:eastAsia="en-US"/>
        </w:rPr>
        <w:t xml:space="preserve">the number of non-empty and unique segment industry codes as reported on </w:t>
      </w:r>
      <w:proofErr w:type="spellStart"/>
      <w:r w:rsidR="00AA1D10">
        <w:rPr>
          <w:lang w:eastAsia="en-US"/>
        </w:rPr>
        <w:t>Compustat</w:t>
      </w:r>
      <w:proofErr w:type="spellEnd"/>
      <w:r w:rsidR="00AA1D10">
        <w:rPr>
          <w:lang w:eastAsia="en-US"/>
        </w:rPr>
        <w:t xml:space="preserve">. </w:t>
      </w:r>
      <w:r w:rsidR="00462474">
        <w:rPr>
          <w:lang w:eastAsia="en-US"/>
        </w:rPr>
        <w:t xml:space="preserve">I also </w:t>
      </w:r>
      <w:proofErr w:type="gramStart"/>
      <w:r w:rsidR="00462474">
        <w:rPr>
          <w:lang w:eastAsia="en-US"/>
        </w:rPr>
        <w:t>base</w:t>
      </w:r>
      <w:proofErr w:type="gramEnd"/>
      <w:r w:rsidR="00462474">
        <w:rPr>
          <w:lang w:eastAsia="en-US"/>
        </w:rPr>
        <w:t xml:space="preserve"> on the company complexity </w:t>
      </w:r>
      <w:r w:rsidR="008279EC">
        <w:rPr>
          <w:lang w:eastAsia="en-US"/>
        </w:rPr>
        <w:t xml:space="preserve">arguments to expect that </w:t>
      </w:r>
      <w:r w:rsidR="008279EC">
        <w:rPr>
          <w:i/>
          <w:lang w:eastAsia="en-US"/>
        </w:rPr>
        <w:t xml:space="preserve">Segments </w:t>
      </w:r>
      <w:r w:rsidR="008279EC">
        <w:rPr>
          <w:lang w:eastAsia="en-US"/>
        </w:rPr>
        <w:t>has a positive relationship with the SEC review attributes because more segments indicated more complexity in the firms’ business (</w:t>
      </w:r>
      <w:r w:rsidR="008279EC">
        <w:rPr>
          <w:noProof/>
          <w:lang w:eastAsia="en-US"/>
        </w:rPr>
        <w:t xml:space="preserve">Cassell et al., </w:t>
      </w:r>
      <w:r w:rsidR="008279EC" w:rsidRPr="00C503E1">
        <w:rPr>
          <w:noProof/>
          <w:lang w:eastAsia="en-US"/>
        </w:rPr>
        <w:t>2013</w:t>
      </w:r>
      <w:r w:rsidR="008279EC">
        <w:rPr>
          <w:noProof/>
          <w:lang w:eastAsia="en-US"/>
        </w:rPr>
        <w:t>).</w:t>
      </w:r>
      <w:r w:rsidR="008279EC">
        <w:rPr>
          <w:lang w:eastAsia="en-US"/>
        </w:rPr>
        <w:t xml:space="preserve"> </w:t>
      </w:r>
    </w:p>
    <w:p w14:paraId="530A63C4" w14:textId="2C2D5C99" w:rsidR="007A53DE" w:rsidRDefault="00AA1D10" w:rsidP="0030659B">
      <w:pPr>
        <w:pStyle w:val="ListParagraph"/>
        <w:spacing w:line="360" w:lineRule="auto"/>
        <w:ind w:left="0"/>
        <w:jc w:val="both"/>
      </w:pPr>
      <w:r>
        <w:rPr>
          <w:i/>
          <w:lang w:eastAsia="en-US"/>
        </w:rPr>
        <w:t xml:space="preserve">Restructuring </w:t>
      </w:r>
      <w:r>
        <w:t xml:space="preserve">is an indicator variable reflecting whether the IPO firms engage in the restructuring activities </w:t>
      </w:r>
      <w:r w:rsidR="000837A7">
        <w:t xml:space="preserve">or not. This variable </w:t>
      </w:r>
      <w:r>
        <w:t>equal</w:t>
      </w:r>
      <w:r w:rsidR="00A02079">
        <w:t>s</w:t>
      </w:r>
      <w:r w:rsidR="000837A7">
        <w:t xml:space="preserve"> 1 if the firm has non-zero restructuring cos</w:t>
      </w:r>
      <w:r w:rsidR="00A51701">
        <w:t>t on a pre-tax basis in year t</w:t>
      </w:r>
      <w:r w:rsidR="000837A7">
        <w:t xml:space="preserve"> and 0 otherwise </w:t>
      </w:r>
      <w:r w:rsidR="000837A7">
        <w:fldChar w:fldCharType="begin" w:fldLock="1"/>
      </w:r>
      <w:r w:rsidR="002B0CF1">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0837A7">
        <w:fldChar w:fldCharType="separate"/>
      </w:r>
      <w:r w:rsidR="000837A7" w:rsidRPr="000837A7">
        <w:rPr>
          <w:noProof/>
        </w:rPr>
        <w:t>(Cassell et al., 2013; Heese et al., 2017)</w:t>
      </w:r>
      <w:r w:rsidR="000837A7">
        <w:fldChar w:fldCharType="end"/>
      </w:r>
      <w:r w:rsidR="000837A7">
        <w:t xml:space="preserve">. </w:t>
      </w:r>
      <w:r w:rsidR="008279EC">
        <w:t xml:space="preserve">Company complexity is also the rationale for my expectation that </w:t>
      </w:r>
      <w:r w:rsidR="008279EC">
        <w:rPr>
          <w:i/>
        </w:rPr>
        <w:t xml:space="preserve">Restructuring </w:t>
      </w:r>
      <w:r w:rsidR="008279EC">
        <w:t>is positively relate</w:t>
      </w:r>
      <w:r w:rsidR="004A2E26">
        <w:t xml:space="preserve">d to the SEC review attributes </w:t>
      </w:r>
      <w:r w:rsidR="008279EC">
        <w:t xml:space="preserve">since the company complexity increase when the firms conduct restructuring activities </w:t>
      </w:r>
      <w:r w:rsidR="008279EC">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8279EC">
        <w:rPr>
          <w:lang w:eastAsia="en-US"/>
        </w:rPr>
        <w:fldChar w:fldCharType="separate"/>
      </w:r>
      <w:r w:rsidR="008279EC" w:rsidRPr="00C503E1">
        <w:rPr>
          <w:noProof/>
          <w:lang w:eastAsia="en-US"/>
        </w:rPr>
        <w:t>(Cassell et al., 2013; Heese et al., 2017)</w:t>
      </w:r>
      <w:r w:rsidR="008279EC">
        <w:rPr>
          <w:lang w:eastAsia="en-US"/>
        </w:rPr>
        <w:fldChar w:fldCharType="end"/>
      </w:r>
      <w:r w:rsidR="008279EC">
        <w:t xml:space="preserve">. </w:t>
      </w:r>
    </w:p>
    <w:p w14:paraId="356E0E7D" w14:textId="6AAFDC5B" w:rsidR="008E670C" w:rsidRDefault="000837A7" w:rsidP="0030659B">
      <w:pPr>
        <w:pStyle w:val="ListParagraph"/>
        <w:spacing w:line="360" w:lineRule="auto"/>
        <w:ind w:left="0"/>
        <w:jc w:val="both"/>
      </w:pPr>
      <w:r>
        <w:t xml:space="preserve">Similarly, </w:t>
      </w:r>
      <w:r>
        <w:rPr>
          <w:i/>
        </w:rPr>
        <w:t>M&amp;A</w:t>
      </w:r>
      <w:r>
        <w:t xml:space="preserve"> is an indicator variable reflecting whether the IPO firms engage in the merge and acquisition activities or not. This variable equal</w:t>
      </w:r>
      <w:r w:rsidR="00A02079">
        <w:t>s</w:t>
      </w:r>
      <w:r>
        <w:t xml:space="preserve"> 1 if the firm has non-zero restructuring cos</w:t>
      </w:r>
      <w:r w:rsidR="00A51701">
        <w:t>t on a pre-tax basis in year t</w:t>
      </w:r>
      <w:r>
        <w:t xml:space="preserve"> and 0 otherwise </w:t>
      </w:r>
      <w:r>
        <w:fldChar w:fldCharType="begin" w:fldLock="1"/>
      </w:r>
      <w:r w:rsidR="00A611DF">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fldChar w:fldCharType="separate"/>
      </w:r>
      <w:r w:rsidRPr="000837A7">
        <w:rPr>
          <w:noProof/>
        </w:rPr>
        <w:t>(Cassell et al., 2013; Heese et al., 2017)</w:t>
      </w:r>
      <w:r>
        <w:fldChar w:fldCharType="end"/>
      </w:r>
      <w:r>
        <w:t xml:space="preserve">. </w:t>
      </w:r>
      <w:r w:rsidR="008279EC">
        <w:t xml:space="preserve">I expect that the relationship between </w:t>
      </w:r>
      <w:r w:rsidR="008279EC">
        <w:rPr>
          <w:i/>
        </w:rPr>
        <w:t xml:space="preserve">M&amp;A </w:t>
      </w:r>
      <w:r w:rsidR="008279EC">
        <w:t>and the SEC review attribu</w:t>
      </w:r>
      <w:r w:rsidR="00E50754">
        <w:t xml:space="preserve">tes is positive since company complexity increase when the firm conduct M&amp;A activities, suggesting higher extent of the SEC review </w:t>
      </w:r>
      <w:r w:rsidR="00E50754">
        <w:fldChar w:fldCharType="begin" w:fldLock="1"/>
      </w:r>
      <w:r w:rsidR="00A611DF">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E50754">
        <w:fldChar w:fldCharType="separate"/>
      </w:r>
      <w:r w:rsidR="00E50754" w:rsidRPr="000837A7">
        <w:rPr>
          <w:noProof/>
        </w:rPr>
        <w:t>(Cassell et al., 2013; Heese et al., 2017)</w:t>
      </w:r>
      <w:r w:rsidR="00E50754">
        <w:fldChar w:fldCharType="end"/>
      </w:r>
      <w:r w:rsidR="00E50754">
        <w:t>.</w:t>
      </w:r>
    </w:p>
    <w:p w14:paraId="15CE8F74" w14:textId="610B10D3" w:rsidR="007A53DE" w:rsidRDefault="000837A7" w:rsidP="0030659B">
      <w:pPr>
        <w:pStyle w:val="ListParagraph"/>
        <w:spacing w:line="360" w:lineRule="auto"/>
        <w:ind w:left="0"/>
        <w:jc w:val="both"/>
      </w:pPr>
      <w:r>
        <w:t xml:space="preserve">Regarding the future performance, I measure </w:t>
      </w:r>
      <w:r>
        <w:rPr>
          <w:i/>
        </w:rPr>
        <w:t>Sale</w:t>
      </w:r>
      <w:r w:rsidR="00296848">
        <w:rPr>
          <w:i/>
        </w:rPr>
        <w:t>s</w:t>
      </w:r>
      <w:r>
        <w:rPr>
          <w:i/>
        </w:rPr>
        <w:t xml:space="preserve"> growth</w:t>
      </w:r>
      <w:r w:rsidR="00D63272">
        <w:rPr>
          <w:i/>
        </w:rPr>
        <w:t xml:space="preserve">, </w:t>
      </w:r>
      <w:r w:rsidR="00D63272">
        <w:t>which is an indicator</w:t>
      </w:r>
      <w:r w:rsidR="00D2234B">
        <w:t xml:space="preserve"> for survival and financial growth of the IPO firm,</w:t>
      </w:r>
      <w:r w:rsidR="00D63272">
        <w:t xml:space="preserve"> </w:t>
      </w:r>
      <w:r>
        <w:t xml:space="preserve">as </w:t>
      </w:r>
      <w:r w:rsidR="00D63272">
        <w:t>the chang</w:t>
      </w:r>
      <w:r w:rsidR="00A51701">
        <w:t xml:space="preserve">e in annual sales from year t-1 to year t </w:t>
      </w:r>
      <w:r w:rsidR="00D63272">
        <w:t>di</w:t>
      </w:r>
      <w:r w:rsidR="00A51701">
        <w:t>vided by annual sale in year t-1</w:t>
      </w:r>
      <w:r w:rsidR="00023E48">
        <w:t xml:space="preserve">. </w:t>
      </w:r>
      <w:r w:rsidR="00887E5D">
        <w:t xml:space="preserve">I expect </w:t>
      </w:r>
      <w:r w:rsidR="00887E5D" w:rsidRPr="00500A01">
        <w:rPr>
          <w:color w:val="000000" w:themeColor="text1"/>
        </w:rPr>
        <w:t xml:space="preserve">that </w:t>
      </w:r>
      <w:r w:rsidR="00296848">
        <w:rPr>
          <w:i/>
          <w:color w:val="000000" w:themeColor="text1"/>
        </w:rPr>
        <w:t>Sales growth</w:t>
      </w:r>
      <w:r w:rsidR="00887E5D" w:rsidRPr="00500A01">
        <w:rPr>
          <w:i/>
          <w:color w:val="000000" w:themeColor="text1"/>
        </w:rPr>
        <w:t xml:space="preserve"> </w:t>
      </w:r>
      <w:r w:rsidR="00887E5D">
        <w:t>is positively related to the SEC review attributes since higher growth rate of sales indicate that the firms have higher growth expectation, who are often targeted by the SEC for the review (</w:t>
      </w:r>
      <w:proofErr w:type="spellStart"/>
      <w:r w:rsidR="00887E5D" w:rsidRPr="000837A7">
        <w:rPr>
          <w:noProof/>
        </w:rPr>
        <w:t>Heese</w:t>
      </w:r>
      <w:proofErr w:type="spellEnd"/>
      <w:r w:rsidR="00887E5D" w:rsidRPr="000837A7">
        <w:rPr>
          <w:noProof/>
        </w:rPr>
        <w:t xml:space="preserve"> et al., 2017)</w:t>
      </w:r>
      <w:r w:rsidR="00CA0F78">
        <w:t xml:space="preserve">. </w:t>
      </w:r>
      <w:r w:rsidR="001D2998">
        <w:t xml:space="preserve">This expectation is in </w:t>
      </w:r>
      <w:r w:rsidR="001C33CC">
        <w:t xml:space="preserve">agreement </w:t>
      </w:r>
      <w:r w:rsidR="001D2998">
        <w:t xml:space="preserve">with </w:t>
      </w:r>
      <w:r w:rsidR="00296848">
        <w:t xml:space="preserve">the </w:t>
      </w:r>
      <w:r w:rsidR="001D2998">
        <w:t xml:space="preserve">information uncertainty hypothesis, which assumes that </w:t>
      </w:r>
      <w:r w:rsidR="001D2998">
        <w:rPr>
          <w:lang w:eastAsia="en-US"/>
        </w:rPr>
        <w:t>the firms with greater expected growth are likely to be operating in higher information uncertainty environment</w:t>
      </w:r>
      <w:r w:rsidR="001D2998">
        <w:t xml:space="preserve"> (</w:t>
      </w:r>
      <w:r w:rsidR="001D2998">
        <w:rPr>
          <w:lang w:eastAsia="en-US"/>
        </w:rPr>
        <w:fldChar w:fldCharType="begin" w:fldLock="1"/>
      </w:r>
      <w:r w:rsidR="00A611DF">
        <w:rPr>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Lee, &amp; Zhang, 2005)","manualFormatting":"Jiang et al., 2005)","plainTextFormattedCitation":"(Jiang, Lee, &amp; Zhang, 2005)","previouslyFormattedCitation":"(Jiang, Lee, &amp; Zhang, 2005)"},"properties":{"noteIndex":0},"schema":"https://github.com/citation-style-language/schema/raw/master/csl-citation.json"}</w:instrText>
      </w:r>
      <w:r w:rsidR="001D2998">
        <w:rPr>
          <w:lang w:eastAsia="en-US"/>
        </w:rPr>
        <w:fldChar w:fldCharType="separate"/>
      </w:r>
      <w:r w:rsidR="001D2998">
        <w:rPr>
          <w:noProof/>
          <w:lang w:eastAsia="en-US"/>
        </w:rPr>
        <w:t xml:space="preserve">Jiang et al., </w:t>
      </w:r>
      <w:r w:rsidR="001D2998" w:rsidRPr="00386BE4">
        <w:rPr>
          <w:noProof/>
          <w:lang w:eastAsia="en-US"/>
        </w:rPr>
        <w:t>2005)</w:t>
      </w:r>
      <w:r w:rsidR="001D2998">
        <w:rPr>
          <w:lang w:eastAsia="en-US"/>
        </w:rPr>
        <w:fldChar w:fldCharType="end"/>
      </w:r>
      <w:r w:rsidR="001D2998">
        <w:rPr>
          <w:lang w:eastAsia="en-US"/>
        </w:rPr>
        <w:t xml:space="preserve">, </w:t>
      </w:r>
      <w:r w:rsidR="00296848">
        <w:rPr>
          <w:lang w:eastAsia="en-US"/>
        </w:rPr>
        <w:t>and may therefore</w:t>
      </w:r>
      <w:r w:rsidR="001D2998">
        <w:rPr>
          <w:lang w:eastAsia="en-US"/>
        </w:rPr>
        <w:t xml:space="preserve"> attract </w:t>
      </w:r>
      <w:r w:rsidR="002F3AAB">
        <w:rPr>
          <w:lang w:eastAsia="en-US"/>
        </w:rPr>
        <w:t xml:space="preserve">more </w:t>
      </w:r>
      <w:r w:rsidR="001D2998">
        <w:rPr>
          <w:lang w:eastAsia="en-US"/>
        </w:rPr>
        <w:t xml:space="preserve">SEC scrutiny </w:t>
      </w:r>
      <w:r w:rsidR="001D2998">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rsidR="001D2998">
        <w:rPr>
          <w:lang w:eastAsia="en-US"/>
        </w:rPr>
        <w:fldChar w:fldCharType="separate"/>
      </w:r>
      <w:r w:rsidR="001D2998">
        <w:rPr>
          <w:noProof/>
          <w:lang w:eastAsia="en-US"/>
        </w:rPr>
        <w:t>(</w:t>
      </w:r>
      <w:r w:rsidR="001D2998" w:rsidRPr="002D7189">
        <w:rPr>
          <w:noProof/>
          <w:lang w:eastAsia="en-US"/>
        </w:rPr>
        <w:t xml:space="preserve"> Ertimur &amp; Nondorf, 2006</w:t>
      </w:r>
      <w:r w:rsidR="001D2998">
        <w:rPr>
          <w:noProof/>
          <w:lang w:eastAsia="en-US"/>
        </w:rPr>
        <w:t xml:space="preserve">; </w:t>
      </w:r>
      <w:r w:rsidR="001D2998" w:rsidRPr="002D7189">
        <w:rPr>
          <w:noProof/>
          <w:lang w:eastAsia="en-US"/>
        </w:rPr>
        <w:t>Chen &amp; John</w:t>
      </w:r>
      <w:r w:rsidR="00F57010">
        <w:rPr>
          <w:noProof/>
          <w:lang w:eastAsia="en-US"/>
        </w:rPr>
        <w:t>ston, 2010; Colaco et al., 2018</w:t>
      </w:r>
      <w:r w:rsidR="001D2998" w:rsidRPr="002D7189">
        <w:rPr>
          <w:noProof/>
          <w:lang w:eastAsia="en-US"/>
        </w:rPr>
        <w:t>)</w:t>
      </w:r>
      <w:r w:rsidR="001D2998">
        <w:rPr>
          <w:lang w:eastAsia="en-US"/>
        </w:rPr>
        <w:fldChar w:fldCharType="end"/>
      </w:r>
      <w:r w:rsidR="002D14F0">
        <w:rPr>
          <w:lang w:eastAsia="en-US"/>
        </w:rPr>
        <w:t xml:space="preserve"> as in line with the assumption of public interest theory</w:t>
      </w:r>
      <w:r w:rsidR="001D2998">
        <w:rPr>
          <w:lang w:eastAsia="en-US"/>
        </w:rPr>
        <w:t xml:space="preserve">. </w:t>
      </w:r>
      <w:r w:rsidR="002D7189">
        <w:t xml:space="preserve"> </w:t>
      </w:r>
    </w:p>
    <w:p w14:paraId="635E1110" w14:textId="4ACF5CD2" w:rsidR="000837A7" w:rsidRDefault="00023E48" w:rsidP="0030659B">
      <w:pPr>
        <w:pStyle w:val="ListParagraph"/>
        <w:spacing w:line="360" w:lineRule="auto"/>
        <w:ind w:left="0"/>
        <w:jc w:val="both"/>
      </w:pPr>
      <w:r>
        <w:t xml:space="preserve">Concerning </w:t>
      </w:r>
      <w:r>
        <w:rPr>
          <w:i/>
        </w:rPr>
        <w:t xml:space="preserve">BM </w:t>
      </w:r>
      <w:r w:rsidR="00252DD4">
        <w:t>or book-to-market ratio</w:t>
      </w:r>
      <w:r w:rsidR="004A39F6">
        <w:t xml:space="preserve"> </w:t>
      </w:r>
      <w:r>
        <w:t xml:space="preserve">which is an indicator for the undervaluation/overvaluation of the IPO firm’s securities, I calculate this measure as </w:t>
      </w:r>
      <w:r w:rsidR="00252DD4">
        <w:t xml:space="preserve">the </w:t>
      </w:r>
      <w:r w:rsidR="00252DD4" w:rsidRPr="00252DD4">
        <w:t>ratio of the book value of equity to the ma</w:t>
      </w:r>
      <w:r w:rsidR="00A51701">
        <w:t>rket value of equity in year t</w:t>
      </w:r>
      <w:r w:rsidR="00F374EF">
        <w:t xml:space="preserve"> </w:t>
      </w:r>
      <w:r w:rsidR="00F374EF" w:rsidRPr="00F374EF">
        <w:t>(</w:t>
      </w:r>
      <w:proofErr w:type="spellStart"/>
      <w:r w:rsidR="00F374EF" w:rsidRPr="00F374EF">
        <w:t>Duro</w:t>
      </w:r>
      <w:proofErr w:type="spellEnd"/>
      <w:r w:rsidR="00F374EF" w:rsidRPr="00F374EF">
        <w:t xml:space="preserve"> et al., 2017</w:t>
      </w:r>
      <w:r w:rsidR="00887E5D">
        <w:t xml:space="preserve">, </w:t>
      </w:r>
      <w:r w:rsidR="00887E5D" w:rsidRPr="000837A7">
        <w:rPr>
          <w:noProof/>
        </w:rPr>
        <w:t>Heese et al., 2017</w:t>
      </w:r>
      <w:r w:rsidR="00F374EF" w:rsidRPr="00F374EF">
        <w:t>).</w:t>
      </w:r>
      <w:r w:rsidR="00887E5D">
        <w:t xml:space="preserve"> Similarly, </w:t>
      </w:r>
      <w:r w:rsidR="00CA0F78">
        <w:t xml:space="preserve">basing </w:t>
      </w:r>
      <w:r w:rsidR="002D14F0">
        <w:t xml:space="preserve">on </w:t>
      </w:r>
      <w:r w:rsidR="00CA0F78">
        <w:t xml:space="preserve">the </w:t>
      </w:r>
      <w:r w:rsidR="001D2998">
        <w:t>information uncertainty hypothesis</w:t>
      </w:r>
      <w:r w:rsidR="00CA0F78">
        <w:t xml:space="preserve">, I expect that </w:t>
      </w:r>
      <w:r w:rsidR="00CA0F78">
        <w:rPr>
          <w:i/>
        </w:rPr>
        <w:t xml:space="preserve">BM </w:t>
      </w:r>
      <w:r w:rsidR="00CA0F78">
        <w:t>has a negative relationship with the SEC review attributes since the firms having lower book-to-market ratio, in other w</w:t>
      </w:r>
      <w:r w:rsidR="001D2998">
        <w:t>ords, higher growth expectation</w:t>
      </w:r>
      <w:r w:rsidR="001C33CC">
        <w:t>, are often targeted by the SEC for the review</w:t>
      </w:r>
      <w:r w:rsidR="002D14F0">
        <w:t xml:space="preserve"> (</w:t>
      </w:r>
      <w:proofErr w:type="spellStart"/>
      <w:r w:rsidR="002D14F0" w:rsidRPr="000837A7">
        <w:rPr>
          <w:noProof/>
        </w:rPr>
        <w:t>Heese</w:t>
      </w:r>
      <w:proofErr w:type="spellEnd"/>
      <w:r w:rsidR="002D14F0" w:rsidRPr="000837A7">
        <w:rPr>
          <w:noProof/>
        </w:rPr>
        <w:t xml:space="preserve"> et al., 2017)</w:t>
      </w:r>
      <w:r w:rsidR="001C33CC">
        <w:t xml:space="preserve">. This expectation is in agreement with information uncertainty, which assumes that firms with lower book-to-market ratio </w:t>
      </w:r>
      <w:r w:rsidR="002D14F0">
        <w:rPr>
          <w:lang w:eastAsia="en-US"/>
        </w:rPr>
        <w:t>are likely to be operating in higher information uncertainty environment</w:t>
      </w:r>
      <w:r w:rsidR="002D14F0">
        <w:t xml:space="preserve"> (</w:t>
      </w:r>
      <w:r w:rsidR="002D14F0">
        <w:rPr>
          <w:lang w:eastAsia="en-US"/>
        </w:rPr>
        <w:fldChar w:fldCharType="begin" w:fldLock="1"/>
      </w:r>
      <w:r w:rsidR="00A611DF">
        <w:rPr>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rsidR="002D14F0">
        <w:rPr>
          <w:lang w:eastAsia="en-US"/>
        </w:rPr>
        <w:fldChar w:fldCharType="separate"/>
      </w:r>
      <w:r w:rsidR="002D14F0">
        <w:rPr>
          <w:noProof/>
          <w:lang w:eastAsia="en-US"/>
        </w:rPr>
        <w:t xml:space="preserve">Jiang et al., </w:t>
      </w:r>
      <w:r w:rsidR="002D14F0" w:rsidRPr="00386BE4">
        <w:rPr>
          <w:noProof/>
          <w:lang w:eastAsia="en-US"/>
        </w:rPr>
        <w:t>2005)</w:t>
      </w:r>
      <w:r w:rsidR="002D14F0">
        <w:rPr>
          <w:lang w:eastAsia="en-US"/>
        </w:rPr>
        <w:fldChar w:fldCharType="end"/>
      </w:r>
      <w:r w:rsidR="002D14F0">
        <w:rPr>
          <w:lang w:eastAsia="en-US"/>
        </w:rPr>
        <w:t xml:space="preserve">, and hence, could </w:t>
      </w:r>
      <w:r w:rsidR="002D14F0">
        <w:t xml:space="preserve">attract more the SEC </w:t>
      </w:r>
      <w:r w:rsidR="002D14F0">
        <w:lastRenderedPageBreak/>
        <w:t xml:space="preserve">scrutiny </w:t>
      </w:r>
      <w:r w:rsidR="002D14F0">
        <w:rPr>
          <w:noProof/>
          <w:lang w:eastAsia="en-US"/>
        </w:rPr>
        <w:t>(</w:t>
      </w:r>
      <w:r w:rsidR="002D14F0" w:rsidRPr="002D7189">
        <w:rPr>
          <w:noProof/>
          <w:lang w:eastAsia="en-US"/>
        </w:rPr>
        <w:t xml:space="preserve"> Ertimur &amp; Nondorf, 2006</w:t>
      </w:r>
      <w:r w:rsidR="002D14F0">
        <w:rPr>
          <w:noProof/>
          <w:lang w:eastAsia="en-US"/>
        </w:rPr>
        <w:t xml:space="preserve">; </w:t>
      </w:r>
      <w:r w:rsidR="002D14F0" w:rsidRPr="002D7189">
        <w:rPr>
          <w:noProof/>
          <w:lang w:eastAsia="en-US"/>
        </w:rPr>
        <w:t>Chen &amp; John</w:t>
      </w:r>
      <w:r w:rsidR="00F57010">
        <w:rPr>
          <w:noProof/>
          <w:lang w:eastAsia="en-US"/>
        </w:rPr>
        <w:t>ston, 2010; Colaco et al., 2018</w:t>
      </w:r>
      <w:r w:rsidR="00CA0F78" w:rsidRPr="000837A7">
        <w:rPr>
          <w:noProof/>
        </w:rPr>
        <w:t>)</w:t>
      </w:r>
      <w:r w:rsidR="002D14F0">
        <w:rPr>
          <w:noProof/>
        </w:rPr>
        <w:t xml:space="preserve"> as in line with the assumption of public interest theory</w:t>
      </w:r>
      <w:r w:rsidR="001D2998">
        <w:rPr>
          <w:noProof/>
        </w:rPr>
        <w:t>.</w:t>
      </w:r>
    </w:p>
    <w:p w14:paraId="13FC7504" w14:textId="135C7500" w:rsidR="007A53DE" w:rsidRDefault="003051BB" w:rsidP="0030659B">
      <w:pPr>
        <w:pStyle w:val="ListParagraph"/>
        <w:spacing w:line="360" w:lineRule="auto"/>
        <w:ind w:left="0"/>
        <w:jc w:val="both"/>
      </w:pPr>
      <w:r>
        <w:t xml:space="preserve">Regarding </w:t>
      </w:r>
      <w:r w:rsidR="00D9356B">
        <w:t>financial health, I calculate</w:t>
      </w:r>
      <w:r w:rsidR="00CA4235">
        <w:t xml:space="preserve"> </w:t>
      </w:r>
      <w:r w:rsidR="00CA4235">
        <w:rPr>
          <w:i/>
        </w:rPr>
        <w:t>Leverage</w:t>
      </w:r>
      <w:r w:rsidR="00D9356B">
        <w:rPr>
          <w:i/>
        </w:rPr>
        <w:t>,</w:t>
      </w:r>
      <w:r w:rsidR="00CA4235">
        <w:rPr>
          <w:i/>
        </w:rPr>
        <w:t xml:space="preserve"> </w:t>
      </w:r>
      <w:r w:rsidR="00CA4235">
        <w:t>which is an indicator of the IPO firm’</w:t>
      </w:r>
      <w:r w:rsidR="00CB71BB">
        <w:t>s</w:t>
      </w:r>
      <w:r w:rsidR="00CA4235">
        <w:t xml:space="preserve"> debt level, </w:t>
      </w:r>
      <w:r w:rsidR="00F374EF">
        <w:t>as t</w:t>
      </w:r>
      <w:r w:rsidR="00F374EF" w:rsidRPr="00F374EF">
        <w:t>he ratio of total liabili</w:t>
      </w:r>
      <w:r w:rsidR="00A51701">
        <w:t>ties to total equity in year t</w:t>
      </w:r>
      <w:r w:rsidR="00F374EF">
        <w:t xml:space="preserve"> </w:t>
      </w:r>
      <w:r w:rsidR="00F374EF" w:rsidRPr="00F374EF">
        <w:t>(</w:t>
      </w:r>
      <w:proofErr w:type="spellStart"/>
      <w:r w:rsidR="00F374EF" w:rsidRPr="00F374EF">
        <w:t>Duro</w:t>
      </w:r>
      <w:proofErr w:type="spellEnd"/>
      <w:r w:rsidR="00F374EF" w:rsidRPr="00F374EF">
        <w:t xml:space="preserve"> et al., 2017).</w:t>
      </w:r>
      <w:r w:rsidR="00CB71BB">
        <w:t xml:space="preserve"> </w:t>
      </w:r>
      <w:r w:rsidR="001D2998">
        <w:t xml:space="preserve">I expect that </w:t>
      </w:r>
      <w:r w:rsidR="001D2998">
        <w:rPr>
          <w:i/>
        </w:rPr>
        <w:t xml:space="preserve">Leverage </w:t>
      </w:r>
      <w:r w:rsidR="001D2998">
        <w:t xml:space="preserve">is positive correlated </w:t>
      </w:r>
      <w:r w:rsidR="00677F9F">
        <w:t>with the SEC review attribute</w:t>
      </w:r>
      <w:r>
        <w:t>s</w:t>
      </w:r>
      <w:r w:rsidR="00677F9F">
        <w:t xml:space="preserve">, </w:t>
      </w:r>
      <w:r w:rsidR="001D2998">
        <w:t xml:space="preserve">which is in line with the finding of </w:t>
      </w:r>
      <w:proofErr w:type="spellStart"/>
      <w:r w:rsidR="00677F9F">
        <w:t>Duro</w:t>
      </w:r>
      <w:proofErr w:type="spellEnd"/>
      <w:r w:rsidR="00677F9F">
        <w:t xml:space="preserve"> et al.</w:t>
      </w:r>
      <w:r w:rsidR="00A02079">
        <w:t xml:space="preserve"> </w:t>
      </w:r>
      <w:r w:rsidR="00677F9F">
        <w:t>(</w:t>
      </w:r>
      <w:r w:rsidR="00677F9F" w:rsidRPr="00F374EF">
        <w:t>2017</w:t>
      </w:r>
      <w:r w:rsidR="00677F9F">
        <w:t>) revealing that the firms with higher leverage are more likely to receive the SEC comment letters.</w:t>
      </w:r>
      <w:r w:rsidR="001D2998">
        <w:t xml:space="preserve"> </w:t>
      </w:r>
      <w:r>
        <w:t xml:space="preserve">In other words, </w:t>
      </w:r>
      <w:r w:rsidR="00677F9F">
        <w:t xml:space="preserve">firms with higher debt level are likely to attract more SEC scrutiny. This expectation is also </w:t>
      </w:r>
      <w:r w:rsidR="00C728A9">
        <w:t>derived from</w:t>
      </w:r>
      <w:r w:rsidR="00677F9F">
        <w:t xml:space="preserve"> public interest t</w:t>
      </w:r>
      <w:r w:rsidR="007A53DE">
        <w:t xml:space="preserve">heory </w:t>
      </w:r>
      <w:r w:rsidR="00677F9F">
        <w:t>which assumes that regulators are neutral and aim to protect the benefits of the whole public in the weak an</w:t>
      </w:r>
      <w:r w:rsidR="002C1C02">
        <w:t>d</w:t>
      </w:r>
      <w:r w:rsidR="00677F9F">
        <w:t xml:space="preserve"> inefficient markets. </w:t>
      </w:r>
    </w:p>
    <w:p w14:paraId="0F9A2EF5" w14:textId="719DB2F7" w:rsidR="00CB71BB" w:rsidRDefault="00CB71BB" w:rsidP="0030659B">
      <w:pPr>
        <w:pStyle w:val="ListParagraph"/>
        <w:spacing w:line="360" w:lineRule="auto"/>
        <w:ind w:left="0"/>
        <w:jc w:val="both"/>
      </w:pPr>
      <w:r>
        <w:t xml:space="preserve">Regarding </w:t>
      </w:r>
      <w:proofErr w:type="spellStart"/>
      <w:r w:rsidR="00B90319">
        <w:rPr>
          <w:i/>
        </w:rPr>
        <w:t>Zscore</w:t>
      </w:r>
      <w:proofErr w:type="spellEnd"/>
      <w:r>
        <w:t xml:space="preserve">, which is an indicator of the firm’s financial distress, </w:t>
      </w:r>
      <w:r w:rsidR="002B0CF1">
        <w:t xml:space="preserve">I follow </w:t>
      </w:r>
      <w:r w:rsidR="002B0CF1">
        <w:fldChar w:fldCharType="begin" w:fldLock="1"/>
      </w:r>
      <w:r w:rsidR="003F656E">
        <w:instrText>ADDIN CSL_CITATION {"citationItems":[{"id":"ITEM-1","itemData":{"author":[{"dropping-particle":"","family":"Altman","given":"E. I.","non-dropping-particle":"","parse-names":false,"suffix":""}],"container-title":"The Journal of Finance","id":"ITEM-1","issue":"3","issued":{"date-parts":[["1969"]]},"page":"558-560","title":"Financial Ratios, Discriminant Analysis and the Prediction of Corporate Bankruptcy","type":"article-journal","volume":"24"},"uris":["http://www.mendeley.com/documents/?uuid=0a11a558-2e08-40e3-9567-585711b23ede"]}],"mendeley":{"formattedCitation":"(Altman, 1969)","manualFormatting":"Altman (1969)","plainTextFormattedCitation":"(Altman, 1969)","previouslyFormattedCitation":"(Altman, 1969)"},"properties":{"noteIndex":0},"schema":"https://github.com/citation-style-language/schema/raw/master/csl-citation.json"}</w:instrText>
      </w:r>
      <w:r w:rsidR="002B0CF1">
        <w:fldChar w:fldCharType="separate"/>
      </w:r>
      <w:r w:rsidR="002B0CF1">
        <w:rPr>
          <w:noProof/>
        </w:rPr>
        <w:t>Altman (</w:t>
      </w:r>
      <w:r w:rsidR="002B0CF1" w:rsidRPr="002B0CF1">
        <w:rPr>
          <w:noProof/>
        </w:rPr>
        <w:t>1969)</w:t>
      </w:r>
      <w:r w:rsidR="002B0CF1">
        <w:fldChar w:fldCharType="end"/>
      </w:r>
      <w:r w:rsidR="002B0CF1">
        <w:t xml:space="preserve"> and </w:t>
      </w:r>
      <w:r w:rsidR="002B0CF1">
        <w:fldChar w:fldCharType="begin" w:fldLock="1"/>
      </w:r>
      <w:r w:rsidR="003F656E">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(2013)","plainTextFormattedCitation":"(Cassell et al., 2013)","previouslyFormattedCitation":"(Cassell et al., 2013)"},"properties":{"noteIndex":0},"schema":"https://github.com/citation-style-language/schema/raw/master/csl-citation.json"}</w:instrText>
      </w:r>
      <w:r w:rsidR="002B0CF1">
        <w:fldChar w:fldCharType="separate"/>
      </w:r>
      <w:r w:rsidR="002B0CF1">
        <w:rPr>
          <w:noProof/>
        </w:rPr>
        <w:t>Cassell et al. (</w:t>
      </w:r>
      <w:r w:rsidR="002B0CF1" w:rsidRPr="002B0CF1">
        <w:rPr>
          <w:noProof/>
        </w:rPr>
        <w:t>2013)</w:t>
      </w:r>
      <w:r w:rsidR="002B0CF1">
        <w:fldChar w:fldCharType="end"/>
      </w:r>
      <w:r w:rsidR="002B0CF1">
        <w:t xml:space="preserve"> and measure this variable by using the following </w:t>
      </w:r>
      <w:r w:rsidR="00695776">
        <w:t>equation</w:t>
      </w:r>
    </w:p>
    <w:p w14:paraId="5BB62A4D" w14:textId="3E2AFDA0" w:rsidR="007A53DE" w:rsidRDefault="0004133D" w:rsidP="00D9356B">
      <w:pPr>
        <w:pStyle w:val="ListParagraph"/>
        <w:spacing w:line="360" w:lineRule="auto"/>
        <w:ind w:left="0" w:firstLine="720"/>
        <w:jc w:val="both"/>
        <w:rPr>
          <w:rFonts w:eastAsiaTheme="minorEastAsia"/>
        </w:rPr>
      </w:pPr>
      <m:oMathPara>
        <m:oMath>
          <m:sSub>
            <m:sSubPr>
              <m:ctrlPr>
                <w:rPr>
                  <w:rFonts w:ascii="Cambria Math" w:hAnsi="Cambria Math"/>
                  <w:i/>
                </w:rPr>
              </m:ctrlPr>
            </m:sSubPr>
            <m:e>
              <m:r>
                <w:rPr>
                  <w:rFonts w:ascii="Cambria Math" w:hAnsi="Cambria Math"/>
                </w:rPr>
                <m:t>Zscore</m:t>
              </m:r>
            </m:e>
            <m:sub>
              <m:r>
                <w:rPr>
                  <w:rFonts w:ascii="Cambria Math" w:hAnsi="Cambria Math"/>
                </w:rPr>
                <m:t>i,t</m:t>
              </m:r>
            </m:sub>
          </m:sSub>
          <m:r>
            <w:rPr>
              <w:rFonts w:ascii="Cambria Math" w:hAnsi="Cambria Math"/>
            </w:rPr>
            <m:t>=1.2</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ACT</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LCT</m:t>
                  </m:r>
                </m:e>
                <m:sub>
                  <m:r>
                    <w:rPr>
                      <w:rFonts w:ascii="Cambria Math" w:hAnsi="Cambria Math"/>
                    </w:rPr>
                    <m:t>i,t</m:t>
                  </m:r>
                </m:sub>
              </m:sSub>
              <m:r>
                <w:rPr>
                  <w:rFonts w:ascii="Cambria Math" w:hAnsi="Cambria Math"/>
                </w:rPr>
                <m:t>)</m:t>
              </m:r>
            </m:num>
            <m:den>
              <m:sSub>
                <m:sSubPr>
                  <m:ctrlPr>
                    <w:rPr>
                      <w:rFonts w:ascii="Cambria Math" w:hAnsi="Cambria Math"/>
                      <w:i/>
                    </w:rPr>
                  </m:ctrlPr>
                </m:sSubPr>
                <m:e>
                  <m:r>
                    <w:rPr>
                      <w:rFonts w:ascii="Cambria Math" w:hAnsi="Cambria Math"/>
                    </w:rPr>
                    <m:t>AT</m:t>
                  </m:r>
                </m:e>
                <m:sub>
                  <m:r>
                    <w:rPr>
                      <w:rFonts w:ascii="Cambria Math" w:hAnsi="Cambria Math"/>
                    </w:rPr>
                    <m:t>i,t</m:t>
                  </m:r>
                </m:sub>
              </m:sSub>
            </m:den>
          </m:f>
          <m:r>
            <w:rPr>
              <w:rFonts w:ascii="Cambria Math" w:hAnsi="Cambria Math"/>
            </w:rPr>
            <m:t>+1.4</m:t>
          </m:r>
          <m:f>
            <m:fPr>
              <m:ctrlPr>
                <w:rPr>
                  <w:rFonts w:ascii="Cambria Math" w:hAnsi="Cambria Math"/>
                  <w:i/>
                </w:rPr>
              </m:ctrlPr>
            </m:fPr>
            <m:num>
              <m:sSub>
                <m:sSubPr>
                  <m:ctrlPr>
                    <w:rPr>
                      <w:rFonts w:ascii="Cambria Math" w:hAnsi="Cambria Math"/>
                      <w:i/>
                    </w:rPr>
                  </m:ctrlPr>
                </m:sSubPr>
                <m:e>
                  <m:r>
                    <w:rPr>
                      <w:rFonts w:ascii="Cambria Math" w:hAnsi="Cambria Math"/>
                    </w:rPr>
                    <m:t>RE</m:t>
                  </m:r>
                </m:e>
                <m:sub>
                  <m:r>
                    <w:rPr>
                      <w:rFonts w:ascii="Cambria Math" w:hAnsi="Cambria Math"/>
                    </w:rPr>
                    <m:t>i,t</m:t>
                  </m:r>
                </m:sub>
              </m:sSub>
            </m:num>
            <m:den>
              <m:sSub>
                <m:sSubPr>
                  <m:ctrlPr>
                    <w:rPr>
                      <w:rFonts w:ascii="Cambria Math" w:hAnsi="Cambria Math"/>
                      <w:i/>
                    </w:rPr>
                  </m:ctrlPr>
                </m:sSubPr>
                <m:e>
                  <m:r>
                    <w:rPr>
                      <w:rFonts w:ascii="Cambria Math" w:hAnsi="Cambria Math"/>
                    </w:rPr>
                    <m:t>AT</m:t>
                  </m:r>
                </m:e>
                <m:sub>
                  <m:r>
                    <w:rPr>
                      <w:rFonts w:ascii="Cambria Math" w:hAnsi="Cambria Math"/>
                    </w:rPr>
                    <m:t>i,t</m:t>
                  </m:r>
                </m:sub>
              </m:sSub>
            </m:den>
          </m:f>
          <m:r>
            <w:rPr>
              <w:rFonts w:ascii="Cambria Math" w:hAnsi="Cambria Math"/>
            </w:rPr>
            <m:t>+3.3</m:t>
          </m:r>
          <m:f>
            <m:fPr>
              <m:ctrlPr>
                <w:rPr>
                  <w:rFonts w:ascii="Cambria Math" w:hAnsi="Cambria Math"/>
                  <w:i/>
                </w:rPr>
              </m:ctrlPr>
            </m:fPr>
            <m:num>
              <m:sSub>
                <m:sSubPr>
                  <m:ctrlPr>
                    <w:rPr>
                      <w:rFonts w:ascii="Cambria Math" w:hAnsi="Cambria Math"/>
                      <w:i/>
                    </w:rPr>
                  </m:ctrlPr>
                </m:sSubPr>
                <m:e>
                  <m:r>
                    <w:rPr>
                      <w:rFonts w:ascii="Cambria Math" w:hAnsi="Cambria Math"/>
                    </w:rPr>
                    <m:t>PI</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XINT</m:t>
                  </m:r>
                </m:e>
                <m:sub>
                  <m:r>
                    <w:rPr>
                      <w:rFonts w:ascii="Cambria Math" w:hAnsi="Cambria Math"/>
                    </w:rPr>
                    <m:t>i,t</m:t>
                  </m:r>
                </m:sub>
              </m:sSub>
            </m:num>
            <m:den>
              <m:sSub>
                <m:sSubPr>
                  <m:ctrlPr>
                    <w:rPr>
                      <w:rFonts w:ascii="Cambria Math" w:hAnsi="Cambria Math"/>
                      <w:i/>
                    </w:rPr>
                  </m:ctrlPr>
                </m:sSubPr>
                <m:e>
                  <m:r>
                    <w:rPr>
                      <w:rFonts w:ascii="Cambria Math" w:hAnsi="Cambria Math"/>
                    </w:rPr>
                    <m:t>AT</m:t>
                  </m:r>
                </m:e>
                <m:sub>
                  <m:r>
                    <w:rPr>
                      <w:rFonts w:ascii="Cambria Math" w:hAnsi="Cambria Math"/>
                    </w:rPr>
                    <m:t>i,t</m:t>
                  </m:r>
                </m:sub>
              </m:sSub>
            </m:den>
          </m:f>
          <m:r>
            <w:rPr>
              <w:rFonts w:ascii="Cambria Math" w:hAnsi="Cambria Math"/>
            </w:rPr>
            <m:t>+0.6</m:t>
          </m:r>
          <m:f>
            <m:fPr>
              <m:ctrlPr>
                <w:rPr>
                  <w:rFonts w:ascii="Cambria Math" w:hAnsi="Cambria Math"/>
                  <w:i/>
                </w:rPr>
              </m:ctrlPr>
            </m:fPr>
            <m:num>
              <m:sSub>
                <m:sSubPr>
                  <m:ctrlPr>
                    <w:rPr>
                      <w:rFonts w:ascii="Cambria Math" w:hAnsi="Cambria Math"/>
                      <w:i/>
                    </w:rPr>
                  </m:ctrlPr>
                </m:sSubPr>
                <m:e>
                  <m:r>
                    <w:rPr>
                      <w:rFonts w:ascii="Cambria Math" w:hAnsi="Cambria Math"/>
                    </w:rPr>
                    <m:t>CSHO</m:t>
                  </m:r>
                </m:e>
                <m:sub>
                  <m:r>
                    <w:rPr>
                      <w:rFonts w:ascii="Cambria Math" w:hAnsi="Cambria Math"/>
                    </w:rPr>
                    <m:t>i, t</m:t>
                  </m:r>
                </m:sub>
              </m:sSub>
              <m:r>
                <w:rPr>
                  <w:rFonts w:ascii="Cambria Math" w:hAnsi="Cambria Math"/>
                </w:rPr>
                <m:t>*</m:t>
              </m:r>
              <m:sSub>
                <m:sSubPr>
                  <m:ctrlPr>
                    <w:rPr>
                      <w:rFonts w:ascii="Cambria Math" w:hAnsi="Cambria Math"/>
                      <w:i/>
                    </w:rPr>
                  </m:ctrlPr>
                </m:sSubPr>
                <m:e>
                  <m:r>
                    <w:rPr>
                      <w:rFonts w:ascii="Cambria Math" w:hAnsi="Cambria Math"/>
                    </w:rPr>
                    <m:t>PRCC_F</m:t>
                  </m:r>
                </m:e>
                <m:sub>
                  <m:r>
                    <w:rPr>
                      <w:rFonts w:ascii="Cambria Math" w:hAnsi="Cambria Math"/>
                    </w:rPr>
                    <m:t>i,t</m:t>
                  </m:r>
                </m:sub>
              </m:sSub>
            </m:num>
            <m:den>
              <m:sSub>
                <m:sSubPr>
                  <m:ctrlPr>
                    <w:rPr>
                      <w:rFonts w:ascii="Cambria Math" w:hAnsi="Cambria Math"/>
                      <w:i/>
                    </w:rPr>
                  </m:ctrlPr>
                </m:sSubPr>
                <m:e>
                  <m:r>
                    <w:rPr>
                      <w:rFonts w:ascii="Cambria Math" w:hAnsi="Cambria Math"/>
                    </w:rPr>
                    <m:t>LT</m:t>
                  </m:r>
                </m:e>
                <m:sub>
                  <m:r>
                    <w:rPr>
                      <w:rFonts w:ascii="Cambria Math" w:hAnsi="Cambria Math"/>
                    </w:rPr>
                    <m:t>i,t</m:t>
                  </m:r>
                </m:sub>
              </m:sSub>
            </m:den>
          </m:f>
          <m:r>
            <w:rPr>
              <w:rFonts w:ascii="Cambria Math" w:hAnsi="Cambria Math"/>
            </w:rPr>
            <m:t>+1.0*</m:t>
          </m:r>
          <m:f>
            <m:fPr>
              <m:ctrlPr>
                <w:rPr>
                  <w:rFonts w:ascii="Cambria Math" w:hAnsi="Cambria Math"/>
                  <w:i/>
                </w:rPr>
              </m:ctrlPr>
            </m:fPr>
            <m:num>
              <m:sSub>
                <m:sSubPr>
                  <m:ctrlPr>
                    <w:rPr>
                      <w:rFonts w:ascii="Cambria Math" w:hAnsi="Cambria Math"/>
                      <w:i/>
                    </w:rPr>
                  </m:ctrlPr>
                </m:sSubPr>
                <m:e>
                  <m:r>
                    <w:rPr>
                      <w:rFonts w:ascii="Cambria Math" w:hAnsi="Cambria Math"/>
                    </w:rPr>
                    <m:t>Sale</m:t>
                  </m:r>
                </m:e>
                <m:sub>
                  <m:r>
                    <w:rPr>
                      <w:rFonts w:ascii="Cambria Math" w:hAnsi="Cambria Math"/>
                    </w:rPr>
                    <m:t>i,t</m:t>
                  </m:r>
                </m:sub>
              </m:sSub>
            </m:num>
            <m:den>
              <m:sSub>
                <m:sSubPr>
                  <m:ctrlPr>
                    <w:rPr>
                      <w:rFonts w:ascii="Cambria Math" w:hAnsi="Cambria Math"/>
                      <w:i/>
                    </w:rPr>
                  </m:ctrlPr>
                </m:sSubPr>
                <m:e>
                  <m:r>
                    <w:rPr>
                      <w:rFonts w:ascii="Cambria Math" w:hAnsi="Cambria Math"/>
                    </w:rPr>
                    <m:t>AT</m:t>
                  </m:r>
                </m:e>
                <m:sub>
                  <m:r>
                    <w:rPr>
                      <w:rFonts w:ascii="Cambria Math" w:hAnsi="Cambria Math"/>
                    </w:rPr>
                    <m:t>i,t</m:t>
                  </m:r>
                </m:sub>
              </m:sSub>
            </m:den>
          </m:f>
          <m:r>
            <w:rPr>
              <w:rFonts w:ascii="Cambria Math" w:hAnsi="Cambria Math"/>
            </w:rPr>
            <m:t xml:space="preserve">                                          (1)</m:t>
          </m:r>
          <m:r>
            <m:rPr>
              <m:sty m:val="p"/>
            </m:rPr>
            <w:rPr>
              <w:rFonts w:eastAsiaTheme="minorEastAsia"/>
            </w:rPr>
            <w:br/>
          </m:r>
        </m:oMath>
      </m:oMathPara>
      <w:r w:rsidR="00695776">
        <w:t xml:space="preserve">where: </w:t>
      </w:r>
      <m:oMath>
        <m:sSub>
          <m:sSubPr>
            <m:ctrlPr>
              <w:rPr>
                <w:rFonts w:ascii="Cambria Math" w:hAnsi="Cambria Math"/>
                <w:i/>
              </w:rPr>
            </m:ctrlPr>
          </m:sSubPr>
          <m:e>
            <m:r>
              <w:rPr>
                <w:rFonts w:ascii="Cambria Math" w:hAnsi="Cambria Math"/>
              </w:rPr>
              <m:t>ACT</m:t>
            </m:r>
          </m:e>
          <m:sub>
            <m:r>
              <w:rPr>
                <w:rFonts w:ascii="Cambria Math" w:hAnsi="Cambria Math"/>
              </w:rPr>
              <m:t>i,t</m:t>
            </m:r>
          </m:sub>
        </m:sSub>
      </m:oMath>
      <w:r w:rsidR="00695776">
        <w:rPr>
          <w:rFonts w:eastAsiaTheme="minorEastAsia"/>
        </w:rPr>
        <w:t xml:space="preserve"> is curren</w:t>
      </w:r>
      <w:r w:rsidR="003051BB">
        <w:rPr>
          <w:rFonts w:eastAsiaTheme="minorEastAsia"/>
        </w:rPr>
        <w:t xml:space="preserve">t assets of firm </w:t>
      </w:r>
      <w:proofErr w:type="spellStart"/>
      <w:r w:rsidR="003051BB">
        <w:rPr>
          <w:rFonts w:eastAsiaTheme="minorEastAsia"/>
        </w:rPr>
        <w:t>i</w:t>
      </w:r>
      <w:proofErr w:type="spellEnd"/>
      <w:r w:rsidR="003051BB">
        <w:rPr>
          <w:rFonts w:eastAsiaTheme="minorEastAsia"/>
        </w:rPr>
        <w:t xml:space="preserve"> </w:t>
      </w:r>
      <w:r w:rsidR="00A51701">
        <w:rPr>
          <w:rFonts w:eastAsiaTheme="minorEastAsia"/>
        </w:rPr>
        <w:t xml:space="preserve">in year t </w:t>
      </w:r>
      <w:r w:rsidR="00695776">
        <w:rPr>
          <w:rFonts w:eastAsiaTheme="minorEastAsia"/>
        </w:rPr>
        <w:t xml:space="preserve">; </w:t>
      </w:r>
      <m:oMath>
        <m:sSub>
          <m:sSubPr>
            <m:ctrlPr>
              <w:rPr>
                <w:rFonts w:ascii="Cambria Math" w:hAnsi="Cambria Math"/>
                <w:i/>
              </w:rPr>
            </m:ctrlPr>
          </m:sSubPr>
          <m:e>
            <m:r>
              <w:rPr>
                <w:rFonts w:ascii="Cambria Math" w:hAnsi="Cambria Math"/>
              </w:rPr>
              <m:t>LCT</m:t>
            </m:r>
          </m:e>
          <m:sub>
            <m:r>
              <w:rPr>
                <w:rFonts w:ascii="Cambria Math" w:hAnsi="Cambria Math"/>
              </w:rPr>
              <m:t>i,t</m:t>
            </m:r>
          </m:sub>
        </m:sSub>
      </m:oMath>
      <w:r w:rsidR="00695776">
        <w:rPr>
          <w:rFonts w:eastAsiaTheme="minorEastAsia"/>
        </w:rPr>
        <w:t xml:space="preserve"> is current l</w:t>
      </w:r>
      <w:proofErr w:type="spellStart"/>
      <w:r w:rsidR="00A51701">
        <w:rPr>
          <w:rFonts w:eastAsiaTheme="minorEastAsia"/>
        </w:rPr>
        <w:t>iabilities</w:t>
      </w:r>
      <w:proofErr w:type="spellEnd"/>
      <w:r w:rsidR="00A51701">
        <w:rPr>
          <w:rFonts w:eastAsiaTheme="minorEastAsia"/>
        </w:rPr>
        <w:t xml:space="preserve"> of firm </w:t>
      </w:r>
      <w:proofErr w:type="spellStart"/>
      <w:r w:rsidR="00A51701">
        <w:rPr>
          <w:rFonts w:eastAsiaTheme="minorEastAsia"/>
        </w:rPr>
        <w:t>i</w:t>
      </w:r>
      <w:proofErr w:type="spellEnd"/>
      <w:r w:rsidR="00A51701">
        <w:rPr>
          <w:rFonts w:eastAsiaTheme="minorEastAsia"/>
        </w:rPr>
        <w:t xml:space="preserve"> in year t</w:t>
      </w:r>
      <w:r w:rsidR="00695776">
        <w:rPr>
          <w:rFonts w:eastAsiaTheme="minorEastAsia"/>
        </w:rPr>
        <w:t xml:space="preserve">; </w:t>
      </w:r>
      <m:oMath>
        <m:sSub>
          <m:sSubPr>
            <m:ctrlPr>
              <w:rPr>
                <w:rFonts w:ascii="Cambria Math" w:hAnsi="Cambria Math"/>
                <w:i/>
              </w:rPr>
            </m:ctrlPr>
          </m:sSubPr>
          <m:e>
            <m:r>
              <w:rPr>
                <w:rFonts w:ascii="Cambria Math" w:hAnsi="Cambria Math"/>
              </w:rPr>
              <m:t>RE</m:t>
            </m:r>
          </m:e>
          <m:sub>
            <m:r>
              <w:rPr>
                <w:rFonts w:ascii="Cambria Math" w:hAnsi="Cambria Math"/>
              </w:rPr>
              <m:t>i,t</m:t>
            </m:r>
          </m:sub>
        </m:sSub>
        <m:r>
          <w:rPr>
            <w:rFonts w:ascii="Cambria Math" w:hAnsi="Cambria Math"/>
          </w:rPr>
          <m:t xml:space="preserve"> </m:t>
        </m:r>
      </m:oMath>
      <w:r w:rsidR="00695776">
        <w:rPr>
          <w:rFonts w:eastAsiaTheme="minorEastAsia"/>
        </w:rPr>
        <w:t xml:space="preserve">is retained earnings; </w:t>
      </w:r>
      <m:oMath>
        <m:sSub>
          <m:sSubPr>
            <m:ctrlPr>
              <w:rPr>
                <w:rFonts w:ascii="Cambria Math" w:hAnsi="Cambria Math"/>
                <w:i/>
              </w:rPr>
            </m:ctrlPr>
          </m:sSubPr>
          <m:e>
            <m:r>
              <w:rPr>
                <w:rFonts w:ascii="Cambria Math" w:hAnsi="Cambria Math"/>
              </w:rPr>
              <m:t>PI</m:t>
            </m:r>
          </m:e>
          <m:sub>
            <m:r>
              <w:rPr>
                <w:rFonts w:ascii="Cambria Math" w:hAnsi="Cambria Math"/>
              </w:rPr>
              <m:t>i,t</m:t>
            </m:r>
          </m:sub>
        </m:sSub>
      </m:oMath>
      <w:r w:rsidR="00695776">
        <w:rPr>
          <w:rFonts w:eastAsiaTheme="minorEastAsia"/>
        </w:rPr>
        <w:t xml:space="preserve"> is</w:t>
      </w:r>
      <w:r w:rsidR="00CC0FAD">
        <w:rPr>
          <w:rFonts w:eastAsiaTheme="minorEastAsia"/>
        </w:rPr>
        <w:t xml:space="preserve"> pre-tax income</w:t>
      </w:r>
      <w:r w:rsidR="00A51701">
        <w:rPr>
          <w:rFonts w:eastAsiaTheme="minorEastAsia"/>
        </w:rPr>
        <w:t xml:space="preserve"> of firm </w:t>
      </w:r>
      <w:proofErr w:type="spellStart"/>
      <w:r w:rsidR="00A51701">
        <w:rPr>
          <w:rFonts w:eastAsiaTheme="minorEastAsia"/>
        </w:rPr>
        <w:t>i</w:t>
      </w:r>
      <w:proofErr w:type="spellEnd"/>
      <w:r w:rsidR="00A51701">
        <w:rPr>
          <w:rFonts w:eastAsiaTheme="minorEastAsia"/>
        </w:rPr>
        <w:t xml:space="preserve"> in year t</w:t>
      </w:r>
      <w:r w:rsidR="00695776">
        <w:rPr>
          <w:rFonts w:eastAsiaTheme="minorEastAsia"/>
        </w:rPr>
        <w:t xml:space="preserve">; </w:t>
      </w:r>
      <m:oMath>
        <m:sSub>
          <m:sSubPr>
            <m:ctrlPr>
              <w:rPr>
                <w:rFonts w:ascii="Cambria Math" w:hAnsi="Cambria Math"/>
                <w:i/>
              </w:rPr>
            </m:ctrlPr>
          </m:sSubPr>
          <m:e>
            <m:r>
              <w:rPr>
                <w:rFonts w:ascii="Cambria Math" w:hAnsi="Cambria Math"/>
              </w:rPr>
              <m:t>XINT</m:t>
            </m:r>
          </m:e>
          <m:sub>
            <m:r>
              <w:rPr>
                <w:rFonts w:ascii="Cambria Math" w:hAnsi="Cambria Math"/>
              </w:rPr>
              <m:t>i,t</m:t>
            </m:r>
          </m:sub>
        </m:sSub>
      </m:oMath>
      <w:r w:rsidR="00695776">
        <w:rPr>
          <w:rFonts w:eastAsiaTheme="minorEastAsia"/>
        </w:rPr>
        <w:t xml:space="preserve"> is interest and related expense of firm </w:t>
      </w:r>
      <w:proofErr w:type="spellStart"/>
      <w:r w:rsidR="00CC0FAD">
        <w:rPr>
          <w:rFonts w:eastAsiaTheme="minorEastAsia"/>
        </w:rPr>
        <w:t>i</w:t>
      </w:r>
      <w:proofErr w:type="spellEnd"/>
      <w:r w:rsidR="00A51701">
        <w:rPr>
          <w:rFonts w:eastAsiaTheme="minorEastAsia"/>
        </w:rPr>
        <w:t xml:space="preserve"> in year t</w:t>
      </w:r>
      <w:r w:rsidR="00695776">
        <w:rPr>
          <w:rFonts w:eastAsiaTheme="minorEastAsia"/>
        </w:rPr>
        <w:t xml:space="preserve">; </w:t>
      </w:r>
      <m:oMath>
        <m:sSub>
          <m:sSubPr>
            <m:ctrlPr>
              <w:rPr>
                <w:rFonts w:ascii="Cambria Math" w:hAnsi="Cambria Math"/>
                <w:i/>
              </w:rPr>
            </m:ctrlPr>
          </m:sSubPr>
          <m:e>
            <m:r>
              <w:rPr>
                <w:rFonts w:ascii="Cambria Math" w:hAnsi="Cambria Math"/>
              </w:rPr>
              <m:t>CSHO</m:t>
            </m:r>
          </m:e>
          <m:sub>
            <m:r>
              <w:rPr>
                <w:rFonts w:ascii="Cambria Math" w:hAnsi="Cambria Math"/>
              </w:rPr>
              <m:t>i, t</m:t>
            </m:r>
          </m:sub>
        </m:sSub>
      </m:oMath>
      <w:r w:rsidR="00695776">
        <w:rPr>
          <w:rFonts w:eastAsiaTheme="minorEastAsia"/>
        </w:rPr>
        <w:t xml:space="preserve"> is the n</w:t>
      </w:r>
      <w:proofErr w:type="spellStart"/>
      <w:r w:rsidR="00CC0FAD">
        <w:rPr>
          <w:rFonts w:eastAsiaTheme="minorEastAsia"/>
        </w:rPr>
        <w:t>umber</w:t>
      </w:r>
      <w:proofErr w:type="spellEnd"/>
      <w:r w:rsidR="00CC0FAD">
        <w:rPr>
          <w:rFonts w:eastAsiaTheme="minorEastAsia"/>
        </w:rPr>
        <w:t xml:space="preserve"> of common shares o</w:t>
      </w:r>
      <w:r w:rsidR="00A51701">
        <w:rPr>
          <w:rFonts w:eastAsiaTheme="minorEastAsia"/>
        </w:rPr>
        <w:t xml:space="preserve">utstanding of firm </w:t>
      </w:r>
      <w:proofErr w:type="spellStart"/>
      <w:r w:rsidR="00A51701">
        <w:rPr>
          <w:rFonts w:eastAsiaTheme="minorEastAsia"/>
        </w:rPr>
        <w:t>i</w:t>
      </w:r>
      <w:proofErr w:type="spellEnd"/>
      <w:r w:rsidR="00A51701">
        <w:rPr>
          <w:rFonts w:eastAsiaTheme="minorEastAsia"/>
        </w:rPr>
        <w:t xml:space="preserve"> in year t</w:t>
      </w:r>
      <w:r w:rsidR="00CC0FAD">
        <w:rPr>
          <w:rFonts w:eastAsiaTheme="minorEastAsia"/>
        </w:rPr>
        <w:t xml:space="preserve">; </w:t>
      </w:r>
      <m:oMath>
        <m:sSub>
          <m:sSubPr>
            <m:ctrlPr>
              <w:rPr>
                <w:rFonts w:ascii="Cambria Math" w:hAnsi="Cambria Math"/>
                <w:i/>
              </w:rPr>
            </m:ctrlPr>
          </m:sSubPr>
          <m:e>
            <m:r>
              <w:rPr>
                <w:rFonts w:ascii="Cambria Math" w:hAnsi="Cambria Math"/>
              </w:rPr>
              <m:t>PRCC_F</m:t>
            </m:r>
          </m:e>
          <m:sub>
            <m:r>
              <w:rPr>
                <w:rFonts w:ascii="Cambria Math" w:hAnsi="Cambria Math"/>
              </w:rPr>
              <m:t>i,t</m:t>
            </m:r>
          </m:sub>
        </m:sSub>
      </m:oMath>
      <w:r w:rsidR="00CC0FAD">
        <w:rPr>
          <w:rFonts w:eastAsiaTheme="minorEastAsia"/>
        </w:rPr>
        <w:t xml:space="preserve"> is annual clo</w:t>
      </w:r>
      <w:r w:rsidR="00A51701">
        <w:rPr>
          <w:rFonts w:eastAsiaTheme="minorEastAsia"/>
        </w:rPr>
        <w:t xml:space="preserve">sing price of firm </w:t>
      </w:r>
      <w:proofErr w:type="spellStart"/>
      <w:r w:rsidR="00A51701">
        <w:rPr>
          <w:rFonts w:eastAsiaTheme="minorEastAsia"/>
        </w:rPr>
        <w:t>i</w:t>
      </w:r>
      <w:proofErr w:type="spellEnd"/>
      <w:r w:rsidR="00A51701">
        <w:rPr>
          <w:rFonts w:eastAsiaTheme="minorEastAsia"/>
        </w:rPr>
        <w:t xml:space="preserve"> in year t</w:t>
      </w:r>
      <w:r w:rsidR="00CC0FAD">
        <w:rPr>
          <w:rFonts w:eastAsiaTheme="minorEastAsia"/>
        </w:rPr>
        <w:t xml:space="preserve">; </w:t>
      </w:r>
      <m:oMath>
        <m:sSub>
          <m:sSubPr>
            <m:ctrlPr>
              <w:rPr>
                <w:rFonts w:ascii="Cambria Math" w:hAnsi="Cambria Math"/>
                <w:i/>
              </w:rPr>
            </m:ctrlPr>
          </m:sSubPr>
          <m:e>
            <m:r>
              <w:rPr>
                <w:rFonts w:ascii="Cambria Math" w:hAnsi="Cambria Math"/>
              </w:rPr>
              <m:t>Sale</m:t>
            </m:r>
          </m:e>
          <m:sub>
            <m:r>
              <w:rPr>
                <w:rFonts w:ascii="Cambria Math" w:hAnsi="Cambria Math"/>
              </w:rPr>
              <m:t>i,t</m:t>
            </m:r>
          </m:sub>
        </m:sSub>
      </m:oMath>
      <w:r w:rsidR="00CC0FAD">
        <w:rPr>
          <w:rFonts w:eastAsiaTheme="minorEastAsia"/>
        </w:rPr>
        <w:t xml:space="preserve"> is sales</w:t>
      </w:r>
      <w:r w:rsidR="00CC0FAD" w:rsidRPr="00CC0FAD">
        <w:rPr>
          <w:rFonts w:eastAsiaTheme="minorEastAsia"/>
        </w:rPr>
        <w:t xml:space="preserve"> </w:t>
      </w:r>
      <w:r w:rsidR="00A51701">
        <w:rPr>
          <w:rFonts w:eastAsiaTheme="minorEastAsia"/>
        </w:rPr>
        <w:t xml:space="preserve">of firm </w:t>
      </w:r>
      <w:proofErr w:type="spellStart"/>
      <w:r w:rsidR="00A51701">
        <w:rPr>
          <w:rFonts w:eastAsiaTheme="minorEastAsia"/>
        </w:rPr>
        <w:t>i</w:t>
      </w:r>
      <w:proofErr w:type="spellEnd"/>
      <w:r w:rsidR="00A51701">
        <w:rPr>
          <w:rFonts w:eastAsiaTheme="minorEastAsia"/>
        </w:rPr>
        <w:t xml:space="preserve"> in year t</w:t>
      </w:r>
      <w:r w:rsidR="00CC0FAD">
        <w:rPr>
          <w:rFonts w:eastAsiaTheme="minorEastAsia"/>
        </w:rPr>
        <w:t xml:space="preserve">; </w:t>
      </w:r>
      <m:oMath>
        <m:sSub>
          <m:sSubPr>
            <m:ctrlPr>
              <w:rPr>
                <w:rFonts w:ascii="Cambria Math" w:hAnsi="Cambria Math"/>
                <w:i/>
              </w:rPr>
            </m:ctrlPr>
          </m:sSubPr>
          <m:e>
            <m:r>
              <w:rPr>
                <w:rFonts w:ascii="Cambria Math" w:hAnsi="Cambria Math"/>
              </w:rPr>
              <m:t>AT</m:t>
            </m:r>
          </m:e>
          <m:sub>
            <m:r>
              <w:rPr>
                <w:rFonts w:ascii="Cambria Math" w:hAnsi="Cambria Math"/>
              </w:rPr>
              <m:t>i,t</m:t>
            </m:r>
          </m:sub>
        </m:sSub>
      </m:oMath>
      <w:r w:rsidR="00CC0FAD">
        <w:rPr>
          <w:rFonts w:eastAsiaTheme="minorEastAsia"/>
        </w:rPr>
        <w:t xml:space="preserve"> is total assets</w:t>
      </w:r>
      <w:r w:rsidR="00CC0FAD" w:rsidRPr="00CC0FAD">
        <w:rPr>
          <w:rFonts w:eastAsiaTheme="minorEastAsia"/>
        </w:rPr>
        <w:t xml:space="preserve"> </w:t>
      </w:r>
      <w:r w:rsidR="00A51701">
        <w:rPr>
          <w:rFonts w:eastAsiaTheme="minorEastAsia"/>
        </w:rPr>
        <w:t xml:space="preserve">of firm </w:t>
      </w:r>
      <w:proofErr w:type="spellStart"/>
      <w:r w:rsidR="00A51701">
        <w:rPr>
          <w:rFonts w:eastAsiaTheme="minorEastAsia"/>
        </w:rPr>
        <w:t>i</w:t>
      </w:r>
      <w:proofErr w:type="spellEnd"/>
      <w:r w:rsidR="00A51701">
        <w:rPr>
          <w:rFonts w:eastAsiaTheme="minorEastAsia"/>
        </w:rPr>
        <w:t xml:space="preserve"> in year t</w:t>
      </w:r>
      <w:r w:rsidR="00CC0FAD">
        <w:rPr>
          <w:rFonts w:eastAsiaTheme="minorEastAsia"/>
        </w:rPr>
        <w:t xml:space="preserve"> and </w:t>
      </w:r>
      <m:oMath>
        <m:sSub>
          <m:sSubPr>
            <m:ctrlPr>
              <w:rPr>
                <w:rFonts w:ascii="Cambria Math" w:hAnsi="Cambria Math"/>
                <w:i/>
              </w:rPr>
            </m:ctrlPr>
          </m:sSubPr>
          <m:e>
            <m:r>
              <w:rPr>
                <w:rFonts w:ascii="Cambria Math" w:hAnsi="Cambria Math"/>
              </w:rPr>
              <m:t>LT</m:t>
            </m:r>
          </m:e>
          <m:sub>
            <m:r>
              <w:rPr>
                <w:rFonts w:ascii="Cambria Math" w:hAnsi="Cambria Math"/>
              </w:rPr>
              <m:t>i,t</m:t>
            </m:r>
          </m:sub>
        </m:sSub>
      </m:oMath>
      <w:r w:rsidR="00CC0FAD">
        <w:rPr>
          <w:rFonts w:eastAsiaTheme="minorEastAsia"/>
        </w:rPr>
        <w:t xml:space="preserve"> is total liabilities</w:t>
      </w:r>
      <w:r w:rsidR="00CC0FAD" w:rsidRPr="00CC0FAD">
        <w:rPr>
          <w:rFonts w:eastAsiaTheme="minorEastAsia"/>
        </w:rPr>
        <w:t xml:space="preserve"> </w:t>
      </w:r>
      <w:r w:rsidR="00A51701">
        <w:rPr>
          <w:rFonts w:eastAsiaTheme="minorEastAsia"/>
        </w:rPr>
        <w:t xml:space="preserve">of firm </w:t>
      </w:r>
      <w:proofErr w:type="spellStart"/>
      <w:r w:rsidR="00A51701">
        <w:rPr>
          <w:rFonts w:eastAsiaTheme="minorEastAsia"/>
        </w:rPr>
        <w:t>i</w:t>
      </w:r>
      <w:proofErr w:type="spellEnd"/>
      <w:r w:rsidR="00A51701">
        <w:rPr>
          <w:rFonts w:eastAsiaTheme="minorEastAsia"/>
        </w:rPr>
        <w:t xml:space="preserve"> in year t</w:t>
      </w:r>
      <w:r w:rsidR="00CC0FAD">
        <w:rPr>
          <w:rFonts w:eastAsiaTheme="minorEastAsia"/>
        </w:rPr>
        <w:t>.</w:t>
      </w:r>
      <w:r w:rsidR="00D9356B">
        <w:rPr>
          <w:rFonts w:eastAsiaTheme="minorEastAsia"/>
        </w:rPr>
        <w:t xml:space="preserve"> </w:t>
      </w:r>
      <w:r w:rsidR="007A53DE">
        <w:t xml:space="preserve">A </w:t>
      </w:r>
      <w:proofErr w:type="spellStart"/>
      <w:r w:rsidR="00B90319">
        <w:t>Zscore</w:t>
      </w:r>
      <w:proofErr w:type="spellEnd"/>
      <w:r w:rsidR="00CC0FAD" w:rsidRPr="00CC0FAD">
        <w:t xml:space="preserve"> of </w:t>
      </w:r>
      <w:r w:rsidR="00CC0FAD">
        <w:t xml:space="preserve">higher </w:t>
      </w:r>
      <w:r w:rsidR="00CC0FAD" w:rsidRPr="00CC0FAD">
        <w:t xml:space="preserve">than 2.99 </w:t>
      </w:r>
      <w:r w:rsidR="00CC0FAD">
        <w:t xml:space="preserve">indicates </w:t>
      </w:r>
      <w:r w:rsidR="00CC0FAD" w:rsidRPr="00CC0FAD">
        <w:t xml:space="preserve">that the </w:t>
      </w:r>
      <w:r w:rsidR="00CC0FAD">
        <w:t>IPO firm</w:t>
      </w:r>
      <w:r w:rsidR="00CC0FAD" w:rsidRPr="00CC0FAD">
        <w:t xml:space="preserve"> </w:t>
      </w:r>
      <w:r w:rsidR="007A53DE">
        <w:t>has a low risk of</w:t>
      </w:r>
      <w:r w:rsidR="00CC0FAD">
        <w:t xml:space="preserve"> bankruptcy. A score of lower</w:t>
      </w:r>
      <w:r w:rsidR="00CC0FAD" w:rsidRPr="00CC0FAD">
        <w:t xml:space="preserve"> than 1.81 </w:t>
      </w:r>
      <w:r w:rsidR="00CC0FAD">
        <w:t>indicates</w:t>
      </w:r>
      <w:r w:rsidR="00CC0FAD" w:rsidRPr="00CC0FAD">
        <w:t xml:space="preserve"> that </w:t>
      </w:r>
      <w:r w:rsidR="00CC0FAD">
        <w:t>the IPO firm</w:t>
      </w:r>
      <w:r w:rsidR="00CC0FAD" w:rsidRPr="00CC0FAD">
        <w:t xml:space="preserve"> </w:t>
      </w:r>
      <w:r w:rsidR="00CC0FAD">
        <w:t>is having financial distress</w:t>
      </w:r>
      <w:r w:rsidR="00CC0FAD" w:rsidRPr="00CC0FAD">
        <w:t xml:space="preserve"> </w:t>
      </w:r>
      <w:r w:rsidR="00CC0FAD">
        <w:t xml:space="preserve">and </w:t>
      </w:r>
      <w:r w:rsidR="007A53DE">
        <w:t>is likely to go i</w:t>
      </w:r>
      <w:r w:rsidR="00CC0FAD" w:rsidRPr="00CC0FAD">
        <w:t>nto bankruptcy, while scores in between</w:t>
      </w:r>
      <w:r w:rsidR="0037054E">
        <w:t xml:space="preserve"> 2.99 and 1.81</w:t>
      </w:r>
      <w:r w:rsidR="00CC0FAD" w:rsidRPr="00CC0FAD">
        <w:t xml:space="preserve"> </w:t>
      </w:r>
      <w:r w:rsidR="0037054E">
        <w:t>indicate a very first signal</w:t>
      </w:r>
      <w:r w:rsidR="00CC0FAD" w:rsidRPr="00CC0FAD">
        <w:t xml:space="preserve"> for possible </w:t>
      </w:r>
      <w:r w:rsidR="00872CDC">
        <w:t xml:space="preserve">bankruptcy </w:t>
      </w:r>
      <w:r w:rsidR="00872CDC">
        <w:fldChar w:fldCharType="begin" w:fldLock="1"/>
      </w:r>
      <w:r w:rsidR="00A611DF">
        <w:instrText>ADDIN CSL_CITATION {"citationItems":[{"id":"ITEM-1","itemData":{"author":[{"dropping-particle":"","family":"Altman","given":"E. I.","non-dropping-particle":"","parse-names":false,"suffix":""}],"container-title":"The Journal of Finance","id":"ITEM-1","issue":"4","issued":{"date-parts":[["1968"]]},"page":"589-609","title":"Financial Ratios, Discriminant Analysis and the Prediction of Corporate Bankruptcy","type":"article-journal","volume":"23"},"uris":["http://www.mendeley.com/documents/?uuid=617de7f7-da58-4281-8201-d3d00c9d2b69"]}],"mendeley":{"formattedCitation":"(Altman, 1968)","plainTextFormattedCitation":"(Altman, 1968)","previouslyFormattedCitation":"(Altman, 1968)"},"properties":{"noteIndex":0},"schema":"https://github.com/citation-style-language/schema/raw/master/csl-citation.json"}</w:instrText>
      </w:r>
      <w:r w:rsidR="00872CDC">
        <w:fldChar w:fldCharType="separate"/>
      </w:r>
      <w:r w:rsidR="00872CDC" w:rsidRPr="00872CDC">
        <w:rPr>
          <w:noProof/>
        </w:rPr>
        <w:t>(Altman, 1968)</w:t>
      </w:r>
      <w:r w:rsidR="00872CDC">
        <w:fldChar w:fldCharType="end"/>
      </w:r>
      <w:r w:rsidR="0037054E">
        <w:t>.</w:t>
      </w:r>
      <w:r w:rsidR="00500A01">
        <w:t xml:space="preserve"> </w:t>
      </w:r>
      <w:r w:rsidR="007A53DE">
        <w:t>Firms</w:t>
      </w:r>
      <w:r w:rsidR="00500A01">
        <w:t xml:space="preserve"> with financial distress are more likely to be noncompliant with GAAP </w:t>
      </w:r>
      <w:r w:rsidR="00A15E16">
        <w:fldChar w:fldCharType="begin" w:fldLock="1"/>
      </w:r>
      <w:r w:rsidR="00A611DF">
        <w:instrText>ADDIN CSL_CITATION {"citationItems":[{"id":"ITEM-1","itemData":{"DOI":"10.1111/j.1475-679X.2009.00349.x","ISSN":"00218456","abstract":"This study examines whether auditors can effectively use nonfinancial measures to assess the reasonableness of financial performance and, thereby, help detect financial statement fraud (hereafter, fraud). If auditors or other interested parties (e.g., directors, lenders, investors, or regulators) can identify nonfinancial measures (e.g., facilities growth) that are correlated with financial measures (e.g., revenue growth), inconsistent patterns between the nonfinancial and financial measures can be used to detect firms with high fraud risk. We find that the difference between financial and nonfinancial performance is significantly greater for firms that committed fraud than for their non-fraud competitors. We also find that this difference is a significant fraud indicator when included in a model containing variables that have previously been linked to the likelihood of fraud. Overall, our results provide empirical evidence suggesting that nonfinancial measures can be effectively used to assess the likelihood of fraud.","author":[{"dropping-particle":"","family":"Brazel","given":"J. F.","non-dropping-particle":"","parse-names":false,"suffix":""},{"dropping-particle":"","family":"Jones","given":"K. L.","non-dropping-particle":"","parse-names":false,"suffix":""},{"dropping-particle":"","family":"Zimbelman","given":"M. F.","non-dropping-particle":"","parse-names":false,"suffix":""}],"container-title":"Journal of Accounting Research","id":"ITEM-1","issue":"5","issued":{"date-parts":[["2009"]]},"page":"1135-1166","title":"Using nonfinancial measures to assess fraud risk","type":"article-journal","volume":"47"},"uris":["http://www.mendeley.com/documents/?uuid=c556d2f6-b043-464e-be3a-23c0329103c1"]},{"id":"ITEM-2","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Research","id":"ITEM-2","issue":"1","issued":{"date-parts":[["1996"]]},"page":"1-36","title":"Causes and Consequences of Earnings Manipulation: An Analysis of Firms Subject to Enforcement Actions by the SEC","type":"article-journal","volume":"13"},"uris":["http://www.mendeley.com/documents/?uuid=b0b870c6-2960-4888-a546-9bdb2ec59a54"]}],"mendeley":{"formattedCitation":"(Brazel, Jones, &amp; Zimbelman, 2009; Dechow, Sloan, &amp; Sweeney, 1996)","manualFormatting":"( Dechow et al., 1996; Brazel et al., 2009)","plainTextFormattedCitation":"(Brazel, Jones, &amp; Zimbelman, 2009; Dechow, Sloan, &amp; Sweeney, 1996)","previouslyFormattedCitation":"(Brazel, Jones, &amp; Zimbelman, 2009; Dechow, Sloan, &amp; Sweeney, 1996)"},"properties":{"noteIndex":0},"schema":"https://github.com/citation-style-language/schema/raw/master/csl-citation.json"}</w:instrText>
      </w:r>
      <w:r w:rsidR="00A15E16">
        <w:fldChar w:fldCharType="separate"/>
      </w:r>
      <w:r w:rsidR="00FF5EFB">
        <w:rPr>
          <w:noProof/>
        </w:rPr>
        <w:t>(</w:t>
      </w:r>
      <w:r w:rsidR="00FF5EFB" w:rsidRPr="00FF5EFB">
        <w:rPr>
          <w:noProof/>
        </w:rPr>
        <w:t xml:space="preserve"> </w:t>
      </w:r>
      <w:r w:rsidR="00FF5EFB">
        <w:rPr>
          <w:noProof/>
        </w:rPr>
        <w:t>Dechow et al.</w:t>
      </w:r>
      <w:r w:rsidR="00FF5EFB" w:rsidRPr="00A15E16">
        <w:rPr>
          <w:noProof/>
        </w:rPr>
        <w:t>, 1996</w:t>
      </w:r>
      <w:r w:rsidR="00FF5EFB">
        <w:rPr>
          <w:noProof/>
        </w:rPr>
        <w:t>; Brazel et al., 2009</w:t>
      </w:r>
      <w:r w:rsidR="00A15E16" w:rsidRPr="00A15E16">
        <w:rPr>
          <w:noProof/>
        </w:rPr>
        <w:t>)</w:t>
      </w:r>
      <w:r w:rsidR="00A15E16">
        <w:fldChar w:fldCharType="end"/>
      </w:r>
      <w:r w:rsidR="00A15E16">
        <w:t xml:space="preserve">, hence, the SEC review could be more intense for these firms </w:t>
      </w:r>
      <w:r w:rsidR="00A15E16">
        <w:fldChar w:fldCharType="begin" w:fldLock="1"/>
      </w:r>
      <w:r w:rsidR="00A611DF">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rsidR="00A15E16">
        <w:fldChar w:fldCharType="separate"/>
      </w:r>
      <w:r w:rsidR="00A15E16" w:rsidRPr="00A15E16">
        <w:rPr>
          <w:noProof/>
        </w:rPr>
        <w:t>(Heese et al., 2017)</w:t>
      </w:r>
      <w:r w:rsidR="00A15E16">
        <w:fldChar w:fldCharType="end"/>
      </w:r>
      <w:r w:rsidR="00A15E16">
        <w:t xml:space="preserve">. </w:t>
      </w:r>
      <w:r w:rsidR="00500A01">
        <w:t>Therefore,</w:t>
      </w:r>
      <w:r w:rsidR="00D9356B">
        <w:rPr>
          <w:rFonts w:eastAsiaTheme="minorEastAsia"/>
        </w:rPr>
        <w:t xml:space="preserve"> </w:t>
      </w:r>
      <w:r w:rsidR="00677F9F">
        <w:rPr>
          <w:rFonts w:eastAsiaTheme="minorEastAsia"/>
        </w:rPr>
        <w:t xml:space="preserve">I expect that the relationship between </w:t>
      </w:r>
      <w:proofErr w:type="spellStart"/>
      <w:r w:rsidR="00B90319">
        <w:rPr>
          <w:rFonts w:eastAsiaTheme="minorEastAsia"/>
          <w:i/>
        </w:rPr>
        <w:t>Zscore</w:t>
      </w:r>
      <w:proofErr w:type="spellEnd"/>
      <w:r w:rsidR="00677F9F">
        <w:rPr>
          <w:rFonts w:eastAsiaTheme="minorEastAsia"/>
          <w:i/>
        </w:rPr>
        <w:t xml:space="preserve"> </w:t>
      </w:r>
      <w:r w:rsidR="00677F9F">
        <w:rPr>
          <w:rFonts w:eastAsiaTheme="minorEastAsia"/>
        </w:rPr>
        <w:t>and the SEC review attributes is negative</w:t>
      </w:r>
      <w:r w:rsidR="00500A01">
        <w:rPr>
          <w:rFonts w:eastAsiaTheme="minorEastAsia"/>
        </w:rPr>
        <w:t xml:space="preserve">, suggesting that the firm with higher level of financial distress will attract more the SEC review attributes. This expectation is also </w:t>
      </w:r>
      <w:r w:rsidR="00C728A9">
        <w:rPr>
          <w:rFonts w:eastAsiaTheme="minorEastAsia"/>
        </w:rPr>
        <w:t>derived from</w:t>
      </w:r>
      <w:r w:rsidR="00500A01">
        <w:rPr>
          <w:rFonts w:eastAsiaTheme="minorEastAsia"/>
        </w:rPr>
        <w:t xml:space="preserve"> the assumption of public interest theory. </w:t>
      </w:r>
    </w:p>
    <w:p w14:paraId="1C02C083" w14:textId="1D136634" w:rsidR="0037054E" w:rsidRPr="00D9356B" w:rsidRDefault="0037054E" w:rsidP="00F374EF">
      <w:pPr>
        <w:pStyle w:val="ListParagraph"/>
        <w:spacing w:line="360" w:lineRule="auto"/>
        <w:ind w:left="0" w:firstLine="720"/>
        <w:jc w:val="both"/>
        <w:rPr>
          <w:rFonts w:eastAsiaTheme="minorEastAsia"/>
        </w:rPr>
      </w:pPr>
      <w:r>
        <w:t xml:space="preserve">As for </w:t>
      </w:r>
      <w:r>
        <w:rPr>
          <w:i/>
        </w:rPr>
        <w:t xml:space="preserve">Positive earnings </w:t>
      </w:r>
      <w:r>
        <w:t>which is an indicator of the IPO firms’ profit</w:t>
      </w:r>
      <w:r w:rsidR="001956F0">
        <w:t>ability</w:t>
      </w:r>
      <w:r>
        <w:t xml:space="preserve">, I construct this proxy as an indicator variable which </w:t>
      </w:r>
      <w:r w:rsidRPr="0037054E">
        <w:t>equals to 1 if f</w:t>
      </w:r>
      <w:r w:rsidR="00A51701">
        <w:t xml:space="preserve">irm </w:t>
      </w:r>
      <w:proofErr w:type="spellStart"/>
      <w:r w:rsidR="00A51701">
        <w:t>i</w:t>
      </w:r>
      <w:proofErr w:type="spellEnd"/>
      <w:r w:rsidR="00A51701">
        <w:t xml:space="preserve"> has net income in year </w:t>
      </w:r>
      <w:proofErr w:type="spellStart"/>
      <w:r w:rsidR="00A51701">
        <w:t>t</w:t>
      </w:r>
      <w:proofErr w:type="spellEnd"/>
      <w:r w:rsidRPr="0037054E">
        <w:t xml:space="preserve"> equal or higher than zero (Hesse et al., 2017)</w:t>
      </w:r>
      <w:r w:rsidR="00A15E16">
        <w:t xml:space="preserve">. </w:t>
      </w:r>
      <w:r w:rsidR="007A53DE">
        <w:t>Mixed</w:t>
      </w:r>
      <w:r w:rsidR="00C909C3">
        <w:t xml:space="preserve"> expectation on the relationship between </w:t>
      </w:r>
      <w:r w:rsidR="00C909C3">
        <w:rPr>
          <w:i/>
        </w:rPr>
        <w:t xml:space="preserve">Positive earnings </w:t>
      </w:r>
      <w:r w:rsidR="00C909C3">
        <w:t xml:space="preserve">and the SEC review attributes. </w:t>
      </w:r>
      <w:r w:rsidR="00CB3B3A">
        <w:t>In terms of</w:t>
      </w:r>
      <w:r w:rsidR="00C909C3">
        <w:t xml:space="preserve"> earnings quality, this relationship is claimed </w:t>
      </w:r>
      <w:r w:rsidR="00C909C3">
        <w:lastRenderedPageBreak/>
        <w:t xml:space="preserve">to be positive since the firm may mislead the accounting information by reporting positive earnings to attract investors in the IPO year </w:t>
      </w:r>
      <w:r w:rsidR="00C909C3">
        <w:fldChar w:fldCharType="begin" w:fldLock="1"/>
      </w:r>
      <w:r w:rsidR="00A611DF">
        <w:instrText>ADDIN CSL_CITATION {"citationItems":[{"id":"ITEM-1","itemData":{"ISBN":"1540-6261","ISSN":"00221082","PMID":"1311802","abstract":"Issuers of initial public offerings (IPOs) can report earnings in excess of cash flows by taking positive accruals. This paper provides evidence that issuers with unusu- ally high accruals in the IPO year experience poor stock return performance in the three years thereafter. IPO issuers in the most “aggressive” quartile of earnings managers have a three-year aftermarket stock return of approximately 20 percent less than IPO issuers in the most “conservative” quartile. They also issue about 20 percent fewer seasoned equity offerings. These differences are statistically and economically significant in a variety of specifications.","author":[{"dropping-particle":"","family":"Teoh","given":"Siew Hong","non-dropping-particle":"","parse-names":false,"suffix":""},{"dropping-particle":"","family":"Welch","given":"Ivo","non-dropping-particle":"","parse-names":false,"suffix":""},{"dropping-particle":"","family":"Wong","given":"T.J.","non-dropping-particle":"","parse-names":false,"suffix":""}],"container-title":"The Journal of Finance","id":"ITEM-1","issue":"6","issued":{"date-parts":[["1998"]]},"note":"4*","page":"1935-1974","title":"Earnings Management and the Long-Run Market Performance of Initial Public Offerings","type":"article-journal","volume":"53"},"uris":["http://www.mendeley.com/documents/?uuid=df119c60-80fa-4e3c-9236-cb84a3060fd4"]}],"mendeley":{"formattedCitation":"(Teoh, Welch, &amp; Wong, 1998)","manualFormatting":"(Teoh et al., 1998)","plainTextFormattedCitation":"(Teoh, Welch, &amp; Wong, 1998)","previouslyFormattedCitation":"(Teoh, Welch, &amp; Wong, 1998)"},"properties":{"noteIndex":0},"schema":"https://github.com/citation-style-language/schema/raw/master/csl-citation.json"}</w:instrText>
      </w:r>
      <w:r w:rsidR="00C909C3">
        <w:fldChar w:fldCharType="separate"/>
      </w:r>
      <w:r w:rsidR="00C909C3" w:rsidRPr="00C909C3">
        <w:rPr>
          <w:noProof/>
        </w:rPr>
        <w:t>(</w:t>
      </w:r>
      <w:r w:rsidR="00C909C3">
        <w:rPr>
          <w:noProof/>
        </w:rPr>
        <w:t>Teoh et al.</w:t>
      </w:r>
      <w:r w:rsidR="00C909C3" w:rsidRPr="00C909C3">
        <w:rPr>
          <w:noProof/>
        </w:rPr>
        <w:t>, 1998)</w:t>
      </w:r>
      <w:r w:rsidR="00C909C3">
        <w:fldChar w:fldCharType="end"/>
      </w:r>
      <w:r w:rsidR="00C909C3">
        <w:t>, suggesting that the SEC review could be more intense for these firms</w:t>
      </w:r>
      <w:r w:rsidR="004E2AE9">
        <w:t xml:space="preserve">. </w:t>
      </w:r>
      <w:r w:rsidR="00C909C3">
        <w:t xml:space="preserve">However, </w:t>
      </w:r>
      <w:r w:rsidR="00CB3B3A">
        <w:t>in terms of</w:t>
      </w:r>
      <w:r w:rsidR="00C909C3">
        <w:t xml:space="preserve"> profitability, the loss-making firms are more likely to receive the SEC comment letters </w:t>
      </w:r>
      <w:r w:rsidR="00C909C3">
        <w:fldChar w:fldCharType="begin" w:fldLock="1"/>
      </w:r>
      <w:r w:rsidR="00A611DF">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rsidR="00C909C3">
        <w:fldChar w:fldCharType="separate"/>
      </w:r>
      <w:r w:rsidR="00C909C3" w:rsidRPr="00A15E16">
        <w:rPr>
          <w:noProof/>
        </w:rPr>
        <w:t>(Heese et al., 2017)</w:t>
      </w:r>
      <w:r w:rsidR="00C909C3">
        <w:fldChar w:fldCharType="end"/>
      </w:r>
      <w:r w:rsidR="00C909C3">
        <w:t xml:space="preserve">. </w:t>
      </w:r>
      <w:r w:rsidR="004E2AE9">
        <w:t>These expectations are both in accordance with the assumption of public interest theory.</w:t>
      </w:r>
    </w:p>
    <w:p w14:paraId="4E7D0473" w14:textId="39F82DFF" w:rsidR="001956F0" w:rsidRDefault="00D9356B" w:rsidP="0030659B">
      <w:pPr>
        <w:pStyle w:val="ListParagraph"/>
        <w:spacing w:line="360" w:lineRule="auto"/>
        <w:ind w:left="0"/>
        <w:jc w:val="both"/>
      </w:pPr>
      <w:r>
        <w:t xml:space="preserve">Regarding </w:t>
      </w:r>
      <w:r>
        <w:rPr>
          <w:lang w:eastAsia="en-US"/>
        </w:rPr>
        <w:t xml:space="preserve">management’s plan to issue new equity or </w:t>
      </w:r>
      <w:r w:rsidR="007A53DE">
        <w:rPr>
          <w:lang w:eastAsia="en-US"/>
        </w:rPr>
        <w:t>securities</w:t>
      </w:r>
      <w:r>
        <w:rPr>
          <w:lang w:eastAsia="en-US"/>
        </w:rPr>
        <w:t xml:space="preserve"> debt, </w:t>
      </w:r>
      <w:r w:rsidR="001956F0">
        <w:t xml:space="preserve">I measure </w:t>
      </w:r>
      <w:r w:rsidR="001956F0">
        <w:rPr>
          <w:i/>
        </w:rPr>
        <w:t>External financing</w:t>
      </w:r>
      <w:r w:rsidR="001956F0">
        <w:t xml:space="preserve">, which is an indicator of the IPO firm’s funding activities via new borrowing and stock issue, </w:t>
      </w:r>
      <w:r w:rsidR="005F7D71">
        <w:t>by using the following equation</w:t>
      </w:r>
    </w:p>
    <w:p w14:paraId="5393F768" w14:textId="1929E20B" w:rsidR="005F7D71" w:rsidRPr="00A861C5" w:rsidRDefault="0004133D" w:rsidP="00A861C5">
      <w:pPr>
        <w:pStyle w:val="ListParagraph"/>
        <w:spacing w:line="360" w:lineRule="auto"/>
        <w:ind w:left="0"/>
        <w:jc w:val="both"/>
        <w:rPr>
          <w:rFonts w:eastAsiaTheme="minorEastAsia"/>
        </w:rPr>
      </w:pPr>
      <m:oMathPara>
        <m:oMath>
          <m:sSub>
            <m:sSubPr>
              <m:ctrlPr>
                <w:rPr>
                  <w:rFonts w:ascii="Cambria Math" w:hAnsi="Cambria Math"/>
                  <w:i/>
                </w:rPr>
              </m:ctrlPr>
            </m:sSubPr>
            <m:e>
              <m:r>
                <w:rPr>
                  <w:rFonts w:ascii="Cambria Math" w:hAnsi="Cambria Math"/>
                </w:rPr>
                <m:t>Extfinancing</m:t>
              </m:r>
            </m:e>
            <m:sub>
              <m:r>
                <w:rPr>
                  <w:rFonts w:ascii="Cambria Math" w:hAnsi="Cambria Math"/>
                </w:rPr>
                <m:t>i,t-1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SSTK</m:t>
                  </m:r>
                </m:e>
                <m:sub>
                  <m:r>
                    <w:rPr>
                      <w:rFonts w:ascii="Cambria Math" w:hAnsi="Cambria Math"/>
                    </w:rPr>
                    <m:t>i, t</m:t>
                  </m:r>
                </m:sub>
              </m:sSub>
              <m:r>
                <w:rPr>
                  <w:rFonts w:ascii="Cambria Math" w:hAnsi="Cambria Math"/>
                </w:rPr>
                <m:t>-</m:t>
              </m:r>
              <m:sSub>
                <m:sSubPr>
                  <m:ctrlPr>
                    <w:rPr>
                      <w:rFonts w:ascii="Cambria Math" w:hAnsi="Cambria Math"/>
                      <w:i/>
                    </w:rPr>
                  </m:ctrlPr>
                </m:sSubPr>
                <m:e>
                  <m:r>
                    <w:rPr>
                      <w:rFonts w:ascii="Cambria Math" w:hAnsi="Cambria Math"/>
                    </w:rPr>
                    <m:t>PRSTKC</m:t>
                  </m:r>
                </m:e>
                <m:sub>
                  <m:r>
                    <w:rPr>
                      <w:rFonts w:ascii="Cambria Math" w:hAnsi="Cambria Math"/>
                    </w:rPr>
                    <m:t>i, t</m:t>
                  </m:r>
                </m:sub>
              </m:sSub>
              <m:r>
                <w:rPr>
                  <w:rFonts w:ascii="Cambria Math" w:hAnsi="Cambria Math"/>
                </w:rPr>
                <m:t>-</m:t>
              </m:r>
              <m:sSub>
                <m:sSubPr>
                  <m:ctrlPr>
                    <w:rPr>
                      <w:rFonts w:ascii="Cambria Math" w:hAnsi="Cambria Math"/>
                      <w:i/>
                    </w:rPr>
                  </m:ctrlPr>
                </m:sSubPr>
                <m:e>
                  <m:r>
                    <w:rPr>
                      <w:rFonts w:ascii="Cambria Math" w:hAnsi="Cambria Math"/>
                    </w:rPr>
                    <m:t>DV</m:t>
                  </m:r>
                </m:e>
                <m:sub>
                  <m:r>
                    <w:rPr>
                      <w:rFonts w:ascii="Cambria Math" w:hAnsi="Cambria Math"/>
                    </w:rPr>
                    <m:t>i, t</m:t>
                  </m:r>
                </m:sub>
              </m:sSub>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DLTIS</m:t>
                  </m:r>
                </m:e>
                <m:sub>
                  <m:r>
                    <w:rPr>
                      <w:rFonts w:ascii="Cambria Math" w:hAnsi="Cambria Math"/>
                    </w:rPr>
                    <m:t>i, t</m:t>
                  </m:r>
                </m:sub>
              </m:sSub>
              <m:r>
                <w:rPr>
                  <w:rFonts w:ascii="Cambria Math" w:hAnsi="Cambria Math"/>
                </w:rPr>
                <m:t>-</m:t>
              </m:r>
              <m:sSub>
                <m:sSubPr>
                  <m:ctrlPr>
                    <w:rPr>
                      <w:rFonts w:ascii="Cambria Math" w:hAnsi="Cambria Math"/>
                      <w:i/>
                    </w:rPr>
                  </m:ctrlPr>
                </m:sSubPr>
                <m:e>
                  <m:r>
                    <w:rPr>
                      <w:rFonts w:ascii="Cambria Math" w:hAnsi="Cambria Math"/>
                    </w:rPr>
                    <m:t>DLTR</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DLCCH</m:t>
                  </m:r>
                </m:e>
                <m:sub>
                  <m:r>
                    <w:rPr>
                      <w:rFonts w:ascii="Cambria Math" w:hAnsi="Cambria Math"/>
                    </w:rPr>
                    <m:t>i,t</m:t>
                  </m:r>
                </m:sub>
              </m:sSub>
            </m:e>
          </m:d>
          <m:r>
            <w:rPr>
              <w:rFonts w:ascii="Cambria Math" w:hAnsi="Cambria Math"/>
            </w:rPr>
            <m:t xml:space="preserve">    (2)</m:t>
          </m:r>
        </m:oMath>
      </m:oMathPara>
    </w:p>
    <w:p w14:paraId="37277F3B" w14:textId="0C1299F4" w:rsidR="005F7D71" w:rsidRDefault="005F7D71" w:rsidP="0030659B">
      <w:pPr>
        <w:pStyle w:val="ListParagraph"/>
        <w:spacing w:line="360" w:lineRule="auto"/>
        <w:ind w:left="0"/>
        <w:jc w:val="both"/>
        <w:rPr>
          <w:rFonts w:eastAsiaTheme="minorEastAsia"/>
        </w:rPr>
      </w:pPr>
      <w:r>
        <w:rPr>
          <w:rFonts w:eastAsiaTheme="minorEastAsia"/>
        </w:rPr>
        <w:t xml:space="preserve">Where: </w:t>
      </w:r>
      <m:oMath>
        <m:sSub>
          <m:sSubPr>
            <m:ctrlPr>
              <w:rPr>
                <w:rFonts w:ascii="Cambria Math" w:hAnsi="Cambria Math"/>
                <w:i/>
              </w:rPr>
            </m:ctrlPr>
          </m:sSubPr>
          <m:e>
            <m:r>
              <w:rPr>
                <w:rFonts w:ascii="Cambria Math" w:hAnsi="Cambria Math"/>
              </w:rPr>
              <m:t>SSTK</m:t>
            </m:r>
          </m:e>
          <m:sub>
            <m:r>
              <w:rPr>
                <w:rFonts w:ascii="Cambria Math" w:hAnsi="Cambria Math"/>
              </w:rPr>
              <m:t>i, t</m:t>
            </m:r>
          </m:sub>
        </m:sSub>
      </m:oMath>
      <w:r>
        <w:rPr>
          <w:rFonts w:eastAsiaTheme="minorEastAsia"/>
        </w:rPr>
        <w:t xml:space="preserve"> is sales of common and prefe</w:t>
      </w:r>
      <w:proofErr w:type="spellStart"/>
      <w:r w:rsidR="00A51701">
        <w:rPr>
          <w:rFonts w:eastAsiaTheme="minorEastAsia"/>
        </w:rPr>
        <w:t>rred</w:t>
      </w:r>
      <w:proofErr w:type="spellEnd"/>
      <w:r w:rsidR="00A51701">
        <w:rPr>
          <w:rFonts w:eastAsiaTheme="minorEastAsia"/>
        </w:rPr>
        <w:t xml:space="preserve"> stock of firm </w:t>
      </w:r>
      <w:proofErr w:type="spellStart"/>
      <w:r w:rsidR="00A51701">
        <w:rPr>
          <w:rFonts w:eastAsiaTheme="minorEastAsia"/>
        </w:rPr>
        <w:t>i</w:t>
      </w:r>
      <w:proofErr w:type="spellEnd"/>
      <w:r w:rsidR="00A51701">
        <w:rPr>
          <w:rFonts w:eastAsiaTheme="minorEastAsia"/>
        </w:rPr>
        <w:t xml:space="preserve"> in year t</w:t>
      </w:r>
      <w:r>
        <w:rPr>
          <w:rFonts w:eastAsiaTheme="minorEastAsia"/>
        </w:rPr>
        <w:t xml:space="preserve">, </w:t>
      </w:r>
      <m:oMath>
        <m:sSub>
          <m:sSubPr>
            <m:ctrlPr>
              <w:rPr>
                <w:rFonts w:ascii="Cambria Math" w:hAnsi="Cambria Math"/>
                <w:i/>
              </w:rPr>
            </m:ctrlPr>
          </m:sSubPr>
          <m:e>
            <m:r>
              <w:rPr>
                <w:rFonts w:ascii="Cambria Math" w:hAnsi="Cambria Math"/>
              </w:rPr>
              <m:t>PRSTKC</m:t>
            </m:r>
          </m:e>
          <m:sub>
            <m:r>
              <w:rPr>
                <w:rFonts w:ascii="Cambria Math" w:hAnsi="Cambria Math"/>
              </w:rPr>
              <m:t>i, t</m:t>
            </m:r>
          </m:sub>
        </m:sSub>
      </m:oMath>
      <w:r>
        <w:rPr>
          <w:rFonts w:eastAsiaTheme="minorEastAsia"/>
        </w:rPr>
        <w:t xml:space="preserve"> is purchases of common and prefe</w:t>
      </w:r>
      <w:proofErr w:type="spellStart"/>
      <w:r w:rsidR="00A51701">
        <w:rPr>
          <w:rFonts w:eastAsiaTheme="minorEastAsia"/>
        </w:rPr>
        <w:t>rred</w:t>
      </w:r>
      <w:proofErr w:type="spellEnd"/>
      <w:r w:rsidR="00A51701">
        <w:rPr>
          <w:rFonts w:eastAsiaTheme="minorEastAsia"/>
        </w:rPr>
        <w:t xml:space="preserve"> stock of firm </w:t>
      </w:r>
      <w:proofErr w:type="spellStart"/>
      <w:r w:rsidR="00A51701">
        <w:rPr>
          <w:rFonts w:eastAsiaTheme="minorEastAsia"/>
        </w:rPr>
        <w:t>i</w:t>
      </w:r>
      <w:proofErr w:type="spellEnd"/>
      <w:r w:rsidR="00A51701">
        <w:rPr>
          <w:rFonts w:eastAsiaTheme="minorEastAsia"/>
        </w:rPr>
        <w:t xml:space="preserve"> in year t</w:t>
      </w:r>
      <w:r>
        <w:rPr>
          <w:rFonts w:eastAsiaTheme="minorEastAsia"/>
        </w:rPr>
        <w:t xml:space="preserve">; </w:t>
      </w:r>
      <m:oMath>
        <m:sSub>
          <m:sSubPr>
            <m:ctrlPr>
              <w:rPr>
                <w:rFonts w:ascii="Cambria Math" w:hAnsi="Cambria Math"/>
                <w:i/>
              </w:rPr>
            </m:ctrlPr>
          </m:sSubPr>
          <m:e>
            <m:r>
              <w:rPr>
                <w:rFonts w:ascii="Cambria Math" w:hAnsi="Cambria Math"/>
              </w:rPr>
              <m:t>DV</m:t>
            </m:r>
          </m:e>
          <m:sub>
            <m:r>
              <w:rPr>
                <w:rFonts w:ascii="Cambria Math" w:hAnsi="Cambria Math"/>
              </w:rPr>
              <m:t xml:space="preserve">i, t </m:t>
            </m:r>
          </m:sub>
        </m:sSub>
      </m:oMath>
      <w:r>
        <w:rPr>
          <w:rFonts w:eastAsiaTheme="minorEastAsia"/>
        </w:rPr>
        <w:t>is divi</w:t>
      </w:r>
      <w:proofErr w:type="spellStart"/>
      <w:r w:rsidR="00A51701">
        <w:rPr>
          <w:rFonts w:eastAsiaTheme="minorEastAsia"/>
        </w:rPr>
        <w:t>dends</w:t>
      </w:r>
      <w:proofErr w:type="spellEnd"/>
      <w:r w:rsidR="00A51701">
        <w:rPr>
          <w:rFonts w:eastAsiaTheme="minorEastAsia"/>
        </w:rPr>
        <w:t xml:space="preserve"> made by firm </w:t>
      </w:r>
      <w:proofErr w:type="spellStart"/>
      <w:r w:rsidR="00A51701">
        <w:rPr>
          <w:rFonts w:eastAsiaTheme="minorEastAsia"/>
        </w:rPr>
        <w:t>i</w:t>
      </w:r>
      <w:proofErr w:type="spellEnd"/>
      <w:r w:rsidR="00A51701">
        <w:rPr>
          <w:rFonts w:eastAsiaTheme="minorEastAsia"/>
        </w:rPr>
        <w:t xml:space="preserve"> in year t</w:t>
      </w:r>
      <w:r>
        <w:rPr>
          <w:rFonts w:eastAsiaTheme="minorEastAsia"/>
        </w:rPr>
        <w:t xml:space="preserve">; </w:t>
      </w:r>
      <m:oMath>
        <m:sSub>
          <m:sSubPr>
            <m:ctrlPr>
              <w:rPr>
                <w:rFonts w:ascii="Cambria Math" w:hAnsi="Cambria Math"/>
                <w:i/>
              </w:rPr>
            </m:ctrlPr>
          </m:sSubPr>
          <m:e>
            <m:r>
              <w:rPr>
                <w:rFonts w:ascii="Cambria Math" w:hAnsi="Cambria Math"/>
              </w:rPr>
              <m:t>DLTIS</m:t>
            </m:r>
          </m:e>
          <m:sub>
            <m:r>
              <w:rPr>
                <w:rFonts w:ascii="Cambria Math" w:hAnsi="Cambria Math"/>
              </w:rPr>
              <m:t>i, t</m:t>
            </m:r>
          </m:sub>
        </m:sSub>
      </m:oMath>
      <w:r>
        <w:rPr>
          <w:rFonts w:eastAsiaTheme="minorEastAsia"/>
        </w:rPr>
        <w:t xml:space="preserve"> is long-term debt </w:t>
      </w:r>
      <w:r w:rsidR="00A51701">
        <w:rPr>
          <w:rFonts w:eastAsiaTheme="minorEastAsia"/>
        </w:rPr>
        <w:t xml:space="preserve">issued by firm </w:t>
      </w:r>
      <w:proofErr w:type="spellStart"/>
      <w:r w:rsidR="00A51701">
        <w:rPr>
          <w:rFonts w:eastAsiaTheme="minorEastAsia"/>
        </w:rPr>
        <w:t>i</w:t>
      </w:r>
      <w:proofErr w:type="spellEnd"/>
      <w:r w:rsidR="00A51701">
        <w:rPr>
          <w:rFonts w:eastAsiaTheme="minorEastAsia"/>
        </w:rPr>
        <w:t xml:space="preserve"> in year t</w:t>
      </w:r>
      <w:r>
        <w:rPr>
          <w:rFonts w:eastAsiaTheme="minorEastAsia"/>
        </w:rPr>
        <w:t xml:space="preserve">,  </w:t>
      </w:r>
      <m:oMath>
        <m:sSub>
          <m:sSubPr>
            <m:ctrlPr>
              <w:rPr>
                <w:rFonts w:ascii="Cambria Math" w:hAnsi="Cambria Math"/>
                <w:i/>
              </w:rPr>
            </m:ctrlPr>
          </m:sSubPr>
          <m:e>
            <m:r>
              <w:rPr>
                <w:rFonts w:ascii="Cambria Math" w:hAnsi="Cambria Math"/>
              </w:rPr>
              <m:t>DLTR</m:t>
            </m:r>
          </m:e>
          <m:sub>
            <m:r>
              <w:rPr>
                <w:rFonts w:ascii="Cambria Math" w:hAnsi="Cambria Math"/>
              </w:rPr>
              <m:t>i,t</m:t>
            </m:r>
          </m:sub>
        </m:sSub>
      </m:oMath>
      <w:r>
        <w:rPr>
          <w:rFonts w:eastAsiaTheme="minorEastAsia"/>
        </w:rPr>
        <w:t xml:space="preserve"> is long-term debt reduction</w:t>
      </w:r>
      <w:r w:rsidRPr="005F7D71">
        <w:rPr>
          <w:rFonts w:eastAsiaTheme="minorEastAsia"/>
        </w:rPr>
        <w:t xml:space="preserve"> </w:t>
      </w:r>
      <w:r w:rsidR="00A51701">
        <w:rPr>
          <w:rFonts w:eastAsiaTheme="minorEastAsia"/>
        </w:rPr>
        <w:t xml:space="preserve">of firm </w:t>
      </w:r>
      <w:proofErr w:type="spellStart"/>
      <w:r w:rsidR="00A51701">
        <w:rPr>
          <w:rFonts w:eastAsiaTheme="minorEastAsia"/>
        </w:rPr>
        <w:t>i</w:t>
      </w:r>
      <w:proofErr w:type="spellEnd"/>
      <w:r w:rsidR="00A51701">
        <w:rPr>
          <w:rFonts w:eastAsiaTheme="minorEastAsia"/>
        </w:rPr>
        <w:t xml:space="preserve"> in year t</w:t>
      </w:r>
      <w:r>
        <w:rPr>
          <w:rFonts w:eastAsiaTheme="minorEastAsia"/>
        </w:rPr>
        <w:t xml:space="preserve"> and </w:t>
      </w:r>
      <m:oMath>
        <m:sSub>
          <m:sSubPr>
            <m:ctrlPr>
              <w:rPr>
                <w:rFonts w:ascii="Cambria Math" w:hAnsi="Cambria Math"/>
                <w:i/>
              </w:rPr>
            </m:ctrlPr>
          </m:sSubPr>
          <m:e>
            <m:r>
              <w:rPr>
                <w:rFonts w:ascii="Cambria Math" w:hAnsi="Cambria Math"/>
              </w:rPr>
              <m:t>DLCCH</m:t>
            </m:r>
          </m:e>
          <m:sub>
            <m:r>
              <w:rPr>
                <w:rFonts w:ascii="Cambria Math" w:hAnsi="Cambria Math"/>
              </w:rPr>
              <m:t>i,t</m:t>
            </m:r>
          </m:sub>
        </m:sSub>
      </m:oMath>
      <w:r>
        <w:rPr>
          <w:rFonts w:eastAsiaTheme="minorEastAsia"/>
        </w:rPr>
        <w:t xml:space="preserve"> is change in cu</w:t>
      </w:r>
      <w:proofErr w:type="spellStart"/>
      <w:r w:rsidR="00A51701">
        <w:rPr>
          <w:rFonts w:eastAsiaTheme="minorEastAsia"/>
        </w:rPr>
        <w:t>rrent</w:t>
      </w:r>
      <w:proofErr w:type="spellEnd"/>
      <w:r w:rsidR="00A51701">
        <w:rPr>
          <w:rFonts w:eastAsiaTheme="minorEastAsia"/>
        </w:rPr>
        <w:t xml:space="preserve"> debt of firm </w:t>
      </w:r>
      <w:proofErr w:type="spellStart"/>
      <w:r w:rsidR="00A51701">
        <w:rPr>
          <w:rFonts w:eastAsiaTheme="minorEastAsia"/>
        </w:rPr>
        <w:t>i</w:t>
      </w:r>
      <w:proofErr w:type="spellEnd"/>
      <w:r w:rsidR="00A51701">
        <w:rPr>
          <w:rFonts w:eastAsiaTheme="minorEastAsia"/>
        </w:rPr>
        <w:t xml:space="preserve"> in year t</w:t>
      </w:r>
      <w:r>
        <w:rPr>
          <w:rFonts w:eastAsiaTheme="minorEastAsia"/>
        </w:rPr>
        <w:t>.</w:t>
      </w:r>
      <w:r w:rsidR="00C909C3">
        <w:rPr>
          <w:rFonts w:eastAsiaTheme="minorEastAsia"/>
        </w:rPr>
        <w:t xml:space="preserve"> I expect </w:t>
      </w:r>
      <w:r w:rsidR="00C909C3">
        <w:rPr>
          <w:rFonts w:eastAsiaTheme="minorEastAsia"/>
          <w:i/>
        </w:rPr>
        <w:t xml:space="preserve">External financing </w:t>
      </w:r>
      <w:r w:rsidR="00081133">
        <w:rPr>
          <w:rFonts w:eastAsiaTheme="minorEastAsia"/>
        </w:rPr>
        <w:t xml:space="preserve">is negatively associated with the SEC review attributes since disclosure quality and reporting compliance are higher when the firms previously issued debt or equity securities </w:t>
      </w:r>
      <w:r w:rsidR="00081133">
        <w:rPr>
          <w:rFonts w:eastAsiaTheme="minorEastAsia"/>
        </w:rPr>
        <w:fldChar w:fldCharType="begin" w:fldLock="1"/>
      </w:r>
      <w:r w:rsidR="00A611DF">
        <w:rPr>
          <w:rFonts w:eastAsiaTheme="minorEastAsia"/>
        </w:rPr>
        <w:instrText>ADDIN CSL_CITATION {"citationItems":[{"id":"ITEM-1","itemData":{"DOI":"10.1007/s11142-011-9153-8","ISSN":"13806653","abstract":"Motivated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2011)","plainTextFormattedCitation":"(Ettredge et al., 2011)","previouslyFormattedCitation":"(Ettredge et al., 2011)"},"properties":{"noteIndex":0},"schema":"https://github.com/citation-style-language/schema/raw/master/csl-citation.json"}</w:instrText>
      </w:r>
      <w:r w:rsidR="00081133">
        <w:rPr>
          <w:rFonts w:eastAsiaTheme="minorEastAsia"/>
        </w:rPr>
        <w:fldChar w:fldCharType="separate"/>
      </w:r>
      <w:r w:rsidR="00081133" w:rsidRPr="00081133">
        <w:rPr>
          <w:rFonts w:eastAsiaTheme="minorEastAsia"/>
          <w:noProof/>
        </w:rPr>
        <w:t>(Ettredge et al., 2011)</w:t>
      </w:r>
      <w:r w:rsidR="00081133">
        <w:rPr>
          <w:rFonts w:eastAsiaTheme="minorEastAsia"/>
        </w:rPr>
        <w:fldChar w:fldCharType="end"/>
      </w:r>
      <w:r w:rsidR="00081133">
        <w:rPr>
          <w:rFonts w:eastAsiaTheme="minorEastAsia"/>
        </w:rPr>
        <w:t xml:space="preserve">, suggesting less SEC scrutiny on these firms </w:t>
      </w:r>
      <w:r w:rsidR="00081133">
        <w:rPr>
          <w:rFonts w:eastAsiaTheme="minorEastAsia"/>
        </w:rPr>
        <w:fldChar w:fldCharType="begin" w:fldLock="1"/>
      </w:r>
      <w:r w:rsidR="00A611DF">
        <w:rPr>
          <w:rFonts w:eastAsiaTheme="minorEastAsia"/>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rsidR="00081133">
        <w:rPr>
          <w:rFonts w:eastAsiaTheme="minorEastAsia"/>
        </w:rPr>
        <w:fldChar w:fldCharType="separate"/>
      </w:r>
      <w:r w:rsidR="00081133" w:rsidRPr="00081133">
        <w:rPr>
          <w:rFonts w:eastAsiaTheme="minorEastAsia"/>
          <w:noProof/>
        </w:rPr>
        <w:t>(Heese et al., 2017)</w:t>
      </w:r>
      <w:r w:rsidR="00081133">
        <w:rPr>
          <w:rFonts w:eastAsiaTheme="minorEastAsia"/>
        </w:rPr>
        <w:fldChar w:fldCharType="end"/>
      </w:r>
      <w:r w:rsidR="00081133">
        <w:rPr>
          <w:rFonts w:eastAsiaTheme="minorEastAsia"/>
        </w:rPr>
        <w:t xml:space="preserve">. This expectation is also developed from the assumption of public interest theory. </w:t>
      </w:r>
    </w:p>
    <w:p w14:paraId="185D8554" w14:textId="74D6BB9C" w:rsidR="00A861C5" w:rsidRPr="00A861C5" w:rsidRDefault="00D9356B" w:rsidP="0030659B">
      <w:pPr>
        <w:pStyle w:val="ListParagraph"/>
        <w:spacing w:line="360" w:lineRule="auto"/>
        <w:ind w:left="0"/>
        <w:jc w:val="both"/>
      </w:pPr>
      <w:r>
        <w:rPr>
          <w:lang w:eastAsia="en-US"/>
        </w:rPr>
        <w:t xml:space="preserve">Regarding auditor characteristics, </w:t>
      </w:r>
      <w:r w:rsidR="00A861C5">
        <w:rPr>
          <w:i/>
          <w:lang w:eastAsia="en-US"/>
        </w:rPr>
        <w:t xml:space="preserve">Big 4 </w:t>
      </w:r>
      <w:r w:rsidR="00A861C5">
        <w:t xml:space="preserve">is an indicator of </w:t>
      </w:r>
      <w:r w:rsidR="00956D83">
        <w:t xml:space="preserve">the </w:t>
      </w:r>
      <w:r w:rsidR="00B3657C">
        <w:t>audit quality of the IPO firms’ financial statements. I measure this proxy as a</w:t>
      </w:r>
      <w:r w:rsidR="00033472">
        <w:t>n</w:t>
      </w:r>
      <w:r w:rsidR="00B3657C">
        <w:t xml:space="preserve"> </w:t>
      </w:r>
      <w:r w:rsidR="00B3657C" w:rsidRPr="00B3657C">
        <w:t>indicator variable</w:t>
      </w:r>
      <w:r w:rsidR="00B3657C">
        <w:t xml:space="preserve"> which</w:t>
      </w:r>
      <w:r w:rsidR="007A53DE">
        <w:t xml:space="preserve"> equals</w:t>
      </w:r>
      <w:r w:rsidR="00B3657C" w:rsidRPr="00B3657C">
        <w:t xml:space="preserve"> 1 if </w:t>
      </w:r>
      <w:r w:rsidR="00B3657C">
        <w:t>the IPO firm</w:t>
      </w:r>
      <w:r w:rsidR="00B3657C" w:rsidRPr="00B3657C">
        <w:t xml:space="preserve"> is audited by Big 4 Auditors including Ernst &amp; Young, Deloitte &amp; </w:t>
      </w:r>
      <w:proofErr w:type="spellStart"/>
      <w:r w:rsidR="00B3657C" w:rsidRPr="00B3657C">
        <w:t>Touche</w:t>
      </w:r>
      <w:proofErr w:type="spellEnd"/>
      <w:r w:rsidR="00B3657C" w:rsidRPr="00B3657C">
        <w:t xml:space="preserve">, KPMG, PricewaterhouseCoopers (Johnston &amp; </w:t>
      </w:r>
      <w:proofErr w:type="spellStart"/>
      <w:r w:rsidR="00B3657C" w:rsidRPr="00B3657C">
        <w:t>Petacchi</w:t>
      </w:r>
      <w:proofErr w:type="spellEnd"/>
      <w:r w:rsidR="00B3657C" w:rsidRPr="00B3657C">
        <w:t>, 2017), and 0 otherwise</w:t>
      </w:r>
      <w:r w:rsidR="00B3657C">
        <w:t>.</w:t>
      </w:r>
      <w:r w:rsidR="00081133">
        <w:t xml:space="preserve"> I expect </w:t>
      </w:r>
      <w:r w:rsidR="004E2AE9">
        <w:rPr>
          <w:i/>
        </w:rPr>
        <w:t xml:space="preserve">Big 4 </w:t>
      </w:r>
      <w:r w:rsidR="004E2AE9">
        <w:t>is negatively associated with the SEC review attributes since</w:t>
      </w:r>
      <w:r w:rsidR="00081133">
        <w:t xml:space="preserve"> firms audited by Big 4 auditors may have more standard reports which could attract less SEC scrutiny </w:t>
      </w:r>
      <w:r w:rsidR="00081133">
        <w:fldChar w:fldCharType="begin" w:fldLock="1"/>
      </w:r>
      <w:r w:rsidR="00A611DF">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Research","id":"ITEM-1","issue":"2","issued":{"date-parts":[["2017"]]},"page":"1128-1155","title":"Regulatory Oversight of Financial Reporting: Securities and Exchange Commission Comment Letters","type":"article-journal","volume":"34"},"uris":["http://www.mendeley.com/documents/?uuid=6f0a5987-96ef-4573-9c9a-4445f9fb6ad8"]}],"mendeley":{"formattedCitation":"(Johnston &amp; Petacchi, 2017)","plainTextFormattedCitation":"(Johnston &amp; Petacchi, 2017)","previouslyFormattedCitation":"(Johnston &amp; Petacchi, 2017)"},"properties":{"noteIndex":0},"schema":"https://github.com/citation-style-language/schema/raw/master/csl-citation.json"}</w:instrText>
      </w:r>
      <w:r w:rsidR="00081133">
        <w:fldChar w:fldCharType="separate"/>
      </w:r>
      <w:r w:rsidR="00081133" w:rsidRPr="00081133">
        <w:rPr>
          <w:noProof/>
        </w:rPr>
        <w:t>(Johnston &amp; Petacchi, 2017)</w:t>
      </w:r>
      <w:r w:rsidR="00081133">
        <w:fldChar w:fldCharType="end"/>
      </w:r>
      <w:r w:rsidR="00C728A9">
        <w:t xml:space="preserve">. This expectation is </w:t>
      </w:r>
      <w:r w:rsidR="00081133">
        <w:t>also derived from the assumption of public interest theory</w:t>
      </w:r>
      <w:r w:rsidR="00C728A9">
        <w:t xml:space="preserve">. </w:t>
      </w:r>
    </w:p>
    <w:p w14:paraId="06FB239B" w14:textId="31D66302" w:rsidR="00A861C5" w:rsidRDefault="00D9356B" w:rsidP="0030659B">
      <w:pPr>
        <w:pStyle w:val="ListParagraph"/>
        <w:spacing w:line="360" w:lineRule="auto"/>
        <w:ind w:left="0"/>
        <w:jc w:val="both"/>
      </w:pPr>
      <w:r>
        <w:rPr>
          <w:lang w:eastAsia="en-US"/>
        </w:rPr>
        <w:t xml:space="preserve">Regarding corporate governance characteristics, </w:t>
      </w:r>
      <w:proofErr w:type="spellStart"/>
      <w:r w:rsidR="00B90319">
        <w:rPr>
          <w:i/>
          <w:lang w:eastAsia="en-US"/>
        </w:rPr>
        <w:t>CEOchairman</w:t>
      </w:r>
      <w:proofErr w:type="spellEnd"/>
      <w:r w:rsidR="00B3657C">
        <w:rPr>
          <w:i/>
          <w:lang w:eastAsia="en-US"/>
        </w:rPr>
        <w:t xml:space="preserve"> </w:t>
      </w:r>
      <w:r w:rsidR="00B3657C">
        <w:rPr>
          <w:lang w:eastAsia="en-US"/>
        </w:rPr>
        <w:t xml:space="preserve">is an indicator of </w:t>
      </w:r>
      <w:r w:rsidR="00B3657C" w:rsidRPr="00B3657C">
        <w:rPr>
          <w:lang w:eastAsia="en-US"/>
        </w:rPr>
        <w:t>the strength of internal monitoring</w:t>
      </w:r>
      <w:r w:rsidR="00033472">
        <w:rPr>
          <w:lang w:eastAsia="en-US"/>
        </w:rPr>
        <w:t xml:space="preserve"> mechanism</w:t>
      </w:r>
      <w:r w:rsidR="007A53DE">
        <w:rPr>
          <w:lang w:eastAsia="en-US"/>
        </w:rPr>
        <w:t>s</w:t>
      </w:r>
      <w:r w:rsidR="00033472">
        <w:rPr>
          <w:lang w:eastAsia="en-US"/>
        </w:rPr>
        <w:t xml:space="preserve"> in the IPO firm</w:t>
      </w:r>
      <w:r w:rsidR="00A861C5">
        <w:rPr>
          <w:i/>
          <w:lang w:eastAsia="en-US"/>
        </w:rPr>
        <w:t>.</w:t>
      </w:r>
      <w:r w:rsidR="00033472">
        <w:rPr>
          <w:i/>
          <w:lang w:eastAsia="en-US"/>
        </w:rPr>
        <w:t xml:space="preserve"> </w:t>
      </w:r>
      <w:r w:rsidR="00033472">
        <w:rPr>
          <w:lang w:eastAsia="en-US"/>
        </w:rPr>
        <w:t xml:space="preserve">I measure this proxy as an indicator variable which </w:t>
      </w:r>
      <w:r w:rsidR="00033472" w:rsidRPr="00033472">
        <w:rPr>
          <w:lang w:eastAsia="en-US"/>
        </w:rPr>
        <w:t xml:space="preserve">equals 1 if firm </w:t>
      </w:r>
      <w:proofErr w:type="spellStart"/>
      <w:r w:rsidR="00033472" w:rsidRPr="00033472">
        <w:rPr>
          <w:lang w:eastAsia="en-US"/>
        </w:rPr>
        <w:t>i</w:t>
      </w:r>
      <w:proofErr w:type="spellEnd"/>
      <w:r w:rsidR="00033472" w:rsidRPr="00033472">
        <w:rPr>
          <w:lang w:eastAsia="en-US"/>
        </w:rPr>
        <w:t xml:space="preserve"> has CEO </w:t>
      </w:r>
      <w:r w:rsidR="007A53DE">
        <w:rPr>
          <w:lang w:eastAsia="en-US"/>
        </w:rPr>
        <w:t>that is also</w:t>
      </w:r>
      <w:r w:rsidR="00033472" w:rsidRPr="00033472">
        <w:rPr>
          <w:lang w:eastAsia="en-US"/>
        </w:rPr>
        <w:t xml:space="preserve"> </w:t>
      </w:r>
      <w:r w:rsidR="007A53DE">
        <w:rPr>
          <w:lang w:eastAsia="en-US"/>
        </w:rPr>
        <w:t xml:space="preserve">the </w:t>
      </w:r>
      <w:r w:rsidR="00033472" w:rsidRPr="00033472">
        <w:rPr>
          <w:lang w:eastAsia="en-US"/>
        </w:rPr>
        <w:t>chairman</w:t>
      </w:r>
      <w:r w:rsidR="00A51701">
        <w:rPr>
          <w:lang w:eastAsia="en-US"/>
        </w:rPr>
        <w:t xml:space="preserve"> of </w:t>
      </w:r>
      <w:r w:rsidR="007A53DE">
        <w:rPr>
          <w:lang w:eastAsia="en-US"/>
        </w:rPr>
        <w:t>the</w:t>
      </w:r>
      <w:r w:rsidR="00A51701">
        <w:rPr>
          <w:lang w:eastAsia="en-US"/>
        </w:rPr>
        <w:t xml:space="preserve"> board member of in year t</w:t>
      </w:r>
      <w:r w:rsidR="003472E5">
        <w:rPr>
          <w:lang w:eastAsia="en-US"/>
        </w:rPr>
        <w:t>,</w:t>
      </w:r>
      <w:r w:rsidR="00A51701">
        <w:rPr>
          <w:lang w:eastAsia="en-US"/>
        </w:rPr>
        <w:t xml:space="preserve"> </w:t>
      </w:r>
      <w:r w:rsidR="003472E5">
        <w:rPr>
          <w:lang w:eastAsia="en-US"/>
        </w:rPr>
        <w:t>and 0 otherwise</w:t>
      </w:r>
      <w:r w:rsidR="00A51701">
        <w:rPr>
          <w:lang w:eastAsia="en-US"/>
        </w:rPr>
        <w:t xml:space="preserve"> </w:t>
      </w:r>
      <w:r w:rsidR="00033472" w:rsidRPr="00033472">
        <w:rPr>
          <w:lang w:eastAsia="en-US"/>
        </w:rPr>
        <w:t>(Hesse et al., 2017)</w:t>
      </w:r>
      <w:r w:rsidR="003F656E">
        <w:rPr>
          <w:lang w:eastAsia="en-US"/>
        </w:rPr>
        <w:t xml:space="preserve">. This variable is also equal 0 if the data are missing </w:t>
      </w:r>
      <w:r w:rsidR="003F656E">
        <w:rPr>
          <w:lang w:eastAsia="en-US"/>
        </w:rPr>
        <w:fldChar w:fldCharType="begin" w:fldLock="1"/>
      </w:r>
      <w:r w:rsidR="007D60F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2013)","plainTextFormattedCitation":"(Cassell et al., 2013)","previouslyFormattedCitation":"(Cassell et al., 2013)"},"properties":{"noteIndex":0},"schema":"https://github.com/citation-style-language/schema/raw/master/csl-citation.json"}</w:instrText>
      </w:r>
      <w:r w:rsidR="003F656E">
        <w:rPr>
          <w:lang w:eastAsia="en-US"/>
        </w:rPr>
        <w:fldChar w:fldCharType="separate"/>
      </w:r>
      <w:r w:rsidR="003F656E" w:rsidRPr="003F656E">
        <w:rPr>
          <w:noProof/>
          <w:lang w:eastAsia="en-US"/>
        </w:rPr>
        <w:t>(Cassell et al., 2013)</w:t>
      </w:r>
      <w:r w:rsidR="003F656E">
        <w:rPr>
          <w:lang w:eastAsia="en-US"/>
        </w:rPr>
        <w:fldChar w:fldCharType="end"/>
      </w:r>
      <w:r>
        <w:rPr>
          <w:lang w:eastAsia="en-US"/>
        </w:rPr>
        <w:t xml:space="preserve">. </w:t>
      </w:r>
      <w:r w:rsidR="00C728A9">
        <w:rPr>
          <w:lang w:eastAsia="en-US"/>
        </w:rPr>
        <w:t xml:space="preserve">I expect that </w:t>
      </w:r>
      <w:proofErr w:type="spellStart"/>
      <w:r w:rsidR="00B90319">
        <w:rPr>
          <w:i/>
          <w:lang w:eastAsia="en-US"/>
        </w:rPr>
        <w:t>CEOchairman</w:t>
      </w:r>
      <w:proofErr w:type="spellEnd"/>
      <w:r w:rsidR="00C728A9">
        <w:rPr>
          <w:i/>
          <w:lang w:eastAsia="en-US"/>
        </w:rPr>
        <w:t xml:space="preserve"> </w:t>
      </w:r>
      <w:r w:rsidR="00C728A9">
        <w:rPr>
          <w:lang w:eastAsia="en-US"/>
        </w:rPr>
        <w:t>is positively correlated with the SEC review attributes since w</w:t>
      </w:r>
      <w:r w:rsidR="00C728A9" w:rsidRPr="000912EF">
        <w:rPr>
          <w:lang w:eastAsia="en-US"/>
        </w:rPr>
        <w:t>hen the board is led by a member of management, the board’s monitoring effectiveness may be weaker (</w:t>
      </w:r>
      <w:proofErr w:type="spellStart"/>
      <w:r w:rsidR="00C728A9" w:rsidRPr="000912EF">
        <w:rPr>
          <w:lang w:eastAsia="en-US"/>
        </w:rPr>
        <w:t>Ertimur</w:t>
      </w:r>
      <w:proofErr w:type="spellEnd"/>
      <w:r w:rsidR="00C728A9" w:rsidRPr="000912EF">
        <w:rPr>
          <w:lang w:eastAsia="en-US"/>
        </w:rPr>
        <w:t xml:space="preserve"> &amp; </w:t>
      </w:r>
      <w:proofErr w:type="spellStart"/>
      <w:r w:rsidR="00C728A9" w:rsidRPr="000912EF">
        <w:rPr>
          <w:lang w:eastAsia="en-US"/>
        </w:rPr>
        <w:t>Nondorf</w:t>
      </w:r>
      <w:proofErr w:type="spellEnd"/>
      <w:r w:rsidR="00C728A9" w:rsidRPr="000912EF">
        <w:rPr>
          <w:lang w:eastAsia="en-US"/>
        </w:rPr>
        <w:t>, 2006)</w:t>
      </w:r>
      <w:r w:rsidR="00C728A9" w:rsidRPr="000912EF">
        <w:rPr>
          <w:b/>
          <w:lang w:eastAsia="en-US"/>
        </w:rPr>
        <w:t xml:space="preserve"> </w:t>
      </w:r>
      <w:r w:rsidR="00C728A9" w:rsidRPr="000912EF">
        <w:rPr>
          <w:lang w:eastAsia="en-US"/>
        </w:rPr>
        <w:t>and hence, the degree of SEC review may be more intense for these firm</w:t>
      </w:r>
      <w:r w:rsidR="00C728A9">
        <w:rPr>
          <w:lang w:eastAsia="en-US"/>
        </w:rPr>
        <w:t xml:space="preserve">s </w:t>
      </w:r>
      <w:r w:rsidR="00C728A9">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remediation","type":"article-journal","volume":"88"},"uris":["http://www.mendeley.com/documents/?uuid=dea718b9-c36f-49a6-a8c7-49415620a7b4"]},{"id":"ITEM-2","itemData":{"DOI":"10.2308/accr-10033","ISSN":"00014826","abstract":"We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Review","id":"ITEM-2","issue":"4","issued":{"date-parts":[["2011"]]},"page":"1415-1444","title":"Determinants of disclosure noncompliance and the effect of the SEC review: Evidence from the 2006 mandated compensation disclosure regulations","type":"article-journal","volume":"86"},"uris":["http://www.mendeley.com/documents/?uuid=e8971756-f262-4b89-b55d-978e24fc4f8c"]},{"id":"ITEM-3","itemData":{"DOI":"10.1007/s11142-011-9153-8","ISSN":"13806653","abstract":"Motivated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Studies","id":"ITEM-3","issue":"4","issued":{"date-parts":[["2011"]]},"page":"866-889","title":"The effects of firm size, corporate governance quality, and bad news on disclosure compliance","type":"article-journal","volume":"16"},"uris":["http://www.mendeley.com/documents/?uuid=2c677795-dcd8-4506-87da-1a5ecc2c0b18"]},{"id":"ITEM-4","itemData":{"abstract":"We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paper","id":"ITEM-4","issued":{"date-parts":[["2006"]]},"title":"IPO Firms and the SEC Comment Letter Process","type":"report"},"uris":["http://www.mendeley.com/documents/?uuid=01b61a32-44a8-4cff-b503-d4d5cb89a0fb"]}],"mendeley":{"formattedCitation":"(Cassell et al., 2013; Ertimur &amp; Nondorf, 2006; Ettredge et al., 2011; Robinson et al., 2011)","manualFormatting":"( Ertimur &amp; Nondorf, 2006; Ettredge et al., 2011; Robinson et al., 2011; Cassell et al., 2013)","plainTextFormattedCitation":"(Cassell et al., 2013; Ertimur &amp; Nondorf, 2006; Ettredge et al., 2011; Robinson et al., 2011)","previouslyFormattedCitation":"(Cassell et al., 2013; Ertimur &amp; Nondorf, 2006; Ettredge et al., 2011; Robinson et al., 2011)"},"properties":{"noteIndex":0},"schema":"https://github.com/citation-style-language/schema/raw/master/csl-citation.json"}</w:instrText>
      </w:r>
      <w:r w:rsidR="00C728A9">
        <w:rPr>
          <w:lang w:eastAsia="en-US"/>
        </w:rPr>
        <w:fldChar w:fldCharType="separate"/>
      </w:r>
      <w:r w:rsidR="00C728A9" w:rsidRPr="00C728A9">
        <w:rPr>
          <w:noProof/>
          <w:lang w:eastAsia="en-US"/>
        </w:rPr>
        <w:t>( Ertimur &amp; Nondorf, 2006; Ettredge et al., 2011; Robinson et al., 2011</w:t>
      </w:r>
      <w:r w:rsidR="00C728A9">
        <w:rPr>
          <w:noProof/>
          <w:lang w:eastAsia="en-US"/>
        </w:rPr>
        <w:t>;</w:t>
      </w:r>
      <w:r w:rsidR="00C728A9" w:rsidRPr="00C728A9">
        <w:rPr>
          <w:noProof/>
          <w:lang w:eastAsia="en-US"/>
        </w:rPr>
        <w:t xml:space="preserve"> </w:t>
      </w:r>
      <w:r w:rsidR="00C728A9">
        <w:rPr>
          <w:noProof/>
          <w:lang w:eastAsia="en-US"/>
        </w:rPr>
        <w:lastRenderedPageBreak/>
        <w:t>Cassell et al., 2013</w:t>
      </w:r>
      <w:r w:rsidR="00C728A9" w:rsidRPr="00C728A9">
        <w:rPr>
          <w:noProof/>
          <w:lang w:eastAsia="en-US"/>
        </w:rPr>
        <w:t>)</w:t>
      </w:r>
      <w:r w:rsidR="00C728A9">
        <w:rPr>
          <w:lang w:eastAsia="en-US"/>
        </w:rPr>
        <w:fldChar w:fldCharType="end"/>
      </w:r>
      <w:r w:rsidR="00C728A9">
        <w:rPr>
          <w:lang w:eastAsia="en-US"/>
        </w:rPr>
        <w:t xml:space="preserve">. </w:t>
      </w:r>
      <w:r w:rsidR="00C728A9">
        <w:t xml:space="preserve">This expectation is also derived from the assumption of public interest theory. </w:t>
      </w:r>
    </w:p>
    <w:p w14:paraId="2590DD58" w14:textId="5DBB7FEA" w:rsidR="003C5CA3" w:rsidRDefault="00D92D32" w:rsidP="00C17F90">
      <w:pPr>
        <w:pStyle w:val="ListParagraph"/>
        <w:numPr>
          <w:ilvl w:val="2"/>
          <w:numId w:val="1"/>
        </w:numPr>
        <w:spacing w:line="360" w:lineRule="auto"/>
        <w:ind w:left="993"/>
        <w:jc w:val="both"/>
        <w:outlineLvl w:val="2"/>
        <w:rPr>
          <w:b/>
        </w:rPr>
      </w:pPr>
      <w:bookmarkStart w:id="26" w:name="_Toc9185794"/>
      <w:r>
        <w:rPr>
          <w:b/>
          <w:lang w:eastAsia="en-US"/>
        </w:rPr>
        <w:t>Incidences</w:t>
      </w:r>
      <w:r w:rsidR="003C5CA3">
        <w:rPr>
          <w:b/>
          <w:lang w:eastAsia="en-US"/>
        </w:rPr>
        <w:t xml:space="preserve"> – Regulatory change and crises</w:t>
      </w:r>
      <w:bookmarkEnd w:id="26"/>
    </w:p>
    <w:p w14:paraId="5E444978" w14:textId="710B0AEB" w:rsidR="003C5CA3" w:rsidRPr="001451E5" w:rsidRDefault="003C5CA3" w:rsidP="0030659B">
      <w:pPr>
        <w:spacing w:line="360" w:lineRule="auto"/>
        <w:jc w:val="both"/>
      </w:pPr>
      <w:r>
        <w:t xml:space="preserve">Regarding the examination of the impact of </w:t>
      </w:r>
      <w:r w:rsidR="00D92D32">
        <w:t>incidences</w:t>
      </w:r>
      <w:r>
        <w:t xml:space="preserve"> on the SEC review, I employ three important events, which occurred in the sample period of my study and could have potential effect on the SEC scrutiny as I mentioned in Section 2.2., including </w:t>
      </w:r>
      <w:r w:rsidR="003772C8">
        <w:t xml:space="preserve">the enactment of </w:t>
      </w:r>
      <w:r w:rsidR="00935E25">
        <w:t xml:space="preserve">the </w:t>
      </w:r>
      <w:r w:rsidR="003772C8">
        <w:t>JOB</w:t>
      </w:r>
      <w:r w:rsidR="001451E5">
        <w:t>s Act in 2012, the enactment of</w:t>
      </w:r>
      <w:r w:rsidR="001451E5" w:rsidRPr="001451E5">
        <w:rPr>
          <w:lang w:eastAsia="en-US"/>
        </w:rPr>
        <w:t xml:space="preserve"> </w:t>
      </w:r>
      <w:r w:rsidR="00935E25">
        <w:rPr>
          <w:lang w:eastAsia="en-US"/>
        </w:rPr>
        <w:t xml:space="preserve">the </w:t>
      </w:r>
      <w:r w:rsidR="001451E5" w:rsidRPr="003617EB">
        <w:rPr>
          <w:lang w:eastAsia="en-US"/>
        </w:rPr>
        <w:t>Dodd</w:t>
      </w:r>
      <w:r w:rsidR="00A02079">
        <w:rPr>
          <w:lang w:eastAsia="en-US"/>
        </w:rPr>
        <w:t>-</w:t>
      </w:r>
      <w:r w:rsidR="001451E5" w:rsidRPr="003617EB">
        <w:rPr>
          <w:lang w:eastAsia="en-US"/>
        </w:rPr>
        <w:t>Frank Wall Street Reform and Consumer Protection Act</w:t>
      </w:r>
      <w:r w:rsidR="001451E5">
        <w:t xml:space="preserve"> in 2010 and </w:t>
      </w:r>
      <w:r w:rsidR="00935E25">
        <w:t xml:space="preserve">the </w:t>
      </w:r>
      <w:r w:rsidR="001451E5">
        <w:t>financial crisis occurring in 2008-2009</w:t>
      </w:r>
      <w:r w:rsidR="00D45DA5">
        <w:rPr>
          <w:i/>
        </w:rPr>
        <w:t xml:space="preserve">. </w:t>
      </w:r>
      <w:r w:rsidR="001451E5">
        <w:rPr>
          <w:i/>
        </w:rPr>
        <w:t xml:space="preserve"> </w:t>
      </w:r>
      <w:r w:rsidR="001451E5">
        <w:t xml:space="preserve">As for the enactment of </w:t>
      </w:r>
      <w:r w:rsidR="00935E25">
        <w:t xml:space="preserve">the </w:t>
      </w:r>
      <w:r w:rsidR="001451E5">
        <w:t xml:space="preserve">JOBs Act in 2012, I employ </w:t>
      </w:r>
      <w:r w:rsidR="00D45DA5">
        <w:rPr>
          <w:i/>
        </w:rPr>
        <w:t xml:space="preserve">JOBs Act </w:t>
      </w:r>
      <w:r w:rsidR="001451E5">
        <w:t xml:space="preserve">which </w:t>
      </w:r>
      <w:r w:rsidR="00D45DA5">
        <w:t xml:space="preserve">is an </w:t>
      </w:r>
      <w:r w:rsidR="00D45DA5" w:rsidRPr="00D45DA5">
        <w:t xml:space="preserve">indicator variable </w:t>
      </w:r>
      <w:r w:rsidR="001451E5">
        <w:t>equal</w:t>
      </w:r>
      <w:r w:rsidR="00D45DA5" w:rsidRPr="00D45DA5">
        <w:t xml:space="preserve"> to 1 if the filing year of </w:t>
      </w:r>
      <w:r w:rsidR="001451E5">
        <w:t>S-1</w:t>
      </w:r>
      <w:r w:rsidR="00D45DA5" w:rsidRPr="00D45DA5">
        <w:t xml:space="preserve"> is </w:t>
      </w:r>
      <w:r w:rsidR="00D45DA5">
        <w:t xml:space="preserve">in post-JOBs Act period, particularly from 2012 </w:t>
      </w:r>
      <w:r w:rsidR="00D45DA5" w:rsidRPr="00D45DA5">
        <w:t>to 2017, and 0 otherwise.</w:t>
      </w:r>
      <w:r w:rsidR="00312535">
        <w:t xml:space="preserve"> My expectation is that relationship between </w:t>
      </w:r>
      <w:r w:rsidR="00935E25">
        <w:rPr>
          <w:i/>
        </w:rPr>
        <w:t xml:space="preserve">JOBs </w:t>
      </w:r>
      <w:r w:rsidR="00312535">
        <w:rPr>
          <w:i/>
        </w:rPr>
        <w:t>Act</w:t>
      </w:r>
      <w:r w:rsidR="00312535">
        <w:t xml:space="preserve"> and the SEC review attributes is negative since</w:t>
      </w:r>
      <w:r w:rsidR="00312535">
        <w:rPr>
          <w:lang w:eastAsia="en-US"/>
        </w:rPr>
        <w:t xml:space="preserve"> </w:t>
      </w:r>
      <w:r w:rsidR="004F5BE6">
        <w:t>JOBs Act</w:t>
      </w:r>
      <w:r w:rsidR="00312535">
        <w:t xml:space="preserve"> </w:t>
      </w:r>
      <w:r w:rsidR="002C29A8">
        <w:t>aims to eliminate</w:t>
      </w:r>
      <w:r w:rsidR="00312535">
        <w:t xml:space="preserve"> restrictions </w:t>
      </w:r>
      <w:r w:rsidR="002C29A8">
        <w:t xml:space="preserve">and SEC disclosure regulation </w:t>
      </w:r>
      <w:r w:rsidR="00312535">
        <w:t xml:space="preserve">on </w:t>
      </w:r>
      <w:r w:rsidR="00E65938">
        <w:t xml:space="preserve">EGCs </w:t>
      </w:r>
      <w:r w:rsidR="00312535">
        <w:t>going public</w:t>
      </w:r>
      <w:r w:rsidR="00312535" w:rsidRPr="00011D31">
        <w:rPr>
          <w:color w:val="000000" w:themeColor="text1"/>
        </w:rPr>
        <w:t>, which have total annual gross revenues that are less than $1 billion in the most recent fiscal year (</w:t>
      </w:r>
      <w:r w:rsidR="00C41C90">
        <w:rPr>
          <w:color w:val="000000" w:themeColor="text1"/>
        </w:rPr>
        <w:fldChar w:fldCharType="begin" w:fldLock="1"/>
      </w:r>
      <w:r w:rsidR="00A611DF">
        <w:rPr>
          <w:color w:val="000000" w:themeColor="text1"/>
        </w:rPr>
        <w:instrText>ADDIN CSL_CITATION {"citationItems":[{"id":"ITEM-1","itemData":{"URL":"https://www.sec.gov/spotlight/jobs-act.shtml","accessed":{"date-parts":[["2018","3","10"]]},"author":[{"dropping-particle":"","family":"Securities and Exchange Commission (SEC)","given":"","non-dropping-particle":"","parse-names":false,"suffix":""}],"id":"ITEM-1","issued":{"date-parts":[["2012"]]},"title":"Jumpstart Our Business Startups (JOBS) Act","type":"webpage"},"uris":["http://www.mendeley.com/documents/?uuid=06d78f0b-3de9-41fc-89f7-9a291d206608"]}],"mendeley":{"formattedCitation":"(Securities and Exchange Commission (SEC), 2012)","manualFormatting":"SEC, 2012","plainTextFormattedCitation":"(Securities and Exchange Commission (SEC), 2012)","previouslyFormattedCitation":"(Securities and Exchange Commission (SEC), 2012)"},"properties":{"noteIndex":0},"schema":"https://github.com/citation-style-language/schema/raw/master/csl-citation.json"}</w:instrText>
      </w:r>
      <w:r w:rsidR="00C41C90">
        <w:rPr>
          <w:color w:val="000000" w:themeColor="text1"/>
        </w:rPr>
        <w:fldChar w:fldCharType="separate"/>
      </w:r>
      <w:r w:rsidR="00C41C90">
        <w:rPr>
          <w:noProof/>
          <w:color w:val="000000" w:themeColor="text1"/>
        </w:rPr>
        <w:t>SEC</w:t>
      </w:r>
      <w:r w:rsidR="00C41C90" w:rsidRPr="00C41C90">
        <w:rPr>
          <w:noProof/>
          <w:color w:val="000000" w:themeColor="text1"/>
        </w:rPr>
        <w:t>, 2012</w:t>
      </w:r>
      <w:r w:rsidR="00C41C90">
        <w:rPr>
          <w:color w:val="000000" w:themeColor="text1"/>
        </w:rPr>
        <w:fldChar w:fldCharType="end"/>
      </w:r>
      <w:r w:rsidR="00312535">
        <w:rPr>
          <w:lang w:eastAsia="en-US"/>
        </w:rPr>
        <w:fldChar w:fldCharType="begin" w:fldLock="1"/>
      </w:r>
      <w:r w:rsidR="00A611DF">
        <w:rPr>
          <w:lang w:eastAsia="en-US"/>
        </w:rPr>
        <w:instrText>ADDIN CSL_CITATION {"citationItems":[{"id":"ITEM-1","itemData":{"DOI":"10.1017/S0022109014000015","ISSN":"17566916","abstract":"During 1980-2000, an average of 310 companies per year went public in the U.S. Since the technology bubble burst in 2000, the average has been only 99 initial public offerings (IPOs) per year, with the drop especially precipitous among small firms. Many have blamed the Sarbanes-Oxley Act of 2002 and the 2003 Global Settlement’s effects on analyst coverage for the decline in U.S. IPO activity. Our alternative explanation posits that the advantages of selling out to a larger organization, which can speed a product to market and realize economies of scope, have increased relative to the benefits of remaining as an independent firm. Consistent with this hypothesis, we document that small company IPOs have had declining profitability and an increasing probability of being involved in acquisitions.","author":[{"dropping-particle":"","family":"Gao","given":"X.","non-dropping-particle":"","parse-names":false,"suffix":""},{"dropping-particle":"","family":"Ritter","given":"J.R.","non-dropping-particle":"","parse-names":false,"suffix":""},{"dropping-particle":"","family":"Zhu","given":"Z.","non-dropping-particle":"","parse-names":false,"suffix":""}],"container-title":"Journal of Financial and Quantitative Analysis","id":"ITEM-1","issue":"6","issued":{"date-parts":[["2013"]]},"page":"1663-1692","title":"Where have all the IPOs gone?","type":"article-journal","volume":"48"},"uris":["http://www.mendeley.com/documents/?uuid=4f061877-1ba6-46b7-b68c-cd02d844858c"]}],"mendeley":{"formattedCitation":"(Gao et al., 2013)","manualFormatting":")","plainTextFormattedCitation":"(Gao et al., 2013)","previouslyFormattedCitation":"(Gao et al., 2013)"},"properties":{"noteIndex":0},"schema":"https://github.com/citation-style-language/schema/raw/master/csl-citation.json"}</w:instrText>
      </w:r>
      <w:r w:rsidR="00312535">
        <w:rPr>
          <w:lang w:eastAsia="en-US"/>
        </w:rPr>
        <w:fldChar w:fldCharType="separate"/>
      </w:r>
      <w:r w:rsidR="00312535" w:rsidRPr="00F817FE">
        <w:rPr>
          <w:noProof/>
          <w:lang w:eastAsia="en-US"/>
        </w:rPr>
        <w:t>)</w:t>
      </w:r>
      <w:r w:rsidR="00312535">
        <w:rPr>
          <w:lang w:eastAsia="en-US"/>
        </w:rPr>
        <w:fldChar w:fldCharType="end"/>
      </w:r>
      <w:r w:rsidR="00312535">
        <w:rPr>
          <w:color w:val="000000" w:themeColor="text1"/>
        </w:rPr>
        <w:t>.</w:t>
      </w:r>
      <w:r w:rsidR="00D45DA5">
        <w:t xml:space="preserve"> </w:t>
      </w:r>
      <w:r w:rsidR="00900BF8">
        <w:rPr>
          <w:lang w:eastAsia="en-US"/>
        </w:rPr>
        <w:fldChar w:fldCharType="begin" w:fldLock="1"/>
      </w:r>
      <w:r w:rsidR="00900BF8">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Gupta, &amp; Israelsen, 2017)","manualFormatting":"Agarwal et al. (2017)","plainTextFormattedCitation":"(Agarwal, Gupta, &amp; Israelsen, 2017)","previouslyFormattedCitation":"(Agarwal, Gupta, &amp; Israelsen, 2017)"},"properties":{"noteIndex":0},"schema":"https://github.com/citation-style-language/schema/raw/master/csl-citation.json"}</w:instrText>
      </w:r>
      <w:r w:rsidR="00900BF8">
        <w:rPr>
          <w:lang w:eastAsia="en-US"/>
        </w:rPr>
        <w:fldChar w:fldCharType="separate"/>
      </w:r>
      <w:r w:rsidR="00900BF8">
        <w:rPr>
          <w:noProof/>
          <w:lang w:eastAsia="en-US"/>
        </w:rPr>
        <w:t>Agarwal et al. (2017)</w:t>
      </w:r>
      <w:r w:rsidR="00900BF8">
        <w:rPr>
          <w:lang w:eastAsia="en-US"/>
        </w:rPr>
        <w:fldChar w:fldCharType="end"/>
      </w:r>
      <w:r w:rsidR="00900BF8">
        <w:rPr>
          <w:lang w:eastAsia="en-US"/>
        </w:rPr>
        <w:t xml:space="preserve"> observe that SEC adjust their styles in reviewing IPO prospectuses prepared by of ECGs after the enactment of JOBs Act. </w:t>
      </w:r>
      <w:r w:rsidR="00900BF8">
        <w:rPr>
          <w:lang w:eastAsia="en-US"/>
        </w:rPr>
        <w:fldChar w:fldCharType="begin" w:fldLock="1"/>
      </w:r>
      <w:r w:rsidR="00900BF8">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Hanley, &amp; Moon, 2017)","manualFormatting":"Chaplinsky et al. (2017)","plainTextFormattedCitation":"(Chaplinsky, Hanley, &amp; Moon, 2017)","previouslyFormattedCitation":"(Chaplinsky, Hanley, &amp; Moon, 2017)"},"properties":{"noteIndex":0},"schema":"https://github.com/citation-style-language/schema/raw/master/csl-citation.json"}</w:instrText>
      </w:r>
      <w:r w:rsidR="00900BF8">
        <w:rPr>
          <w:lang w:eastAsia="en-US"/>
        </w:rPr>
        <w:fldChar w:fldCharType="separate"/>
      </w:r>
      <w:r w:rsidR="00900BF8">
        <w:rPr>
          <w:noProof/>
          <w:lang w:eastAsia="en-US"/>
        </w:rPr>
        <w:t>Chaplinsky et al. (2017)</w:t>
      </w:r>
      <w:r w:rsidR="00900BF8">
        <w:rPr>
          <w:lang w:eastAsia="en-US"/>
        </w:rPr>
        <w:fldChar w:fldCharType="end"/>
      </w:r>
      <w:r w:rsidR="00900BF8">
        <w:rPr>
          <w:lang w:eastAsia="en-US"/>
        </w:rPr>
        <w:t xml:space="preserve"> state that Title I of JOBs Act decreases ability of regulators to address and prosecute fraud</w:t>
      </w:r>
      <w:r w:rsidR="00900BF8">
        <w:t xml:space="preserve"> </w:t>
      </w:r>
      <w:r w:rsidR="001451E5">
        <w:t xml:space="preserve">As for the enactment of Dodd-Frank in 2010, I employ </w:t>
      </w:r>
      <w:r w:rsidR="00D45DA5">
        <w:rPr>
          <w:i/>
        </w:rPr>
        <w:t xml:space="preserve">Dodd-Frank </w:t>
      </w:r>
      <w:r w:rsidR="001451E5">
        <w:t xml:space="preserve">which </w:t>
      </w:r>
      <w:r w:rsidR="00D45DA5">
        <w:t>is an indicator var</w:t>
      </w:r>
      <w:r w:rsidR="001451E5">
        <w:t>iable equal</w:t>
      </w:r>
      <w:r w:rsidR="001451E5" w:rsidRPr="001451E5">
        <w:t xml:space="preserve"> to 1 if the filing year of </w:t>
      </w:r>
      <w:r w:rsidR="001451E5">
        <w:t xml:space="preserve">S-1 </w:t>
      </w:r>
      <w:r w:rsidR="001451E5" w:rsidRPr="001451E5">
        <w:t>is</w:t>
      </w:r>
      <w:r w:rsidR="001451E5">
        <w:t xml:space="preserve"> in post-Dodd-Frank period, particularly,</w:t>
      </w:r>
      <w:r w:rsidR="001451E5" w:rsidRPr="001451E5">
        <w:t xml:space="preserve"> from 2010 to 2011, and 0 if the filing year of </w:t>
      </w:r>
      <w:r w:rsidR="001451E5">
        <w:t xml:space="preserve">S-1 </w:t>
      </w:r>
      <w:r w:rsidR="001451E5" w:rsidRPr="001451E5">
        <w:t>is from 2005 to 2009</w:t>
      </w:r>
      <w:r w:rsidR="001451E5">
        <w:t>.</w:t>
      </w:r>
      <w:r w:rsidR="001451E5" w:rsidRPr="0039468F">
        <w:rPr>
          <w:rStyle w:val="FootnoteReference"/>
        </w:rPr>
        <w:footnoteReference w:id="11"/>
      </w:r>
      <w:r w:rsidR="001451E5">
        <w:t xml:space="preserve"> </w:t>
      </w:r>
      <w:r w:rsidR="00312535">
        <w:t xml:space="preserve">I expect that </w:t>
      </w:r>
      <w:r w:rsidR="00312535">
        <w:rPr>
          <w:i/>
        </w:rPr>
        <w:t xml:space="preserve">Dodd-Frank </w:t>
      </w:r>
      <w:r w:rsidR="00312535">
        <w:t xml:space="preserve">is positively related to the SEC review attributes because </w:t>
      </w:r>
      <w:r w:rsidR="00E65938">
        <w:t xml:space="preserve">Dodd-Frank Act </w:t>
      </w:r>
      <w:r w:rsidR="00E65938">
        <w:rPr>
          <w:lang w:eastAsia="en-US"/>
        </w:rPr>
        <w:t>enhance</w:t>
      </w:r>
      <w:r w:rsidR="00A02079">
        <w:rPr>
          <w:lang w:eastAsia="en-US"/>
        </w:rPr>
        <w:t>s</w:t>
      </w:r>
      <w:r w:rsidR="00E65938">
        <w:rPr>
          <w:lang w:eastAsia="en-US"/>
        </w:rPr>
        <w:t xml:space="preserve"> the</w:t>
      </w:r>
      <w:r w:rsidR="00E65938" w:rsidRPr="00C42E92">
        <w:rPr>
          <w:lang w:eastAsia="en-US"/>
        </w:rPr>
        <w:t xml:space="preserve"> oversig</w:t>
      </w:r>
      <w:r w:rsidR="00E65938">
        <w:rPr>
          <w:lang w:eastAsia="en-US"/>
        </w:rPr>
        <w:t xml:space="preserve">ht of particular organizations </w:t>
      </w:r>
      <w:r w:rsidR="00E65938" w:rsidRPr="00C42E92">
        <w:rPr>
          <w:lang w:eastAsia="en-US"/>
        </w:rPr>
        <w:t xml:space="preserve">to provide protection for the economy and American consumers, investors and businesses </w:t>
      </w:r>
      <w:r w:rsidR="00E65938" w:rsidRPr="00C42E92">
        <w:rPr>
          <w:lang w:eastAsia="en-US"/>
        </w:rPr>
        <w:fldChar w:fldCharType="begin" w:fldLock="1"/>
      </w:r>
      <w:r w:rsidR="00A611DF">
        <w:rPr>
          <w:lang w:eastAsia="en-US"/>
        </w:rPr>
        <w:instrText>ADDIN CSL_CITATION {"citationItems":[{"id":"ITEM-1","itemData":{"author":[{"dropping-particle":"","family":"WilmerHale","given":"","non-dropping-particle":"","parse-names":false,"suffix":""}],"container-title":"Wilmer Cutler Pickering Hale And Dorr LLP","id":"ITEM-1","issued":{"date-parts":[["2011"]]},"title":"2011 IPO Report","type":"article-journal"},"uris":["http://www.mendeley.com/documents/?uuid=61ce636d-2fea-498c-998c-ca90a508b676"]}],"mendeley":{"formattedCitation":"(WilmerHale, 2011)","plainTextFormattedCitation":"(WilmerHale, 2011)","previouslyFormattedCitation":"(WilmerHale, 2011)"},"properties":{"noteIndex":0},"schema":"https://github.com/citation-style-language/schema/raw/master/csl-citation.json"}</w:instrText>
      </w:r>
      <w:r w:rsidR="00E65938" w:rsidRPr="00C42E92">
        <w:rPr>
          <w:lang w:eastAsia="en-US"/>
        </w:rPr>
        <w:fldChar w:fldCharType="separate"/>
      </w:r>
      <w:r w:rsidR="00E65938" w:rsidRPr="00C42E92">
        <w:rPr>
          <w:noProof/>
          <w:lang w:eastAsia="en-US"/>
        </w:rPr>
        <w:t>(WilmerHale, 2011)</w:t>
      </w:r>
      <w:r w:rsidR="00E65938" w:rsidRPr="00C42E92">
        <w:rPr>
          <w:lang w:eastAsia="en-US"/>
        </w:rPr>
        <w:fldChar w:fldCharType="end"/>
      </w:r>
      <w:r w:rsidR="00E65938">
        <w:rPr>
          <w:lang w:eastAsia="en-US"/>
        </w:rPr>
        <w:t>.</w:t>
      </w:r>
      <w:r w:rsidR="00900BF8">
        <w:rPr>
          <w:lang w:eastAsia="en-US"/>
        </w:rPr>
        <w:t xml:space="preserve"> Furthermore, </w:t>
      </w:r>
      <w:r w:rsidR="00900BF8">
        <w:rPr>
          <w:lang w:eastAsia="en-US"/>
        </w:rPr>
        <w:fldChar w:fldCharType="begin" w:fldLock="1"/>
      </w:r>
      <w:r w:rsidR="00900BF8">
        <w:rPr>
          <w:lang w:eastAsia="en-US"/>
        </w:rPr>
        <w:instrText>ADDIN CSL_CITATION {"citationItems":[{"id":"ITEM-1","itemData":{"DOI":"10.1016/j.jbankfin.2014.01.021","ISSN":"03784266","abstract":"We investigate whether or not market discipline on banking firms changed after the Dodd-Frank Wall Street Reform and Consumer Protection Act (DFA) of 2010. If market discipline is improved, we should see a lower discount for size on yield spreads, particularly for banks identified as too-big-to-fail (TBTF) or systemically important (SIFI). Using secondary market subordinated debt transactions we find that the size discount is reduced by 47% and TBTF discount is reduced by 94% after the DFA. The DFA has been effective in reducing, but not in eliminating the size and TBTF discounts on yield spreads. Market discipline of banks appears to have improved further after the rating criteria changes by Moody's. © 2014.","author":[{"dropping-particle":"","family":"Balasubramnian","given":"B.","non-dropping-particle":"","parse-names":false,"suffix":""},{"dropping-particle":"","family":"Cyree","given":"K.B.","non-dropping-particle":"","parse-names":false,"suffix":""}],"container-title":"Journal of Banking and Finance","id":"ITEM-1","issue":"1","issued":{"date-parts":[["2014"]]},"page":"155-166","publisher":"Elsevier B.V.","title":"Has market discipline on banks improved after the Dodd-Frank Act?","type":"article-journal","volume":"41"},"uris":["http://www.mendeley.com/documents/?uuid=75077377-866e-4864-aa49-595f9ad0afa6"]}],"mendeley":{"formattedCitation":"(Balasubramnian &amp; Cyree, 2014)","manualFormatting":"Balasubramnian &amp; Cyree (2014)","plainTextFormattedCitation":"(Balasubramnian &amp; Cyree, 2014)"},"properties":{"noteIndex":0},"schema":"https://github.com/citation-style-language/schema/raw/master/csl-citation.json"}</w:instrText>
      </w:r>
      <w:r w:rsidR="00900BF8">
        <w:rPr>
          <w:lang w:eastAsia="en-US"/>
        </w:rPr>
        <w:fldChar w:fldCharType="separate"/>
      </w:r>
      <w:r w:rsidR="00900BF8">
        <w:rPr>
          <w:noProof/>
          <w:lang w:eastAsia="en-US"/>
        </w:rPr>
        <w:t>Balasubramnian &amp; Cyree (</w:t>
      </w:r>
      <w:r w:rsidR="00900BF8" w:rsidRPr="00900BF8">
        <w:rPr>
          <w:noProof/>
          <w:lang w:eastAsia="en-US"/>
        </w:rPr>
        <w:t>2014)</w:t>
      </w:r>
      <w:r w:rsidR="00900BF8">
        <w:rPr>
          <w:lang w:eastAsia="en-US"/>
        </w:rPr>
        <w:fldChar w:fldCharType="end"/>
      </w:r>
      <w:r w:rsidR="00900BF8">
        <w:rPr>
          <w:lang w:eastAsia="en-US"/>
        </w:rPr>
        <w:t xml:space="preserve"> observe that due to government intervention, market discipline is improved after the enactment of Dodd-Frank Act.</w:t>
      </w:r>
      <w:r w:rsidR="00E65938">
        <w:rPr>
          <w:lang w:eastAsia="en-US"/>
        </w:rPr>
        <w:t xml:space="preserve"> </w:t>
      </w:r>
      <w:r w:rsidR="001451E5">
        <w:t xml:space="preserve">As for the occurrence of financial crisis, I employ </w:t>
      </w:r>
      <w:r w:rsidR="001451E5">
        <w:rPr>
          <w:i/>
        </w:rPr>
        <w:t xml:space="preserve">Financial crisis </w:t>
      </w:r>
      <w:r w:rsidR="001451E5">
        <w:t xml:space="preserve">which is an indicator variable equal 1 if the </w:t>
      </w:r>
      <w:r w:rsidR="001451E5" w:rsidRPr="001451E5">
        <w:t xml:space="preserve">filing year of </w:t>
      </w:r>
      <w:r w:rsidR="001451E5">
        <w:t xml:space="preserve">S-1 is in 2008 or 2009, </w:t>
      </w:r>
      <w:r w:rsidR="001451E5" w:rsidRPr="001451E5">
        <w:t>and 0 if the filing year if from 2005 to 2007 or from 2010 to 2011</w:t>
      </w:r>
      <w:r w:rsidR="001451E5">
        <w:t>.</w:t>
      </w:r>
      <w:r w:rsidR="001451E5" w:rsidRPr="0039468F">
        <w:rPr>
          <w:rStyle w:val="FootnoteReference"/>
        </w:rPr>
        <w:footnoteReference w:id="12"/>
      </w:r>
      <w:r w:rsidR="00E65938">
        <w:t xml:space="preserve"> I expect that </w:t>
      </w:r>
      <w:r w:rsidR="00E65938">
        <w:rPr>
          <w:i/>
        </w:rPr>
        <w:t xml:space="preserve">Financial crisis </w:t>
      </w:r>
      <w:r w:rsidR="00E65938">
        <w:t xml:space="preserve">is positively associated with the SEC review attributes as in line with the findings of </w:t>
      </w:r>
      <w:r w:rsidR="00E65938" w:rsidRPr="00F90E77">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E65938" w:rsidRPr="00F90E77">
        <w:rPr>
          <w:lang w:eastAsia="en-US"/>
        </w:rPr>
        <w:fldChar w:fldCharType="separate"/>
      </w:r>
      <w:r w:rsidR="00F57010">
        <w:rPr>
          <w:noProof/>
          <w:lang w:eastAsia="en-US"/>
        </w:rPr>
        <w:t>Colaco et al. (2018</w:t>
      </w:r>
      <w:r w:rsidR="00E65938" w:rsidRPr="00F90E77">
        <w:rPr>
          <w:noProof/>
          <w:lang w:eastAsia="en-US"/>
        </w:rPr>
        <w:t>)</w:t>
      </w:r>
      <w:r w:rsidR="00E65938" w:rsidRPr="00F90E77">
        <w:rPr>
          <w:lang w:eastAsia="en-US"/>
        </w:rPr>
        <w:fldChar w:fldCharType="end"/>
      </w:r>
      <w:r w:rsidR="00E65938">
        <w:rPr>
          <w:lang w:eastAsia="en-US"/>
        </w:rPr>
        <w:t xml:space="preserve"> who identify that IPO firms’ waiting periods </w:t>
      </w:r>
      <w:r w:rsidR="00A02079">
        <w:t>are</w:t>
      </w:r>
      <w:r w:rsidR="00E65938" w:rsidRPr="00F90E77">
        <w:t xml:space="preserve"> longer during the period of financial crisis 2008-2009</w:t>
      </w:r>
      <w:r w:rsidR="00E65938">
        <w:t xml:space="preserve">. </w:t>
      </w:r>
      <w:r w:rsidR="00E65938" w:rsidRPr="00F90E77">
        <w:fldChar w:fldCharType="begin" w:fldLock="1"/>
      </w:r>
      <w:r w:rsidR="00A611DF">
        <w:instrText>ADDIN CSL_CITATION {"citationItems":[{"id":"ITEM-1","itemData":{"author":[{"dropping-particle":"","family":"Blackburne","given":"Terrence","non-dropping-particle":"","parse-names":false,"suffix":""}],"container-title":"Working paper","id":"ITEM-1","issued":{"date-parts":[["2014"]]},"title":"Regulatory Oversight and Reporting Incentives: Evidence from SEC Budget Allocations Terrence","type":"article-journal"},"uris":["http://www.mendeley.com/documents/?uuid=9a5e3877-0197-49fd-9514-481934d4138a"]}],"mendeley":{"formattedCitation":"(Blackburne, 2014)","manualFormatting":"Blackburne (2014)","plainTextFormattedCitation":"(Blackburne, 2014)","previouslyFormattedCitation":"(Blackburne, 2014)"},"properties":{"noteIndex":0},"schema":"https://github.com/citation-style-language/schema/raw/master/csl-citation.json"}</w:instrText>
      </w:r>
      <w:r w:rsidR="00E65938" w:rsidRPr="00F90E77">
        <w:fldChar w:fldCharType="separate"/>
      </w:r>
      <w:r w:rsidR="00E65938" w:rsidRPr="00F90E77">
        <w:rPr>
          <w:noProof/>
        </w:rPr>
        <w:t>Blackburne (2014)</w:t>
      </w:r>
      <w:r w:rsidR="00E65938" w:rsidRPr="00F90E77">
        <w:fldChar w:fldCharType="end"/>
      </w:r>
      <w:r w:rsidR="00E65938" w:rsidRPr="00F90E77">
        <w:t xml:space="preserve"> also </w:t>
      </w:r>
      <w:r w:rsidR="00E65938">
        <w:t>observe more</w:t>
      </w:r>
      <w:r w:rsidR="00E65938" w:rsidRPr="00F90E77">
        <w:t xml:space="preserve"> SEC oversight over corporate disclosures in the financial crisis 2008.</w:t>
      </w:r>
      <w:r w:rsidR="00E65938">
        <w:t xml:space="preserve"> Applicati</w:t>
      </w:r>
      <w:r w:rsidR="005521AD">
        <w:t xml:space="preserve">on of public interest theory as developed by </w:t>
      </w:r>
      <w:r w:rsidR="005521AD">
        <w:fldChar w:fldCharType="begin" w:fldLock="1"/>
      </w:r>
      <w:r w:rsidR="00A611DF">
        <w:instrText>ADDIN CSL_CITATION {"citationItems":[{"id":"ITEM-1","itemData":{"author":[{"dropping-particle":"","family":"Watts","given":"R.","non-dropping-particle":"","parse-names":false,"suffix":""},{"dropping-particle":"","family":"Zimmerman","given":"J.","non-dropping-particle":"","parse-names":false,"suffix":""}],"id":"ITEM-1","issued":{"date-parts":[["1986"]]},"publisher":"Prentice-Hall","publisher-place":"Englewood Cliffs, NJ","title":"Positive Accounting Theory","type":"book"},"uris":["http://www.mendeley.com/documents/?uuid=76c9e00f-e9c6-4a79-b067-7d1d4523ab6b"]}],"mendeley":{"formattedCitation":"(R. Watts &amp; Zimmerman, 1986)","manualFormatting":"Watts &amp; Zimmerman (1986)","plainTextFormattedCitation":"(R. Watts &amp; Zimmerman, 1986)","previouslyFormattedCitation":"(R. Watts &amp; Zimmerman, 1986)"},"properties":{"noteIndex":0},"schema":"https://github.com/citation-style-language/schema/raw/master/csl-citation.json"}</w:instrText>
      </w:r>
      <w:r w:rsidR="005521AD">
        <w:fldChar w:fldCharType="separate"/>
      </w:r>
      <w:r w:rsidR="005521AD">
        <w:rPr>
          <w:noProof/>
        </w:rPr>
        <w:t>Watts &amp; Zimmerman (</w:t>
      </w:r>
      <w:r w:rsidR="005521AD" w:rsidRPr="005521AD">
        <w:rPr>
          <w:noProof/>
        </w:rPr>
        <w:t>1986)</w:t>
      </w:r>
      <w:r w:rsidR="005521AD">
        <w:fldChar w:fldCharType="end"/>
      </w:r>
      <w:r w:rsidR="005521AD">
        <w:t xml:space="preserve"> suggests that </w:t>
      </w:r>
      <w:r w:rsidR="005521AD" w:rsidRPr="000912EF">
        <w:rPr>
          <w:lang w:eastAsia="en-US"/>
        </w:rPr>
        <w:lastRenderedPageBreak/>
        <w:t xml:space="preserve">crises can strengthen the </w:t>
      </w:r>
      <w:r w:rsidR="00935E25">
        <w:rPr>
          <w:lang w:eastAsia="en-US"/>
        </w:rPr>
        <w:t>oversight</w:t>
      </w:r>
      <w:r w:rsidR="005521AD" w:rsidRPr="000912EF">
        <w:rPr>
          <w:lang w:eastAsia="en-US"/>
        </w:rPr>
        <w:t xml:space="preserve"> of politicians and regulators </w:t>
      </w:r>
      <w:r w:rsidR="00935E25">
        <w:rPr>
          <w:lang w:eastAsia="en-US"/>
        </w:rPr>
        <w:t>in order to extract</w:t>
      </w:r>
      <w:r w:rsidR="005521AD" w:rsidRPr="000912EF">
        <w:rPr>
          <w:lang w:eastAsia="en-US"/>
        </w:rPr>
        <w:t xml:space="preserve"> wealth transfers from regulated firms</w:t>
      </w:r>
      <w:r w:rsidR="005521AD">
        <w:rPr>
          <w:lang w:eastAsia="en-US"/>
        </w:rPr>
        <w:t xml:space="preserve">. </w:t>
      </w:r>
      <w:r w:rsidR="005521AD">
        <w:t xml:space="preserve"> </w:t>
      </w:r>
    </w:p>
    <w:p w14:paraId="2FCEEC7D" w14:textId="7F7C6F48" w:rsidR="003C5CA3" w:rsidRDefault="00CA4AAD" w:rsidP="00C17F90">
      <w:pPr>
        <w:pStyle w:val="ListParagraph"/>
        <w:numPr>
          <w:ilvl w:val="2"/>
          <w:numId w:val="1"/>
        </w:numPr>
        <w:spacing w:line="360" w:lineRule="auto"/>
        <w:ind w:left="993"/>
        <w:jc w:val="both"/>
        <w:outlineLvl w:val="2"/>
        <w:rPr>
          <w:b/>
        </w:rPr>
      </w:pPr>
      <w:bookmarkStart w:id="27" w:name="_Toc9185795"/>
      <w:r>
        <w:rPr>
          <w:b/>
        </w:rPr>
        <w:t>Industry/market characteristics</w:t>
      </w:r>
      <w:bookmarkEnd w:id="27"/>
    </w:p>
    <w:p w14:paraId="7EC0983F" w14:textId="3717FF4C" w:rsidR="001C4B25" w:rsidRDefault="00CA4AAD" w:rsidP="0030659B">
      <w:pPr>
        <w:spacing w:line="360" w:lineRule="auto"/>
        <w:jc w:val="both"/>
      </w:pPr>
      <w:r>
        <w:t xml:space="preserve">Regarding the impact of industry/market characteristics on the SEC review, I </w:t>
      </w:r>
      <w:r w:rsidR="00C66362">
        <w:t>focus on</w:t>
      </w:r>
      <w:r>
        <w:t xml:space="preserve"> two </w:t>
      </w:r>
      <w:proofErr w:type="gramStart"/>
      <w:r w:rsidR="00C66362">
        <w:t>particular types</w:t>
      </w:r>
      <w:proofErr w:type="gramEnd"/>
      <w:r w:rsidR="00C66362">
        <w:t xml:space="preserve"> of </w:t>
      </w:r>
      <w:r>
        <w:t xml:space="preserve">industries, which are regulated </w:t>
      </w:r>
      <w:r w:rsidR="00C66362">
        <w:t>industries</w:t>
      </w:r>
      <w:r w:rsidR="007A4F68">
        <w:t xml:space="preserve"> (</w:t>
      </w:r>
      <w:r w:rsidR="007A4F68">
        <w:rPr>
          <w:i/>
        </w:rPr>
        <w:t>Regulated)</w:t>
      </w:r>
      <w:r>
        <w:t xml:space="preserve"> and tech</w:t>
      </w:r>
      <w:r w:rsidR="00C66362">
        <w:t>nological industries</w:t>
      </w:r>
      <w:r w:rsidR="007A4F68">
        <w:t xml:space="preserve"> (</w:t>
      </w:r>
      <w:r w:rsidR="007A4F68">
        <w:rPr>
          <w:i/>
        </w:rPr>
        <w:t>Technology)</w:t>
      </w:r>
      <w:r w:rsidR="00C66362">
        <w:t>. I also</w:t>
      </w:r>
      <w:r w:rsidR="007A4F68">
        <w:t xml:space="preserve"> </w:t>
      </w:r>
      <w:r>
        <w:t xml:space="preserve">employ </w:t>
      </w:r>
      <w:r w:rsidR="00C66362">
        <w:t>variables for</w:t>
      </w:r>
      <w:r>
        <w:t xml:space="preserve"> industry size (</w:t>
      </w:r>
      <w:r>
        <w:rPr>
          <w:i/>
        </w:rPr>
        <w:t>IPOs by industry)</w:t>
      </w:r>
      <w:r>
        <w:t xml:space="preserve"> and market competition (</w:t>
      </w:r>
      <w:r>
        <w:rPr>
          <w:i/>
        </w:rPr>
        <w:t>Herfindahl Index)</w:t>
      </w:r>
      <w:r w:rsidR="007A4F68">
        <w:t xml:space="preserve">. </w:t>
      </w:r>
      <w:r w:rsidR="007A4F68">
        <w:rPr>
          <w:i/>
        </w:rPr>
        <w:t xml:space="preserve">Regulated </w:t>
      </w:r>
      <w:r w:rsidR="007A4F68" w:rsidRPr="007A4F68">
        <w:t xml:space="preserve">is an indicator variable </w:t>
      </w:r>
      <w:r w:rsidR="00DE13D4">
        <w:t>equal</w:t>
      </w:r>
      <w:r w:rsidR="007A4F68" w:rsidRPr="007A4F68">
        <w:t xml:space="preserve"> to 1 if the IPO firm’s SIC codes is 4900–4939 (electric and gas), 1300 (oil and gas extraction), 4000–4700 (transportation), 4800 (telecommunications)</w:t>
      </w:r>
      <w:r w:rsidR="00DE13D4">
        <w:t>,</w:t>
      </w:r>
      <w:r w:rsidR="007A4F68" w:rsidRPr="007A4F68">
        <w:t xml:space="preserve"> or  4950–4959 (sanitary services) </w:t>
      </w:r>
      <w:r w:rsidR="007A4F68" w:rsidRPr="007A4F68">
        <w:fldChar w:fldCharType="begin" w:fldLock="1"/>
      </w:r>
      <w:r w:rsidR="007A4F68" w:rsidRPr="007A4F68">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rsidR="007A4F68" w:rsidRPr="007A4F68">
        <w:fldChar w:fldCharType="separate"/>
      </w:r>
      <w:r w:rsidR="007A4F68" w:rsidRPr="007A4F68">
        <w:rPr>
          <w:noProof/>
        </w:rPr>
        <w:t>(Ertimur &amp; Nondorf, 2006)</w:t>
      </w:r>
      <w:r w:rsidR="007A4F68" w:rsidRPr="007A4F68">
        <w:fldChar w:fldCharType="end"/>
      </w:r>
      <w:r w:rsidR="007A4F68">
        <w:t xml:space="preserve">. </w:t>
      </w:r>
      <w:r w:rsidR="00E65938">
        <w:t xml:space="preserve">I expect a negative relationship between </w:t>
      </w:r>
      <w:r w:rsidR="00E65938">
        <w:rPr>
          <w:i/>
        </w:rPr>
        <w:t xml:space="preserve">Regulated </w:t>
      </w:r>
      <w:r w:rsidR="00E65938">
        <w:t>and the SEC review attributes</w:t>
      </w:r>
      <w:r w:rsidR="005521AD">
        <w:t xml:space="preserve"> since </w:t>
      </w:r>
      <w:r w:rsidR="005521AD" w:rsidRPr="000912EF">
        <w:rPr>
          <w:lang w:eastAsia="en-US"/>
        </w:rPr>
        <w:t xml:space="preserve">regulated firms have </w:t>
      </w:r>
      <w:r w:rsidR="00DE13D4">
        <w:rPr>
          <w:lang w:eastAsia="en-US"/>
        </w:rPr>
        <w:t xml:space="preserve">specific </w:t>
      </w:r>
      <w:r w:rsidR="005521AD" w:rsidRPr="000912EF">
        <w:rPr>
          <w:lang w:eastAsia="en-US"/>
        </w:rPr>
        <w:t xml:space="preserve">external reporting duties </w:t>
      </w:r>
      <w:r w:rsidR="00DE13D4">
        <w:rPr>
          <w:lang w:eastAsia="en-US"/>
        </w:rPr>
        <w:t xml:space="preserve">and thus </w:t>
      </w:r>
      <w:r w:rsidR="005521AD" w:rsidRPr="000912EF">
        <w:rPr>
          <w:lang w:eastAsia="en-US"/>
        </w:rPr>
        <w:t>the quality of the regulated firms' S-1 filings could be more standard</w:t>
      </w:r>
      <w:r w:rsidR="005521AD">
        <w:rPr>
          <w:lang w:eastAsia="en-US"/>
        </w:rPr>
        <w:t xml:space="preserve"> than other firms </w:t>
      </w:r>
      <w:r w:rsidR="005521AD" w:rsidRPr="000912EF">
        <w:rPr>
          <w:lang w:eastAsia="en-US"/>
        </w:rPr>
        <w:fldChar w:fldCharType="begin" w:fldLock="1"/>
      </w:r>
      <w:r w:rsidR="00A611DF">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rsidR="005521AD" w:rsidRPr="000912EF">
        <w:rPr>
          <w:lang w:eastAsia="en-US"/>
        </w:rPr>
        <w:fldChar w:fldCharType="separate"/>
      </w:r>
      <w:r w:rsidR="005521AD" w:rsidRPr="000912EF">
        <w:rPr>
          <w:noProof/>
          <w:lang w:eastAsia="en-US"/>
        </w:rPr>
        <w:t>(Ertimur &amp; Nondorf, 2006)</w:t>
      </w:r>
      <w:r w:rsidR="005521AD" w:rsidRPr="000912EF">
        <w:rPr>
          <w:lang w:eastAsia="en-US"/>
        </w:rPr>
        <w:fldChar w:fldCharType="end"/>
      </w:r>
      <w:r w:rsidR="005337B5">
        <w:rPr>
          <w:lang w:eastAsia="en-US"/>
        </w:rPr>
        <w:t>, suggesting less SEC scrutiny on the regulated firm as in line with the assumption of public interest theory</w:t>
      </w:r>
      <w:r w:rsidR="005521AD">
        <w:rPr>
          <w:lang w:eastAsia="en-US"/>
        </w:rPr>
        <w:t xml:space="preserve">. </w:t>
      </w:r>
    </w:p>
    <w:p w14:paraId="62BA9C8E" w14:textId="436E59EB" w:rsidR="001C4B25" w:rsidRDefault="007A4F68" w:rsidP="0030659B">
      <w:pPr>
        <w:spacing w:line="360" w:lineRule="auto"/>
        <w:jc w:val="both"/>
      </w:pPr>
      <w:r>
        <w:rPr>
          <w:i/>
        </w:rPr>
        <w:t xml:space="preserve">Technology </w:t>
      </w:r>
      <w:r>
        <w:t>is a</w:t>
      </w:r>
      <w:r w:rsidRPr="007A4F68">
        <w:t xml:space="preserve">n indicator variable equals to 1 if the IPO firm’s industry as classified by SIC codes is 3571, 3572, 3575, 3577, 3578 (i.e. computer hardware); 3661, 3663, 3669 (i.e. communications equipment); 3671, 3672, 3674, 3675, 3677, 3678, 3679 (i.e. electronics); 3812 (i.e. navigation equipment); 3823, 3825, 3826, 3827, 3829 (i.e. measuring and controlling devices); 3841, 3845 (i.e. medical instruments); 4812, 4813 (i.e. telephone equipment); 4899 (i.e. communications services) or 7371, 7372, 7373, 7374, 7375, 7378,7379 (i.e. software) </w:t>
      </w:r>
      <w:r w:rsidRPr="007A4F68">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Pr="007A4F68">
        <w:fldChar w:fldCharType="separate"/>
      </w:r>
      <w:r w:rsidR="00F57010">
        <w:rPr>
          <w:noProof/>
        </w:rPr>
        <w:t>(Colaco et al., 2018</w:t>
      </w:r>
      <w:r w:rsidRPr="007A4F68">
        <w:rPr>
          <w:noProof/>
        </w:rPr>
        <w:t>)</w:t>
      </w:r>
      <w:r w:rsidRPr="007A4F68">
        <w:fldChar w:fldCharType="end"/>
      </w:r>
      <w:r>
        <w:t xml:space="preserve">. </w:t>
      </w:r>
      <w:r w:rsidR="00CB3B3A">
        <w:rPr>
          <w:lang w:eastAsia="en-US"/>
        </w:rPr>
        <w:t xml:space="preserve">Mixed </w:t>
      </w:r>
      <w:r w:rsidR="001C4B25">
        <w:rPr>
          <w:lang w:eastAsia="en-US"/>
        </w:rPr>
        <w:t>expectation</w:t>
      </w:r>
      <w:r w:rsidR="00CB3B3A">
        <w:rPr>
          <w:lang w:eastAsia="en-US"/>
        </w:rPr>
        <w:t>s are</w:t>
      </w:r>
      <w:r w:rsidR="001C4B25">
        <w:rPr>
          <w:lang w:eastAsia="en-US"/>
        </w:rPr>
        <w:t xml:space="preserve"> suggested on the relationship between </w:t>
      </w:r>
      <w:r w:rsidR="001C4B25">
        <w:rPr>
          <w:i/>
          <w:lang w:eastAsia="en-US"/>
        </w:rPr>
        <w:t xml:space="preserve">Technology </w:t>
      </w:r>
      <w:r w:rsidR="001C4B25">
        <w:rPr>
          <w:lang w:eastAsia="en-US"/>
        </w:rPr>
        <w:t>and the SEC review attributes.  T</w:t>
      </w:r>
      <w:r w:rsidR="001C4B25">
        <w:rPr>
          <w:color w:val="000000" w:themeColor="text1"/>
          <w:lang w:eastAsia="en-US"/>
        </w:rPr>
        <w:t xml:space="preserve">his relationship is likely to be negative as in line with the finding of </w:t>
      </w:r>
      <w:r w:rsidR="001C4B25">
        <w:fldChar w:fldCharType="begin" w:fldLock="1"/>
      </w:r>
      <w:r w:rsidR="00A611DF">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1C4B25">
        <w:fldChar w:fldCharType="separate"/>
      </w:r>
      <w:r w:rsidR="001C4B25">
        <w:rPr>
          <w:noProof/>
        </w:rPr>
        <w:t>Colaco et al. (</w:t>
      </w:r>
      <w:r w:rsidR="00F57010">
        <w:rPr>
          <w:noProof/>
        </w:rPr>
        <w:t>2018</w:t>
      </w:r>
      <w:r w:rsidR="001C4B25" w:rsidRPr="00667A16">
        <w:rPr>
          <w:noProof/>
        </w:rPr>
        <w:t>)</w:t>
      </w:r>
      <w:r w:rsidR="001C4B25">
        <w:fldChar w:fldCharType="end"/>
      </w:r>
      <w:r w:rsidR="001C4B25">
        <w:t xml:space="preserve"> who identify that duration of waiting periods of the firms operating in the </w:t>
      </w:r>
      <w:r w:rsidR="005A46EE">
        <w:t>technology industries</w:t>
      </w:r>
      <w:r w:rsidR="001C4B25">
        <w:t xml:space="preserve"> are shorter </w:t>
      </w:r>
      <w:r w:rsidR="00CB3B3A">
        <w:t xml:space="preserve">than </w:t>
      </w:r>
      <w:r w:rsidR="001C4B25">
        <w:t>other firms</w:t>
      </w:r>
      <w:r w:rsidR="000A67A0">
        <w:t xml:space="preserve"> since technology firms confront serious competition in their industry  and quickly becoming effective IPOs would be in their best interest</w:t>
      </w:r>
      <w:r w:rsidR="001C4B25">
        <w:t xml:space="preserve">. </w:t>
      </w:r>
      <w:r w:rsidR="000A67A0">
        <w:t xml:space="preserve">This expectation is in line with the assumption of economic interest group theory. </w:t>
      </w:r>
      <w:r w:rsidR="001C4B25">
        <w:rPr>
          <w:lang w:eastAsia="en-US"/>
        </w:rPr>
        <w:t>However, in term</w:t>
      </w:r>
      <w:r w:rsidR="00CB3B3A">
        <w:rPr>
          <w:lang w:eastAsia="en-US"/>
        </w:rPr>
        <w:t>s</w:t>
      </w:r>
      <w:r w:rsidR="001C4B25">
        <w:rPr>
          <w:lang w:eastAsia="en-US"/>
        </w:rPr>
        <w:t xml:space="preserve"> of information uncertainty, this relationship is claimed to be positive because the </w:t>
      </w:r>
      <w:r w:rsidR="005A46EE">
        <w:rPr>
          <w:lang w:eastAsia="en-US"/>
        </w:rPr>
        <w:t>technology industries</w:t>
      </w:r>
      <w:r w:rsidR="001C4B25">
        <w:rPr>
          <w:lang w:eastAsia="en-US"/>
        </w:rPr>
        <w:t xml:space="preserve"> may have more information uncertainty </w:t>
      </w:r>
      <w:r w:rsidR="001C4B25">
        <w:rPr>
          <w:lang w:eastAsia="en-US"/>
        </w:rPr>
        <w:fldChar w:fldCharType="begin" w:fldLock="1"/>
      </w:r>
      <w:r w:rsidR="00A611DF">
        <w:rPr>
          <w:lang w:eastAsia="en-US"/>
        </w:rP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2006)","manualFormatting":"(Chahine et al., 2015; Colaco et al.; 2018)","plainTextFormattedCitation":"(Barry &amp; Brown, 1985; Zhang, 2006)","previouslyFormattedCitation":"(Barry &amp; Brown, 1985; Zhang, 2006)"},"properties":{"noteIndex":0},"schema":"https://github.com/citation-style-language/schema/raw/master/csl-citation.json"}</w:instrText>
      </w:r>
      <w:r w:rsidR="001C4B25">
        <w:rPr>
          <w:lang w:eastAsia="en-US"/>
        </w:rPr>
        <w:fldChar w:fldCharType="separate"/>
      </w:r>
      <w:r w:rsidR="001C4B25" w:rsidRPr="00D727AF">
        <w:rPr>
          <w:noProof/>
          <w:lang w:eastAsia="en-US"/>
        </w:rPr>
        <w:t>(</w:t>
      </w:r>
      <w:r w:rsidR="00732014">
        <w:rPr>
          <w:noProof/>
          <w:lang w:eastAsia="en-US"/>
        </w:rPr>
        <w:t xml:space="preserve">Chahine et al., </w:t>
      </w:r>
      <w:r w:rsidR="00732014" w:rsidRPr="00FD5570">
        <w:rPr>
          <w:noProof/>
          <w:lang w:eastAsia="en-US"/>
        </w:rPr>
        <w:t>2015</w:t>
      </w:r>
      <w:r w:rsidR="00732014">
        <w:rPr>
          <w:noProof/>
          <w:lang w:eastAsia="en-US"/>
        </w:rPr>
        <w:t xml:space="preserve">; </w:t>
      </w:r>
      <w:r w:rsidR="001C4B25">
        <w:rPr>
          <w:noProof/>
        </w:rPr>
        <w:t xml:space="preserve">Colaco et al.; </w:t>
      </w:r>
      <w:r w:rsidR="00F57010">
        <w:rPr>
          <w:noProof/>
        </w:rPr>
        <w:t>2018</w:t>
      </w:r>
      <w:r w:rsidR="001C4B25" w:rsidRPr="00D727AF">
        <w:rPr>
          <w:noProof/>
          <w:lang w:eastAsia="en-US"/>
        </w:rPr>
        <w:t>)</w:t>
      </w:r>
      <w:r w:rsidR="001C4B25">
        <w:rPr>
          <w:lang w:eastAsia="en-US"/>
        </w:rPr>
        <w:fldChar w:fldCharType="end"/>
      </w:r>
      <w:r w:rsidR="001C4B25">
        <w:rPr>
          <w:lang w:eastAsia="en-US"/>
        </w:rPr>
        <w:t xml:space="preserve">, who could attract more SEC scrutiny </w:t>
      </w:r>
      <w:r w:rsidR="001C4B25">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rsidR="001C4B25">
        <w:rPr>
          <w:lang w:eastAsia="en-US"/>
        </w:rPr>
        <w:fldChar w:fldCharType="separate"/>
      </w:r>
      <w:r w:rsidR="001C4B25">
        <w:rPr>
          <w:noProof/>
          <w:lang w:eastAsia="en-US"/>
        </w:rPr>
        <w:t>(</w:t>
      </w:r>
      <w:r w:rsidR="001C4B25" w:rsidRPr="002D7189">
        <w:rPr>
          <w:noProof/>
          <w:lang w:eastAsia="en-US"/>
        </w:rPr>
        <w:t xml:space="preserve"> Ertimur &amp; Nondorf, 2006</w:t>
      </w:r>
      <w:r w:rsidR="001C4B25">
        <w:rPr>
          <w:noProof/>
          <w:lang w:eastAsia="en-US"/>
        </w:rPr>
        <w:t xml:space="preserve">; </w:t>
      </w:r>
      <w:r w:rsidR="001C4B25" w:rsidRPr="002D7189">
        <w:rPr>
          <w:noProof/>
          <w:lang w:eastAsia="en-US"/>
        </w:rPr>
        <w:t>Chen &amp; John</w:t>
      </w:r>
      <w:r w:rsidR="00F57010">
        <w:rPr>
          <w:noProof/>
          <w:lang w:eastAsia="en-US"/>
        </w:rPr>
        <w:t>ston, 2010; Colaco et al., 2018</w:t>
      </w:r>
      <w:r w:rsidR="001C4B25" w:rsidRPr="002D7189">
        <w:rPr>
          <w:noProof/>
          <w:lang w:eastAsia="en-US"/>
        </w:rPr>
        <w:t>)</w:t>
      </w:r>
      <w:r w:rsidR="001C4B25">
        <w:rPr>
          <w:lang w:eastAsia="en-US"/>
        </w:rPr>
        <w:fldChar w:fldCharType="end"/>
      </w:r>
      <w:r w:rsidR="00732014">
        <w:rPr>
          <w:lang w:eastAsia="en-US"/>
        </w:rPr>
        <w:t xml:space="preserve"> as in line with the assumption of public interest theory</w:t>
      </w:r>
      <w:r w:rsidR="00F76EB7">
        <w:t xml:space="preserve">. </w:t>
      </w:r>
    </w:p>
    <w:p w14:paraId="78322549" w14:textId="7E27D1DB" w:rsidR="001C4B25" w:rsidRPr="00A3193E" w:rsidRDefault="007A4F68" w:rsidP="0030659B">
      <w:pPr>
        <w:spacing w:line="360" w:lineRule="auto"/>
        <w:jc w:val="both"/>
        <w:rPr>
          <w:lang w:eastAsia="en-US"/>
        </w:rPr>
      </w:pPr>
      <w:r>
        <w:t xml:space="preserve">I calculate </w:t>
      </w:r>
      <w:r>
        <w:rPr>
          <w:i/>
        </w:rPr>
        <w:t xml:space="preserve">IPOs by industry </w:t>
      </w:r>
      <w:r>
        <w:t>as the number of IPO firms in the same two-</w:t>
      </w:r>
      <w:r w:rsidR="00CF1218">
        <w:t>digit</w:t>
      </w:r>
      <w:r>
        <w:t xml:space="preserve">-SIC-code industry. </w:t>
      </w:r>
      <w:r w:rsidR="001C4B25">
        <w:t xml:space="preserve">I expect that the relationship between </w:t>
      </w:r>
      <w:r w:rsidR="001C4B25">
        <w:rPr>
          <w:i/>
        </w:rPr>
        <w:t xml:space="preserve">IPOs by industry </w:t>
      </w:r>
      <w:r w:rsidR="001C4B25">
        <w:t xml:space="preserve">and the SEC review attributes are negative, suggesting that </w:t>
      </w:r>
      <w:r w:rsidR="001C4B25" w:rsidRPr="000912EF">
        <w:rPr>
          <w:lang w:eastAsia="en-US"/>
        </w:rPr>
        <w:t>in the marke</w:t>
      </w:r>
      <w:r w:rsidR="001C4B25">
        <w:rPr>
          <w:lang w:eastAsia="en-US"/>
        </w:rPr>
        <w:t xml:space="preserve">t having </w:t>
      </w:r>
      <w:proofErr w:type="gramStart"/>
      <w:r w:rsidR="001C4B25">
        <w:rPr>
          <w:lang w:eastAsia="en-US"/>
        </w:rPr>
        <w:t>a large number of</w:t>
      </w:r>
      <w:proofErr w:type="gramEnd"/>
      <w:r w:rsidR="001C4B25">
        <w:rPr>
          <w:lang w:eastAsia="en-US"/>
        </w:rPr>
        <w:t xml:space="preserve"> IPOs, </w:t>
      </w:r>
      <w:r w:rsidR="001C4B25" w:rsidRPr="000912EF">
        <w:rPr>
          <w:lang w:eastAsia="en-US"/>
        </w:rPr>
        <w:t xml:space="preserve">in order to complete the review of the IPOs’ filings more quickly to meet the reviewing target, the SEC may spend less </w:t>
      </w:r>
      <w:r w:rsidR="001C4B25" w:rsidRPr="000912EF">
        <w:rPr>
          <w:lang w:eastAsia="en-US"/>
        </w:rPr>
        <w:lastRenderedPageBreak/>
        <w:t>time and effort for the review of the firms' filings.</w:t>
      </w:r>
      <w:r w:rsidR="001C4B25">
        <w:rPr>
          <w:lang w:eastAsia="en-US"/>
        </w:rPr>
        <w:t xml:space="preserve"> This expectation is derived from behavioural effects theorized by </w:t>
      </w:r>
      <w:r w:rsidR="001C4B25">
        <w:rPr>
          <w:lang w:eastAsia="en-US"/>
        </w:rPr>
        <w:fldChar w:fldCharType="begin" w:fldLock="1"/>
      </w:r>
      <w:r w:rsidR="00A611DF">
        <w:rPr>
          <w:lang w:eastAsia="en-US"/>
        </w:rPr>
        <w:instrText>ADDIN CSL_CITATION {"citationItems":[{"id":"ITEM-1","itemData":{"DOI":"10.1287/mnsc.2014.1950","ISSN":"0025-1909","abstract":"We analyze a large, detailed operational data set from a restaurant chain to shed new light on how workload (defined as the hourly average number of diners assigned to a server) affects servers' performance (measured as hourly sales). We use an exogenous shock - implementation of a labor scheduling software - to disentangle the endogeneity between demand and supply in this setting. We find that when the overall workload is low, an increase in workload leads to higher server performance. However, there is a saturation point after which any further increase in the workload leads to a decline in performance. In the focal restaurant chain we find that this saturation point is generally not reached and, counter-intuitively, the chain can reduce the staffing level and achieve both signi cantly higher sales (an estimated 35% increase) and lower labor costs (an estimated 20% decrease).","author":[{"dropping-particle":"","family":"Tan","given":"T.","non-dropping-particle":"","parse-names":false,"suffix":""},{"dropping-particle":"","family":"Netessine","given":"S.","non-dropping-particle":"","parse-names":false,"suffix":""}],"container-title":"Management Science","id":"ITEM-1","issue":"6","issued":{"date-parts":[["2014"]]},"page":"1574-1593","title":"When Does the Devil Make Work? An Empirical Study of the Impact of Workload on Worker Productivity","type":"article-journal","volume":"60"},"uris":["http://www.mendeley.com/documents/?uuid=35c40de5-a4da-4299-ae05-ce61e8318e8f"]}],"mendeley":{"formattedCitation":"(Tan &amp; Netessine, 2014)","manualFormatting":"Tan &amp; Netessine (2014)","plainTextFormattedCitation":"(Tan &amp; Netessine, 2014)","previouslyFormattedCitation":"(Tan &amp; Netessine, 2014)"},"properties":{"noteIndex":0},"schema":"https://github.com/citation-style-language/schema/raw/master/csl-citation.json"}</w:instrText>
      </w:r>
      <w:r w:rsidR="001C4B25">
        <w:rPr>
          <w:lang w:eastAsia="en-US"/>
        </w:rPr>
        <w:fldChar w:fldCharType="separate"/>
      </w:r>
      <w:r w:rsidR="001C4B25">
        <w:rPr>
          <w:noProof/>
          <w:lang w:eastAsia="en-US"/>
        </w:rPr>
        <w:t>Tan &amp; Netessine (</w:t>
      </w:r>
      <w:r w:rsidR="001C4B25" w:rsidRPr="00AD1AF8">
        <w:rPr>
          <w:noProof/>
          <w:lang w:eastAsia="en-US"/>
        </w:rPr>
        <w:t>2014)</w:t>
      </w:r>
      <w:r w:rsidR="001C4B25">
        <w:rPr>
          <w:lang w:eastAsia="en-US"/>
        </w:rPr>
        <w:fldChar w:fldCharType="end"/>
      </w:r>
      <w:r w:rsidR="001C4B25">
        <w:rPr>
          <w:lang w:eastAsia="en-US"/>
        </w:rPr>
        <w:t xml:space="preserve"> which states th</w:t>
      </w:r>
      <w:r w:rsidR="00CF1218">
        <w:rPr>
          <w:lang w:eastAsia="en-US"/>
        </w:rPr>
        <w:t xml:space="preserve">at when workload is too high, it </w:t>
      </w:r>
      <w:r w:rsidR="001C4B25">
        <w:rPr>
          <w:lang w:eastAsia="en-US"/>
        </w:rPr>
        <w:t>obstructs workers from fulfill</w:t>
      </w:r>
      <w:r w:rsidR="00CF1218">
        <w:rPr>
          <w:lang w:eastAsia="en-US"/>
        </w:rPr>
        <w:t>ing their targets and reduces</w:t>
      </w:r>
      <w:r w:rsidR="001C4B25">
        <w:rPr>
          <w:lang w:eastAsia="en-US"/>
        </w:rPr>
        <w:t xml:space="preserve"> workers’ motivation and commitment. </w:t>
      </w:r>
      <w:proofErr w:type="spellStart"/>
      <w:r w:rsidR="00F57010">
        <w:rPr>
          <w:lang w:eastAsia="en-US"/>
        </w:rPr>
        <w:t>Colaco</w:t>
      </w:r>
      <w:proofErr w:type="spellEnd"/>
      <w:r w:rsidR="00F57010">
        <w:rPr>
          <w:lang w:eastAsia="en-US"/>
        </w:rPr>
        <w:t xml:space="preserve"> et al. (2018</w:t>
      </w:r>
      <w:r w:rsidR="00A3193E" w:rsidRPr="00A3193E">
        <w:rPr>
          <w:lang w:eastAsia="en-US"/>
        </w:rPr>
        <w:t xml:space="preserve">) provide evidence </w:t>
      </w:r>
      <w:r w:rsidR="00A3193E">
        <w:rPr>
          <w:lang w:eastAsia="en-US"/>
        </w:rPr>
        <w:t>about the decrease in</w:t>
      </w:r>
      <w:r w:rsidR="00A3193E" w:rsidRPr="00A3193E">
        <w:rPr>
          <w:lang w:eastAsia="en-US"/>
        </w:rPr>
        <w:t xml:space="preserve"> waiting period </w:t>
      </w:r>
      <w:r w:rsidR="00A3193E">
        <w:rPr>
          <w:lang w:eastAsia="en-US"/>
        </w:rPr>
        <w:t xml:space="preserve">in the </w:t>
      </w:r>
      <w:r w:rsidR="002E566B">
        <w:rPr>
          <w:lang w:eastAsia="en-US"/>
        </w:rPr>
        <w:t>hot IPO market.</w:t>
      </w:r>
      <w:r w:rsidR="002E566B">
        <w:rPr>
          <w:rStyle w:val="FootnoteReference"/>
          <w:lang w:eastAsia="en-US"/>
        </w:rPr>
        <w:footnoteReference w:id="13"/>
      </w:r>
    </w:p>
    <w:p w14:paraId="63C61497" w14:textId="649ACBAB" w:rsidR="00CA4AAD" w:rsidRDefault="007A4F68" w:rsidP="0030659B">
      <w:pPr>
        <w:spacing w:line="360" w:lineRule="auto"/>
        <w:jc w:val="both"/>
      </w:pPr>
      <w:r>
        <w:t xml:space="preserve">Regarding </w:t>
      </w:r>
      <w:r w:rsidRPr="00A3193E">
        <w:rPr>
          <w:i/>
        </w:rPr>
        <w:t>Herfindahl index</w:t>
      </w:r>
      <w:r>
        <w:t xml:space="preserve">, I  follow </w:t>
      </w:r>
      <w:r w:rsidRPr="007A4F68">
        <w:rPr>
          <w:rFonts w:eastAsiaTheme="minorEastAsia"/>
          <w:lang w:eastAsia="en-US"/>
        </w:rPr>
        <w:fldChar w:fldCharType="begin" w:fldLock="1"/>
      </w:r>
      <w:r w:rsidR="00746CBC">
        <w:rPr>
          <w:rFonts w:eastAsiaTheme="minorEastAsia"/>
          <w:lang w:eastAsia="en-US"/>
        </w:rPr>
        <w:instrText>ADDIN CSL_CITATION {"citationItems":[{"id":"ITEM-1","itemData":{"DOI":"10.1016/j.jaccpubpol.2015.11.005","ISSN":"0278-4254","author":[{"dropping-particle":"","family":"Wang","given":"Qian","non-dropping-particle":"","parse-names":false,"suffix":""}],"container-title":"Journal of Accounting and Public Policy","id":"ITEM-1","issue":"2","issued":{"date-parts":[["2016"]]},"page":"109-133","publisher":"Elsevier Inc.","title":"J . Account . Public Policy Determinants of segment disclosure deficiencies and the effect of the SEC comment letter process q","type":"article-journal","volume":"35"},"uris":["http://www.mendeley.com/documents/?uuid=91cfdfb9-8157-4540-8d03-7dd2af28c48c"]}],"mendeley":{"formattedCitation":"(Wang, 2016)","manualFormatting":"Wang (2016)","plainTextFormattedCitation":"(Wang, 2016)","previouslyFormattedCitation":"(Wang, 2016)"},"properties":{"noteIndex":0},"schema":"https://github.com/citation-style-language/schema/raw/master/csl-citation.json"}</w:instrText>
      </w:r>
      <w:r w:rsidRPr="007A4F68">
        <w:rPr>
          <w:rFonts w:eastAsiaTheme="minorEastAsia"/>
          <w:lang w:eastAsia="en-US"/>
        </w:rPr>
        <w:fldChar w:fldCharType="separate"/>
      </w:r>
      <w:r w:rsidR="00746CBC">
        <w:rPr>
          <w:rFonts w:eastAsiaTheme="minorEastAsia"/>
          <w:noProof/>
          <w:lang w:eastAsia="en-US"/>
        </w:rPr>
        <w:t>Wang (</w:t>
      </w:r>
      <w:r w:rsidRPr="007A4F68">
        <w:rPr>
          <w:rFonts w:eastAsiaTheme="minorEastAsia"/>
          <w:noProof/>
          <w:lang w:eastAsia="en-US"/>
        </w:rPr>
        <w:t>2016)</w:t>
      </w:r>
      <w:r w:rsidRPr="007A4F68">
        <w:rPr>
          <w:rFonts w:eastAsiaTheme="minorEastAsia"/>
          <w:lang w:eastAsia="en-US"/>
        </w:rPr>
        <w:fldChar w:fldCharType="end"/>
      </w:r>
      <w:r>
        <w:rPr>
          <w:rFonts w:eastAsiaTheme="minorEastAsia"/>
          <w:lang w:eastAsia="en-US"/>
        </w:rPr>
        <w:t xml:space="preserve"> </w:t>
      </w:r>
      <w:r>
        <w:t xml:space="preserve"> by using the following equation.</w:t>
      </w:r>
    </w:p>
    <w:p w14:paraId="4CC76EE4" w14:textId="5E564A90" w:rsidR="00CA4AAD" w:rsidRPr="007A4F68" w:rsidRDefault="007A4F68" w:rsidP="007A4F68">
      <w:pPr>
        <w:spacing w:line="360" w:lineRule="auto"/>
        <w:ind w:firstLine="489"/>
        <w:jc w:val="both"/>
        <w:rPr>
          <w:rFonts w:eastAsiaTheme="minorEastAsia"/>
          <w:lang w:eastAsia="en-US"/>
        </w:rPr>
      </w:pPr>
      <m:oMathPara>
        <m:oMath>
          <m:r>
            <w:rPr>
              <w:rFonts w:ascii="Cambria Math" w:hAnsi="Cambria Math"/>
              <w:lang w:eastAsia="en-US"/>
            </w:rPr>
            <m:t>Herfindahl Index=</m:t>
          </m:r>
          <m:nary>
            <m:naryPr>
              <m:chr m:val="∑"/>
              <m:limLoc m:val="undOvr"/>
              <m:ctrlPr>
                <w:rPr>
                  <w:rFonts w:ascii="Cambria Math" w:hAnsi="Cambria Math"/>
                  <w:i/>
                  <w:lang w:eastAsia="en-US"/>
                </w:rPr>
              </m:ctrlPr>
            </m:naryPr>
            <m:sub>
              <m:r>
                <w:rPr>
                  <w:rFonts w:ascii="Cambria Math" w:hAnsi="Cambria Math"/>
                  <w:lang w:eastAsia="en-US"/>
                </w:rPr>
                <m:t>i=1</m:t>
              </m:r>
            </m:sub>
            <m:sup>
              <m:r>
                <w:rPr>
                  <w:rFonts w:ascii="Cambria Math" w:hAnsi="Cambria Math"/>
                  <w:lang w:eastAsia="en-US"/>
                </w:rPr>
                <m:t>n</m:t>
              </m:r>
            </m:sup>
            <m:e>
              <m:sSup>
                <m:sSupPr>
                  <m:ctrlPr>
                    <w:rPr>
                      <w:rFonts w:ascii="Cambria Math" w:hAnsi="Cambria Math"/>
                      <w:i/>
                      <w:lang w:eastAsia="en-US"/>
                    </w:rPr>
                  </m:ctrlPr>
                </m:sSupPr>
                <m:e>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sales</m:t>
                          </m:r>
                        </m:e>
                        <m:sub>
                          <m:r>
                            <w:rPr>
                              <w:rFonts w:ascii="Cambria Math" w:hAnsi="Cambria Math"/>
                              <w:lang w:eastAsia="en-US"/>
                            </w:rPr>
                            <m:t>ij</m:t>
                          </m:r>
                        </m:sub>
                      </m:sSub>
                    </m:num>
                    <m:den>
                      <m:sSub>
                        <m:sSubPr>
                          <m:ctrlPr>
                            <w:rPr>
                              <w:rFonts w:ascii="Cambria Math" w:hAnsi="Cambria Math"/>
                              <w:i/>
                              <w:lang w:eastAsia="en-US"/>
                            </w:rPr>
                          </m:ctrlPr>
                        </m:sSubPr>
                        <m:e>
                          <m:r>
                            <w:rPr>
                              <w:rFonts w:ascii="Cambria Math" w:hAnsi="Cambria Math"/>
                              <w:lang w:eastAsia="en-US"/>
                            </w:rPr>
                            <m:t>sales</m:t>
                          </m:r>
                        </m:e>
                        <m:sub>
                          <m:r>
                            <w:rPr>
                              <w:rFonts w:ascii="Cambria Math" w:hAnsi="Cambria Math"/>
                              <w:lang w:eastAsia="en-US"/>
                            </w:rPr>
                            <m:t>j</m:t>
                          </m:r>
                        </m:sub>
                      </m:sSub>
                    </m:den>
                  </m:f>
                  <m:r>
                    <w:rPr>
                      <w:rFonts w:ascii="Cambria Math" w:hAnsi="Cambria Math"/>
                      <w:lang w:eastAsia="en-US"/>
                    </w:rPr>
                    <m:t>)</m:t>
                  </m:r>
                </m:e>
                <m:sup>
                  <m:r>
                    <w:rPr>
                      <w:rFonts w:ascii="Cambria Math" w:hAnsi="Cambria Math"/>
                      <w:lang w:eastAsia="en-US"/>
                    </w:rPr>
                    <m:t>2</m:t>
                  </m:r>
                </m:sup>
              </m:sSup>
            </m:e>
          </m:nary>
        </m:oMath>
      </m:oMathPara>
    </w:p>
    <w:p w14:paraId="740012CD" w14:textId="5B47D774" w:rsidR="00626DC3" w:rsidRPr="00A3193E" w:rsidRDefault="007A4F68" w:rsidP="00963CD4">
      <w:pPr>
        <w:spacing w:line="360" w:lineRule="auto"/>
        <w:jc w:val="both"/>
        <w:rPr>
          <w:lang w:eastAsia="en-US"/>
        </w:rPr>
      </w:pPr>
      <w:r>
        <w:rPr>
          <w:rFonts w:eastAsiaTheme="minorEastAsia"/>
          <w:lang w:eastAsia="en-US"/>
        </w:rPr>
        <w:t xml:space="preserve">Where </w:t>
      </w:r>
      <m:oMath>
        <m:sSub>
          <m:sSubPr>
            <m:ctrlPr>
              <w:rPr>
                <w:rFonts w:ascii="Cambria Math" w:eastAsiaTheme="minorEastAsia" w:hAnsi="Cambria Math"/>
                <w:i/>
                <w:lang w:eastAsia="en-US"/>
              </w:rPr>
            </m:ctrlPr>
          </m:sSubPr>
          <m:e>
            <m:r>
              <w:rPr>
                <w:rFonts w:ascii="Cambria Math" w:eastAsiaTheme="minorEastAsia" w:hAnsi="Cambria Math"/>
                <w:lang w:eastAsia="en-US"/>
              </w:rPr>
              <m:t>sales</m:t>
            </m:r>
          </m:e>
          <m:sub>
            <m:r>
              <w:rPr>
                <w:rFonts w:ascii="Cambria Math" w:eastAsiaTheme="minorEastAsia" w:hAnsi="Cambria Math"/>
                <w:lang w:eastAsia="en-US"/>
              </w:rPr>
              <m:t>ij</m:t>
            </m:r>
          </m:sub>
        </m:sSub>
      </m:oMath>
      <w:r w:rsidRPr="007A4F68">
        <w:rPr>
          <w:rFonts w:eastAsiaTheme="minorEastAsia"/>
          <w:lang w:eastAsia="en-US"/>
        </w:rPr>
        <w:t xml:space="preserve"> is firm i’s sales in industry j, as defined by two-digit SIC codes, </w:t>
      </w:r>
      <m:oMath>
        <m:sSub>
          <m:sSubPr>
            <m:ctrlPr>
              <w:rPr>
                <w:rFonts w:ascii="Cambria Math" w:eastAsiaTheme="minorEastAsia" w:hAnsi="Cambria Math"/>
                <w:i/>
                <w:lang w:eastAsia="en-US"/>
              </w:rPr>
            </m:ctrlPr>
          </m:sSubPr>
          <m:e>
            <m:r>
              <w:rPr>
                <w:rFonts w:ascii="Cambria Math" w:eastAsiaTheme="minorEastAsia" w:hAnsi="Cambria Math"/>
                <w:lang w:eastAsia="en-US"/>
              </w:rPr>
              <m:t>sales</m:t>
            </m:r>
          </m:e>
          <m:sub>
            <m:r>
              <w:rPr>
                <w:rFonts w:ascii="Cambria Math" w:eastAsiaTheme="minorEastAsia" w:hAnsi="Cambria Math"/>
                <w:lang w:eastAsia="en-US"/>
              </w:rPr>
              <m:t>j</m:t>
            </m:r>
          </m:sub>
        </m:sSub>
      </m:oMath>
      <w:r w:rsidRPr="007A4F68">
        <w:rPr>
          <w:rFonts w:eastAsiaTheme="minorEastAsia"/>
          <w:lang w:eastAsia="en-US"/>
        </w:rPr>
        <w:t xml:space="preserve"> is the sum of sa</w:t>
      </w:r>
      <w:r>
        <w:rPr>
          <w:rFonts w:eastAsiaTheme="minorEastAsia"/>
          <w:lang w:eastAsia="en-US"/>
        </w:rPr>
        <w:t>les for all firms in industry j.</w:t>
      </w:r>
      <w:r w:rsidR="00A3193E">
        <w:rPr>
          <w:rFonts w:eastAsiaTheme="minorEastAsia"/>
          <w:lang w:eastAsia="en-US"/>
        </w:rPr>
        <w:t xml:space="preserve">  I expect a positive relationship between </w:t>
      </w:r>
      <w:r w:rsidR="00A3193E">
        <w:rPr>
          <w:rFonts w:eastAsiaTheme="minorEastAsia"/>
          <w:i/>
          <w:lang w:eastAsia="en-US"/>
        </w:rPr>
        <w:t xml:space="preserve">Herfindahl index </w:t>
      </w:r>
      <w:r w:rsidR="00A3193E">
        <w:rPr>
          <w:rFonts w:eastAsiaTheme="minorEastAsia"/>
          <w:lang w:eastAsia="en-US"/>
        </w:rPr>
        <w:t>and the SEC review attributes</w:t>
      </w:r>
      <w:r w:rsidR="00600B99">
        <w:rPr>
          <w:rFonts w:eastAsiaTheme="minorEastAsia"/>
          <w:lang w:eastAsia="en-US"/>
        </w:rPr>
        <w:t xml:space="preserve"> as in line with the finding of</w:t>
      </w:r>
      <w:r w:rsidR="00A3193E">
        <w:rPr>
          <w:i/>
          <w:lang w:eastAsia="en-US"/>
        </w:rPr>
        <w:t xml:space="preserve"> </w:t>
      </w:r>
      <w:r w:rsidR="00A611DF">
        <w:rPr>
          <w:i/>
          <w:lang w:eastAsia="en-US"/>
        </w:rPr>
        <w:fldChar w:fldCharType="begin" w:fldLock="1"/>
      </w:r>
      <w:r w:rsidR="00900BF8">
        <w:rPr>
          <w:i/>
          <w:lang w:eastAsia="en-US"/>
        </w:rPr>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et al., 2014)","manualFormatting":"Ali et al. (2014)","plainTextFormattedCitation":"(Ali et al., 2014)","previouslyFormattedCitation":"(Ali et al., 2014)"},"properties":{"noteIndex":0},"schema":"https://github.com/citation-style-language/schema/raw/master/csl-citation.json"}</w:instrText>
      </w:r>
      <w:r w:rsidR="00A611DF">
        <w:rPr>
          <w:i/>
          <w:lang w:eastAsia="en-US"/>
        </w:rPr>
        <w:fldChar w:fldCharType="separate"/>
      </w:r>
      <w:r w:rsidR="00A611DF">
        <w:rPr>
          <w:noProof/>
          <w:lang w:eastAsia="en-US"/>
        </w:rPr>
        <w:t>Ali et al. (</w:t>
      </w:r>
      <w:r w:rsidR="00A611DF" w:rsidRPr="00A611DF">
        <w:rPr>
          <w:noProof/>
          <w:lang w:eastAsia="en-US"/>
        </w:rPr>
        <w:t>2014)</w:t>
      </w:r>
      <w:r w:rsidR="00A611DF">
        <w:rPr>
          <w:i/>
          <w:lang w:eastAsia="en-US"/>
        </w:rPr>
        <w:fldChar w:fldCharType="end"/>
      </w:r>
      <w:r w:rsidR="00A611DF">
        <w:rPr>
          <w:i/>
          <w:lang w:eastAsia="en-US"/>
        </w:rPr>
        <w:t xml:space="preserve"> </w:t>
      </w:r>
      <w:r w:rsidR="00A3193E">
        <w:rPr>
          <w:lang w:eastAsia="en-US"/>
        </w:rPr>
        <w:t>who identify that</w:t>
      </w:r>
      <w:r w:rsidR="00A611DF">
        <w:rPr>
          <w:lang w:eastAsia="en-US"/>
        </w:rPr>
        <w:t xml:space="preserve"> due to </w:t>
      </w:r>
      <w:r w:rsidR="00A611DF" w:rsidRPr="00A611DF">
        <w:rPr>
          <w:lang w:eastAsia="en-US"/>
        </w:rPr>
        <w:t>proprietary costs of disclosure</w:t>
      </w:r>
      <w:r w:rsidR="00A611DF">
        <w:rPr>
          <w:lang w:eastAsia="en-US"/>
        </w:rPr>
        <w:t>,</w:t>
      </w:r>
      <w:r w:rsidR="00A3193E" w:rsidRPr="006F229B">
        <w:rPr>
          <w:i/>
          <w:lang w:eastAsia="en-US"/>
        </w:rPr>
        <w:t xml:space="preserve"> </w:t>
      </w:r>
      <w:r w:rsidR="00A3193E">
        <w:rPr>
          <w:lang w:eastAsia="en-US"/>
        </w:rPr>
        <w:t xml:space="preserve">in </w:t>
      </w:r>
      <w:r w:rsidR="00776A08">
        <w:rPr>
          <w:lang w:eastAsia="en-US"/>
        </w:rPr>
        <w:t>high</w:t>
      </w:r>
      <w:r w:rsidR="00A3193E">
        <w:rPr>
          <w:lang w:eastAsia="en-US"/>
        </w:rPr>
        <w:t>-concentrated</w:t>
      </w:r>
      <w:r w:rsidR="00A3193E" w:rsidRPr="006F229B">
        <w:rPr>
          <w:lang w:eastAsia="en-US"/>
        </w:rPr>
        <w:t xml:space="preserve"> </w:t>
      </w:r>
      <w:r w:rsidR="00A3193E">
        <w:rPr>
          <w:lang w:eastAsia="en-US"/>
        </w:rPr>
        <w:t xml:space="preserve">or </w:t>
      </w:r>
      <w:r w:rsidR="00776A08">
        <w:rPr>
          <w:lang w:eastAsia="en-US"/>
        </w:rPr>
        <w:t>low</w:t>
      </w:r>
      <w:r w:rsidR="00A3193E">
        <w:rPr>
          <w:lang w:eastAsia="en-US"/>
        </w:rPr>
        <w:t>-competitive markets, information uncertainty</w:t>
      </w:r>
      <w:r w:rsidR="00A611DF">
        <w:rPr>
          <w:lang w:eastAsia="en-US"/>
        </w:rPr>
        <w:t xml:space="preserve">, which is measured by dispersion in analysts’ earnings forecasts, is </w:t>
      </w:r>
      <w:r w:rsidR="00A3193E">
        <w:rPr>
          <w:lang w:eastAsia="en-US"/>
        </w:rPr>
        <w:t xml:space="preserve">higher, </w:t>
      </w:r>
      <w:r w:rsidR="00A611DF">
        <w:rPr>
          <w:lang w:eastAsia="en-US"/>
        </w:rPr>
        <w:t>suggesting</w:t>
      </w:r>
      <w:r w:rsidR="00A3193E">
        <w:rPr>
          <w:lang w:eastAsia="en-US"/>
        </w:rPr>
        <w:t xml:space="preserve"> more SEC scrutiny </w:t>
      </w:r>
      <w:r w:rsidR="000A67A0">
        <w:rPr>
          <w:lang w:eastAsia="en-US"/>
        </w:rPr>
        <w:t xml:space="preserve">. This expectation </w:t>
      </w:r>
      <w:proofErr w:type="gramStart"/>
      <w:r w:rsidR="000A67A0">
        <w:rPr>
          <w:lang w:eastAsia="en-US"/>
        </w:rPr>
        <w:t>is in agreement</w:t>
      </w:r>
      <w:proofErr w:type="gramEnd"/>
      <w:r w:rsidR="000A67A0">
        <w:rPr>
          <w:lang w:eastAsia="en-US"/>
        </w:rPr>
        <w:t xml:space="preserve"> with the assumption of public interest theory.</w:t>
      </w:r>
    </w:p>
    <w:p w14:paraId="1755E555" w14:textId="09955656" w:rsidR="00CA4AAD" w:rsidRDefault="007A4F68" w:rsidP="00C17F90">
      <w:pPr>
        <w:pStyle w:val="ListParagraph"/>
        <w:numPr>
          <w:ilvl w:val="2"/>
          <w:numId w:val="1"/>
        </w:numPr>
        <w:spacing w:line="360" w:lineRule="auto"/>
        <w:ind w:left="851"/>
        <w:jc w:val="both"/>
        <w:outlineLvl w:val="2"/>
        <w:rPr>
          <w:b/>
        </w:rPr>
      </w:pPr>
      <w:bookmarkStart w:id="28" w:name="_Toc9185796"/>
      <w:r w:rsidRPr="007A4F68">
        <w:rPr>
          <w:b/>
        </w:rPr>
        <w:t>SEC characteristics</w:t>
      </w:r>
      <w:bookmarkEnd w:id="28"/>
    </w:p>
    <w:p w14:paraId="11459471" w14:textId="51F4ACB4" w:rsidR="0023705B" w:rsidRPr="0023705B" w:rsidRDefault="002069CA" w:rsidP="0030659B">
      <w:pPr>
        <w:spacing w:line="360" w:lineRule="auto"/>
        <w:jc w:val="both"/>
        <w:rPr>
          <w:lang w:eastAsia="en-US"/>
        </w:rPr>
      </w:pPr>
      <w:r>
        <w:t xml:space="preserve">Regarding </w:t>
      </w:r>
      <w:r w:rsidR="003F656E">
        <w:t>the examination of the impact of the SEC reviewers’ characteristics on the SEC review, I employ a proxy of the reviewers’ job position (</w:t>
      </w:r>
      <w:r w:rsidR="003F656E" w:rsidRPr="003F656E">
        <w:rPr>
          <w:i/>
        </w:rPr>
        <w:t>Directors/Chiefs</w:t>
      </w:r>
      <w:r w:rsidR="003F656E">
        <w:t>) and a proxy of the reviewers’ job classification (</w:t>
      </w:r>
      <w:r w:rsidR="003F656E">
        <w:rPr>
          <w:i/>
        </w:rPr>
        <w:t>Accountant)</w:t>
      </w:r>
      <w:r w:rsidR="003F656E">
        <w:t xml:space="preserve">. </w:t>
      </w:r>
      <w:r w:rsidR="00EC63C2">
        <w:t xml:space="preserve">Following </w:t>
      </w:r>
      <w:r w:rsidR="00EC63C2" w:rsidRPr="003F656E">
        <w:t>Baugh et al.</w:t>
      </w:r>
      <w:r w:rsidR="00EC63C2">
        <w:t xml:space="preserve"> (</w:t>
      </w:r>
      <w:r w:rsidR="00EC63C2" w:rsidRPr="003F656E">
        <w:t>2017</w:t>
      </w:r>
      <w:r w:rsidR="00EC63C2">
        <w:t xml:space="preserve">), </w:t>
      </w:r>
      <w:r w:rsidR="00EC63C2" w:rsidRPr="007621A6">
        <w:t>I recognize the reviewer as the person who approves and signs the first comment letter.</w:t>
      </w:r>
      <w:r w:rsidR="00EC63C2">
        <w:t xml:space="preserve"> </w:t>
      </w:r>
      <w:r w:rsidR="003F656E" w:rsidRPr="003F656E">
        <w:rPr>
          <w:i/>
        </w:rPr>
        <w:t>Directors/Chiefs</w:t>
      </w:r>
      <w:r w:rsidR="003F656E">
        <w:rPr>
          <w:i/>
        </w:rPr>
        <w:t xml:space="preserve"> </w:t>
      </w:r>
      <w:r w:rsidR="003F656E">
        <w:t>is a</w:t>
      </w:r>
      <w:r w:rsidR="003F656E" w:rsidRPr="003F656E">
        <w:t xml:space="preserve">n indicator variable </w:t>
      </w:r>
      <w:r w:rsidR="003F656E">
        <w:t>which equal</w:t>
      </w:r>
      <w:r w:rsidR="00A02079">
        <w:t>s</w:t>
      </w:r>
      <w:r w:rsidR="003F656E" w:rsidRPr="003F656E">
        <w:t xml:space="preserve"> to 1 if</w:t>
      </w:r>
      <w:r w:rsidR="00EC63C2">
        <w:t xml:space="preserve"> job position of the reviewer </w:t>
      </w:r>
      <w:r w:rsidR="003F656E" w:rsidRPr="003F656E">
        <w:t xml:space="preserve">is Assistant Director, Senior Assistant Chief Accountant, Legal Branch Chief or Accounting Branch Chief, and 0 </w:t>
      </w:r>
      <w:r w:rsidR="00C56209">
        <w:t xml:space="preserve">if the job position of the reviewer is </w:t>
      </w:r>
      <w:r w:rsidR="00E82AA3">
        <w:t>Professional</w:t>
      </w:r>
      <w:r w:rsidR="003F656E" w:rsidRPr="003F656E">
        <w:t xml:space="preserve"> (Baugh et al., 2017)</w:t>
      </w:r>
      <w:r w:rsidR="003F656E">
        <w:t xml:space="preserve">. </w:t>
      </w:r>
      <w:r w:rsidR="00C56209" w:rsidRPr="000912EF">
        <w:rPr>
          <w:lang w:eastAsia="en-US"/>
        </w:rPr>
        <w:t>Organizational hierarchy of an office in Corporat</w:t>
      </w:r>
      <w:r w:rsidR="00A02079">
        <w:rPr>
          <w:lang w:eastAsia="en-US"/>
        </w:rPr>
        <w:t>e</w:t>
      </w:r>
      <w:r w:rsidR="00C56209" w:rsidRPr="000912EF">
        <w:rPr>
          <w:lang w:eastAsia="en-US"/>
        </w:rPr>
        <w:t xml:space="preserve"> Finance Division is provided in </w:t>
      </w:r>
      <w:r w:rsidR="004F6EC2" w:rsidRPr="004F6EC2">
        <w:rPr>
          <w:lang w:eastAsia="en-US"/>
        </w:rPr>
        <w:t>Figure</w:t>
      </w:r>
      <w:r w:rsidR="00C56209" w:rsidRPr="004F6EC2">
        <w:rPr>
          <w:lang w:eastAsia="en-US"/>
        </w:rPr>
        <w:t xml:space="preserve"> </w:t>
      </w:r>
      <w:r w:rsidR="004F6EC2" w:rsidRPr="004F6EC2">
        <w:rPr>
          <w:lang w:eastAsia="en-US"/>
        </w:rPr>
        <w:t>3</w:t>
      </w:r>
      <w:r w:rsidR="00C56209" w:rsidRPr="004F6EC2">
        <w:rPr>
          <w:lang w:eastAsia="en-US"/>
        </w:rPr>
        <w:t>.</w:t>
      </w:r>
      <w:r w:rsidR="00C56209">
        <w:rPr>
          <w:lang w:eastAsia="en-US"/>
        </w:rPr>
        <w:t xml:space="preserve"> </w:t>
      </w:r>
      <w:r w:rsidR="0023705B">
        <w:rPr>
          <w:lang w:eastAsia="en-US"/>
        </w:rPr>
        <w:t xml:space="preserve">I expect a negative relationship between </w:t>
      </w:r>
      <w:r w:rsidR="0023705B">
        <w:rPr>
          <w:i/>
          <w:lang w:eastAsia="en-US"/>
        </w:rPr>
        <w:t xml:space="preserve">Directors/Chiefs </w:t>
      </w:r>
      <w:r w:rsidR="0023705B">
        <w:rPr>
          <w:lang w:eastAsia="en-US"/>
        </w:rPr>
        <w:t xml:space="preserve">and </w:t>
      </w:r>
      <w:r w:rsidR="0023705B">
        <w:rPr>
          <w:i/>
          <w:lang w:eastAsia="en-US"/>
        </w:rPr>
        <w:t xml:space="preserve">Duration </w:t>
      </w:r>
      <w:r w:rsidR="00F953F3">
        <w:rPr>
          <w:lang w:eastAsia="en-US"/>
        </w:rPr>
        <w:t xml:space="preserve">as in line with the findings of </w:t>
      </w:r>
      <w:r w:rsidR="00F953F3"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F953F3" w:rsidRPr="000912EF">
        <w:rPr>
          <w:lang w:eastAsia="en-US"/>
        </w:rPr>
        <w:fldChar w:fldCharType="separate"/>
      </w:r>
      <w:r w:rsidR="00F953F3" w:rsidRPr="000912EF">
        <w:rPr>
          <w:noProof/>
          <w:lang w:eastAsia="en-US"/>
        </w:rPr>
        <w:t>Baugh et al. (2017)</w:t>
      </w:r>
      <w:r w:rsidR="00F953F3" w:rsidRPr="000912EF">
        <w:rPr>
          <w:lang w:eastAsia="en-US"/>
        </w:rPr>
        <w:fldChar w:fldCharType="end"/>
      </w:r>
      <w:r w:rsidR="00F953F3">
        <w:rPr>
          <w:lang w:eastAsia="en-US"/>
        </w:rPr>
        <w:t xml:space="preserve"> who basing on the assumption of </w:t>
      </w:r>
      <w:r w:rsidR="00EC63C2">
        <w:rPr>
          <w:lang w:eastAsia="en-US"/>
        </w:rPr>
        <w:t xml:space="preserve">personal </w:t>
      </w:r>
      <w:r w:rsidR="00F953F3">
        <w:rPr>
          <w:lang w:eastAsia="en-US"/>
        </w:rPr>
        <w:t>experience of the in</w:t>
      </w:r>
      <w:r w:rsidR="00E82AA3">
        <w:rPr>
          <w:lang w:eastAsia="en-US"/>
        </w:rPr>
        <w:t>dividual style effects theory,</w:t>
      </w:r>
      <w:r w:rsidR="00F953F3">
        <w:rPr>
          <w:lang w:eastAsia="en-US"/>
        </w:rPr>
        <w:t xml:space="preserve"> suggest</w:t>
      </w:r>
      <w:r w:rsidR="00E82AA3">
        <w:rPr>
          <w:lang w:eastAsia="en-US"/>
        </w:rPr>
        <w:t>ing</w:t>
      </w:r>
      <w:r w:rsidR="00F953F3">
        <w:rPr>
          <w:lang w:eastAsia="en-US"/>
        </w:rPr>
        <w:t xml:space="preserve"> that the </w:t>
      </w:r>
      <w:r w:rsidR="008F436F">
        <w:rPr>
          <w:lang w:eastAsia="en-US"/>
        </w:rPr>
        <w:t>re</w:t>
      </w:r>
      <w:r w:rsidR="00F953F3">
        <w:rPr>
          <w:lang w:eastAsia="en-US"/>
        </w:rPr>
        <w:t xml:space="preserve">viewer with </w:t>
      </w:r>
      <w:r w:rsidR="00E82AA3">
        <w:rPr>
          <w:lang w:eastAsia="en-US"/>
        </w:rPr>
        <w:t xml:space="preserve">a </w:t>
      </w:r>
      <w:r w:rsidR="00F953F3">
        <w:rPr>
          <w:lang w:eastAsia="en-US"/>
        </w:rPr>
        <w:t>higher job position could have more experience</w:t>
      </w:r>
      <w:r w:rsidR="00EC63C2">
        <w:rPr>
          <w:lang w:eastAsia="en-US"/>
        </w:rPr>
        <w:t>,</w:t>
      </w:r>
      <w:r w:rsidR="00F953F3">
        <w:rPr>
          <w:lang w:eastAsia="en-US"/>
        </w:rPr>
        <w:t xml:space="preserve"> and hence</w:t>
      </w:r>
      <w:r w:rsidR="00E82AA3">
        <w:rPr>
          <w:lang w:eastAsia="en-US"/>
        </w:rPr>
        <w:t xml:space="preserve">, spend less time </w:t>
      </w:r>
      <w:r w:rsidR="00F953F3">
        <w:rPr>
          <w:lang w:eastAsia="en-US"/>
        </w:rPr>
        <w:t>conduct</w:t>
      </w:r>
      <w:r w:rsidR="00E82AA3">
        <w:rPr>
          <w:lang w:eastAsia="en-US"/>
        </w:rPr>
        <w:t>ing</w:t>
      </w:r>
      <w:r w:rsidR="00F953F3">
        <w:rPr>
          <w:lang w:eastAsia="en-US"/>
        </w:rPr>
        <w:t xml:space="preserve"> the review. In addition, I expect a positive relationship between </w:t>
      </w:r>
      <w:r w:rsidR="00F953F3">
        <w:rPr>
          <w:i/>
          <w:lang w:eastAsia="en-US"/>
        </w:rPr>
        <w:t xml:space="preserve">Directors/Chiefs </w:t>
      </w:r>
      <w:r w:rsidR="00F953F3">
        <w:rPr>
          <w:lang w:eastAsia="en-US"/>
        </w:rPr>
        <w:t xml:space="preserve">and </w:t>
      </w:r>
      <w:r w:rsidR="00F953F3">
        <w:rPr>
          <w:i/>
          <w:lang w:eastAsia="en-US"/>
        </w:rPr>
        <w:t xml:space="preserve">Letters </w:t>
      </w:r>
      <w:r w:rsidR="00F953F3">
        <w:rPr>
          <w:lang w:eastAsia="en-US"/>
        </w:rPr>
        <w:t xml:space="preserve">and </w:t>
      </w:r>
      <w:r w:rsidR="00F953F3">
        <w:rPr>
          <w:i/>
          <w:lang w:eastAsia="en-US"/>
        </w:rPr>
        <w:t>Comments</w:t>
      </w:r>
      <w:r w:rsidR="00E82AA3">
        <w:rPr>
          <w:lang w:eastAsia="en-US"/>
        </w:rPr>
        <w:t xml:space="preserve"> in accordance </w:t>
      </w:r>
      <w:r w:rsidR="00F953F3">
        <w:rPr>
          <w:lang w:eastAsia="en-US"/>
        </w:rPr>
        <w:t xml:space="preserve">with the findings of </w:t>
      </w:r>
      <w:r w:rsidR="00F953F3"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F953F3" w:rsidRPr="000912EF">
        <w:rPr>
          <w:lang w:eastAsia="en-US"/>
        </w:rPr>
        <w:fldChar w:fldCharType="separate"/>
      </w:r>
      <w:r w:rsidR="00F953F3" w:rsidRPr="000912EF">
        <w:rPr>
          <w:noProof/>
          <w:lang w:eastAsia="en-US"/>
        </w:rPr>
        <w:t>Baugh et al. (2017)</w:t>
      </w:r>
      <w:r w:rsidR="00F953F3" w:rsidRPr="000912EF">
        <w:rPr>
          <w:lang w:eastAsia="en-US"/>
        </w:rPr>
        <w:fldChar w:fldCharType="end"/>
      </w:r>
      <w:r w:rsidR="00E82AA3">
        <w:rPr>
          <w:lang w:eastAsia="en-US"/>
        </w:rPr>
        <w:t xml:space="preserve"> suggesting that </w:t>
      </w:r>
      <w:r w:rsidR="00F953F3">
        <w:rPr>
          <w:lang w:eastAsia="en-US"/>
        </w:rPr>
        <w:t>Assistant Director</w:t>
      </w:r>
      <w:r w:rsidR="00E82AA3">
        <w:rPr>
          <w:lang w:eastAsia="en-US"/>
        </w:rPr>
        <w:t>s</w:t>
      </w:r>
      <w:r w:rsidR="00F953F3">
        <w:rPr>
          <w:lang w:eastAsia="en-US"/>
        </w:rPr>
        <w:t xml:space="preserve"> tend to address more issues in initial comment letters</w:t>
      </w:r>
      <w:r w:rsidR="002346A5">
        <w:rPr>
          <w:lang w:eastAsia="en-US"/>
        </w:rPr>
        <w:t xml:space="preserve">, </w:t>
      </w:r>
      <w:r w:rsidR="002346A5">
        <w:rPr>
          <w:lang w:eastAsia="en-US"/>
        </w:rPr>
        <w:lastRenderedPageBreak/>
        <w:t>which are more likely to improve IPO firms’ financial reporting quality</w:t>
      </w:r>
      <w:r w:rsidR="00F953F3">
        <w:rPr>
          <w:lang w:eastAsia="en-US"/>
        </w:rPr>
        <w:t xml:space="preserve">. </w:t>
      </w:r>
      <w:r w:rsidR="00F52904">
        <w:rPr>
          <w:lang w:eastAsia="en-US"/>
        </w:rPr>
        <w:t xml:space="preserve">These expectations are both in line with </w:t>
      </w:r>
      <w:r w:rsidR="00F52904">
        <w:rPr>
          <w:noProof/>
          <w:color w:val="000000" w:themeColor="text1"/>
        </w:rPr>
        <w:t>“Upper echelons theory”.</w:t>
      </w:r>
    </w:p>
    <w:p w14:paraId="5C4A76EE" w14:textId="7E469748" w:rsidR="007A4F68" w:rsidRPr="007F72A6" w:rsidRDefault="003F656E" w:rsidP="0030659B">
      <w:pPr>
        <w:spacing w:line="360" w:lineRule="auto"/>
        <w:jc w:val="both"/>
      </w:pPr>
      <w:r>
        <w:rPr>
          <w:i/>
        </w:rPr>
        <w:t xml:space="preserve">Accountant </w:t>
      </w:r>
      <w:r>
        <w:t>is a</w:t>
      </w:r>
      <w:r w:rsidRPr="003F656E">
        <w:t xml:space="preserve">n indicator variable </w:t>
      </w:r>
      <w:r w:rsidR="00E82AA3">
        <w:t>equal</w:t>
      </w:r>
      <w:r w:rsidRPr="003F656E">
        <w:t xml:space="preserve"> to 1 if the job class</w:t>
      </w:r>
      <w:r w:rsidR="00EC63C2">
        <w:t xml:space="preserve">ification of the reviewer </w:t>
      </w:r>
      <w:r w:rsidRPr="003F656E">
        <w:t xml:space="preserve">is </w:t>
      </w:r>
      <w:r w:rsidR="00A02079">
        <w:t>an a</w:t>
      </w:r>
      <w:r w:rsidRPr="003F656E">
        <w:t xml:space="preserve">ccountant, and 0 </w:t>
      </w:r>
      <w:r w:rsidR="0080445A">
        <w:t xml:space="preserve">if the job classification of the reviewer is General Attorney </w:t>
      </w:r>
      <w:r w:rsidR="0080445A" w:rsidRPr="003F656E">
        <w:t>(Baugh et al., 2017)</w:t>
      </w:r>
      <w:r w:rsidR="0080445A">
        <w:t>.</w:t>
      </w:r>
      <w:r w:rsidR="00012458">
        <w:rPr>
          <w:lang w:eastAsia="en-US"/>
        </w:rPr>
        <w:t xml:space="preserve"> </w:t>
      </w:r>
      <w:r w:rsidR="006C19F3">
        <w:rPr>
          <w:lang w:eastAsia="en-US"/>
        </w:rPr>
        <w:t>Follow</w:t>
      </w:r>
      <w:r w:rsidR="00E82AA3">
        <w:rPr>
          <w:lang w:eastAsia="en-US"/>
        </w:rPr>
        <w:t>ing the</w:t>
      </w:r>
      <w:r w:rsidR="00012458">
        <w:rPr>
          <w:lang w:eastAsia="en-US"/>
        </w:rPr>
        <w:t xml:space="preserve"> </w:t>
      </w:r>
      <w:r w:rsidR="00CF7703">
        <w:rPr>
          <w:lang w:eastAsia="en-US"/>
        </w:rPr>
        <w:t xml:space="preserve">expertise assumption in </w:t>
      </w:r>
      <w:r w:rsidR="00F52904" w:rsidRPr="00AE73A7">
        <w:rPr>
          <w:noProof/>
          <w:color w:val="000000" w:themeColor="text1"/>
        </w:rPr>
        <w:t xml:space="preserve">“upper echelons theory” </w:t>
      </w:r>
      <w:r w:rsidR="006C19F3">
        <w:rPr>
          <w:lang w:eastAsia="en-US"/>
        </w:rPr>
        <w:t xml:space="preserve">as well as </w:t>
      </w:r>
      <w:r w:rsidR="00012458"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012458" w:rsidRPr="000912EF">
        <w:rPr>
          <w:lang w:eastAsia="en-US"/>
        </w:rPr>
        <w:fldChar w:fldCharType="separate"/>
      </w:r>
      <w:r w:rsidR="00012458" w:rsidRPr="000912EF">
        <w:rPr>
          <w:noProof/>
          <w:lang w:eastAsia="en-US"/>
        </w:rPr>
        <w:t>Baugh et al. (2017)</w:t>
      </w:r>
      <w:r w:rsidR="00012458" w:rsidRPr="000912EF">
        <w:rPr>
          <w:lang w:eastAsia="en-US"/>
        </w:rPr>
        <w:fldChar w:fldCharType="end"/>
      </w:r>
      <w:r w:rsidR="006C19F3">
        <w:rPr>
          <w:lang w:eastAsia="en-US"/>
        </w:rPr>
        <w:t>’s arguments about the accounting expertise, I conjecture that accountant reviewers may focus m</w:t>
      </w:r>
      <w:r w:rsidR="00206933">
        <w:rPr>
          <w:lang w:eastAsia="en-US"/>
        </w:rPr>
        <w:t xml:space="preserve">ore on </w:t>
      </w:r>
      <w:r w:rsidR="006C19F3">
        <w:rPr>
          <w:lang w:eastAsia="en-US"/>
        </w:rPr>
        <w:t xml:space="preserve">accounting </w:t>
      </w:r>
      <w:r w:rsidR="00E82AA3">
        <w:rPr>
          <w:lang w:eastAsia="en-US"/>
        </w:rPr>
        <w:t xml:space="preserve">information in their </w:t>
      </w:r>
      <w:r w:rsidR="0081116F">
        <w:rPr>
          <w:lang w:eastAsia="en-US"/>
        </w:rPr>
        <w:t>S-1 review. In addition, a</w:t>
      </w:r>
      <w:r w:rsidR="006C19F3">
        <w:t xml:space="preserve">ccording to the results obtained from the coding of types of issues as presented in </w:t>
      </w:r>
      <w:r w:rsidR="006C19F3" w:rsidRPr="008F436F">
        <w:t>Appendix</w:t>
      </w:r>
      <w:r w:rsidR="008F436F">
        <w:t xml:space="preserve"> 2</w:t>
      </w:r>
      <w:r w:rsidR="006C19F3">
        <w:t>, the proportion of accounting issues</w:t>
      </w:r>
      <w:r w:rsidR="008F436F">
        <w:t>, including earnings management issues and other accounting issues,</w:t>
      </w:r>
      <w:r w:rsidR="006C19F3">
        <w:t xml:space="preserve"> is less than that of other issues in S-1 filings, suggesting</w:t>
      </w:r>
      <w:r w:rsidR="00206933">
        <w:t xml:space="preserve"> a</w:t>
      </w:r>
      <w:r w:rsidR="006C19F3">
        <w:t xml:space="preserve"> lower proportion of account</w:t>
      </w:r>
      <w:r w:rsidR="0040595A">
        <w:t xml:space="preserve">ing information in S-1 filings. Therefore, contrary to the finding of </w:t>
      </w:r>
      <w:r w:rsidR="0040595A"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40595A" w:rsidRPr="000912EF">
        <w:rPr>
          <w:lang w:eastAsia="en-US"/>
        </w:rPr>
        <w:fldChar w:fldCharType="separate"/>
      </w:r>
      <w:r w:rsidR="0040595A" w:rsidRPr="000912EF">
        <w:rPr>
          <w:noProof/>
          <w:lang w:eastAsia="en-US"/>
        </w:rPr>
        <w:t>Baugh et al. (2017)</w:t>
      </w:r>
      <w:r w:rsidR="0040595A" w:rsidRPr="000912EF">
        <w:rPr>
          <w:lang w:eastAsia="en-US"/>
        </w:rPr>
        <w:fldChar w:fldCharType="end"/>
      </w:r>
      <w:r w:rsidR="0040595A">
        <w:rPr>
          <w:lang w:eastAsia="en-US"/>
        </w:rPr>
        <w:t xml:space="preserve"> who examine the annual filings with the dominance of accounting information</w:t>
      </w:r>
      <w:r w:rsidR="0081116F">
        <w:rPr>
          <w:lang w:eastAsia="en-US"/>
        </w:rPr>
        <w:t xml:space="preserve"> and identify that accountant reviewers address more issues in the review of annual filings</w:t>
      </w:r>
      <w:r w:rsidR="0040595A">
        <w:rPr>
          <w:lang w:eastAsia="en-US"/>
        </w:rPr>
        <w:t xml:space="preserve">, </w:t>
      </w:r>
      <w:r w:rsidR="00F953F3">
        <w:t xml:space="preserve">I expect a </w:t>
      </w:r>
      <w:r w:rsidR="00EC63C2">
        <w:t xml:space="preserve">negative </w:t>
      </w:r>
      <w:r w:rsidR="00F953F3">
        <w:t>relationship</w:t>
      </w:r>
      <w:r w:rsidR="00EC63C2">
        <w:t xml:space="preserve"> between </w:t>
      </w:r>
      <w:r w:rsidR="00EC63C2">
        <w:rPr>
          <w:i/>
        </w:rPr>
        <w:t xml:space="preserve">Accountant </w:t>
      </w:r>
      <w:r w:rsidR="00EC63C2">
        <w:t>and the SEC review attributes</w:t>
      </w:r>
      <w:r w:rsidR="008F436F">
        <w:t xml:space="preserve"> on S-1 filings which contain less proportion of accounting issues comparing to other issues.</w:t>
      </w:r>
      <w:r w:rsidR="00EC63C2">
        <w:t xml:space="preserve"> </w:t>
      </w:r>
      <w:r w:rsidR="00174399">
        <w:t>Table 3 summaries the expectations of the impacts of determinants on the SEC S-1 review.</w:t>
      </w:r>
    </w:p>
    <w:p w14:paraId="73ACE3A9" w14:textId="34656AE4" w:rsidR="00174399" w:rsidRPr="007F72A6" w:rsidRDefault="00174399" w:rsidP="00174399">
      <w:pPr>
        <w:spacing w:line="360" w:lineRule="auto"/>
        <w:jc w:val="center"/>
      </w:pPr>
      <w:r>
        <w:rPr>
          <w:b/>
        </w:rPr>
        <w:t>[Insert Table 2 about here]</w:t>
      </w:r>
    </w:p>
    <w:p w14:paraId="65094B0E" w14:textId="2217EC72" w:rsidR="009F7296" w:rsidRDefault="00206933" w:rsidP="009F7296">
      <w:pPr>
        <w:pStyle w:val="ListParagraph"/>
        <w:numPr>
          <w:ilvl w:val="0"/>
          <w:numId w:val="1"/>
        </w:numPr>
        <w:spacing w:line="360" w:lineRule="auto"/>
        <w:jc w:val="both"/>
        <w:outlineLvl w:val="0"/>
        <w:rPr>
          <w:b/>
        </w:rPr>
      </w:pPr>
      <w:bookmarkStart w:id="29" w:name="_Toc9185797"/>
      <w:r>
        <w:rPr>
          <w:b/>
        </w:rPr>
        <w:t>Empirical tests and models</w:t>
      </w:r>
      <w:bookmarkEnd w:id="29"/>
    </w:p>
    <w:p w14:paraId="3DED4EB7" w14:textId="77777777" w:rsidR="00747C35" w:rsidRDefault="00206933" w:rsidP="0030659B">
      <w:pPr>
        <w:spacing w:line="360" w:lineRule="auto"/>
        <w:jc w:val="both"/>
      </w:pPr>
      <w:r>
        <w:t>Both</w:t>
      </w:r>
      <w:r w:rsidR="00BC71C2">
        <w:t xml:space="preserve"> univariate test</w:t>
      </w:r>
      <w:r>
        <w:t>s</w:t>
      </w:r>
      <w:r w:rsidR="00BC71C2">
        <w:t xml:space="preserve"> and</w:t>
      </w:r>
      <w:r w:rsidR="00BE1FFD">
        <w:t xml:space="preserve"> multivariate test with</w:t>
      </w:r>
      <w:r w:rsidR="00BC71C2">
        <w:t xml:space="preserve"> </w:t>
      </w:r>
      <w:r w:rsidR="0014450B">
        <w:t>negative binomial regression</w:t>
      </w:r>
      <w:r w:rsidR="000C4490">
        <w:t xml:space="preserve"> are employed to</w:t>
      </w:r>
      <w:r w:rsidR="00893277">
        <w:t xml:space="preserve"> examine </w:t>
      </w:r>
      <w:r w:rsidR="00783656">
        <w:t xml:space="preserve">the </w:t>
      </w:r>
      <w:r w:rsidR="00BE1D5C">
        <w:t xml:space="preserve">relationship between the </w:t>
      </w:r>
      <w:r w:rsidR="00783656">
        <w:t xml:space="preserve">SEC </w:t>
      </w:r>
      <w:r w:rsidR="009A6504">
        <w:t xml:space="preserve">S-1 </w:t>
      </w:r>
      <w:r w:rsidR="00783656">
        <w:t>review pro</w:t>
      </w:r>
      <w:r w:rsidR="000B5501">
        <w:t>cess and their associated factors</w:t>
      </w:r>
      <w:r w:rsidR="004A1DC6">
        <w:t xml:space="preserve">. </w:t>
      </w:r>
      <w:r w:rsidR="00FB52B7">
        <w:t>T</w:t>
      </w:r>
      <w:r w:rsidR="003132FA">
        <w:t>he univariate analysis</w:t>
      </w:r>
      <w:r w:rsidR="00FB52B7">
        <w:t xml:space="preserve"> is conducted to examine </w:t>
      </w:r>
      <w:r w:rsidR="00447B0F">
        <w:t>significant difference</w:t>
      </w:r>
      <w:r w:rsidR="00273CCA">
        <w:t>s</w:t>
      </w:r>
      <w:r w:rsidR="00447B0F">
        <w:t xml:space="preserve"> </w:t>
      </w:r>
      <w:r w:rsidR="00273CCA">
        <w:t xml:space="preserve">in </w:t>
      </w:r>
      <w:r w:rsidR="00447B0F">
        <w:t>the SEC review</w:t>
      </w:r>
      <w:r w:rsidR="00273CCA">
        <w:t xml:space="preserve"> attributes </w:t>
      </w:r>
      <w:r w:rsidR="00447B0F">
        <w:t>between</w:t>
      </w:r>
    </w:p>
    <w:p w14:paraId="2BC2F456" w14:textId="77777777" w:rsidR="00747C35" w:rsidRDefault="004379B2" w:rsidP="0030659B">
      <w:pPr>
        <w:spacing w:line="360" w:lineRule="auto"/>
        <w:jc w:val="both"/>
      </w:pPr>
      <w:r>
        <w:t>(1)</w:t>
      </w:r>
      <w:r w:rsidR="0030435C">
        <w:t xml:space="preserve"> firms conducting</w:t>
      </w:r>
      <w:r w:rsidR="00C44F0C">
        <w:t xml:space="preserve"> restructuring activities </w:t>
      </w:r>
      <w:r w:rsidR="00AA2689">
        <w:t>and other</w:t>
      </w:r>
      <w:r w:rsidR="00747C35">
        <w:t xml:space="preserve"> </w:t>
      </w:r>
      <w:proofErr w:type="gramStart"/>
      <w:r w:rsidR="00747C35">
        <w:t>firms</w:t>
      </w:r>
      <w:r w:rsidR="007262B0">
        <w:t>;</w:t>
      </w:r>
      <w:proofErr w:type="gramEnd"/>
      <w:r w:rsidR="00747C35">
        <w:t xml:space="preserve"> </w:t>
      </w:r>
    </w:p>
    <w:p w14:paraId="6533EED2" w14:textId="77777777" w:rsidR="00747C35" w:rsidRDefault="003E4B2C" w:rsidP="0030659B">
      <w:pPr>
        <w:spacing w:line="360" w:lineRule="auto"/>
        <w:jc w:val="both"/>
        <w:rPr>
          <w:i/>
        </w:rPr>
      </w:pPr>
      <w:r>
        <w:t xml:space="preserve">(2) firms conducting M&amp;A activities and </w:t>
      </w:r>
      <w:r w:rsidR="00AA2689">
        <w:t xml:space="preserve">other </w:t>
      </w:r>
      <w:proofErr w:type="gramStart"/>
      <w:r w:rsidR="00AA2689">
        <w:t>firms</w:t>
      </w:r>
      <w:r w:rsidR="007262B0">
        <w:rPr>
          <w:i/>
        </w:rPr>
        <w:t>;</w:t>
      </w:r>
      <w:proofErr w:type="gramEnd"/>
      <w:r w:rsidR="00022B75">
        <w:rPr>
          <w:i/>
        </w:rPr>
        <w:t xml:space="preserve"> </w:t>
      </w:r>
    </w:p>
    <w:p w14:paraId="63239319" w14:textId="77777777" w:rsidR="00747C35" w:rsidRDefault="00022B75" w:rsidP="0030659B">
      <w:pPr>
        <w:spacing w:line="360" w:lineRule="auto"/>
        <w:jc w:val="both"/>
        <w:rPr>
          <w:i/>
        </w:rPr>
      </w:pPr>
      <w:r w:rsidRPr="00D877CB">
        <w:t>(3)</w:t>
      </w:r>
      <w:r w:rsidR="00CB4005">
        <w:rPr>
          <w:i/>
        </w:rPr>
        <w:t xml:space="preserve"> </w:t>
      </w:r>
      <w:r w:rsidR="00CB4005">
        <w:t>firms audited by Big</w:t>
      </w:r>
      <w:r w:rsidR="006F1CDD">
        <w:t xml:space="preserve">4 auditors and </w:t>
      </w:r>
      <w:r w:rsidR="00AA2689">
        <w:t xml:space="preserve">other </w:t>
      </w:r>
      <w:proofErr w:type="gramStart"/>
      <w:r w:rsidR="00AA2689">
        <w:t>firms</w:t>
      </w:r>
      <w:r w:rsidR="007262B0">
        <w:rPr>
          <w:i/>
        </w:rPr>
        <w:t>;</w:t>
      </w:r>
      <w:proofErr w:type="gramEnd"/>
      <w:r w:rsidR="00D877CB">
        <w:rPr>
          <w:i/>
        </w:rPr>
        <w:t xml:space="preserve"> </w:t>
      </w:r>
    </w:p>
    <w:p w14:paraId="0F7B65EB" w14:textId="77777777" w:rsidR="00747C35" w:rsidRDefault="00D877CB" w:rsidP="0030659B">
      <w:pPr>
        <w:spacing w:line="360" w:lineRule="auto"/>
        <w:jc w:val="both"/>
        <w:rPr>
          <w:i/>
        </w:rPr>
      </w:pPr>
      <w:r>
        <w:t xml:space="preserve">(4) firms </w:t>
      </w:r>
      <w:r w:rsidR="00124F37">
        <w:t xml:space="preserve">having profits and </w:t>
      </w:r>
      <w:r w:rsidR="004F7E12">
        <w:t xml:space="preserve">firms having </w:t>
      </w:r>
      <w:proofErr w:type="gramStart"/>
      <w:r w:rsidR="004F7E12">
        <w:t>loss</w:t>
      </w:r>
      <w:r w:rsidR="00FD00AE">
        <w:rPr>
          <w:i/>
        </w:rPr>
        <w:t>;</w:t>
      </w:r>
      <w:proofErr w:type="gramEnd"/>
      <w:r w:rsidR="006B1BF4">
        <w:rPr>
          <w:i/>
        </w:rPr>
        <w:t xml:space="preserve"> </w:t>
      </w:r>
    </w:p>
    <w:p w14:paraId="1ABAC943" w14:textId="77777777" w:rsidR="00747C35" w:rsidRDefault="006B1BF4" w:rsidP="0030659B">
      <w:pPr>
        <w:spacing w:line="360" w:lineRule="auto"/>
        <w:jc w:val="both"/>
        <w:rPr>
          <w:i/>
        </w:rPr>
      </w:pPr>
      <w:r>
        <w:t xml:space="preserve">(5) firms having CEO who is also </w:t>
      </w:r>
      <w:r w:rsidR="00747C35">
        <w:t>the</w:t>
      </w:r>
      <w:r>
        <w:t xml:space="preserve"> chairman of </w:t>
      </w:r>
      <w:r w:rsidR="00747C35">
        <w:t xml:space="preserve">the </w:t>
      </w:r>
      <w:r>
        <w:t xml:space="preserve">board of directors and </w:t>
      </w:r>
      <w:r w:rsidR="00AA2689">
        <w:t xml:space="preserve">other </w:t>
      </w:r>
      <w:proofErr w:type="gramStart"/>
      <w:r w:rsidR="00AA2689">
        <w:t>firms</w:t>
      </w:r>
      <w:r w:rsidR="005338ED">
        <w:rPr>
          <w:i/>
        </w:rPr>
        <w:t>;</w:t>
      </w:r>
      <w:proofErr w:type="gramEnd"/>
      <w:r w:rsidR="005338ED">
        <w:rPr>
          <w:i/>
        </w:rPr>
        <w:t xml:space="preserve"> </w:t>
      </w:r>
    </w:p>
    <w:p w14:paraId="7E64E82F" w14:textId="29354190" w:rsidR="00747C35" w:rsidRDefault="005338ED" w:rsidP="0030659B">
      <w:pPr>
        <w:spacing w:line="360" w:lineRule="auto"/>
        <w:jc w:val="both"/>
      </w:pPr>
      <w:r>
        <w:t xml:space="preserve">(6) </w:t>
      </w:r>
      <w:r w:rsidR="001F70E6">
        <w:t>firms filing</w:t>
      </w:r>
      <w:r w:rsidR="00747C35">
        <w:t xml:space="preserve"> S-1 before and after </w:t>
      </w:r>
      <w:r w:rsidR="00AA2689">
        <w:t xml:space="preserve">JOBs </w:t>
      </w:r>
      <w:proofErr w:type="gramStart"/>
      <w:r w:rsidR="00AA2689">
        <w:t>Act</w:t>
      </w:r>
      <w:r w:rsidR="00747C35">
        <w:t>;</w:t>
      </w:r>
      <w:proofErr w:type="gramEnd"/>
      <w:r w:rsidR="00747C35">
        <w:t xml:space="preserve"> </w:t>
      </w:r>
    </w:p>
    <w:p w14:paraId="66DA5F83" w14:textId="0C0411F9" w:rsidR="00747C35" w:rsidRDefault="001F70E6" w:rsidP="0030659B">
      <w:pPr>
        <w:spacing w:line="360" w:lineRule="auto"/>
        <w:jc w:val="both"/>
      </w:pPr>
      <w:r>
        <w:t>(7) firms filing</w:t>
      </w:r>
      <w:r w:rsidR="00747C35">
        <w:t xml:space="preserve"> S-1 before</w:t>
      </w:r>
      <w:r w:rsidR="00AA2689">
        <w:t xml:space="preserve"> and </w:t>
      </w:r>
      <w:r w:rsidR="00747C35">
        <w:t xml:space="preserve">after </w:t>
      </w:r>
      <w:r w:rsidR="00AA2689">
        <w:t xml:space="preserve">Dodd-Frank </w:t>
      </w:r>
      <w:proofErr w:type="gramStart"/>
      <w:r w:rsidR="00747C35">
        <w:t>Act;</w:t>
      </w:r>
      <w:proofErr w:type="gramEnd"/>
      <w:r w:rsidR="00747C35">
        <w:t xml:space="preserve"> </w:t>
      </w:r>
    </w:p>
    <w:p w14:paraId="2BA4795F" w14:textId="55E1FC2B" w:rsidR="00747C35" w:rsidRDefault="00AA2689" w:rsidP="0030659B">
      <w:pPr>
        <w:spacing w:line="360" w:lineRule="auto"/>
        <w:jc w:val="both"/>
      </w:pPr>
      <w:r>
        <w:t xml:space="preserve">(8) </w:t>
      </w:r>
      <w:r w:rsidR="00747C35">
        <w:t xml:space="preserve">firms filing S-1 in </w:t>
      </w:r>
      <w:r>
        <w:t xml:space="preserve">financial crisis </w:t>
      </w:r>
      <w:r w:rsidR="00747C35">
        <w:t>period and in</w:t>
      </w:r>
      <w:r>
        <w:t xml:space="preserve"> other </w:t>
      </w:r>
      <w:proofErr w:type="gramStart"/>
      <w:r w:rsidR="00747C35">
        <w:t>period;</w:t>
      </w:r>
      <w:proofErr w:type="gramEnd"/>
      <w:r w:rsidR="00747C35">
        <w:t xml:space="preserve"> </w:t>
      </w:r>
    </w:p>
    <w:p w14:paraId="097DCC3B" w14:textId="3F1E81EE" w:rsidR="00747C35" w:rsidRDefault="00AA2689" w:rsidP="0030659B">
      <w:pPr>
        <w:spacing w:line="360" w:lineRule="auto"/>
        <w:jc w:val="both"/>
      </w:pPr>
      <w:r>
        <w:t xml:space="preserve">(9) </w:t>
      </w:r>
      <w:r w:rsidR="001F70E6">
        <w:t>firms operating in</w:t>
      </w:r>
      <w:r>
        <w:t xml:space="preserve"> regulated in</w:t>
      </w:r>
      <w:r w:rsidR="001F70E6">
        <w:t>dustries and</w:t>
      </w:r>
      <w:r w:rsidR="00747C35">
        <w:t xml:space="preserve"> </w:t>
      </w:r>
      <w:proofErr w:type="gramStart"/>
      <w:r>
        <w:t>others;</w:t>
      </w:r>
      <w:proofErr w:type="gramEnd"/>
      <w:r>
        <w:t xml:space="preserve"> </w:t>
      </w:r>
    </w:p>
    <w:p w14:paraId="3BCD9196" w14:textId="1D83E5E8" w:rsidR="00747C35" w:rsidRDefault="00AA2689" w:rsidP="0030659B">
      <w:pPr>
        <w:spacing w:line="360" w:lineRule="auto"/>
        <w:jc w:val="both"/>
      </w:pPr>
      <w:r>
        <w:t xml:space="preserve">(10) </w:t>
      </w:r>
      <w:r w:rsidR="001F70E6">
        <w:t>firms operating in</w:t>
      </w:r>
      <w:r>
        <w:t xml:space="preserve"> technology </w:t>
      </w:r>
      <w:r w:rsidR="005A46EE">
        <w:t>industries</w:t>
      </w:r>
      <w:r w:rsidR="00747C35">
        <w:t xml:space="preserve"> and </w:t>
      </w:r>
      <w:proofErr w:type="gramStart"/>
      <w:r>
        <w:t>others;</w:t>
      </w:r>
      <w:proofErr w:type="gramEnd"/>
      <w:r>
        <w:t xml:space="preserve"> </w:t>
      </w:r>
    </w:p>
    <w:p w14:paraId="4B803888" w14:textId="384FB913" w:rsidR="00747C35" w:rsidRDefault="00AA2689" w:rsidP="0030659B">
      <w:pPr>
        <w:spacing w:line="360" w:lineRule="auto"/>
        <w:jc w:val="both"/>
      </w:pPr>
      <w:r>
        <w:t xml:space="preserve">(11) </w:t>
      </w:r>
      <w:r w:rsidR="00513ECA">
        <w:t>firms with</w:t>
      </w:r>
      <w:r w:rsidR="001F70E6">
        <w:t xml:space="preserve"> S-1 filings reviewed by</w:t>
      </w:r>
      <w:r>
        <w:t xml:space="preserve"> SEC reviewers who are directors or chiefs and the other </w:t>
      </w:r>
      <w:proofErr w:type="gramStart"/>
      <w:r>
        <w:t>reviewers;</w:t>
      </w:r>
      <w:proofErr w:type="gramEnd"/>
      <w:r>
        <w:t xml:space="preserve"> </w:t>
      </w:r>
    </w:p>
    <w:p w14:paraId="14018973" w14:textId="62FFD439" w:rsidR="00747C35" w:rsidRDefault="00AA2689" w:rsidP="0030659B">
      <w:pPr>
        <w:spacing w:line="360" w:lineRule="auto"/>
        <w:jc w:val="both"/>
      </w:pPr>
      <w:r>
        <w:lastRenderedPageBreak/>
        <w:t xml:space="preserve">(12) </w:t>
      </w:r>
      <w:r w:rsidR="00513ECA">
        <w:t xml:space="preserve">firms with </w:t>
      </w:r>
      <w:r w:rsidR="001F70E6">
        <w:t>S-1 filings reviewed by</w:t>
      </w:r>
      <w:r>
        <w:t xml:space="preserve"> SEC reviewers who are accountants and the other reviewers. </w:t>
      </w:r>
    </w:p>
    <w:p w14:paraId="4D6CE6CF" w14:textId="635833EE" w:rsidR="00AF72CD" w:rsidRDefault="00AE391D" w:rsidP="0030659B">
      <w:pPr>
        <w:spacing w:line="360" w:lineRule="auto"/>
        <w:jc w:val="both"/>
        <w:rPr>
          <w:i/>
        </w:rPr>
      </w:pPr>
      <w:proofErr w:type="gramStart"/>
      <w:r>
        <w:t>In particular, parametric</w:t>
      </w:r>
      <w:proofErr w:type="gramEnd"/>
      <w:r>
        <w:t xml:space="preserve"> </w:t>
      </w:r>
      <w:r w:rsidR="001F70E6">
        <w:t>test (</w:t>
      </w:r>
      <w:r>
        <w:t>t</w:t>
      </w:r>
      <w:r w:rsidR="00A02079">
        <w:t>-</w:t>
      </w:r>
      <w:r>
        <w:t>test</w:t>
      </w:r>
      <w:r w:rsidR="001F70E6">
        <w:t>)</w:t>
      </w:r>
      <w:r>
        <w:t xml:space="preserve"> and non-parametric test </w:t>
      </w:r>
      <w:r w:rsidR="001F70E6">
        <w:t>(</w:t>
      </w:r>
      <w:r>
        <w:t>Wilcoxon rank-sum test</w:t>
      </w:r>
      <w:r w:rsidR="001F70E6">
        <w:t>)</w:t>
      </w:r>
      <w:r>
        <w:t xml:space="preserve"> are used to examine the differences between mean and median, respectively, of </w:t>
      </w:r>
      <w:r w:rsidR="001F70E6">
        <w:t>each group according to</w:t>
      </w:r>
      <w:r>
        <w:t xml:space="preserve"> a specific determinant of the SEC review as mentioned above. </w:t>
      </w:r>
      <w:r w:rsidR="00BE1FFD" w:rsidRPr="00BE1FFD">
        <w:t>S</w:t>
      </w:r>
      <w:r w:rsidR="001F70E6">
        <w:t>imilar</w:t>
      </w:r>
      <w:r w:rsidR="00BE1FFD" w:rsidRPr="00BE1FFD">
        <w:t xml:space="preserve"> descriptive </w:t>
      </w:r>
      <w:r w:rsidR="001F70E6">
        <w:t>analyses have</w:t>
      </w:r>
      <w:r w:rsidR="00BE1FFD" w:rsidRPr="00BE1FFD">
        <w:t xml:space="preserve"> been employed in various prior studies on the SEC review. For examples, Li &amp; Liu (2017) compare the IPO waiting periods and number of amendments of S-1 filings between IPO firms with SEC comment letters and those with no SEC comment letters. Wang (2016) compare firms’ characteristics (</w:t>
      </w:r>
      <w:proofErr w:type="gramStart"/>
      <w:r w:rsidR="00BE1FFD" w:rsidRPr="00BE1FFD">
        <w:t>e.g.</w:t>
      </w:r>
      <w:proofErr w:type="gramEnd"/>
      <w:r w:rsidR="00BE1FFD" w:rsidRPr="00BE1FFD">
        <w:t xml:space="preserve"> market-to-book ratio, total assets) and industry characteristics (e.g. Herfindahl index) for firms </w:t>
      </w:r>
      <w:r w:rsidR="001F70E6">
        <w:t>receiving</w:t>
      </w:r>
      <w:r w:rsidR="00BE1FFD" w:rsidRPr="00BE1FFD">
        <w:t xml:space="preserve"> an SEC comment letter related to segment disclosure versus those without segment disclosure deficiencies. </w:t>
      </w:r>
      <w:r>
        <w:t xml:space="preserve">In addition, I also employ univariate regression to examine the relationship between the SEC review attributes and their determinants </w:t>
      </w:r>
      <w:proofErr w:type="gramStart"/>
      <w:r>
        <w:t>including;</w:t>
      </w:r>
      <w:proofErr w:type="gramEnd"/>
      <w:r>
        <w:t xml:space="preserve"> </w:t>
      </w:r>
      <w:r>
        <w:rPr>
          <w:i/>
        </w:rPr>
        <w:t xml:space="preserve">Size, </w:t>
      </w:r>
      <w:r w:rsidR="00296848">
        <w:rPr>
          <w:i/>
        </w:rPr>
        <w:t>Sales growth</w:t>
      </w:r>
      <w:r>
        <w:rPr>
          <w:i/>
        </w:rPr>
        <w:t xml:space="preserve">, Leverage, BM, External financing, Firm age, Segments, </w:t>
      </w:r>
      <w:proofErr w:type="spellStart"/>
      <w:r w:rsidR="00B90319">
        <w:rPr>
          <w:i/>
        </w:rPr>
        <w:t>Zscore</w:t>
      </w:r>
      <w:proofErr w:type="spellEnd"/>
      <w:r>
        <w:rPr>
          <w:i/>
        </w:rPr>
        <w:t xml:space="preserve">, IPOs by industry, Herfindahl index. </w:t>
      </w:r>
    </w:p>
    <w:p w14:paraId="7710BE61" w14:textId="0FDBBAAB" w:rsidR="008015DA" w:rsidRDefault="00BE1FFD" w:rsidP="0030659B">
      <w:pPr>
        <w:spacing w:line="360" w:lineRule="auto"/>
        <w:jc w:val="both"/>
      </w:pPr>
      <w:r>
        <w:t>Regarding the multivariate tests, a</w:t>
      </w:r>
      <w:r w:rsidR="00734BA2">
        <w:t xml:space="preserve"> negative binomial regression is employed to examine the impact of the IPO firms’ characteristics, the </w:t>
      </w:r>
      <w:r w:rsidR="00D92D32">
        <w:t>incidences</w:t>
      </w:r>
      <w:r w:rsidR="00734BA2">
        <w:t xml:space="preserve">, the industry/markets </w:t>
      </w:r>
      <w:proofErr w:type="gramStart"/>
      <w:r w:rsidR="00734BA2">
        <w:t>characteristics</w:t>
      </w:r>
      <w:proofErr w:type="gramEnd"/>
      <w:r w:rsidR="00734BA2">
        <w:t xml:space="preserve"> and the SEC characteristics on the SEC review attributes</w:t>
      </w:r>
      <w:r w:rsidR="001F70E6">
        <w:t xml:space="preserve"> as a whole</w:t>
      </w:r>
      <w:r w:rsidR="00734BA2">
        <w:t xml:space="preserve">. As stated by Greene (2012), a variable is discrete if the set of its values is finite or countable and these values are obtained through the counts of occurrence. In </w:t>
      </w:r>
      <w:r w:rsidR="00005C39">
        <w:t>my study</w:t>
      </w:r>
      <w:r w:rsidR="00734BA2">
        <w:t xml:space="preserve">, the dependent variables are </w:t>
      </w:r>
      <w:r w:rsidR="00005C39">
        <w:t xml:space="preserve">three </w:t>
      </w:r>
      <w:r w:rsidR="00734BA2">
        <w:t>attributes of the SEC</w:t>
      </w:r>
      <w:r w:rsidR="00005C39">
        <w:t xml:space="preserve"> </w:t>
      </w:r>
      <w:r w:rsidR="00734BA2">
        <w:t xml:space="preserve">review including, </w:t>
      </w:r>
      <w:r w:rsidR="00734BA2">
        <w:rPr>
          <w:i/>
        </w:rPr>
        <w:t xml:space="preserve">Duration, </w:t>
      </w:r>
      <w:r w:rsidR="00005C39">
        <w:rPr>
          <w:i/>
        </w:rPr>
        <w:t>Letter, Comments</w:t>
      </w:r>
      <w:r w:rsidR="00734BA2">
        <w:t xml:space="preserve">, are discrete because they all have finite values which are obtained through the counts of days of IPO process, comment letters, comments in each </w:t>
      </w:r>
      <w:r w:rsidR="00005C39">
        <w:t>in</w:t>
      </w:r>
      <w:r w:rsidR="00A3193E">
        <w:t>i</w:t>
      </w:r>
      <w:r w:rsidR="00005C39">
        <w:t xml:space="preserve">tial </w:t>
      </w:r>
      <w:r w:rsidR="00734BA2">
        <w:t xml:space="preserve">letter. According to Rock et al. (2000), </w:t>
      </w:r>
      <w:r w:rsidR="00005C39">
        <w:t xml:space="preserve">negative </w:t>
      </w:r>
      <w:r w:rsidR="00734BA2">
        <w:t>binomial regression outperform</w:t>
      </w:r>
      <w:r w:rsidR="00A02079">
        <w:t>s</w:t>
      </w:r>
      <w:r w:rsidR="00734BA2">
        <w:t xml:space="preserve"> other methods in estimating cross-sectional regression on discrete-count dependent variables</w:t>
      </w:r>
      <w:r w:rsidR="00005C39">
        <w:t>. Therefore, I employ negative binomial regression to estimate the following models.</w:t>
      </w:r>
    </w:p>
    <w:p w14:paraId="7378095D" w14:textId="77777777" w:rsidR="00BE1FFD" w:rsidRDefault="00BE1FFD" w:rsidP="008015DA">
      <w:pPr>
        <w:spacing w:line="360" w:lineRule="auto"/>
        <w:ind w:firstLine="720"/>
        <w:jc w:val="both"/>
      </w:pPr>
    </w:p>
    <w:p w14:paraId="48E0A916" w14:textId="08211E69" w:rsidR="00BE1FFD" w:rsidRPr="00BE1FFD" w:rsidRDefault="0004133D" w:rsidP="00BE1FFD">
      <w:pPr>
        <w:ind w:left="-142"/>
        <w:jc w:val="both"/>
        <w:rPr>
          <w:rFonts w:eastAsiaTheme="minorEastAsia"/>
          <w:sz w:val="20"/>
          <w:szCs w:val="20"/>
        </w:rPr>
      </w:pPr>
      <m:oMathPara>
        <m:oMath>
          <m:sSub>
            <m:sSubPr>
              <m:ctrlPr>
                <w:rPr>
                  <w:rFonts w:ascii="Cambria Math" w:hAnsi="Cambria Math"/>
                  <w:i/>
                  <w:sz w:val="20"/>
                  <w:szCs w:val="20"/>
                </w:rPr>
              </m:ctrlPr>
            </m:sSubPr>
            <m:e>
              <m:r>
                <m:rPr>
                  <m:sty m:val="p"/>
                </m:rPr>
                <w:rPr>
                  <w:rFonts w:ascii="Cambria Math" w:hAnsi="Cambria Math"/>
                  <w:sz w:val="20"/>
                  <w:szCs w:val="20"/>
                </w:rPr>
                <m:t xml:space="preserve">SEC review </m:t>
              </m:r>
            </m:e>
            <m:sub>
              <m:r>
                <w:rPr>
                  <w:rFonts w:ascii="Cambria Math" w:hAnsi="Cambria Math"/>
                  <w:sz w:val="20"/>
                  <w:szCs w:val="20"/>
                </w:rPr>
                <m:t>i,t</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Duration</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Letters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Comments</m:t>
                  </m:r>
                </m:e>
                <m:sub>
                  <m:r>
                    <w:rPr>
                      <w:rFonts w:ascii="Cambria Math" w:hAnsi="Cambria Math"/>
                      <w:sz w:val="20"/>
                      <w:szCs w:val="20"/>
                    </w:rPr>
                    <m:t>i,t</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m:t>
              </m:r>
            </m:sub>
          </m:sSub>
          <m:sSub>
            <m:sSubPr>
              <m:ctrlPr>
                <w:rPr>
                  <w:rFonts w:ascii="Cambria Math" w:hAnsi="Cambria Math"/>
                  <w:i/>
                  <w:sz w:val="20"/>
                  <w:szCs w:val="20"/>
                </w:rPr>
              </m:ctrlPr>
            </m:sSubPr>
            <m:e>
              <m:r>
                <w:rPr>
                  <w:rFonts w:ascii="Cambria Math" w:hAnsi="Cambria Math"/>
                  <w:sz w:val="20"/>
                  <w:szCs w:val="20"/>
                </w:rPr>
                <m:t>Size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Sale growth</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Leverage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BM</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5</m:t>
              </m:r>
            </m:sub>
          </m:sSub>
          <m:sSub>
            <m:sSubPr>
              <m:ctrlPr>
                <w:rPr>
                  <w:rFonts w:ascii="Cambria Math" w:hAnsi="Cambria Math"/>
                  <w:i/>
                  <w:sz w:val="20"/>
                  <w:szCs w:val="20"/>
                </w:rPr>
              </m:ctrlPr>
            </m:sSubPr>
            <m:e>
              <m:r>
                <w:rPr>
                  <w:rFonts w:ascii="Cambria Math" w:hAnsi="Cambria Math"/>
                  <w:sz w:val="20"/>
                  <w:szCs w:val="20"/>
                </w:rPr>
                <m:t>External financing</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6</m:t>
              </m:r>
            </m:sub>
          </m:sSub>
          <m:sSub>
            <m:sSubPr>
              <m:ctrlPr>
                <w:rPr>
                  <w:rFonts w:ascii="Cambria Math" w:hAnsi="Cambria Math"/>
                  <w:i/>
                  <w:sz w:val="20"/>
                  <w:szCs w:val="20"/>
                </w:rPr>
              </m:ctrlPr>
            </m:sSubPr>
            <m:e>
              <m:r>
                <w:rPr>
                  <w:rFonts w:ascii="Cambria Math" w:hAnsi="Cambria Math"/>
                  <w:sz w:val="20"/>
                  <w:szCs w:val="20"/>
                </w:rPr>
                <m:t>Firm 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7</m:t>
              </m:r>
            </m:sub>
          </m:sSub>
          <m:sSub>
            <m:sSubPr>
              <m:ctrlPr>
                <w:rPr>
                  <w:rFonts w:ascii="Cambria Math" w:hAnsi="Cambria Math"/>
                  <w:i/>
                  <w:sz w:val="20"/>
                  <w:szCs w:val="20"/>
                </w:rPr>
              </m:ctrlPr>
            </m:sSubPr>
            <m:e>
              <m:r>
                <w:rPr>
                  <w:rFonts w:ascii="Cambria Math" w:hAnsi="Cambria Math"/>
                  <w:sz w:val="20"/>
                  <w:szCs w:val="20"/>
                </w:rPr>
                <m:t>Segments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8</m:t>
              </m:r>
            </m:sub>
          </m:sSub>
          <m:sSub>
            <m:sSubPr>
              <m:ctrlPr>
                <w:rPr>
                  <w:rFonts w:ascii="Cambria Math" w:hAnsi="Cambria Math"/>
                  <w:i/>
                  <w:sz w:val="20"/>
                  <w:szCs w:val="20"/>
                </w:rPr>
              </m:ctrlPr>
            </m:sSubPr>
            <m:e>
              <m:r>
                <w:rPr>
                  <w:rFonts w:ascii="Cambria Math" w:hAnsi="Cambria Math"/>
                  <w:sz w:val="20"/>
                  <w:szCs w:val="20"/>
                </w:rPr>
                <m:t>Zscore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9</m:t>
              </m:r>
            </m:sub>
          </m:sSub>
          <m:sSub>
            <m:sSubPr>
              <m:ctrlPr>
                <w:rPr>
                  <w:rFonts w:ascii="Cambria Math" w:hAnsi="Cambria Math"/>
                  <w:i/>
                  <w:sz w:val="20"/>
                  <w:szCs w:val="20"/>
                </w:rPr>
              </m:ctrlPr>
            </m:sSubPr>
            <m:e>
              <m:r>
                <w:rPr>
                  <w:rFonts w:ascii="Cambria Math" w:hAnsi="Cambria Math"/>
                  <w:sz w:val="20"/>
                  <w:szCs w:val="20"/>
                </w:rPr>
                <m:t>Big4</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10</m:t>
              </m:r>
            </m:sub>
          </m:sSub>
          <m:sSub>
            <m:sSubPr>
              <m:ctrlPr>
                <w:rPr>
                  <w:rFonts w:ascii="Cambria Math" w:hAnsi="Cambria Math"/>
                  <w:i/>
                  <w:sz w:val="20"/>
                  <w:szCs w:val="20"/>
                </w:rPr>
              </m:ctrlPr>
            </m:sSubPr>
            <m:e>
              <m:r>
                <w:rPr>
                  <w:rFonts w:ascii="Cambria Math" w:hAnsi="Cambria Math"/>
                  <w:sz w:val="20"/>
                  <w:szCs w:val="20"/>
                </w:rPr>
                <m:t>Restructuring</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11</m:t>
              </m:r>
            </m:sub>
          </m:sSub>
          <m:sSub>
            <m:sSubPr>
              <m:ctrlPr>
                <w:rPr>
                  <w:rFonts w:ascii="Cambria Math" w:hAnsi="Cambria Math"/>
                  <w:i/>
                  <w:sz w:val="20"/>
                  <w:szCs w:val="20"/>
                </w:rPr>
              </m:ctrlPr>
            </m:sSubPr>
            <m:e>
              <m:r>
                <w:rPr>
                  <w:rFonts w:ascii="Cambria Math" w:hAnsi="Cambria Math"/>
                  <w:sz w:val="20"/>
                  <w:szCs w:val="20"/>
                </w:rPr>
                <m:t>M&amp;A</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Positive earnings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α</m:t>
              </m:r>
            </m:e>
            <m:sub>
              <m:r>
                <w:rPr>
                  <w:rFonts w:ascii="Cambria Math" w:hAnsi="Cambria Math"/>
                  <w:sz w:val="20"/>
                  <w:szCs w:val="20"/>
                </w:rPr>
                <m:t>13</m:t>
              </m:r>
            </m:sub>
          </m:sSub>
          <m:sSub>
            <m:sSubPr>
              <m:ctrlPr>
                <w:rPr>
                  <w:rFonts w:ascii="Cambria Math" w:hAnsi="Cambria Math"/>
                  <w:i/>
                  <w:sz w:val="20"/>
                  <w:szCs w:val="20"/>
                </w:rPr>
              </m:ctrlPr>
            </m:sSubPr>
            <m:e>
              <m:r>
                <w:rPr>
                  <w:rFonts w:ascii="Cambria Math" w:hAnsi="Cambria Math"/>
                  <w:sz w:val="20"/>
                  <w:szCs w:val="20"/>
                </w:rPr>
                <m:t>CEOchairman</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i,t</m:t>
              </m:r>
            </m:sub>
          </m:sSub>
          <m:r>
            <w:rPr>
              <w:rFonts w:ascii="Cambria Math" w:hAnsi="Cambria Math"/>
              <w:sz w:val="20"/>
              <w:szCs w:val="20"/>
            </w:rPr>
            <m:t xml:space="preserve">       (1)</m:t>
          </m:r>
        </m:oMath>
      </m:oMathPara>
    </w:p>
    <w:p w14:paraId="4400AA29" w14:textId="77777777" w:rsidR="00BE1FFD" w:rsidRPr="00A2008A" w:rsidRDefault="00BE1FFD" w:rsidP="00BE1FFD">
      <w:pPr>
        <w:ind w:left="-142"/>
        <w:jc w:val="both"/>
        <w:rPr>
          <w:rFonts w:eastAsiaTheme="minorEastAsia"/>
          <w:sz w:val="20"/>
          <w:szCs w:val="20"/>
        </w:rPr>
      </w:pPr>
    </w:p>
    <w:p w14:paraId="1589F327" w14:textId="6165523B" w:rsidR="00BE1FFD" w:rsidRPr="00BE1FFD" w:rsidRDefault="0004133D" w:rsidP="00BE1FFD">
      <w:pPr>
        <w:ind w:left="-142"/>
        <w:jc w:val="both"/>
        <w:rPr>
          <w:rFonts w:eastAsiaTheme="minorEastAsia"/>
          <w:sz w:val="20"/>
          <w:szCs w:val="20"/>
        </w:rPr>
      </w:pPr>
      <m:oMathPara>
        <m:oMath>
          <m:sSub>
            <m:sSubPr>
              <m:ctrlPr>
                <w:rPr>
                  <w:rFonts w:ascii="Cambria Math" w:hAnsi="Cambria Math"/>
                  <w:i/>
                  <w:sz w:val="20"/>
                  <w:szCs w:val="20"/>
                </w:rPr>
              </m:ctrlPr>
            </m:sSubPr>
            <m:e>
              <m:r>
                <m:rPr>
                  <m:sty m:val="p"/>
                </m:rPr>
                <w:rPr>
                  <w:rFonts w:ascii="Cambria Math" w:hAnsi="Cambria Math"/>
                  <w:sz w:val="20"/>
                  <w:szCs w:val="20"/>
                </w:rPr>
                <m:t xml:space="preserve">SEC review </m:t>
              </m:r>
            </m:e>
            <m:sub>
              <m:r>
                <w:rPr>
                  <w:rFonts w:ascii="Cambria Math" w:hAnsi="Cambria Math"/>
                  <w:sz w:val="20"/>
                  <w:szCs w:val="20"/>
                </w:rPr>
                <m:t>i,t</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Duration</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Letters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Comments</m:t>
                  </m:r>
                </m:e>
                <m:sub>
                  <m:r>
                    <w:rPr>
                      <w:rFonts w:ascii="Cambria Math" w:hAnsi="Cambria Math"/>
                      <w:sz w:val="20"/>
                      <w:szCs w:val="20"/>
                    </w:rPr>
                    <m:t>i,t</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m:t>
              </m:r>
            </m:sub>
          </m:sSub>
          <m:sSub>
            <m:sSubPr>
              <m:ctrlPr>
                <w:rPr>
                  <w:rFonts w:ascii="Cambria Math" w:hAnsi="Cambria Math"/>
                  <w:i/>
                  <w:sz w:val="20"/>
                  <w:szCs w:val="20"/>
                </w:rPr>
              </m:ctrlPr>
            </m:sSubPr>
            <m:e>
              <m:r>
                <m:rPr>
                  <m:sty m:val="p"/>
                </m:rPr>
                <w:rPr>
                  <w:rFonts w:ascii="Cambria Math" w:hAnsi="Cambria Math"/>
                  <w:sz w:val="20"/>
                  <w:szCs w:val="20"/>
                </w:rPr>
                <m:t>Incidences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JOBs Act</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Dodd Frank</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Financial crisis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Size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Sale growth</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Leverage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5</m:t>
              </m:r>
            </m:sub>
          </m:sSub>
          <m:sSub>
            <m:sSubPr>
              <m:ctrlPr>
                <w:rPr>
                  <w:rFonts w:ascii="Cambria Math" w:hAnsi="Cambria Math"/>
                  <w:i/>
                  <w:sz w:val="20"/>
                  <w:szCs w:val="20"/>
                </w:rPr>
              </m:ctrlPr>
            </m:sSubPr>
            <m:e>
              <m:r>
                <w:rPr>
                  <w:rFonts w:ascii="Cambria Math" w:hAnsi="Cambria Math"/>
                  <w:sz w:val="20"/>
                  <w:szCs w:val="20"/>
                </w:rPr>
                <m:t>BM</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6</m:t>
              </m:r>
            </m:sub>
          </m:sSub>
          <m:sSub>
            <m:sSubPr>
              <m:ctrlPr>
                <w:rPr>
                  <w:rFonts w:ascii="Cambria Math" w:hAnsi="Cambria Math"/>
                  <w:i/>
                  <w:sz w:val="20"/>
                  <w:szCs w:val="20"/>
                </w:rPr>
              </m:ctrlPr>
            </m:sSubPr>
            <m:e>
              <m:r>
                <w:rPr>
                  <w:rFonts w:ascii="Cambria Math" w:hAnsi="Cambria Math"/>
                  <w:sz w:val="20"/>
                  <w:szCs w:val="20"/>
                </w:rPr>
                <m:t>External financing</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7</m:t>
              </m:r>
            </m:sub>
          </m:sSub>
          <m:sSub>
            <m:sSubPr>
              <m:ctrlPr>
                <w:rPr>
                  <w:rFonts w:ascii="Cambria Math" w:hAnsi="Cambria Math"/>
                  <w:i/>
                  <w:sz w:val="20"/>
                  <w:szCs w:val="20"/>
                </w:rPr>
              </m:ctrlPr>
            </m:sSubPr>
            <m:e>
              <m:r>
                <w:rPr>
                  <w:rFonts w:ascii="Cambria Math" w:hAnsi="Cambria Math"/>
                  <w:sz w:val="20"/>
                  <w:szCs w:val="20"/>
                </w:rPr>
                <m:t>Firm 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8</m:t>
              </m:r>
            </m:sub>
          </m:sSub>
          <m:sSub>
            <m:sSubPr>
              <m:ctrlPr>
                <w:rPr>
                  <w:rFonts w:ascii="Cambria Math" w:hAnsi="Cambria Math"/>
                  <w:i/>
                  <w:sz w:val="20"/>
                  <w:szCs w:val="20"/>
                </w:rPr>
              </m:ctrlPr>
            </m:sSubPr>
            <m:e>
              <m:r>
                <w:rPr>
                  <w:rFonts w:ascii="Cambria Math" w:hAnsi="Cambria Math"/>
                  <w:sz w:val="20"/>
                  <w:szCs w:val="20"/>
                </w:rPr>
                <m:t>Segments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9</m:t>
              </m:r>
            </m:sub>
          </m:sSub>
          <m:sSub>
            <m:sSubPr>
              <m:ctrlPr>
                <w:rPr>
                  <w:rFonts w:ascii="Cambria Math" w:hAnsi="Cambria Math"/>
                  <w:i/>
                  <w:sz w:val="20"/>
                  <w:szCs w:val="20"/>
                </w:rPr>
              </m:ctrlPr>
            </m:sSubPr>
            <m:e>
              <m:r>
                <w:rPr>
                  <w:rFonts w:ascii="Cambria Math" w:hAnsi="Cambria Math"/>
                  <w:sz w:val="20"/>
                  <w:szCs w:val="20"/>
                </w:rPr>
                <m:t>Zscore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10</m:t>
              </m:r>
            </m:sub>
          </m:sSub>
          <m:sSub>
            <m:sSubPr>
              <m:ctrlPr>
                <w:rPr>
                  <w:rFonts w:ascii="Cambria Math" w:hAnsi="Cambria Math"/>
                  <w:i/>
                  <w:sz w:val="20"/>
                  <w:szCs w:val="20"/>
                </w:rPr>
              </m:ctrlPr>
            </m:sSubPr>
            <m:e>
              <m:r>
                <w:rPr>
                  <w:rFonts w:ascii="Cambria Math" w:hAnsi="Cambria Math"/>
                  <w:sz w:val="20"/>
                  <w:szCs w:val="20"/>
                </w:rPr>
                <m:t>Big4</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11</m:t>
              </m:r>
            </m:sub>
          </m:sSub>
          <m:sSub>
            <m:sSubPr>
              <m:ctrlPr>
                <w:rPr>
                  <w:rFonts w:ascii="Cambria Math" w:hAnsi="Cambria Math"/>
                  <w:i/>
                  <w:sz w:val="20"/>
                  <w:szCs w:val="20"/>
                </w:rPr>
              </m:ctrlPr>
            </m:sSubPr>
            <m:e>
              <m:r>
                <w:rPr>
                  <w:rFonts w:ascii="Cambria Math" w:hAnsi="Cambria Math"/>
                  <w:sz w:val="20"/>
                  <w:szCs w:val="20"/>
                </w:rPr>
                <m:t>Restructuring</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M&amp;A</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13</m:t>
              </m:r>
            </m:sub>
          </m:sSub>
          <m:sSub>
            <m:sSubPr>
              <m:ctrlPr>
                <w:rPr>
                  <w:rFonts w:ascii="Cambria Math" w:hAnsi="Cambria Math"/>
                  <w:i/>
                  <w:sz w:val="20"/>
                  <w:szCs w:val="20"/>
                </w:rPr>
              </m:ctrlPr>
            </m:sSubPr>
            <m:e>
              <m:r>
                <w:rPr>
                  <w:rFonts w:ascii="Cambria Math" w:hAnsi="Cambria Math"/>
                  <w:sz w:val="20"/>
                  <w:szCs w:val="20"/>
                </w:rPr>
                <m:t>Positive earnings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β</m:t>
              </m:r>
            </m:e>
            <m:sub>
              <m:r>
                <w:rPr>
                  <w:rFonts w:ascii="Cambria Math" w:hAnsi="Cambria Math"/>
                  <w:sz w:val="20"/>
                  <w:szCs w:val="20"/>
                </w:rPr>
                <m:t>14</m:t>
              </m:r>
            </m:sub>
          </m:sSub>
          <m:sSub>
            <m:sSubPr>
              <m:ctrlPr>
                <w:rPr>
                  <w:rFonts w:ascii="Cambria Math" w:hAnsi="Cambria Math"/>
                  <w:i/>
                  <w:sz w:val="20"/>
                  <w:szCs w:val="20"/>
                </w:rPr>
              </m:ctrlPr>
            </m:sSubPr>
            <m:e>
              <m:r>
                <w:rPr>
                  <w:rFonts w:ascii="Cambria Math" w:hAnsi="Cambria Math"/>
                  <w:sz w:val="20"/>
                  <w:szCs w:val="20"/>
                </w:rPr>
                <m:t>CEOchairman</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i,t</m:t>
              </m:r>
            </m:sub>
          </m:sSub>
          <m:r>
            <w:rPr>
              <w:rFonts w:ascii="Cambria Math" w:hAnsi="Cambria Math"/>
              <w:sz w:val="20"/>
              <w:szCs w:val="20"/>
            </w:rPr>
            <m:t xml:space="preserve">       (2)</m:t>
          </m:r>
        </m:oMath>
      </m:oMathPara>
    </w:p>
    <w:p w14:paraId="5B58647B" w14:textId="77777777" w:rsidR="00BE1FFD" w:rsidRPr="00A2008A" w:rsidRDefault="00BE1FFD" w:rsidP="00BE1FFD">
      <w:pPr>
        <w:ind w:left="-142"/>
        <w:jc w:val="both"/>
        <w:rPr>
          <w:rFonts w:eastAsiaTheme="minorEastAsia"/>
          <w:sz w:val="20"/>
          <w:szCs w:val="20"/>
        </w:rPr>
      </w:pPr>
    </w:p>
    <w:p w14:paraId="3CC26278" w14:textId="4409B173" w:rsidR="00BE1FFD" w:rsidRPr="00BE1FFD" w:rsidRDefault="0004133D" w:rsidP="00BE1FFD">
      <w:pPr>
        <w:ind w:left="-142"/>
        <w:jc w:val="both"/>
        <w:rPr>
          <w:rFonts w:eastAsiaTheme="minorEastAsia"/>
          <w:sz w:val="18"/>
          <w:szCs w:val="18"/>
        </w:rPr>
      </w:pPr>
      <m:oMathPara>
        <m:oMath>
          <m:sSub>
            <m:sSubPr>
              <m:ctrlPr>
                <w:rPr>
                  <w:rFonts w:ascii="Cambria Math" w:hAnsi="Cambria Math"/>
                  <w:i/>
                  <w:sz w:val="18"/>
                  <w:szCs w:val="18"/>
                </w:rPr>
              </m:ctrlPr>
            </m:sSubPr>
            <m:e>
              <m:r>
                <m:rPr>
                  <m:sty m:val="p"/>
                </m:rPr>
                <w:rPr>
                  <w:rFonts w:ascii="Cambria Math" w:hAnsi="Cambria Math"/>
                  <w:sz w:val="18"/>
                  <w:szCs w:val="18"/>
                </w:rPr>
                <m:t xml:space="preserve">SEC review </m:t>
              </m:r>
            </m:e>
            <m:sub>
              <m:r>
                <w:rPr>
                  <w:rFonts w:ascii="Cambria Math" w:hAnsi="Cambria Math"/>
                  <w:sz w:val="18"/>
                  <w:szCs w:val="18"/>
                </w:rPr>
                <m:t>i,t</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Duration</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Letters</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Comments</m:t>
                  </m:r>
                </m:e>
                <m:sub>
                  <m:r>
                    <w:rPr>
                      <w:rFonts w:ascii="Cambria Math" w:hAnsi="Cambria Math"/>
                      <w:sz w:val="18"/>
                      <w:szCs w:val="18"/>
                    </w:rPr>
                    <m:t>i,t</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m:t>
              </m:r>
            </m:sub>
          </m:sSub>
          <m:sSub>
            <m:sSubPr>
              <m:ctrlPr>
                <w:rPr>
                  <w:rFonts w:ascii="Cambria Math" w:hAnsi="Cambria Math"/>
                  <w:i/>
                  <w:sz w:val="18"/>
                  <w:szCs w:val="18"/>
                </w:rPr>
              </m:ctrlPr>
            </m:sSubPr>
            <m:e>
              <m:r>
                <m:rPr>
                  <m:sty m:val="p"/>
                </m:rPr>
                <w:rPr>
                  <w:rFonts w:ascii="Cambria Math" w:hAnsi="Cambria Math"/>
                  <w:sz w:val="18"/>
                  <w:szCs w:val="18"/>
                </w:rPr>
                <m:t>Industry</m:t>
              </m:r>
              <m:r>
                <w:rPr>
                  <w:rFonts w:ascii="Cambria Math" w:hAnsi="Cambria Math"/>
                  <w:sz w:val="18"/>
                  <w:szCs w:val="18"/>
                </w:rPr>
                <m:t xml:space="preserve"> </m:t>
              </m:r>
            </m:e>
            <m:sub>
              <m:r>
                <w:rPr>
                  <w:rFonts w:ascii="Cambria Math" w:hAnsi="Cambria Math"/>
                  <w:sz w:val="18"/>
                  <w:szCs w:val="18"/>
                </w:rPr>
                <m:t>i,t</m:t>
              </m:r>
            </m:sub>
          </m:sSub>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Regulated</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Technology</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IPOs by industry</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Herfindahl index</m:t>
                  </m:r>
                </m:e>
                <m:sub>
                  <m:r>
                    <w:rPr>
                      <w:rFonts w:ascii="Cambria Math" w:hAnsi="Cambria Math"/>
                      <w:sz w:val="18"/>
                      <w:szCs w:val="18"/>
                    </w:rPr>
                    <m:t>i,t</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2</m:t>
              </m:r>
            </m:sub>
          </m:sSub>
          <m:sSub>
            <m:sSubPr>
              <m:ctrlPr>
                <w:rPr>
                  <w:rFonts w:ascii="Cambria Math" w:hAnsi="Cambria Math"/>
                  <w:i/>
                  <w:sz w:val="18"/>
                  <w:szCs w:val="18"/>
                </w:rPr>
              </m:ctrlPr>
            </m:sSubPr>
            <m:e>
              <m:r>
                <w:rPr>
                  <w:rFonts w:ascii="Cambria Math" w:hAnsi="Cambria Math"/>
                  <w:sz w:val="18"/>
                  <w:szCs w:val="18"/>
                </w:rPr>
                <m:t>Size</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3</m:t>
              </m:r>
            </m:sub>
          </m:sSub>
          <m:sSub>
            <m:sSubPr>
              <m:ctrlPr>
                <w:rPr>
                  <w:rFonts w:ascii="Cambria Math" w:hAnsi="Cambria Math"/>
                  <w:i/>
                  <w:sz w:val="18"/>
                  <w:szCs w:val="18"/>
                </w:rPr>
              </m:ctrlPr>
            </m:sSubPr>
            <m:e>
              <m:r>
                <w:rPr>
                  <w:rFonts w:ascii="Cambria Math" w:hAnsi="Cambria Math"/>
                  <w:sz w:val="18"/>
                  <w:szCs w:val="18"/>
                </w:rPr>
                <m:t>Sale growth</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4</m:t>
              </m:r>
            </m:sub>
          </m:sSub>
          <m:sSub>
            <m:sSubPr>
              <m:ctrlPr>
                <w:rPr>
                  <w:rFonts w:ascii="Cambria Math" w:hAnsi="Cambria Math"/>
                  <w:i/>
                  <w:sz w:val="18"/>
                  <w:szCs w:val="18"/>
                </w:rPr>
              </m:ctrlPr>
            </m:sSubPr>
            <m:e>
              <m:r>
                <w:rPr>
                  <w:rFonts w:ascii="Cambria Math" w:hAnsi="Cambria Math"/>
                  <w:sz w:val="18"/>
                  <w:szCs w:val="18"/>
                </w:rPr>
                <m:t>Leverage</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5</m:t>
              </m:r>
            </m:sub>
          </m:sSub>
          <m:sSub>
            <m:sSubPr>
              <m:ctrlPr>
                <w:rPr>
                  <w:rFonts w:ascii="Cambria Math" w:hAnsi="Cambria Math"/>
                  <w:i/>
                  <w:sz w:val="18"/>
                  <w:szCs w:val="18"/>
                </w:rPr>
              </m:ctrlPr>
            </m:sSubPr>
            <m:e>
              <m:r>
                <w:rPr>
                  <w:rFonts w:ascii="Cambria Math" w:hAnsi="Cambria Math"/>
                  <w:sz w:val="18"/>
                  <w:szCs w:val="18"/>
                </w:rPr>
                <m:t>BM</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6</m:t>
              </m:r>
            </m:sub>
          </m:sSub>
          <m:sSub>
            <m:sSubPr>
              <m:ctrlPr>
                <w:rPr>
                  <w:rFonts w:ascii="Cambria Math" w:hAnsi="Cambria Math"/>
                  <w:i/>
                  <w:sz w:val="18"/>
                  <w:szCs w:val="18"/>
                </w:rPr>
              </m:ctrlPr>
            </m:sSubPr>
            <m:e>
              <m:r>
                <w:rPr>
                  <w:rFonts w:ascii="Cambria Math" w:hAnsi="Cambria Math"/>
                  <w:sz w:val="18"/>
                  <w:szCs w:val="18"/>
                </w:rPr>
                <m:t>External financing</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7</m:t>
              </m:r>
            </m:sub>
          </m:sSub>
          <m:sSub>
            <m:sSubPr>
              <m:ctrlPr>
                <w:rPr>
                  <w:rFonts w:ascii="Cambria Math" w:hAnsi="Cambria Math"/>
                  <w:i/>
                  <w:sz w:val="18"/>
                  <w:szCs w:val="18"/>
                </w:rPr>
              </m:ctrlPr>
            </m:sSubPr>
            <m:e>
              <m:r>
                <w:rPr>
                  <w:rFonts w:ascii="Cambria Math" w:hAnsi="Cambria Math"/>
                  <w:sz w:val="18"/>
                  <w:szCs w:val="18"/>
                </w:rPr>
                <m:t>Firm age</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8</m:t>
              </m:r>
            </m:sub>
          </m:sSub>
          <m:sSub>
            <m:sSubPr>
              <m:ctrlPr>
                <w:rPr>
                  <w:rFonts w:ascii="Cambria Math" w:hAnsi="Cambria Math"/>
                  <w:i/>
                  <w:sz w:val="18"/>
                  <w:szCs w:val="18"/>
                </w:rPr>
              </m:ctrlPr>
            </m:sSubPr>
            <m:e>
              <m:r>
                <w:rPr>
                  <w:rFonts w:ascii="Cambria Math" w:hAnsi="Cambria Math"/>
                  <w:sz w:val="18"/>
                  <w:szCs w:val="18"/>
                </w:rPr>
                <m:t>Segments</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9</m:t>
              </m:r>
            </m:sub>
          </m:sSub>
          <m:sSub>
            <m:sSubPr>
              <m:ctrlPr>
                <w:rPr>
                  <w:rFonts w:ascii="Cambria Math" w:hAnsi="Cambria Math"/>
                  <w:i/>
                  <w:sz w:val="18"/>
                  <w:szCs w:val="18"/>
                </w:rPr>
              </m:ctrlPr>
            </m:sSubPr>
            <m:e>
              <m:r>
                <w:rPr>
                  <w:rFonts w:ascii="Cambria Math" w:hAnsi="Cambria Math"/>
                  <w:sz w:val="18"/>
                  <w:szCs w:val="18"/>
                </w:rPr>
                <m:t>Zscore</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10</m:t>
              </m:r>
            </m:sub>
          </m:sSub>
          <m:sSub>
            <m:sSubPr>
              <m:ctrlPr>
                <w:rPr>
                  <w:rFonts w:ascii="Cambria Math" w:hAnsi="Cambria Math"/>
                  <w:i/>
                  <w:sz w:val="18"/>
                  <w:szCs w:val="18"/>
                </w:rPr>
              </m:ctrlPr>
            </m:sSubPr>
            <m:e>
              <m:r>
                <w:rPr>
                  <w:rFonts w:ascii="Cambria Math" w:hAnsi="Cambria Math"/>
                  <w:sz w:val="18"/>
                  <w:szCs w:val="18"/>
                </w:rPr>
                <m:t>Big4</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11</m:t>
              </m:r>
            </m:sub>
          </m:sSub>
          <m:sSub>
            <m:sSubPr>
              <m:ctrlPr>
                <w:rPr>
                  <w:rFonts w:ascii="Cambria Math" w:hAnsi="Cambria Math"/>
                  <w:i/>
                  <w:sz w:val="18"/>
                  <w:szCs w:val="18"/>
                </w:rPr>
              </m:ctrlPr>
            </m:sSubPr>
            <m:e>
              <m:r>
                <w:rPr>
                  <w:rFonts w:ascii="Cambria Math" w:hAnsi="Cambria Math"/>
                  <w:sz w:val="18"/>
                  <w:szCs w:val="18"/>
                </w:rPr>
                <m:t>Restructuring</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12</m:t>
              </m:r>
            </m:sub>
          </m:sSub>
          <m:sSub>
            <m:sSubPr>
              <m:ctrlPr>
                <w:rPr>
                  <w:rFonts w:ascii="Cambria Math" w:hAnsi="Cambria Math"/>
                  <w:i/>
                  <w:sz w:val="18"/>
                  <w:szCs w:val="18"/>
                </w:rPr>
              </m:ctrlPr>
            </m:sSubPr>
            <m:e>
              <m:r>
                <w:rPr>
                  <w:rFonts w:ascii="Cambria Math" w:hAnsi="Cambria Math"/>
                  <w:sz w:val="18"/>
                  <w:szCs w:val="18"/>
                </w:rPr>
                <m:t>M&amp;A</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13</m:t>
              </m:r>
            </m:sub>
          </m:sSub>
          <m:sSub>
            <m:sSubPr>
              <m:ctrlPr>
                <w:rPr>
                  <w:rFonts w:ascii="Cambria Math" w:hAnsi="Cambria Math"/>
                  <w:i/>
                  <w:sz w:val="18"/>
                  <w:szCs w:val="18"/>
                </w:rPr>
              </m:ctrlPr>
            </m:sSubPr>
            <m:e>
              <m:r>
                <w:rPr>
                  <w:rFonts w:ascii="Cambria Math" w:hAnsi="Cambria Math"/>
                  <w:sz w:val="18"/>
                  <w:szCs w:val="18"/>
                </w:rPr>
                <m:t>Positive earnings</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14</m:t>
              </m:r>
            </m:sub>
          </m:sSub>
          <m:sSub>
            <m:sSubPr>
              <m:ctrlPr>
                <w:rPr>
                  <w:rFonts w:ascii="Cambria Math" w:hAnsi="Cambria Math"/>
                  <w:i/>
                  <w:sz w:val="18"/>
                  <w:szCs w:val="18"/>
                </w:rPr>
              </m:ctrlPr>
            </m:sSubPr>
            <m:e>
              <m:r>
                <w:rPr>
                  <w:rFonts w:ascii="Cambria Math" w:hAnsi="Cambria Math"/>
                  <w:sz w:val="18"/>
                  <w:szCs w:val="18"/>
                </w:rPr>
                <m:t>CEOchairman</m:t>
              </m:r>
            </m:e>
            <m:sub>
              <m:r>
                <w:rPr>
                  <w:rFonts w:ascii="Cambria Math" w:hAnsi="Cambria Math"/>
                  <w:sz w:val="18"/>
                  <w:szCs w:val="18"/>
                </w:rPr>
                <m:t>i,t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i,t</m:t>
              </m:r>
            </m:sub>
          </m:sSub>
          <m:r>
            <w:rPr>
              <w:rFonts w:ascii="Cambria Math" w:hAnsi="Cambria Math"/>
              <w:sz w:val="18"/>
              <w:szCs w:val="18"/>
            </w:rPr>
            <m:t xml:space="preserve">       (3)</m:t>
          </m:r>
        </m:oMath>
      </m:oMathPara>
    </w:p>
    <w:p w14:paraId="2B9F0C19" w14:textId="77777777" w:rsidR="00BE1FFD" w:rsidRPr="00A2008A" w:rsidRDefault="00BE1FFD" w:rsidP="00BE1FFD">
      <w:pPr>
        <w:jc w:val="both"/>
        <w:rPr>
          <w:rFonts w:eastAsiaTheme="minorEastAsia"/>
          <w:sz w:val="20"/>
          <w:szCs w:val="20"/>
        </w:rPr>
      </w:pPr>
    </w:p>
    <w:p w14:paraId="332BB28A" w14:textId="39CAC3E4" w:rsidR="00BE1FFD" w:rsidRPr="00BE1FFD" w:rsidRDefault="0004133D" w:rsidP="00BE1FFD">
      <w:pPr>
        <w:ind w:left="-426"/>
        <w:jc w:val="both"/>
        <w:rPr>
          <w:rFonts w:eastAsiaTheme="minorEastAsia"/>
          <w:sz w:val="20"/>
          <w:szCs w:val="20"/>
        </w:rPr>
      </w:pPr>
      <m:oMathPara>
        <m:oMath>
          <m:sSub>
            <m:sSubPr>
              <m:ctrlPr>
                <w:rPr>
                  <w:rFonts w:ascii="Cambria Math" w:hAnsi="Cambria Math"/>
                  <w:i/>
                  <w:sz w:val="20"/>
                  <w:szCs w:val="20"/>
                </w:rPr>
              </m:ctrlPr>
            </m:sSubPr>
            <m:e>
              <m:r>
                <m:rPr>
                  <m:sty m:val="p"/>
                </m:rPr>
                <w:rPr>
                  <w:rFonts w:ascii="Cambria Math" w:hAnsi="Cambria Math"/>
                  <w:sz w:val="20"/>
                  <w:szCs w:val="20"/>
                </w:rPr>
                <m:t xml:space="preserve">SEC review </m:t>
              </m:r>
            </m:e>
            <m:sub>
              <m:r>
                <w:rPr>
                  <w:rFonts w:ascii="Cambria Math" w:hAnsi="Cambria Math"/>
                  <w:sz w:val="20"/>
                  <w:szCs w:val="20"/>
                </w:rPr>
                <m:t>i,t</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Duration</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Letters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Comments</m:t>
                  </m:r>
                </m:e>
                <m:sub>
                  <m:r>
                    <w:rPr>
                      <w:rFonts w:ascii="Cambria Math" w:hAnsi="Cambria Math"/>
                      <w:sz w:val="20"/>
                      <w:szCs w:val="20"/>
                    </w:rPr>
                    <m:t>i,t</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0</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m:t>
              </m:r>
            </m:sub>
          </m:sSub>
          <m:sSub>
            <m:sSubPr>
              <m:ctrlPr>
                <w:rPr>
                  <w:rFonts w:ascii="Cambria Math" w:hAnsi="Cambria Math"/>
                  <w:i/>
                  <w:sz w:val="20"/>
                  <w:szCs w:val="20"/>
                </w:rPr>
              </m:ctrlPr>
            </m:sSubPr>
            <m:e>
              <m:r>
                <m:rPr>
                  <m:sty m:val="p"/>
                </m:rPr>
                <w:rPr>
                  <w:rFonts w:ascii="Cambria Math" w:hAnsi="Cambria Math"/>
                  <w:sz w:val="20"/>
                  <w:szCs w:val="20"/>
                </w:rPr>
                <m:t>SEC characteristics</m:t>
              </m:r>
            </m:e>
            <m:sub>
              <m:r>
                <w:rPr>
                  <w:rFonts w:ascii="Cambria Math" w:hAnsi="Cambria Math"/>
                  <w:sz w:val="20"/>
                  <w:szCs w:val="20"/>
                </w:rPr>
                <m:t>i,t</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Director/Cheif</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Accountant</m:t>
                  </m:r>
                </m:e>
                <m:sub>
                  <m:r>
                    <w:rPr>
                      <w:rFonts w:ascii="Cambria Math" w:hAnsi="Cambria Math"/>
                      <w:sz w:val="20"/>
                      <w:szCs w:val="20"/>
                    </w:rPr>
                    <m:t>i,t</m:t>
                  </m:r>
                </m:sub>
              </m:sSub>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2</m:t>
              </m:r>
            </m:sub>
          </m:sSub>
          <m:sSub>
            <m:sSubPr>
              <m:ctrlPr>
                <w:rPr>
                  <w:rFonts w:ascii="Cambria Math" w:hAnsi="Cambria Math"/>
                  <w:i/>
                  <w:sz w:val="20"/>
                  <w:szCs w:val="20"/>
                </w:rPr>
              </m:ctrlPr>
            </m:sSubPr>
            <m:e>
              <m:r>
                <w:rPr>
                  <w:rFonts w:ascii="Cambria Math" w:hAnsi="Cambria Math"/>
                  <w:sz w:val="20"/>
                  <w:szCs w:val="20"/>
                </w:rPr>
                <m:t>Size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3</m:t>
              </m:r>
            </m:sub>
          </m:sSub>
          <m:sSub>
            <m:sSubPr>
              <m:ctrlPr>
                <w:rPr>
                  <w:rFonts w:ascii="Cambria Math" w:hAnsi="Cambria Math"/>
                  <w:i/>
                  <w:sz w:val="20"/>
                  <w:szCs w:val="20"/>
                </w:rPr>
              </m:ctrlPr>
            </m:sSubPr>
            <m:e>
              <m:r>
                <w:rPr>
                  <w:rFonts w:ascii="Cambria Math" w:hAnsi="Cambria Math"/>
                  <w:sz w:val="20"/>
                  <w:szCs w:val="20"/>
                </w:rPr>
                <m:t>Sale growth</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4</m:t>
              </m:r>
            </m:sub>
          </m:sSub>
          <m:sSub>
            <m:sSubPr>
              <m:ctrlPr>
                <w:rPr>
                  <w:rFonts w:ascii="Cambria Math" w:hAnsi="Cambria Math"/>
                  <w:i/>
                  <w:sz w:val="20"/>
                  <w:szCs w:val="20"/>
                </w:rPr>
              </m:ctrlPr>
            </m:sSubPr>
            <m:e>
              <m:r>
                <w:rPr>
                  <w:rFonts w:ascii="Cambria Math" w:hAnsi="Cambria Math"/>
                  <w:sz w:val="20"/>
                  <w:szCs w:val="20"/>
                </w:rPr>
                <m:t>Leverage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5</m:t>
              </m:r>
            </m:sub>
          </m:sSub>
          <m:sSub>
            <m:sSubPr>
              <m:ctrlPr>
                <w:rPr>
                  <w:rFonts w:ascii="Cambria Math" w:hAnsi="Cambria Math"/>
                  <w:i/>
                  <w:sz w:val="20"/>
                  <w:szCs w:val="20"/>
                </w:rPr>
              </m:ctrlPr>
            </m:sSubPr>
            <m:e>
              <m:r>
                <w:rPr>
                  <w:rFonts w:ascii="Cambria Math" w:hAnsi="Cambria Math"/>
                  <w:sz w:val="20"/>
                  <w:szCs w:val="20"/>
                </w:rPr>
                <m:t>BM</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6</m:t>
              </m:r>
            </m:sub>
          </m:sSub>
          <m:sSub>
            <m:sSubPr>
              <m:ctrlPr>
                <w:rPr>
                  <w:rFonts w:ascii="Cambria Math" w:hAnsi="Cambria Math"/>
                  <w:i/>
                  <w:sz w:val="20"/>
                  <w:szCs w:val="20"/>
                </w:rPr>
              </m:ctrlPr>
            </m:sSubPr>
            <m:e>
              <m:r>
                <w:rPr>
                  <w:rFonts w:ascii="Cambria Math" w:hAnsi="Cambria Math"/>
                  <w:sz w:val="20"/>
                  <w:szCs w:val="20"/>
                </w:rPr>
                <m:t>External financing</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7</m:t>
              </m:r>
            </m:sub>
          </m:sSub>
          <m:sSub>
            <m:sSubPr>
              <m:ctrlPr>
                <w:rPr>
                  <w:rFonts w:ascii="Cambria Math" w:hAnsi="Cambria Math"/>
                  <w:i/>
                  <w:sz w:val="20"/>
                  <w:szCs w:val="20"/>
                </w:rPr>
              </m:ctrlPr>
            </m:sSubPr>
            <m:e>
              <m:r>
                <w:rPr>
                  <w:rFonts w:ascii="Cambria Math" w:hAnsi="Cambria Math"/>
                  <w:sz w:val="20"/>
                  <w:szCs w:val="20"/>
                </w:rPr>
                <m:t>Firm age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8</m:t>
              </m:r>
            </m:sub>
          </m:sSub>
          <m:sSub>
            <m:sSubPr>
              <m:ctrlPr>
                <w:rPr>
                  <w:rFonts w:ascii="Cambria Math" w:hAnsi="Cambria Math"/>
                  <w:i/>
                  <w:sz w:val="20"/>
                  <w:szCs w:val="20"/>
                </w:rPr>
              </m:ctrlPr>
            </m:sSubPr>
            <m:e>
              <m:r>
                <w:rPr>
                  <w:rFonts w:ascii="Cambria Math" w:hAnsi="Cambria Math"/>
                  <w:sz w:val="20"/>
                  <w:szCs w:val="20"/>
                </w:rPr>
                <m:t>Segments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9</m:t>
              </m:r>
            </m:sub>
          </m:sSub>
          <m:sSub>
            <m:sSubPr>
              <m:ctrlPr>
                <w:rPr>
                  <w:rFonts w:ascii="Cambria Math" w:hAnsi="Cambria Math"/>
                  <w:i/>
                  <w:sz w:val="20"/>
                  <w:szCs w:val="20"/>
                </w:rPr>
              </m:ctrlPr>
            </m:sSubPr>
            <m:e>
              <m:r>
                <w:rPr>
                  <w:rFonts w:ascii="Cambria Math" w:hAnsi="Cambria Math"/>
                  <w:sz w:val="20"/>
                  <w:szCs w:val="20"/>
                </w:rPr>
                <m:t>Zscore</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10</m:t>
              </m:r>
            </m:sub>
          </m:sSub>
          <m:sSub>
            <m:sSubPr>
              <m:ctrlPr>
                <w:rPr>
                  <w:rFonts w:ascii="Cambria Math" w:hAnsi="Cambria Math"/>
                  <w:i/>
                  <w:sz w:val="20"/>
                  <w:szCs w:val="20"/>
                </w:rPr>
              </m:ctrlPr>
            </m:sSubPr>
            <m:e>
              <m:r>
                <w:rPr>
                  <w:rFonts w:ascii="Cambria Math" w:hAnsi="Cambria Math"/>
                  <w:sz w:val="20"/>
                  <w:szCs w:val="20"/>
                </w:rPr>
                <m:t>Big4</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11</m:t>
              </m:r>
            </m:sub>
          </m:sSub>
          <m:sSub>
            <m:sSubPr>
              <m:ctrlPr>
                <w:rPr>
                  <w:rFonts w:ascii="Cambria Math" w:hAnsi="Cambria Math"/>
                  <w:i/>
                  <w:sz w:val="20"/>
                  <w:szCs w:val="20"/>
                </w:rPr>
              </m:ctrlPr>
            </m:sSubPr>
            <m:e>
              <m:r>
                <w:rPr>
                  <w:rFonts w:ascii="Cambria Math" w:hAnsi="Cambria Math"/>
                  <w:sz w:val="20"/>
                  <w:szCs w:val="20"/>
                </w:rPr>
                <m:t>Restructuring</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12</m:t>
              </m:r>
            </m:sub>
          </m:sSub>
          <m:sSub>
            <m:sSubPr>
              <m:ctrlPr>
                <w:rPr>
                  <w:rFonts w:ascii="Cambria Math" w:hAnsi="Cambria Math"/>
                  <w:i/>
                  <w:sz w:val="20"/>
                  <w:szCs w:val="20"/>
                </w:rPr>
              </m:ctrlPr>
            </m:sSubPr>
            <m:e>
              <m:r>
                <w:rPr>
                  <w:rFonts w:ascii="Cambria Math" w:hAnsi="Cambria Math"/>
                  <w:sz w:val="20"/>
                  <w:szCs w:val="20"/>
                </w:rPr>
                <m:t>M&amp;A</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13</m:t>
              </m:r>
            </m:sub>
          </m:sSub>
          <m:sSub>
            <m:sSubPr>
              <m:ctrlPr>
                <w:rPr>
                  <w:rFonts w:ascii="Cambria Math" w:hAnsi="Cambria Math"/>
                  <w:i/>
                  <w:sz w:val="20"/>
                  <w:szCs w:val="20"/>
                </w:rPr>
              </m:ctrlPr>
            </m:sSubPr>
            <m:e>
              <m:r>
                <w:rPr>
                  <w:rFonts w:ascii="Cambria Math" w:hAnsi="Cambria Math"/>
                  <w:sz w:val="20"/>
                  <w:szCs w:val="20"/>
                </w:rPr>
                <m:t>Positive earnings</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δ</m:t>
              </m:r>
            </m:e>
            <m:sub>
              <m:r>
                <w:rPr>
                  <w:rFonts w:ascii="Cambria Math" w:hAnsi="Cambria Math"/>
                  <w:sz w:val="20"/>
                  <w:szCs w:val="20"/>
                </w:rPr>
                <m:t>14</m:t>
              </m:r>
            </m:sub>
          </m:sSub>
          <m:sSub>
            <m:sSubPr>
              <m:ctrlPr>
                <w:rPr>
                  <w:rFonts w:ascii="Cambria Math" w:hAnsi="Cambria Math"/>
                  <w:i/>
                  <w:sz w:val="20"/>
                  <w:szCs w:val="20"/>
                </w:rPr>
              </m:ctrlPr>
            </m:sSubPr>
            <m:e>
              <m:r>
                <w:rPr>
                  <w:rFonts w:ascii="Cambria Math" w:hAnsi="Cambria Math"/>
                  <w:sz w:val="20"/>
                  <w:szCs w:val="20"/>
                </w:rPr>
                <m:t>CEOchairman</m:t>
              </m:r>
            </m:e>
            <m:sub>
              <m:r>
                <w:rPr>
                  <w:rFonts w:ascii="Cambria Math" w:hAnsi="Cambria Math"/>
                  <w:sz w:val="20"/>
                  <w:szCs w:val="20"/>
                </w:rPr>
                <m:t>i,t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i,t</m:t>
              </m:r>
            </m:sub>
          </m:sSub>
          <m:r>
            <w:rPr>
              <w:rFonts w:ascii="Cambria Math" w:hAnsi="Cambria Math"/>
              <w:sz w:val="20"/>
              <w:szCs w:val="20"/>
            </w:rPr>
            <m:t xml:space="preserve">       (4)</m:t>
          </m:r>
        </m:oMath>
      </m:oMathPara>
    </w:p>
    <w:p w14:paraId="6BC643BD" w14:textId="77777777" w:rsidR="00BE1FFD" w:rsidRPr="00BE1FFD" w:rsidRDefault="00BE1FFD" w:rsidP="00BE1FFD">
      <w:pPr>
        <w:ind w:left="-426"/>
        <w:jc w:val="both"/>
        <w:rPr>
          <w:rFonts w:eastAsiaTheme="minorEastAsia"/>
          <w:sz w:val="20"/>
          <w:szCs w:val="20"/>
        </w:rPr>
      </w:pPr>
    </w:p>
    <w:p w14:paraId="26FE49A1" w14:textId="3FE28BB9" w:rsidR="00BE1FFD" w:rsidRDefault="00BE1FFD" w:rsidP="00BE1FFD">
      <w:pPr>
        <w:jc w:val="both"/>
        <w:rPr>
          <w:rFonts w:eastAsiaTheme="minorEastAsia"/>
          <w:sz w:val="20"/>
          <w:szCs w:val="20"/>
        </w:rPr>
      </w:pPr>
      <w:r w:rsidRPr="0030659B">
        <w:rPr>
          <w:rFonts w:eastAsiaTheme="minorEastAsia"/>
        </w:rPr>
        <w:t>where the definitions of these variables are discussed in Section 5.2 and Appendix 1</w:t>
      </w:r>
      <w:r>
        <w:rPr>
          <w:rFonts w:eastAsiaTheme="minorEastAsia"/>
          <w:sz w:val="20"/>
          <w:szCs w:val="20"/>
        </w:rPr>
        <w:t>.</w:t>
      </w:r>
    </w:p>
    <w:p w14:paraId="5583408B" w14:textId="77777777" w:rsidR="00BE1FFD" w:rsidRPr="00BE1FFD" w:rsidRDefault="00BE1FFD" w:rsidP="00BE1FFD">
      <w:pPr>
        <w:jc w:val="both"/>
        <w:rPr>
          <w:rFonts w:eastAsiaTheme="minorEastAsia"/>
          <w:sz w:val="20"/>
          <w:szCs w:val="20"/>
        </w:rPr>
      </w:pPr>
    </w:p>
    <w:p w14:paraId="3652F8E8" w14:textId="3BFA2EF5" w:rsidR="001B6BB9" w:rsidRPr="000912EF" w:rsidRDefault="00EF78F3" w:rsidP="009F7296">
      <w:pPr>
        <w:pStyle w:val="ListParagraph"/>
        <w:numPr>
          <w:ilvl w:val="0"/>
          <w:numId w:val="1"/>
        </w:numPr>
        <w:spacing w:line="360" w:lineRule="auto"/>
        <w:jc w:val="both"/>
        <w:outlineLvl w:val="0"/>
        <w:rPr>
          <w:b/>
          <w:lang w:eastAsia="en-US"/>
        </w:rPr>
      </w:pPr>
      <w:bookmarkStart w:id="30" w:name="_Toc9185798"/>
      <w:r w:rsidRPr="000912EF">
        <w:rPr>
          <w:b/>
          <w:lang w:eastAsia="en-US"/>
        </w:rPr>
        <w:t>Sample descriptive statistics</w:t>
      </w:r>
      <w:bookmarkEnd w:id="30"/>
    </w:p>
    <w:p w14:paraId="59796C5B" w14:textId="5D18639F" w:rsidR="001B6BB9" w:rsidRDefault="00674484" w:rsidP="009F7296">
      <w:pPr>
        <w:pStyle w:val="ListParagraph"/>
        <w:numPr>
          <w:ilvl w:val="1"/>
          <w:numId w:val="1"/>
        </w:numPr>
        <w:spacing w:line="360" w:lineRule="auto"/>
        <w:jc w:val="both"/>
        <w:outlineLvl w:val="1"/>
        <w:rPr>
          <w:b/>
          <w:lang w:eastAsia="en-US"/>
        </w:rPr>
      </w:pPr>
      <w:bookmarkStart w:id="31" w:name="_Toc9185799"/>
      <w:r w:rsidRPr="000912EF">
        <w:rPr>
          <w:b/>
          <w:lang w:eastAsia="en-US"/>
        </w:rPr>
        <w:t>Sample distributio</w:t>
      </w:r>
      <w:r w:rsidR="001B6BB9" w:rsidRPr="000912EF">
        <w:rPr>
          <w:b/>
          <w:lang w:eastAsia="en-US"/>
        </w:rPr>
        <w:t>n</w:t>
      </w:r>
      <w:bookmarkEnd w:id="31"/>
    </w:p>
    <w:p w14:paraId="6F6EC05D" w14:textId="051F33A3" w:rsidR="00945969" w:rsidRDefault="00945969" w:rsidP="0030659B">
      <w:pPr>
        <w:spacing w:line="360" w:lineRule="auto"/>
        <w:jc w:val="both"/>
      </w:pPr>
      <w:r w:rsidRPr="000912EF">
        <w:t>According to Panel A in Table</w:t>
      </w:r>
      <w:r w:rsidR="00D73F1C" w:rsidRPr="000912EF">
        <w:t xml:space="preserve"> </w:t>
      </w:r>
      <w:r w:rsidR="00174399">
        <w:t>3</w:t>
      </w:r>
      <w:r w:rsidR="00D73F1C" w:rsidRPr="000912EF">
        <w:t xml:space="preserve">, the number of IPOs </w:t>
      </w:r>
      <w:r w:rsidR="00F33BE8">
        <w:t>dramatically increase in</w:t>
      </w:r>
      <w:r w:rsidR="00D73F1C" w:rsidRPr="000912EF">
        <w:t xml:space="preserve"> 2013 and reach a peak in 2014 with </w:t>
      </w:r>
      <w:r w:rsidR="00251D61">
        <w:t>a</w:t>
      </w:r>
      <w:r w:rsidR="00D73F1C" w:rsidRPr="000912EF">
        <w:t xml:space="preserve"> value of 114 (12.54%) and 123 (13.53%), respectively</w:t>
      </w:r>
      <w:r w:rsidR="00F33BE8">
        <w:t xml:space="preserve">, which are in line with the </w:t>
      </w:r>
      <w:r w:rsidR="00C619C9">
        <w:t>expansion period of IPO activities after the enactment of JOBs Act</w:t>
      </w:r>
      <w:r w:rsidR="004F6F63">
        <w:t xml:space="preserve">. </w:t>
      </w:r>
      <w:r w:rsidR="00D73F1C" w:rsidRPr="000912EF">
        <w:t xml:space="preserve">The number of IPOs is smallest in 2008 with </w:t>
      </w:r>
      <w:r w:rsidR="00251D61">
        <w:t>a</w:t>
      </w:r>
      <w:r w:rsidR="00D73F1C" w:rsidRPr="000912EF">
        <w:t xml:space="preserve"> value of 19 (2.09%)</w:t>
      </w:r>
      <w:r w:rsidR="00C619C9">
        <w:t>, which is at the height of financial crisis in 2008</w:t>
      </w:r>
      <w:r w:rsidR="00D73F1C" w:rsidRPr="000912EF">
        <w:t xml:space="preserve">. </w:t>
      </w:r>
      <w:r w:rsidR="004741EF" w:rsidRPr="000912EF">
        <w:t>The number of IPOs receiving initial comment letters are large</w:t>
      </w:r>
      <w:r w:rsidR="004F6F63">
        <w:t>st</w:t>
      </w:r>
      <w:r w:rsidR="004741EF" w:rsidRPr="000912EF">
        <w:t xml:space="preserve"> in </w:t>
      </w:r>
      <w:r w:rsidR="004F6F63">
        <w:t xml:space="preserve">2006 with </w:t>
      </w:r>
      <w:r w:rsidR="00251D61">
        <w:t>a</w:t>
      </w:r>
      <w:r w:rsidR="004F6F63">
        <w:t xml:space="preserve"> value of 93 (13.10%), which </w:t>
      </w:r>
      <w:r w:rsidR="00752A1F">
        <w:t xml:space="preserve">could be because after deciding to </w:t>
      </w:r>
      <w:r w:rsidR="00752A1F" w:rsidRPr="00853913">
        <w:rPr>
          <w:color w:val="000000" w:themeColor="text1"/>
        </w:rPr>
        <w:t>publicly disclose their comment letters and the IPO firms’ response</w:t>
      </w:r>
      <w:r w:rsidR="00752A1F">
        <w:rPr>
          <w:color w:val="000000" w:themeColor="text1"/>
        </w:rPr>
        <w:t xml:space="preserve"> since 12</w:t>
      </w:r>
      <w:r w:rsidR="00752A1F" w:rsidRPr="00752A1F">
        <w:rPr>
          <w:color w:val="000000" w:themeColor="text1"/>
          <w:vertAlign w:val="superscript"/>
        </w:rPr>
        <w:t>th</w:t>
      </w:r>
      <w:r w:rsidR="00752A1F">
        <w:rPr>
          <w:color w:val="000000" w:themeColor="text1"/>
        </w:rPr>
        <w:t xml:space="preserve"> May, 2005,</w:t>
      </w:r>
      <w:r w:rsidR="00752A1F">
        <w:t xml:space="preserve"> the SEC </w:t>
      </w:r>
      <w:r w:rsidR="00752A1F" w:rsidRPr="00752A1F">
        <w:t>strengthen the</w:t>
      </w:r>
      <w:r w:rsidR="00752A1F">
        <w:t>ir</w:t>
      </w:r>
      <w:r w:rsidR="00752A1F" w:rsidRPr="00752A1F">
        <w:t xml:space="preserve"> regulatory discipline</w:t>
      </w:r>
      <w:r w:rsidR="00752A1F">
        <w:t xml:space="preserve"> to decrease the information asymmetry, protect investors as well as their own reputation </w:t>
      </w:r>
      <w:r w:rsidR="00752A1F" w:rsidRPr="00853913">
        <w:rPr>
          <w:color w:val="000000" w:themeColor="text1"/>
        </w:rPr>
        <w:fldChar w:fldCharType="begin" w:fldLock="1"/>
      </w:r>
      <w:r w:rsidR="00617431">
        <w:rPr>
          <w:color w:val="000000" w:themeColor="text1"/>
        </w:rPr>
        <w:instrText>ADDIN CSL_CITATION {"citationItems":[{"id":"ITEM-1","itemData":{"author":[{"dropping-particle":"","family":"Boone","given":"J.P.","non-dropping-particle":"","parse-names":false,"suffix":""},{"dropping-particle":"","family":"Linthicum","given":"C.L.","non-dropping-particle":"","parse-names":false,"suffix":""},{"dropping-particle":"","family":"Poe","given":"A.","non-dropping-particle":"","parse-names":false,"suffix":""}],"container-title":"Accounting Horizons","id":"ITEM-1","issue":"4","issued":{"date-parts":[["2013"]]},"page":"711-736","title":"Characteristics of accounting standards and SEC review comments","type":"article-journal","volume":"27"},"uris":["http://www.mendeley.com/documents/?uuid=1a54e841-058e-43f0-b0b1-4aa1f008948d"]},{"id":"ITEM-2","itemData":{"ISBN":"7133486296","ISSN":"19113846","PMID":"25246403","abstract":"The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Research","id":"ITEM-2","issue":"2","issued":{"date-parts":[["2017"]]},"page":"1128-1155","title":"Regulatory Oversight of Financial Reporting: Securities and Exchange Commission Comment Letters","type":"article-journal","volume":"34"},"uris":["http://www.mendeley.com/documents/?uuid=6f0a5987-96ef-4573-9c9a-4445f9fb6ad8"]},{"id":"ITEM-3","itemData":{"ISBN":"1055101527","ISSN":"9780983648703","author":[{"dropping-particle":"V","family":"Brown","given":"Stephen","non-dropping-particle":"","parse-names":false,"suffix":""},{"dropping-particle":"","family":"Tian","given":"Xiaoli","non-dropping-particle":"","parse-names":false,"suffix":""},{"dropping-particle":"","family":"Tucker","given":"","non-dropping-particle":"","parse-names":false,"suffix":""}],"id":"ITEM-3","issued":{"date-parts":[["2015"]]},"title":"The Spillover Effect of SEC Comment Letters on Qualitative Corporate Disclosure: Evidence from the Risk Factor Disclosure Stephen","type":"article-journal"},"uris":["http://www.mendeley.com/documents/?uuid=58f865a9-5a1d-46c1-98cf-9c6317c93b9d"]},{"id":"ITEM-4","itemData":{"ISSN":"18732070","abstract":"In an effort to enhance informational transparency for investors, the SEC periodically reviews public firms’ filings for regulatory compliance. Although the SEC dedicates significant resources to the filing review process, the efficacy of this process is unclear. Upon receipt of a comment letter consequent to the SEC's review, the firm can either remedy perceived disclosure deficiencies or attempt to avoid making substantive disclosure changes, including by requesting that certain additional information be treated as confidential or by negotiating with the SEC. In this paper, we first examine the nature, extent, and impact of modifications to firms’ disclosures requested by an SEC comment letter. While our initial evidence suggests that firms enhance their disclosure, we find that Rule 406 confidential treatment requests and registrant negotiation have an attenuating effect. Further, consistent with proprietary cost concerns, we show that firms in high tech industries and with greater amounts of R&amp;D are more likely to request confidential treatment. We then examine informational transparency in order to test the SEC's stated intention of the filing review process. We find that improvements to firms’ disclosures following a comment letter are associated with a decrease in information asymmetry and a reduction in litigation risk. Collectively, our paper contributes to the literature on disclosure regulation by providing evidence that the SEC comment letter process generally enhances firms’ disclosures, improves informational transparency for investors, and mitigates firms’ litigation risk, but that some firms take actions that diminish these enhancements.","author":[{"dropping-particle":"","family":"Bozanic","given":"Zahn","non-dropping-particle":"","parse-names":false,"suffix":""},{"dropping-particle":"","family":"Dietrich","given":"J. Richard","non-dropping-particle":"","parse-names":false,"suffix":""},{"dropping-particle":"","family":"Johnson","given":"Bret A.","non-dropping-particle":"","parse-names":false,"suffix":""}],"container-title":"Journal of Accounting and Public Policy","id":"ITEM-4","issue":"5","issued":{"date-parts":[["2017"]]},"page":"337-357","title":"SEC comment letters and firm disclosure","type":"article-journal","volume":"36"},"uris":["http://www.mendeley.com/documents/?uuid=75ad697f-bb57-4190-a91b-bf4a1df448a4"]}],"mendeley":{"formattedCitation":"(Boone, Linthicum, &amp; Poe, 2013; Bozanic et al., 2017; Brown, Tian, &amp; Tucker, 2015; Johnston &amp; Petacchi, 2017)","manualFormatting":"(Boone et al., 2013; Bozanic et al., 2017; Brown et al., 2015; Johnston and Petacchi, 2017)","plainTextFormattedCitation":"(Boone, Linthicum, &amp; Poe, 2013; Bozanic et al., 2017; Brown, Tian, &amp; Tucker, 2015; Johnston &amp; Petacchi, 2017)","previouslyFormattedCitation":"(Boone, Linthicum, &amp; Poe, 2013; Bozanic et al., 2017; Brown, Tian, &amp; Tucker, 2015; Johnston &amp; Petacchi, 2017)"},"properties":{"noteIndex":0},"schema":"https://github.com/citation-style-language/schema/raw/master/csl-citation.json"}</w:instrText>
      </w:r>
      <w:r w:rsidR="00752A1F" w:rsidRPr="00853913">
        <w:rPr>
          <w:color w:val="000000" w:themeColor="text1"/>
        </w:rPr>
        <w:fldChar w:fldCharType="separate"/>
      </w:r>
      <w:r w:rsidR="00752A1F" w:rsidRPr="00853913">
        <w:rPr>
          <w:noProof/>
          <w:color w:val="000000" w:themeColor="text1"/>
        </w:rPr>
        <w:t>(Boone et al., 2013; Bozanic et al., 2017; Brown et al., 2015; Johnston and Petacchi, 2017)</w:t>
      </w:r>
      <w:r w:rsidR="00752A1F" w:rsidRPr="00853913">
        <w:rPr>
          <w:color w:val="000000" w:themeColor="text1"/>
        </w:rPr>
        <w:fldChar w:fldCharType="end"/>
      </w:r>
      <w:r w:rsidR="00752A1F">
        <w:rPr>
          <w:color w:val="000000" w:themeColor="text1"/>
        </w:rPr>
        <w:t xml:space="preserve">. </w:t>
      </w:r>
      <w:r w:rsidR="00752A1F" w:rsidRPr="000912EF">
        <w:t xml:space="preserve">The number of IPOs receiving initial comment letters are </w:t>
      </w:r>
      <w:r w:rsidR="00752A1F">
        <w:t xml:space="preserve">also relatively high in </w:t>
      </w:r>
      <w:r w:rsidR="004741EF" w:rsidRPr="000912EF">
        <w:t xml:space="preserve">2013 </w:t>
      </w:r>
      <w:r w:rsidR="00752A1F">
        <w:t xml:space="preserve">with </w:t>
      </w:r>
      <w:r w:rsidR="00251D61">
        <w:t>a</w:t>
      </w:r>
      <w:r w:rsidR="00752A1F">
        <w:t xml:space="preserve"> value of 90 (12,68%), which is consistent with the dramatic increase of the number of IPOs in 2013. </w:t>
      </w:r>
      <w:r w:rsidR="0001193A" w:rsidRPr="000912EF">
        <w:t>The number of IPOs receiving initial comment letters</w:t>
      </w:r>
      <w:r w:rsidR="00582ADF">
        <w:t xml:space="preserve"> is smallest in 2017</w:t>
      </w:r>
      <w:r w:rsidR="0001193A" w:rsidRPr="000912EF">
        <w:t xml:space="preserve"> with </w:t>
      </w:r>
      <w:r w:rsidR="00251D61">
        <w:t>a</w:t>
      </w:r>
      <w:r w:rsidR="0001193A" w:rsidRPr="000912EF">
        <w:t xml:space="preserve"> value of 1</w:t>
      </w:r>
      <w:r w:rsidR="00582ADF">
        <w:t>5</w:t>
      </w:r>
      <w:r w:rsidR="0001193A" w:rsidRPr="000912EF">
        <w:t xml:space="preserve"> (2.</w:t>
      </w:r>
      <w:r w:rsidR="00582ADF">
        <w:t>11</w:t>
      </w:r>
      <w:r w:rsidR="0001193A" w:rsidRPr="000912EF">
        <w:t>%)</w:t>
      </w:r>
      <w:r w:rsidR="00582ADF">
        <w:t>, which could be due to the less onerous disclosure regulation under JOBs Act</w:t>
      </w:r>
      <w:r w:rsidR="0001193A" w:rsidRPr="000912EF">
        <w:t>.</w:t>
      </w:r>
      <w:r w:rsidR="00582ADF">
        <w:t xml:space="preserve"> The number of IPOs receiving initial comment letters is also relatively small in 2008 which is in line which the sudden decrease in the number of IPOs in 2008.</w:t>
      </w:r>
      <w:r w:rsidR="00A76F67" w:rsidRPr="000912EF">
        <w:t xml:space="preserve"> </w:t>
      </w:r>
      <w:r w:rsidR="00513ECA">
        <w:t>The p</w:t>
      </w:r>
      <w:r w:rsidR="00A76F67" w:rsidRPr="000912EF">
        <w:t xml:space="preserve">roportion of IPOs receiving initial comment letter is largest in 2009 with </w:t>
      </w:r>
      <w:r w:rsidR="00251D61">
        <w:t>a</w:t>
      </w:r>
      <w:r w:rsidR="00A76F67" w:rsidRPr="000912EF">
        <w:t xml:space="preserve"> value of 97.56%,</w:t>
      </w:r>
      <w:r w:rsidR="00582ADF">
        <w:t xml:space="preserve"> which </w:t>
      </w:r>
      <w:proofErr w:type="spellStart"/>
      <w:r w:rsidR="004B6278">
        <w:t>coud</w:t>
      </w:r>
      <w:proofErr w:type="spellEnd"/>
      <w:r w:rsidR="004B6278">
        <w:t xml:space="preserve"> be due to the higher intensity of the SEC review in </w:t>
      </w:r>
      <w:r w:rsidR="00096CCF">
        <w:t>the recession period of financial crisis 2008-2009</w:t>
      </w:r>
      <w:r w:rsidR="004B6278">
        <w:t>. The proportion of IPOs receiving initial comment letter</w:t>
      </w:r>
      <w:r w:rsidR="00A76F67" w:rsidRPr="000912EF">
        <w:t xml:space="preserve"> significantly decreases from 2013 and reach a bottom in 2017 with </w:t>
      </w:r>
      <w:r w:rsidR="00251D61">
        <w:t>a</w:t>
      </w:r>
      <w:r w:rsidR="00A76F67" w:rsidRPr="000912EF">
        <w:t xml:space="preserve"> value of 31.91%</w:t>
      </w:r>
      <w:r w:rsidR="00096CCF">
        <w:t>,</w:t>
      </w:r>
      <w:r w:rsidR="00096CCF" w:rsidRPr="00096CCF">
        <w:t xml:space="preserve"> </w:t>
      </w:r>
      <w:r w:rsidR="00096CCF">
        <w:t>which could be due to the relief of disclosure regulation on emerging growth companies under JOBs Act</w:t>
      </w:r>
      <w:r w:rsidR="00626DC3">
        <w:t>.</w:t>
      </w:r>
      <w:r w:rsidR="005D4125">
        <w:t xml:space="preserve"> Figure </w:t>
      </w:r>
      <w:r w:rsidR="00626DC3">
        <w:t>4</w:t>
      </w:r>
      <w:r w:rsidR="007F09BC" w:rsidRPr="000912EF">
        <w:t xml:space="preserve"> visualize</w:t>
      </w:r>
      <w:r w:rsidR="005D4125">
        <w:t>s</w:t>
      </w:r>
      <w:r w:rsidR="007F09BC" w:rsidRPr="000912EF">
        <w:t xml:space="preserve"> the distribution of </w:t>
      </w:r>
      <w:r w:rsidR="000A12D7" w:rsidRPr="000912EF">
        <w:t>the sample by year</w:t>
      </w:r>
      <w:r w:rsidR="00141A9B" w:rsidRPr="000912EF">
        <w:t>.</w:t>
      </w:r>
    </w:p>
    <w:p w14:paraId="6D921115" w14:textId="2BE88048" w:rsidR="00F33BE8" w:rsidRPr="00F33BE8" w:rsidRDefault="00F33BE8" w:rsidP="00F33BE8">
      <w:pPr>
        <w:spacing w:line="360" w:lineRule="auto"/>
        <w:ind w:left="142"/>
        <w:jc w:val="center"/>
        <w:rPr>
          <w:b/>
          <w:lang w:eastAsia="en-US"/>
        </w:rPr>
      </w:pPr>
      <w:r>
        <w:rPr>
          <w:b/>
          <w:lang w:eastAsia="en-US"/>
        </w:rPr>
        <w:t xml:space="preserve">[Insert Figure </w:t>
      </w:r>
      <w:r w:rsidR="00626DC3">
        <w:rPr>
          <w:b/>
          <w:lang w:eastAsia="en-US"/>
        </w:rPr>
        <w:t>4</w:t>
      </w:r>
      <w:r>
        <w:rPr>
          <w:b/>
          <w:lang w:eastAsia="en-US"/>
        </w:rPr>
        <w:t xml:space="preserve"> about here]</w:t>
      </w:r>
    </w:p>
    <w:p w14:paraId="6E0D4611" w14:textId="1559252D" w:rsidR="00141A9B" w:rsidRDefault="00F33BE8" w:rsidP="0030659B">
      <w:pPr>
        <w:spacing w:line="360" w:lineRule="auto"/>
        <w:jc w:val="both"/>
      </w:pPr>
      <w:r>
        <w:lastRenderedPageBreak/>
        <w:t xml:space="preserve">Panel B in Table </w:t>
      </w:r>
      <w:r w:rsidR="00174399">
        <w:t>3</w:t>
      </w:r>
      <w:r w:rsidR="00141A9B" w:rsidRPr="000912EF">
        <w:t xml:space="preserve"> presents the sample distribution by i</w:t>
      </w:r>
      <w:r w:rsidR="00893443" w:rsidRPr="000912EF">
        <w:t xml:space="preserve">ndustry. </w:t>
      </w:r>
      <w:r w:rsidR="004B6278">
        <w:t xml:space="preserve">My sample includes 53 </w:t>
      </w:r>
      <w:r w:rsidR="00513ECA">
        <w:t>industries</w:t>
      </w:r>
      <w:r w:rsidR="004B6278">
        <w:t xml:space="preserve"> as classified by the two-</w:t>
      </w:r>
      <w:r w:rsidR="00513ECA">
        <w:t>digit</w:t>
      </w:r>
      <w:r w:rsidR="004B6278">
        <w:t xml:space="preserve"> </w:t>
      </w:r>
      <w:r w:rsidR="00A3305E">
        <w:t>SIC code</w:t>
      </w:r>
      <w:r w:rsidR="00513ECA">
        <w:t>. W</w:t>
      </w:r>
      <w:r w:rsidR="00A3305E">
        <w:t xml:space="preserve">ith 28 of these representing at least 1% of the sample, </w:t>
      </w:r>
      <w:r w:rsidR="00513ECA">
        <w:t xml:space="preserve">this </w:t>
      </w:r>
      <w:r w:rsidR="00A3305E">
        <w:t xml:space="preserve">implies a broad selection of </w:t>
      </w:r>
      <w:r w:rsidR="000B6CB5">
        <w:t>industries. Particularly, t</w:t>
      </w:r>
      <w:r w:rsidR="00893443" w:rsidRPr="000912EF">
        <w:t xml:space="preserve">he number of IPOs are large in Computer equipment &amp; service and largest in Chemical products with </w:t>
      </w:r>
      <w:r w:rsidR="00251D61">
        <w:t>a</w:t>
      </w:r>
      <w:r w:rsidR="00893443" w:rsidRPr="000912EF">
        <w:t xml:space="preserve"> value of 225 (24.75%) and 265 (29.15%)</w:t>
      </w:r>
      <w:r w:rsidR="001D4DA6" w:rsidRPr="000912EF">
        <w:t>, respectively</w:t>
      </w:r>
      <w:r w:rsidR="00893443" w:rsidRPr="000912EF">
        <w:t xml:space="preserve">. The number of IPOs is smallest in Food products with </w:t>
      </w:r>
      <w:r w:rsidR="00251D61">
        <w:t xml:space="preserve">a </w:t>
      </w:r>
      <w:r w:rsidR="00893443" w:rsidRPr="000912EF">
        <w:t xml:space="preserve">value of 8 (0.88%). </w:t>
      </w:r>
      <w:r w:rsidR="00A3305E">
        <w:t>Similarly, t</w:t>
      </w:r>
      <w:r w:rsidR="00893443" w:rsidRPr="000912EF">
        <w:t xml:space="preserve">he number of IPOs receiving initial comment letters are large in Computer equipment &amp; service and largest in Chemical products with </w:t>
      </w:r>
      <w:r w:rsidR="00251D61">
        <w:t>a</w:t>
      </w:r>
      <w:r w:rsidR="00893443" w:rsidRPr="000912EF">
        <w:t xml:space="preserve"> value of 173 (24.37%) and 175 (24.65%)</w:t>
      </w:r>
      <w:r w:rsidR="001D4DA6" w:rsidRPr="000912EF">
        <w:t>, respectively</w:t>
      </w:r>
      <w:r w:rsidR="00893443" w:rsidRPr="000912EF">
        <w:t xml:space="preserve">. The number of IPOs receiving initial comment letters is smallest in Food products with </w:t>
      </w:r>
      <w:r w:rsidR="00251D61">
        <w:t>a</w:t>
      </w:r>
      <w:r w:rsidR="00384C93">
        <w:t xml:space="preserve"> </w:t>
      </w:r>
      <w:r w:rsidR="00893443" w:rsidRPr="000912EF">
        <w:t xml:space="preserve">value of 8 (1.13%). </w:t>
      </w:r>
      <w:r w:rsidR="00513ECA">
        <w:t>The p</w:t>
      </w:r>
      <w:r w:rsidR="00893443" w:rsidRPr="000912EF">
        <w:t xml:space="preserve">roportion of IPOs receiving initial comment letters </w:t>
      </w:r>
      <w:r w:rsidR="00513ECA">
        <w:t>is</w:t>
      </w:r>
      <w:r w:rsidR="00893443" w:rsidRPr="000912EF">
        <w:t xml:space="preserve"> largest in Food products, Paper a</w:t>
      </w:r>
      <w:r w:rsidR="001D4DA6" w:rsidRPr="000912EF">
        <w:t>nd P</w:t>
      </w:r>
      <w:r w:rsidR="00893443" w:rsidRPr="000912EF">
        <w:t xml:space="preserve">aper products, </w:t>
      </w:r>
      <w:r w:rsidR="001D4DA6" w:rsidRPr="000912EF">
        <w:t xml:space="preserve">Engineering and Management Services which all have 100% </w:t>
      </w:r>
      <w:r w:rsidR="00513ECA">
        <w:t xml:space="preserve">of </w:t>
      </w:r>
      <w:r w:rsidR="001D4DA6" w:rsidRPr="000912EF">
        <w:t xml:space="preserve">IPOs receiving initial comment letters. </w:t>
      </w:r>
      <w:r w:rsidR="00513ECA">
        <w:t>The p</w:t>
      </w:r>
      <w:r w:rsidR="001D4DA6" w:rsidRPr="000912EF">
        <w:t xml:space="preserve">roportion of IPOs receiving initial comment letters </w:t>
      </w:r>
      <w:r w:rsidR="00513ECA">
        <w:t>is</w:t>
      </w:r>
      <w:r w:rsidR="001D4DA6" w:rsidRPr="000912EF">
        <w:t xml:space="preserve"> smallest in Chemical products </w:t>
      </w:r>
      <w:r w:rsidR="00513ECA">
        <w:t>(</w:t>
      </w:r>
      <w:r w:rsidR="001D4DA6" w:rsidRPr="000912EF">
        <w:t>66.04%</w:t>
      </w:r>
      <w:r w:rsidR="00513ECA">
        <w:t>)</w:t>
      </w:r>
      <w:r w:rsidR="001D4DA6" w:rsidRPr="000912EF">
        <w:t>.</w:t>
      </w:r>
      <w:r w:rsidR="00F6437A">
        <w:t xml:space="preserve"> To some extent, the results reveal that if </w:t>
      </w:r>
      <w:r w:rsidR="00513ECA">
        <w:t>an</w:t>
      </w:r>
      <w:r w:rsidR="00F6437A">
        <w:t xml:space="preserve"> industry has </w:t>
      </w:r>
      <w:r w:rsidR="00513ECA">
        <w:t xml:space="preserve">a </w:t>
      </w:r>
      <w:r w:rsidR="00F6437A">
        <w:t xml:space="preserve">higher volume of IPOs, the proportion of IPOs receiving initial comment letters </w:t>
      </w:r>
      <w:r w:rsidR="00513ECA">
        <w:t>may</w:t>
      </w:r>
      <w:r w:rsidR="00F6437A">
        <w:t xml:space="preserve"> be lower.</w:t>
      </w:r>
    </w:p>
    <w:p w14:paraId="30F915A3" w14:textId="0140769D" w:rsidR="00F33BE8" w:rsidRPr="00F33BE8" w:rsidRDefault="00F33BE8" w:rsidP="00F33BE8">
      <w:pPr>
        <w:pStyle w:val="ListParagraph"/>
        <w:spacing w:line="360" w:lineRule="auto"/>
        <w:ind w:left="0"/>
        <w:jc w:val="center"/>
        <w:rPr>
          <w:b/>
          <w:lang w:eastAsia="en-US"/>
        </w:rPr>
      </w:pPr>
      <w:r>
        <w:rPr>
          <w:b/>
          <w:lang w:eastAsia="en-US"/>
        </w:rPr>
        <w:t xml:space="preserve">[Insert Table </w:t>
      </w:r>
      <w:r w:rsidR="00174399">
        <w:rPr>
          <w:b/>
          <w:lang w:eastAsia="en-US"/>
        </w:rPr>
        <w:t>3</w:t>
      </w:r>
      <w:r>
        <w:rPr>
          <w:b/>
          <w:lang w:eastAsia="en-US"/>
        </w:rPr>
        <w:t xml:space="preserve"> about here]</w:t>
      </w:r>
    </w:p>
    <w:p w14:paraId="458DA49B" w14:textId="3846EE2B" w:rsidR="00674484" w:rsidRPr="009F7296" w:rsidRDefault="00806E7C" w:rsidP="009F7296">
      <w:pPr>
        <w:pStyle w:val="ListParagraph"/>
        <w:numPr>
          <w:ilvl w:val="1"/>
          <w:numId w:val="1"/>
        </w:numPr>
        <w:spacing w:line="360" w:lineRule="auto"/>
        <w:jc w:val="both"/>
        <w:outlineLvl w:val="1"/>
        <w:rPr>
          <w:b/>
          <w:lang w:eastAsia="en-US"/>
        </w:rPr>
      </w:pPr>
      <w:bookmarkStart w:id="32" w:name="_Toc9185800"/>
      <w:r w:rsidRPr="009F7296">
        <w:rPr>
          <w:b/>
          <w:lang w:eastAsia="en-US"/>
        </w:rPr>
        <w:t>D</w:t>
      </w:r>
      <w:r w:rsidR="00674484" w:rsidRPr="009F7296">
        <w:rPr>
          <w:b/>
          <w:lang w:eastAsia="en-US"/>
        </w:rPr>
        <w:t>escriptive statistics of SEC review attributes</w:t>
      </w:r>
      <w:bookmarkEnd w:id="32"/>
    </w:p>
    <w:p w14:paraId="0170318D" w14:textId="7D51CFE3" w:rsidR="00845F7A" w:rsidRPr="00C54600" w:rsidRDefault="00174399" w:rsidP="00C20F6A">
      <w:pPr>
        <w:pStyle w:val="ListParagraph"/>
        <w:spacing w:line="360" w:lineRule="auto"/>
        <w:ind w:left="0"/>
        <w:jc w:val="both"/>
        <w:rPr>
          <w:lang w:eastAsia="en-US"/>
        </w:rPr>
      </w:pPr>
      <w:r>
        <w:rPr>
          <w:lang w:eastAsia="en-US"/>
        </w:rPr>
        <w:t>Table 4</w:t>
      </w:r>
      <w:r w:rsidR="00845F7A" w:rsidRPr="000912EF">
        <w:rPr>
          <w:lang w:eastAsia="en-US"/>
        </w:rPr>
        <w:t xml:space="preserve"> provides descriptive statistics of three </w:t>
      </w:r>
      <w:r w:rsidR="00C54600">
        <w:rPr>
          <w:lang w:eastAsia="en-US"/>
        </w:rPr>
        <w:t xml:space="preserve">proxies of </w:t>
      </w:r>
      <w:r w:rsidR="00845F7A" w:rsidRPr="000912EF">
        <w:rPr>
          <w:lang w:eastAsia="en-US"/>
        </w:rPr>
        <w:t xml:space="preserve">SEC review on IPO firms’ </w:t>
      </w:r>
      <w:r w:rsidR="00C54600">
        <w:rPr>
          <w:lang w:eastAsia="en-US"/>
        </w:rPr>
        <w:t xml:space="preserve">initial </w:t>
      </w:r>
      <w:r w:rsidR="00845F7A" w:rsidRPr="000912EF">
        <w:rPr>
          <w:lang w:eastAsia="en-US"/>
        </w:rPr>
        <w:t>S-1 filings, including duration of IPO process</w:t>
      </w:r>
      <w:r w:rsidR="00C54600">
        <w:rPr>
          <w:lang w:eastAsia="en-US"/>
        </w:rPr>
        <w:t xml:space="preserve"> (</w:t>
      </w:r>
      <w:r w:rsidR="00C54600" w:rsidRPr="30C62BB2">
        <w:rPr>
          <w:i/>
          <w:iCs/>
          <w:lang w:eastAsia="en-US"/>
        </w:rPr>
        <w:t>Duration)</w:t>
      </w:r>
      <w:r w:rsidR="00845F7A" w:rsidRPr="000912EF">
        <w:rPr>
          <w:lang w:eastAsia="en-US"/>
        </w:rPr>
        <w:t>, number of comment letters</w:t>
      </w:r>
      <w:r w:rsidR="00C54600">
        <w:rPr>
          <w:lang w:eastAsia="en-US"/>
        </w:rPr>
        <w:t xml:space="preserve"> (</w:t>
      </w:r>
      <w:r w:rsidR="00C54600" w:rsidRPr="30C62BB2">
        <w:rPr>
          <w:i/>
          <w:iCs/>
          <w:lang w:eastAsia="en-US"/>
        </w:rPr>
        <w:t>Letters)</w:t>
      </w:r>
      <w:r w:rsidR="00845F7A" w:rsidRPr="000912EF">
        <w:rPr>
          <w:lang w:eastAsia="en-US"/>
        </w:rPr>
        <w:t xml:space="preserve"> and number of comments in </w:t>
      </w:r>
      <w:r w:rsidR="00513ECA">
        <w:rPr>
          <w:lang w:eastAsia="en-US"/>
        </w:rPr>
        <w:t xml:space="preserve">the </w:t>
      </w:r>
      <w:r w:rsidR="00845F7A" w:rsidRPr="000912EF">
        <w:rPr>
          <w:lang w:eastAsia="en-US"/>
        </w:rPr>
        <w:t>initial comment letter</w:t>
      </w:r>
      <w:r w:rsidR="00C54600">
        <w:rPr>
          <w:lang w:eastAsia="en-US"/>
        </w:rPr>
        <w:t xml:space="preserve"> </w:t>
      </w:r>
      <w:r w:rsidR="00C54600" w:rsidRPr="30C62BB2">
        <w:rPr>
          <w:i/>
          <w:iCs/>
          <w:lang w:eastAsia="en-US"/>
        </w:rPr>
        <w:t>(Comments)</w:t>
      </w:r>
      <w:r w:rsidR="00845F7A" w:rsidRPr="000912EF">
        <w:rPr>
          <w:lang w:eastAsia="en-US"/>
        </w:rPr>
        <w:t xml:space="preserve">. </w:t>
      </w:r>
      <w:r>
        <w:rPr>
          <w:lang w:eastAsia="en-US"/>
        </w:rPr>
        <w:t>Table 4</w:t>
      </w:r>
      <w:r w:rsidR="000406B4">
        <w:rPr>
          <w:lang w:eastAsia="en-US"/>
        </w:rPr>
        <w:t xml:space="preserve">, Panel A present the summary descriptive statistics of three SEC review attributes. </w:t>
      </w:r>
      <w:r w:rsidR="00845F7A" w:rsidRPr="000912EF">
        <w:rPr>
          <w:lang w:eastAsia="en-US"/>
        </w:rPr>
        <w:t xml:space="preserve">Regarding </w:t>
      </w:r>
      <w:r w:rsidR="00C54600" w:rsidRPr="30C62BB2">
        <w:rPr>
          <w:i/>
          <w:iCs/>
          <w:lang w:eastAsia="en-US"/>
        </w:rPr>
        <w:t>Duration</w:t>
      </w:r>
      <w:r w:rsidR="00845F7A" w:rsidRPr="000912EF">
        <w:rPr>
          <w:lang w:eastAsia="en-US"/>
        </w:rPr>
        <w:t xml:space="preserve">, the mean (median) value of this measure is 120.11 (90). The mean (median) value of </w:t>
      </w:r>
      <w:r w:rsidR="00C54600" w:rsidRPr="30C62BB2">
        <w:rPr>
          <w:i/>
          <w:iCs/>
          <w:lang w:eastAsia="en-US"/>
        </w:rPr>
        <w:t>Letters</w:t>
      </w:r>
      <w:r w:rsidR="00C54600">
        <w:rPr>
          <w:lang w:eastAsia="en-US"/>
        </w:rPr>
        <w:t xml:space="preserve"> is 2.77 (3). Regarding </w:t>
      </w:r>
      <w:r w:rsidR="00C54600" w:rsidRPr="30C62BB2">
        <w:rPr>
          <w:i/>
          <w:iCs/>
          <w:lang w:eastAsia="en-US"/>
        </w:rPr>
        <w:t xml:space="preserve">Comments, </w:t>
      </w:r>
      <w:r w:rsidR="00C54600">
        <w:rPr>
          <w:lang w:eastAsia="en-US"/>
        </w:rPr>
        <w:t>t</w:t>
      </w:r>
      <w:r w:rsidR="00845F7A" w:rsidRPr="000912EF">
        <w:rPr>
          <w:lang w:eastAsia="en-US"/>
        </w:rPr>
        <w:t xml:space="preserve">he mean </w:t>
      </w:r>
      <w:r w:rsidR="00C73625">
        <w:rPr>
          <w:lang w:eastAsia="en-US"/>
        </w:rPr>
        <w:t>(median) IPO firm receives 26.63</w:t>
      </w:r>
      <w:r w:rsidR="00845F7A" w:rsidRPr="000912EF">
        <w:rPr>
          <w:lang w:eastAsia="en-US"/>
        </w:rPr>
        <w:t xml:space="preserve"> (22) comment in initial comment letter.</w:t>
      </w:r>
      <w:r w:rsidR="00C54600">
        <w:rPr>
          <w:lang w:eastAsia="en-US"/>
        </w:rPr>
        <w:t xml:space="preserve"> </w:t>
      </w:r>
      <w:r w:rsidR="001521E1">
        <w:rPr>
          <w:lang w:eastAsia="en-US"/>
        </w:rPr>
        <w:t xml:space="preserve">These results are </w:t>
      </w:r>
      <w:r w:rsidR="00586F10">
        <w:rPr>
          <w:lang w:eastAsia="en-US"/>
        </w:rPr>
        <w:t xml:space="preserve">all </w:t>
      </w:r>
      <w:r w:rsidR="002764F0">
        <w:rPr>
          <w:lang w:eastAsia="en-US"/>
        </w:rPr>
        <w:t>lower than comparable finding</w:t>
      </w:r>
      <w:r w:rsidR="00963CD4">
        <w:rPr>
          <w:lang w:eastAsia="en-US"/>
        </w:rPr>
        <w:t>s</w:t>
      </w:r>
      <w:r w:rsidR="002764F0">
        <w:rPr>
          <w:lang w:eastAsia="en-US"/>
        </w:rPr>
        <w:t xml:space="preserve"> in the studies of </w:t>
      </w:r>
      <w:r w:rsidR="002764F0" w:rsidRPr="30C62BB2">
        <w:fldChar w:fldCharType="begin" w:fldLock="1"/>
      </w:r>
      <w:r w:rsidR="00A611DF">
        <w:rPr>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BIPO process","type":"article-journal","volume":"22"},"uris":["http://www.mendeley.com/documents/?uuid=14e67220-7f18-451c-bcec-f870e9e5ce78"]},{"id":"ITEM-2","itemData":{"abstract":"We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paper","id":"ITEM-2","issued":{"date-parts":[["2006"]]},"title":"IPO Firms and the SEC Comment Letter Process","type":"report"},"uris":["http://www.mendeley.com/documents/?uuid=df49ed71-71c0-4396-9eae-a351e94a1dce"]}],"mendeley":{"formattedCitation":"(Ertimur &amp; Nondorf, 2006; Li &amp; Liu, 2017a)","manualFormatting":"Ertimur &amp; Nondorf (2006) and Li &amp; Liu (2017)","plainTextFormattedCitation":"(Ertimur &amp; Nondorf, 2006; Li &amp; Liu, 2017a)","previouslyFormattedCitation":"(Ertimur &amp; Nondorf, 2006; Li &amp; Liu, 2017a)"},"properties":{"noteIndex":0},"schema":"https://github.com/citation-style-language/schema/raw/master/csl-citation.json"}</w:instrText>
      </w:r>
      <w:r w:rsidR="002764F0" w:rsidRPr="30C62BB2">
        <w:rPr>
          <w:lang w:eastAsia="en-US"/>
        </w:rPr>
        <w:fldChar w:fldCharType="separate"/>
      </w:r>
      <w:r w:rsidR="002764F0" w:rsidRPr="002764F0">
        <w:rPr>
          <w:noProof/>
          <w:lang w:eastAsia="en-US"/>
        </w:rPr>
        <w:t xml:space="preserve">Ertimur &amp; </w:t>
      </w:r>
      <w:r w:rsidR="002764F0">
        <w:rPr>
          <w:noProof/>
          <w:lang w:eastAsia="en-US"/>
        </w:rPr>
        <w:t>Nondorf (2006) and Li &amp; Liu (</w:t>
      </w:r>
      <w:r w:rsidR="002764F0" w:rsidRPr="002764F0">
        <w:rPr>
          <w:noProof/>
          <w:lang w:eastAsia="en-US"/>
        </w:rPr>
        <w:t>2017)</w:t>
      </w:r>
      <w:r w:rsidR="002764F0" w:rsidRPr="30C62BB2">
        <w:fldChar w:fldCharType="end"/>
      </w:r>
      <w:r w:rsidR="002764F0">
        <w:rPr>
          <w:lang w:eastAsia="en-US"/>
        </w:rPr>
        <w:t xml:space="preserve">, who also employs the same measure of the SEC review on S-1 filings. The reason could be the sample period employed by </w:t>
      </w:r>
      <w:r w:rsidR="002764F0" w:rsidRPr="30C62BB2">
        <w:fldChar w:fldCharType="begin" w:fldLock="1"/>
      </w:r>
      <w:r w:rsidR="00A611DF">
        <w:rPr>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BIPO process","type":"article-journal","volume":"22"},"uris":["http://www.mendeley.com/documents/?uuid=14e67220-7f18-451c-bcec-f870e9e5ce78"]},{"id":"ITEM-2","itemData":{"abstract":"We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paper","id":"ITEM-2","issued":{"date-parts":[["2006"]]},"title":"IPO Firms and the SEC Comment Letter Process","type":"report"},"uris":["http://www.mendeley.com/documents/?uuid=df49ed71-71c0-4396-9eae-a351e94a1dce"]}],"mendeley":{"formattedCitation":"(Ertimur &amp; Nondorf, 2006; Li &amp; Liu, 2017a)","manualFormatting":"Ertimur &amp; Nondorf (2006) and Li &amp; Liu (2017)","plainTextFormattedCitation":"(Ertimur &amp; Nondorf, 2006; Li &amp; Liu, 2017a)","previouslyFormattedCitation":"(Ertimur &amp; Nondorf, 2006; Li &amp; Liu, 2017a)"},"properties":{"noteIndex":0},"schema":"https://github.com/citation-style-language/schema/raw/master/csl-citation.json"}</w:instrText>
      </w:r>
      <w:r w:rsidR="002764F0" w:rsidRPr="30C62BB2">
        <w:rPr>
          <w:lang w:eastAsia="en-US"/>
        </w:rPr>
        <w:fldChar w:fldCharType="separate"/>
      </w:r>
      <w:r w:rsidR="002764F0" w:rsidRPr="002764F0">
        <w:rPr>
          <w:noProof/>
          <w:lang w:eastAsia="en-US"/>
        </w:rPr>
        <w:t xml:space="preserve">Ertimur &amp; </w:t>
      </w:r>
      <w:r w:rsidR="002764F0">
        <w:rPr>
          <w:noProof/>
          <w:lang w:eastAsia="en-US"/>
        </w:rPr>
        <w:t>Nondorf (2006) and Li &amp; Liu (</w:t>
      </w:r>
      <w:r w:rsidR="002764F0" w:rsidRPr="002764F0">
        <w:rPr>
          <w:noProof/>
          <w:lang w:eastAsia="en-US"/>
        </w:rPr>
        <w:t>2017)</w:t>
      </w:r>
      <w:r w:rsidR="002764F0" w:rsidRPr="30C62BB2">
        <w:fldChar w:fldCharType="end"/>
      </w:r>
      <w:r w:rsidR="002764F0">
        <w:rPr>
          <w:lang w:eastAsia="en-US"/>
        </w:rPr>
        <w:t xml:space="preserve"> are from 12</w:t>
      </w:r>
      <w:r w:rsidR="002764F0" w:rsidRPr="002764F0">
        <w:rPr>
          <w:vertAlign w:val="superscript"/>
          <w:lang w:eastAsia="en-US"/>
        </w:rPr>
        <w:t>th</w:t>
      </w:r>
      <w:r w:rsidR="002764F0">
        <w:rPr>
          <w:lang w:eastAsia="en-US"/>
        </w:rPr>
        <w:t xml:space="preserve"> May, 2005 to 30</w:t>
      </w:r>
      <w:r w:rsidR="002764F0" w:rsidRPr="002764F0">
        <w:rPr>
          <w:vertAlign w:val="superscript"/>
          <w:lang w:eastAsia="en-US"/>
        </w:rPr>
        <w:t>th</w:t>
      </w:r>
      <w:r w:rsidR="002764F0">
        <w:rPr>
          <w:lang w:eastAsia="en-US"/>
        </w:rPr>
        <w:t xml:space="preserve"> September, 2006 and from 12</w:t>
      </w:r>
      <w:r w:rsidR="002764F0" w:rsidRPr="002764F0">
        <w:rPr>
          <w:vertAlign w:val="superscript"/>
          <w:lang w:eastAsia="en-US"/>
        </w:rPr>
        <w:t>th</w:t>
      </w:r>
      <w:r w:rsidR="002764F0">
        <w:rPr>
          <w:lang w:eastAsia="en-US"/>
        </w:rPr>
        <w:t xml:space="preserve"> May, 2005 to 31</w:t>
      </w:r>
      <w:r w:rsidR="002764F0" w:rsidRPr="002764F0">
        <w:rPr>
          <w:vertAlign w:val="superscript"/>
          <w:lang w:eastAsia="en-US"/>
        </w:rPr>
        <w:t>st</w:t>
      </w:r>
      <w:r w:rsidR="002764F0">
        <w:rPr>
          <w:lang w:eastAsia="en-US"/>
        </w:rPr>
        <w:t xml:space="preserve"> December, 2011,</w:t>
      </w:r>
      <w:r w:rsidR="00586F10">
        <w:rPr>
          <w:lang w:eastAsia="en-US"/>
        </w:rPr>
        <w:t xml:space="preserve"> respectively,</w:t>
      </w:r>
      <w:r w:rsidR="002764F0">
        <w:rPr>
          <w:lang w:eastAsia="en-US"/>
        </w:rPr>
        <w:t xml:space="preserve"> meanwhile, my study focuses on the </w:t>
      </w:r>
      <w:r w:rsidR="008979B8">
        <w:rPr>
          <w:lang w:eastAsia="en-US"/>
        </w:rPr>
        <w:t>wider period, which is from</w:t>
      </w:r>
      <w:r w:rsidR="002764F0">
        <w:rPr>
          <w:lang w:eastAsia="en-US"/>
        </w:rPr>
        <w:t xml:space="preserve"> 12</w:t>
      </w:r>
      <w:r w:rsidR="002764F0" w:rsidRPr="002764F0">
        <w:rPr>
          <w:vertAlign w:val="superscript"/>
          <w:lang w:eastAsia="en-US"/>
        </w:rPr>
        <w:t>th</w:t>
      </w:r>
      <w:r w:rsidR="002764F0">
        <w:rPr>
          <w:lang w:eastAsia="en-US"/>
        </w:rPr>
        <w:t xml:space="preserve"> May, 2005 to 31</w:t>
      </w:r>
      <w:r w:rsidR="002764F0" w:rsidRPr="002764F0">
        <w:rPr>
          <w:vertAlign w:val="superscript"/>
          <w:lang w:eastAsia="en-US"/>
        </w:rPr>
        <w:t>st</w:t>
      </w:r>
      <w:r w:rsidR="002764F0">
        <w:rPr>
          <w:lang w:eastAsia="en-US"/>
        </w:rPr>
        <w:t xml:space="preserve"> December, 2017. </w:t>
      </w:r>
      <w:r w:rsidR="008979B8">
        <w:rPr>
          <w:lang w:eastAsia="en-US"/>
        </w:rPr>
        <w:t>Especially, my sample period include</w:t>
      </w:r>
      <w:r w:rsidR="00A02079">
        <w:rPr>
          <w:lang w:eastAsia="en-US"/>
        </w:rPr>
        <w:t>s</w:t>
      </w:r>
      <w:r w:rsidR="008979B8">
        <w:rPr>
          <w:lang w:eastAsia="en-US"/>
        </w:rPr>
        <w:t xml:space="preserve"> the period after the enactment of </w:t>
      </w:r>
      <w:r w:rsidR="004F5BE6">
        <w:rPr>
          <w:lang w:eastAsia="en-US"/>
        </w:rPr>
        <w:t>JOBs Act</w:t>
      </w:r>
      <w:r w:rsidR="008979B8">
        <w:rPr>
          <w:lang w:eastAsia="en-US"/>
        </w:rPr>
        <w:t>, which relieves some SEC’s disclosure regulations on the emerging growth companies</w:t>
      </w:r>
      <w:r w:rsidR="00963CD4">
        <w:rPr>
          <w:lang w:eastAsia="en-US"/>
        </w:rPr>
        <w:t>, and hence could decrease the value of the SEC review attributes</w:t>
      </w:r>
      <w:r w:rsidR="008979B8">
        <w:rPr>
          <w:lang w:eastAsia="en-US"/>
        </w:rPr>
        <w:t>.  It is also worth noting</w:t>
      </w:r>
      <w:r w:rsidR="00C54600">
        <w:rPr>
          <w:lang w:eastAsia="en-US"/>
        </w:rPr>
        <w:t xml:space="preserve"> that </w:t>
      </w:r>
      <w:r w:rsidR="00C54600" w:rsidRPr="30C62BB2">
        <w:rPr>
          <w:i/>
          <w:iCs/>
          <w:lang w:eastAsia="en-US"/>
        </w:rPr>
        <w:t xml:space="preserve">Duration </w:t>
      </w:r>
      <w:r w:rsidR="00C54600">
        <w:rPr>
          <w:lang w:eastAsia="en-US"/>
        </w:rPr>
        <w:t xml:space="preserve">and </w:t>
      </w:r>
      <w:r w:rsidR="00C54600" w:rsidRPr="30C62BB2">
        <w:rPr>
          <w:i/>
          <w:iCs/>
          <w:lang w:eastAsia="en-US"/>
        </w:rPr>
        <w:t xml:space="preserve">Comments </w:t>
      </w:r>
      <w:r w:rsidR="00C54600">
        <w:rPr>
          <w:lang w:eastAsia="en-US"/>
        </w:rPr>
        <w:t xml:space="preserve">are highly skewed as well as </w:t>
      </w:r>
      <w:r w:rsidR="00C54600" w:rsidRPr="30C62BB2">
        <w:rPr>
          <w:i/>
          <w:iCs/>
          <w:lang w:eastAsia="en-US"/>
        </w:rPr>
        <w:t xml:space="preserve">Letters </w:t>
      </w:r>
      <w:r w:rsidR="00C54600">
        <w:rPr>
          <w:lang w:eastAsia="en-US"/>
        </w:rPr>
        <w:t>is relatively skewed. Otherwise, all three proxies are discrete and countable. Therefore, it would be statistically problematic if these proxies are employed as independent variables within conventional OLS regressions.</w:t>
      </w:r>
    </w:p>
    <w:p w14:paraId="6415DC75" w14:textId="2FD36476" w:rsidR="00AC6A0C" w:rsidRPr="00720D16" w:rsidRDefault="00C54600" w:rsidP="0030659B">
      <w:pPr>
        <w:spacing w:line="360" w:lineRule="auto"/>
        <w:jc w:val="both"/>
        <w:rPr>
          <w:color w:val="0563C1" w:themeColor="hyperlink"/>
          <w:u w:val="single"/>
        </w:rPr>
      </w:pPr>
      <w:r>
        <w:rPr>
          <w:lang w:eastAsia="en-US"/>
        </w:rPr>
        <w:lastRenderedPageBreak/>
        <w:t xml:space="preserve">Table </w:t>
      </w:r>
      <w:r w:rsidR="00174399">
        <w:rPr>
          <w:lang w:eastAsia="en-US"/>
        </w:rPr>
        <w:t>4</w:t>
      </w:r>
      <w:r w:rsidR="00A8790D">
        <w:rPr>
          <w:lang w:eastAsia="en-US"/>
        </w:rPr>
        <w:t>, Panel B</w:t>
      </w:r>
      <w:r w:rsidR="009663CA" w:rsidRPr="000912EF">
        <w:rPr>
          <w:lang w:eastAsia="en-US"/>
        </w:rPr>
        <w:t xml:space="preserve"> </w:t>
      </w:r>
      <w:r w:rsidR="00142988" w:rsidRPr="000912EF">
        <w:rPr>
          <w:lang w:eastAsia="en-US"/>
        </w:rPr>
        <w:t>presents the descriptive statistics of</w:t>
      </w:r>
      <w:r w:rsidR="009663CA" w:rsidRPr="000912EF">
        <w:rPr>
          <w:lang w:eastAsia="en-US"/>
        </w:rPr>
        <w:t xml:space="preserve"> </w:t>
      </w:r>
      <w:r w:rsidR="00513ECA">
        <w:rPr>
          <w:lang w:eastAsia="en-US"/>
        </w:rPr>
        <w:t xml:space="preserve">the </w:t>
      </w:r>
      <w:r w:rsidR="009663CA" w:rsidRPr="000912EF">
        <w:rPr>
          <w:lang w:eastAsia="en-US"/>
        </w:rPr>
        <w:t>three SEC review attributes by year</w:t>
      </w:r>
      <w:r w:rsidR="009C72FE" w:rsidRPr="000912EF">
        <w:rPr>
          <w:lang w:eastAsia="en-US"/>
        </w:rPr>
        <w:t>.</w:t>
      </w:r>
      <w:r w:rsidR="000B29CB" w:rsidRPr="000912EF">
        <w:rPr>
          <w:lang w:eastAsia="en-US"/>
        </w:rPr>
        <w:t xml:space="preserve"> </w:t>
      </w:r>
      <w:r w:rsidR="00E40F54" w:rsidRPr="000912EF">
        <w:rPr>
          <w:lang w:eastAsia="en-US"/>
        </w:rPr>
        <w:t xml:space="preserve">Generally, the </w:t>
      </w:r>
      <w:r w:rsidR="009C72FE" w:rsidRPr="000912EF">
        <w:rPr>
          <w:lang w:eastAsia="en-US"/>
        </w:rPr>
        <w:t>mean (</w:t>
      </w:r>
      <w:r w:rsidR="00E40F54" w:rsidRPr="000912EF">
        <w:rPr>
          <w:lang w:eastAsia="en-US"/>
        </w:rPr>
        <w:t>median</w:t>
      </w:r>
      <w:r w:rsidR="009C72FE" w:rsidRPr="000912EF">
        <w:rPr>
          <w:lang w:eastAsia="en-US"/>
        </w:rPr>
        <w:t>)</w:t>
      </w:r>
      <w:r w:rsidR="00E40F54" w:rsidRPr="000912EF">
        <w:rPr>
          <w:lang w:eastAsia="en-US"/>
        </w:rPr>
        <w:t xml:space="preserve"> values of </w:t>
      </w:r>
      <w:r w:rsidR="00513ECA">
        <w:rPr>
          <w:lang w:eastAsia="en-US"/>
        </w:rPr>
        <w:t xml:space="preserve">the </w:t>
      </w:r>
      <w:r w:rsidR="00E40F54" w:rsidRPr="000912EF">
        <w:rPr>
          <w:lang w:eastAsia="en-US"/>
        </w:rPr>
        <w:t xml:space="preserve">three SEC review attributes tend to decrease from 2005 to 2017, especially after 2012. Regarding the </w:t>
      </w:r>
      <w:r w:rsidR="004C45C6">
        <w:rPr>
          <w:i/>
          <w:lang w:eastAsia="en-US"/>
        </w:rPr>
        <w:t>Duration</w:t>
      </w:r>
      <w:r w:rsidR="00E40F54" w:rsidRPr="000912EF">
        <w:rPr>
          <w:lang w:eastAsia="en-US"/>
        </w:rPr>
        <w:t xml:space="preserve">, </w:t>
      </w:r>
      <w:r w:rsidR="004C45C6">
        <w:rPr>
          <w:lang w:eastAsia="en-US"/>
        </w:rPr>
        <w:t>it is worth noting that the</w:t>
      </w:r>
      <w:r w:rsidR="000B29CB" w:rsidRPr="000912EF">
        <w:rPr>
          <w:lang w:eastAsia="en-US"/>
        </w:rPr>
        <w:t xml:space="preserve"> mean (median) </w:t>
      </w:r>
      <w:r w:rsidR="004C45C6">
        <w:rPr>
          <w:lang w:eastAsia="en-US"/>
        </w:rPr>
        <w:t>suddenly</w:t>
      </w:r>
      <w:r w:rsidR="00E8430C" w:rsidRPr="000912EF">
        <w:rPr>
          <w:lang w:eastAsia="en-US"/>
        </w:rPr>
        <w:t xml:space="preserve"> </w:t>
      </w:r>
      <w:proofErr w:type="gramStart"/>
      <w:r w:rsidR="000B29CB" w:rsidRPr="000912EF">
        <w:rPr>
          <w:lang w:eastAsia="en-US"/>
        </w:rPr>
        <w:t>increase</w:t>
      </w:r>
      <w:proofErr w:type="gramEnd"/>
      <w:r w:rsidR="000B29CB" w:rsidRPr="000912EF">
        <w:rPr>
          <w:lang w:eastAsia="en-US"/>
        </w:rPr>
        <w:t xml:space="preserve"> to </w:t>
      </w:r>
      <w:r w:rsidR="00A02079">
        <w:rPr>
          <w:lang w:eastAsia="en-US"/>
        </w:rPr>
        <w:t xml:space="preserve">a </w:t>
      </w:r>
      <w:r w:rsidR="000B29CB" w:rsidRPr="000912EF">
        <w:rPr>
          <w:lang w:eastAsia="en-US"/>
        </w:rPr>
        <w:t>peak</w:t>
      </w:r>
      <w:r w:rsidR="00E40F54" w:rsidRPr="000912EF">
        <w:rPr>
          <w:lang w:eastAsia="en-US"/>
        </w:rPr>
        <w:t xml:space="preserve"> in 2008</w:t>
      </w:r>
      <w:r w:rsidR="000B29CB" w:rsidRPr="000912EF">
        <w:rPr>
          <w:lang w:eastAsia="en-US"/>
        </w:rPr>
        <w:t xml:space="preserve"> (2008)</w:t>
      </w:r>
      <w:r w:rsidR="001C4BD8" w:rsidRPr="000912EF">
        <w:rPr>
          <w:lang w:eastAsia="en-US"/>
        </w:rPr>
        <w:t xml:space="preserve"> with </w:t>
      </w:r>
      <w:r w:rsidR="00251D61">
        <w:rPr>
          <w:lang w:eastAsia="en-US"/>
        </w:rPr>
        <w:t>a</w:t>
      </w:r>
      <w:r w:rsidR="001C4BD8" w:rsidRPr="000912EF">
        <w:rPr>
          <w:lang w:eastAsia="en-US"/>
        </w:rPr>
        <w:t xml:space="preserve"> value of 426 (427)</w:t>
      </w:r>
      <w:r w:rsidR="004C45C6">
        <w:rPr>
          <w:lang w:eastAsia="en-US"/>
        </w:rPr>
        <w:t xml:space="preserve">, which is at the height of financial crisis in 2008. The mean (median) value of </w:t>
      </w:r>
      <w:r w:rsidR="004C45C6">
        <w:rPr>
          <w:i/>
          <w:lang w:eastAsia="en-US"/>
        </w:rPr>
        <w:t xml:space="preserve">Duration </w:t>
      </w:r>
      <w:r w:rsidR="004C45C6">
        <w:rPr>
          <w:lang w:eastAsia="en-US"/>
        </w:rPr>
        <w:t>also slightly increase from 2010 (2011</w:t>
      </w:r>
      <w:r w:rsidR="000B29CB" w:rsidRPr="000912EF">
        <w:rPr>
          <w:lang w:eastAsia="en-US"/>
        </w:rPr>
        <w:t>)</w:t>
      </w:r>
      <w:r w:rsidR="004C45C6">
        <w:rPr>
          <w:lang w:eastAsia="en-US"/>
        </w:rPr>
        <w:t>,</w:t>
      </w:r>
      <w:r w:rsidR="00720D16">
        <w:rPr>
          <w:lang w:eastAsia="en-US"/>
        </w:rPr>
        <w:t xml:space="preserve"> which could be due to </w:t>
      </w:r>
      <w:r w:rsidR="00720D16">
        <w:t xml:space="preserve">the higher intensity of the SEC review to protect investors under Dodd-Frank </w:t>
      </w:r>
      <w:hyperlink r:id="rId8" w:history="1"/>
      <w:r w:rsidR="00720D16">
        <w:t>Wall Street Reform and Consumer Protection Act 2010</w:t>
      </w:r>
      <w:r w:rsidR="004C45C6">
        <w:rPr>
          <w:lang w:eastAsia="en-US"/>
        </w:rPr>
        <w:t xml:space="preserve">. Importantly, </w:t>
      </w:r>
      <w:r w:rsidR="00720D16">
        <w:rPr>
          <w:lang w:eastAsia="en-US"/>
        </w:rPr>
        <w:t xml:space="preserve">the results reveal </w:t>
      </w:r>
      <w:r w:rsidR="00E40F54" w:rsidRPr="000912EF">
        <w:rPr>
          <w:lang w:eastAsia="en-US"/>
        </w:rPr>
        <w:t xml:space="preserve">a </w:t>
      </w:r>
      <w:r w:rsidR="000B29CB" w:rsidRPr="000912EF">
        <w:rPr>
          <w:lang w:eastAsia="en-US"/>
        </w:rPr>
        <w:t xml:space="preserve">steady </w:t>
      </w:r>
      <w:r w:rsidR="00E40F54" w:rsidRPr="000912EF">
        <w:rPr>
          <w:lang w:eastAsia="en-US"/>
        </w:rPr>
        <w:t xml:space="preserve">decrease </w:t>
      </w:r>
      <w:r w:rsidR="004C45C6">
        <w:rPr>
          <w:lang w:eastAsia="en-US"/>
        </w:rPr>
        <w:t xml:space="preserve">in the mean (median) value of </w:t>
      </w:r>
      <w:r w:rsidR="004C45C6">
        <w:rPr>
          <w:i/>
          <w:lang w:eastAsia="en-US"/>
        </w:rPr>
        <w:t xml:space="preserve">Duration </w:t>
      </w:r>
      <w:r w:rsidR="00E40F54" w:rsidRPr="000912EF">
        <w:rPr>
          <w:lang w:eastAsia="en-US"/>
        </w:rPr>
        <w:t>from 2012</w:t>
      </w:r>
      <w:r w:rsidR="000B29CB" w:rsidRPr="000912EF">
        <w:rPr>
          <w:lang w:eastAsia="en-US"/>
        </w:rPr>
        <w:t xml:space="preserve"> (2011)</w:t>
      </w:r>
      <w:r w:rsidR="00CA4B2E" w:rsidRPr="000912EF">
        <w:rPr>
          <w:lang w:eastAsia="en-US"/>
        </w:rPr>
        <w:t xml:space="preserve"> to a </w:t>
      </w:r>
      <w:r w:rsidR="00513ECA">
        <w:rPr>
          <w:lang w:eastAsia="en-US"/>
        </w:rPr>
        <w:t>low</w:t>
      </w:r>
      <w:r w:rsidR="00CA4B2E" w:rsidRPr="000912EF">
        <w:rPr>
          <w:lang w:eastAsia="en-US"/>
        </w:rPr>
        <w:t xml:space="preserve"> in 2017</w:t>
      </w:r>
      <w:r w:rsidR="001C4BD8" w:rsidRPr="000912EF">
        <w:rPr>
          <w:lang w:eastAsia="en-US"/>
        </w:rPr>
        <w:t xml:space="preserve"> (2017) with </w:t>
      </w:r>
      <w:r w:rsidR="00BD7A05">
        <w:rPr>
          <w:lang w:eastAsia="en-US"/>
        </w:rPr>
        <w:t>a</w:t>
      </w:r>
      <w:r w:rsidR="001C4BD8" w:rsidRPr="000912EF">
        <w:rPr>
          <w:lang w:eastAsia="en-US"/>
        </w:rPr>
        <w:t xml:space="preserve"> value of 36.79 (27)</w:t>
      </w:r>
      <w:r w:rsidR="00720D16">
        <w:rPr>
          <w:lang w:eastAsia="en-US"/>
        </w:rPr>
        <w:t xml:space="preserve">, which could be due to </w:t>
      </w:r>
      <w:r w:rsidR="00720D16">
        <w:t>the relief of disclosure regulation on emerging growth companies under JOBs Act</w:t>
      </w:r>
      <w:r w:rsidR="00E40F54" w:rsidRPr="000912EF">
        <w:rPr>
          <w:lang w:eastAsia="en-US"/>
        </w:rPr>
        <w:t xml:space="preserve">. Regarding </w:t>
      </w:r>
      <w:r w:rsidR="000C7CF2">
        <w:rPr>
          <w:i/>
          <w:lang w:eastAsia="en-US"/>
        </w:rPr>
        <w:t xml:space="preserve">Letters, </w:t>
      </w:r>
      <w:r w:rsidR="000C7CF2">
        <w:rPr>
          <w:lang w:eastAsia="en-US"/>
        </w:rPr>
        <w:t xml:space="preserve">I observe </w:t>
      </w:r>
      <w:r w:rsidR="000B29CB" w:rsidRPr="000912EF">
        <w:rPr>
          <w:lang w:eastAsia="en-US"/>
        </w:rPr>
        <w:t>a</w:t>
      </w:r>
      <w:r w:rsidR="00E8430C" w:rsidRPr="000912EF">
        <w:rPr>
          <w:lang w:eastAsia="en-US"/>
        </w:rPr>
        <w:t xml:space="preserve"> gradual </w:t>
      </w:r>
      <w:r w:rsidR="005F5D98" w:rsidRPr="000912EF">
        <w:rPr>
          <w:lang w:eastAsia="en-US"/>
        </w:rPr>
        <w:t xml:space="preserve">increase </w:t>
      </w:r>
      <w:r w:rsidR="00E8430C" w:rsidRPr="000912EF">
        <w:rPr>
          <w:lang w:eastAsia="en-US"/>
        </w:rPr>
        <w:t>from 2005-2008 (2005-2008) and reach a</w:t>
      </w:r>
      <w:r w:rsidR="005F5D98" w:rsidRPr="000912EF">
        <w:rPr>
          <w:lang w:eastAsia="en-US"/>
        </w:rPr>
        <w:t xml:space="preserve"> peak</w:t>
      </w:r>
      <w:r w:rsidR="00E40F54" w:rsidRPr="000912EF">
        <w:rPr>
          <w:lang w:eastAsia="en-US"/>
        </w:rPr>
        <w:t xml:space="preserve"> in 2008</w:t>
      </w:r>
      <w:r w:rsidR="00E8430C" w:rsidRPr="000912EF">
        <w:rPr>
          <w:lang w:eastAsia="en-US"/>
        </w:rPr>
        <w:t xml:space="preserve"> (2008)</w:t>
      </w:r>
      <w:r w:rsidR="001C4BD8" w:rsidRPr="000912EF">
        <w:rPr>
          <w:lang w:eastAsia="en-US"/>
        </w:rPr>
        <w:t xml:space="preserve"> with </w:t>
      </w:r>
      <w:r w:rsidR="00251D61">
        <w:rPr>
          <w:lang w:eastAsia="en-US"/>
        </w:rPr>
        <w:t>a</w:t>
      </w:r>
      <w:r w:rsidR="001C4BD8" w:rsidRPr="000912EF">
        <w:rPr>
          <w:lang w:eastAsia="en-US"/>
        </w:rPr>
        <w:t xml:space="preserve"> value of 4.89 (5)</w:t>
      </w:r>
      <w:r w:rsidR="00E40F54" w:rsidRPr="000912EF">
        <w:rPr>
          <w:lang w:eastAsia="en-US"/>
        </w:rPr>
        <w:t>,</w:t>
      </w:r>
      <w:r w:rsidR="000C7CF2">
        <w:rPr>
          <w:lang w:eastAsia="en-US"/>
        </w:rPr>
        <w:t xml:space="preserve"> which is at the height of financial crisis in 2008.</w:t>
      </w:r>
      <w:r w:rsidR="00E40F54" w:rsidRPr="000912EF">
        <w:rPr>
          <w:lang w:eastAsia="en-US"/>
        </w:rPr>
        <w:t xml:space="preserve"> </w:t>
      </w:r>
      <w:r w:rsidR="000C7CF2">
        <w:rPr>
          <w:lang w:eastAsia="en-US"/>
        </w:rPr>
        <w:t xml:space="preserve">A slight increase in the mean value of </w:t>
      </w:r>
      <w:r w:rsidR="000C7CF2">
        <w:rPr>
          <w:i/>
          <w:lang w:eastAsia="en-US"/>
        </w:rPr>
        <w:t>Letter</w:t>
      </w:r>
      <w:r w:rsidR="00A8790D">
        <w:rPr>
          <w:i/>
          <w:lang w:eastAsia="en-US"/>
        </w:rPr>
        <w:t>s</w:t>
      </w:r>
      <w:r w:rsidR="000C7CF2">
        <w:rPr>
          <w:i/>
          <w:lang w:eastAsia="en-US"/>
        </w:rPr>
        <w:t xml:space="preserve"> </w:t>
      </w:r>
      <w:r w:rsidR="00A8790D">
        <w:rPr>
          <w:lang w:eastAsia="en-US"/>
        </w:rPr>
        <w:t xml:space="preserve">is </w:t>
      </w:r>
      <w:r w:rsidR="000C7CF2">
        <w:rPr>
          <w:lang w:eastAsia="en-US"/>
        </w:rPr>
        <w:t>show</w:t>
      </w:r>
      <w:r w:rsidR="00A02079">
        <w:rPr>
          <w:lang w:eastAsia="en-US"/>
        </w:rPr>
        <w:t>n</w:t>
      </w:r>
      <w:r w:rsidR="000C7CF2">
        <w:rPr>
          <w:lang w:eastAsia="en-US"/>
        </w:rPr>
        <w:t xml:space="preserve">, which is after the enactment of </w:t>
      </w:r>
      <w:r w:rsidR="000C7CF2" w:rsidRPr="000C7CF2">
        <w:rPr>
          <w:lang w:eastAsia="en-US"/>
        </w:rPr>
        <w:t>Dodd-Frank Wall Street Reform and Consumer Protection Act 2010</w:t>
      </w:r>
      <w:r w:rsidR="000C7CF2">
        <w:rPr>
          <w:lang w:eastAsia="en-US"/>
        </w:rPr>
        <w:t xml:space="preserve">. The results also reveal </w:t>
      </w:r>
      <w:r w:rsidR="00E40F54" w:rsidRPr="000912EF">
        <w:rPr>
          <w:lang w:eastAsia="en-US"/>
        </w:rPr>
        <w:t xml:space="preserve">a </w:t>
      </w:r>
      <w:r w:rsidR="005F5D98" w:rsidRPr="000912EF">
        <w:rPr>
          <w:lang w:eastAsia="en-US"/>
        </w:rPr>
        <w:t xml:space="preserve">steady </w:t>
      </w:r>
      <w:r w:rsidR="00E40F54" w:rsidRPr="000912EF">
        <w:rPr>
          <w:lang w:eastAsia="en-US"/>
        </w:rPr>
        <w:t>decrease</w:t>
      </w:r>
      <w:r w:rsidR="000C7CF2">
        <w:rPr>
          <w:lang w:eastAsia="en-US"/>
        </w:rPr>
        <w:t xml:space="preserve"> in the mean (median) value of </w:t>
      </w:r>
      <w:r w:rsidR="00A8790D">
        <w:rPr>
          <w:i/>
          <w:lang w:eastAsia="en-US"/>
        </w:rPr>
        <w:t xml:space="preserve">Letters </w:t>
      </w:r>
      <w:r w:rsidR="005F5D98" w:rsidRPr="000912EF">
        <w:rPr>
          <w:lang w:eastAsia="en-US"/>
        </w:rPr>
        <w:t>from</w:t>
      </w:r>
      <w:r w:rsidR="00E40F54" w:rsidRPr="000912EF">
        <w:rPr>
          <w:lang w:eastAsia="en-US"/>
        </w:rPr>
        <w:t xml:space="preserve"> 2012</w:t>
      </w:r>
      <w:r w:rsidR="00640D78" w:rsidRPr="000912EF">
        <w:rPr>
          <w:lang w:eastAsia="en-US"/>
        </w:rPr>
        <w:t xml:space="preserve"> (2012)</w:t>
      </w:r>
      <w:r w:rsidR="00D35907" w:rsidRPr="000912EF">
        <w:rPr>
          <w:lang w:eastAsia="en-US"/>
        </w:rPr>
        <w:t xml:space="preserve"> to reach a </w:t>
      </w:r>
      <w:r w:rsidR="00251D61">
        <w:rPr>
          <w:lang w:eastAsia="en-US"/>
        </w:rPr>
        <w:t>low</w:t>
      </w:r>
      <w:r w:rsidR="00D35907" w:rsidRPr="000912EF">
        <w:rPr>
          <w:lang w:eastAsia="en-US"/>
        </w:rPr>
        <w:t xml:space="preserve"> in 2017 (2017)</w:t>
      </w:r>
      <w:r w:rsidR="001C4BD8" w:rsidRPr="000912EF">
        <w:rPr>
          <w:lang w:eastAsia="en-US"/>
        </w:rPr>
        <w:t xml:space="preserve"> with </w:t>
      </w:r>
      <w:r w:rsidR="00251D61">
        <w:rPr>
          <w:lang w:eastAsia="en-US"/>
        </w:rPr>
        <w:t>a</w:t>
      </w:r>
      <w:r w:rsidR="001C4BD8" w:rsidRPr="000912EF">
        <w:rPr>
          <w:lang w:eastAsia="en-US"/>
        </w:rPr>
        <w:t xml:space="preserve"> value of 0.87 (0)</w:t>
      </w:r>
      <w:r w:rsidR="000C7CF2">
        <w:rPr>
          <w:lang w:eastAsia="en-US"/>
        </w:rPr>
        <w:t>, which is in the period after the enactment of JOBs Act</w:t>
      </w:r>
      <w:r w:rsidR="00E40F54" w:rsidRPr="000912EF">
        <w:rPr>
          <w:lang w:eastAsia="en-US"/>
        </w:rPr>
        <w:t>. Regarding</w:t>
      </w:r>
      <w:r w:rsidR="00A8790D">
        <w:rPr>
          <w:lang w:eastAsia="en-US"/>
        </w:rPr>
        <w:t xml:space="preserve"> </w:t>
      </w:r>
      <w:r w:rsidR="00A8790D">
        <w:rPr>
          <w:i/>
          <w:lang w:eastAsia="en-US"/>
        </w:rPr>
        <w:t>Comments</w:t>
      </w:r>
      <w:r w:rsidR="00E40F54" w:rsidRPr="000912EF">
        <w:rPr>
          <w:lang w:eastAsia="en-US"/>
        </w:rPr>
        <w:t xml:space="preserve">, </w:t>
      </w:r>
      <w:r w:rsidR="00A8790D">
        <w:rPr>
          <w:lang w:eastAsia="en-US"/>
        </w:rPr>
        <w:t xml:space="preserve">I observe </w:t>
      </w:r>
      <w:r w:rsidR="00CA4B2E" w:rsidRPr="000912EF">
        <w:rPr>
          <w:lang w:eastAsia="en-US"/>
        </w:rPr>
        <w:t xml:space="preserve">a sudden decrease </w:t>
      </w:r>
      <w:r w:rsidR="00A8790D">
        <w:rPr>
          <w:lang w:eastAsia="en-US"/>
        </w:rPr>
        <w:t>in the mean (</w:t>
      </w:r>
      <w:r w:rsidR="00963CD4">
        <w:rPr>
          <w:lang w:eastAsia="en-US"/>
        </w:rPr>
        <w:t>m</w:t>
      </w:r>
      <w:r w:rsidR="00A8790D">
        <w:rPr>
          <w:lang w:eastAsia="en-US"/>
        </w:rPr>
        <w:t xml:space="preserve">edian) value of this proxy </w:t>
      </w:r>
      <w:r w:rsidR="00CA4B2E" w:rsidRPr="000912EF">
        <w:rPr>
          <w:lang w:eastAsia="en-US"/>
        </w:rPr>
        <w:t>from 2012 (2011)</w:t>
      </w:r>
      <w:r w:rsidR="001C4BD8" w:rsidRPr="000912EF">
        <w:rPr>
          <w:lang w:eastAsia="en-US"/>
        </w:rPr>
        <w:t xml:space="preserve"> to reach a </w:t>
      </w:r>
      <w:r w:rsidR="00251D61">
        <w:rPr>
          <w:lang w:eastAsia="en-US"/>
        </w:rPr>
        <w:t>low</w:t>
      </w:r>
      <w:r w:rsidR="001C4BD8" w:rsidRPr="000912EF">
        <w:rPr>
          <w:lang w:eastAsia="en-US"/>
        </w:rPr>
        <w:t xml:space="preserve"> in 2017 (2017) with </w:t>
      </w:r>
      <w:r w:rsidR="00251D61">
        <w:rPr>
          <w:lang w:eastAsia="en-US"/>
        </w:rPr>
        <w:t>a</w:t>
      </w:r>
      <w:r w:rsidR="001C4BD8" w:rsidRPr="000912EF">
        <w:rPr>
          <w:lang w:eastAsia="en-US"/>
        </w:rPr>
        <w:t xml:space="preserve"> value of 2.96 (0)</w:t>
      </w:r>
      <w:r w:rsidR="00A8790D">
        <w:rPr>
          <w:lang w:eastAsia="en-US"/>
        </w:rPr>
        <w:t xml:space="preserve">, which could be also due to </w:t>
      </w:r>
      <w:r w:rsidR="00A8790D">
        <w:t>the relief of disclosure regulation on emerging growth companies under JOBs Act</w:t>
      </w:r>
      <w:r>
        <w:rPr>
          <w:lang w:eastAsia="en-US"/>
        </w:rPr>
        <w:t>.</w:t>
      </w:r>
      <w:r w:rsidR="00872770">
        <w:rPr>
          <w:lang w:eastAsia="en-US"/>
        </w:rPr>
        <w:t xml:space="preserve"> Figure 2, 3, 4</w:t>
      </w:r>
      <w:r w:rsidR="00872770" w:rsidRPr="00872770">
        <w:rPr>
          <w:lang w:eastAsia="en-US"/>
        </w:rPr>
        <w:t xml:space="preserve"> visualize</w:t>
      </w:r>
      <w:r w:rsidR="00872770">
        <w:rPr>
          <w:lang w:eastAsia="en-US"/>
        </w:rPr>
        <w:t xml:space="preserve"> </w:t>
      </w:r>
      <w:r w:rsidR="00A02079">
        <w:rPr>
          <w:lang w:eastAsia="en-US"/>
        </w:rPr>
        <w:t xml:space="preserve">the </w:t>
      </w:r>
      <w:r w:rsidR="00872770">
        <w:rPr>
          <w:lang w:eastAsia="en-US"/>
        </w:rPr>
        <w:t>mean and median value of three SEC review attributes</w:t>
      </w:r>
      <w:r w:rsidR="00872770" w:rsidRPr="00872770">
        <w:rPr>
          <w:lang w:eastAsia="en-US"/>
        </w:rPr>
        <w:t xml:space="preserve"> by year</w:t>
      </w:r>
      <w:r w:rsidR="00872770">
        <w:rPr>
          <w:lang w:eastAsia="en-US"/>
        </w:rPr>
        <w:t xml:space="preserve"> including, </w:t>
      </w:r>
      <w:r w:rsidR="00872770">
        <w:rPr>
          <w:i/>
          <w:lang w:eastAsia="en-US"/>
        </w:rPr>
        <w:t xml:space="preserve">Duration, Comments </w:t>
      </w:r>
      <w:r w:rsidR="00872770">
        <w:rPr>
          <w:lang w:eastAsia="en-US"/>
        </w:rPr>
        <w:t xml:space="preserve">and </w:t>
      </w:r>
      <w:r w:rsidR="00872770">
        <w:rPr>
          <w:i/>
          <w:lang w:eastAsia="en-US"/>
        </w:rPr>
        <w:t>Letters.</w:t>
      </w:r>
    </w:p>
    <w:p w14:paraId="7CDCA5F0" w14:textId="4D48AE3F" w:rsidR="00C54600" w:rsidRDefault="00C54600" w:rsidP="00C54600">
      <w:pPr>
        <w:spacing w:line="360" w:lineRule="auto"/>
        <w:jc w:val="center"/>
        <w:rPr>
          <w:b/>
          <w:lang w:eastAsia="en-US"/>
        </w:rPr>
      </w:pPr>
      <w:r>
        <w:rPr>
          <w:b/>
          <w:lang w:eastAsia="en-US"/>
        </w:rPr>
        <w:t xml:space="preserve">[Insert Figure </w:t>
      </w:r>
      <w:r w:rsidR="00626DC3">
        <w:rPr>
          <w:b/>
          <w:lang w:eastAsia="en-US"/>
        </w:rPr>
        <w:t>5, 6, 7</w:t>
      </w:r>
      <w:r>
        <w:rPr>
          <w:b/>
          <w:lang w:eastAsia="en-US"/>
        </w:rPr>
        <w:t xml:space="preserve"> about here]</w:t>
      </w:r>
    </w:p>
    <w:p w14:paraId="1E4C0747" w14:textId="353494D6" w:rsidR="00AA5B65" w:rsidRPr="00367900" w:rsidRDefault="00A8790D" w:rsidP="0030659B">
      <w:pPr>
        <w:spacing w:line="360" w:lineRule="auto"/>
        <w:jc w:val="both"/>
        <w:rPr>
          <w:lang w:eastAsia="en-US"/>
        </w:rPr>
      </w:pPr>
      <w:r>
        <w:rPr>
          <w:lang w:eastAsia="en-US"/>
        </w:rPr>
        <w:t xml:space="preserve">Table </w:t>
      </w:r>
      <w:r w:rsidR="00174399">
        <w:rPr>
          <w:lang w:eastAsia="en-US"/>
        </w:rPr>
        <w:t>4</w:t>
      </w:r>
      <w:r>
        <w:rPr>
          <w:lang w:eastAsia="en-US"/>
        </w:rPr>
        <w:t>, Panel C</w:t>
      </w:r>
      <w:r w:rsidR="00E14FDA" w:rsidRPr="000912EF">
        <w:rPr>
          <w:lang w:eastAsia="en-US"/>
        </w:rPr>
        <w:t xml:space="preserve"> provide</w:t>
      </w:r>
      <w:r w:rsidR="00C77461">
        <w:rPr>
          <w:lang w:eastAsia="en-US"/>
        </w:rPr>
        <w:t xml:space="preserve">s the descriptive statistics of three </w:t>
      </w:r>
      <w:r w:rsidR="00E14FDA" w:rsidRPr="000912EF">
        <w:rPr>
          <w:lang w:eastAsia="en-US"/>
        </w:rPr>
        <w:t xml:space="preserve">SEC review attributes by industry. </w:t>
      </w:r>
      <w:r w:rsidR="00AA5B65" w:rsidRPr="000912EF">
        <w:rPr>
          <w:lang w:eastAsia="en-US"/>
        </w:rPr>
        <w:t xml:space="preserve">Regarding </w:t>
      </w:r>
      <w:r w:rsidR="00C77461">
        <w:rPr>
          <w:i/>
          <w:lang w:eastAsia="en-US"/>
        </w:rPr>
        <w:t>Duration</w:t>
      </w:r>
      <w:r w:rsidR="00181405" w:rsidRPr="000912EF">
        <w:rPr>
          <w:lang w:eastAsia="en-US"/>
        </w:rPr>
        <w:t>, the mean (</w:t>
      </w:r>
      <w:r w:rsidR="00AA5B65" w:rsidRPr="000912EF">
        <w:rPr>
          <w:lang w:eastAsia="en-US"/>
        </w:rPr>
        <w:t>median) value is</w:t>
      </w:r>
      <w:r w:rsidR="00367900">
        <w:rPr>
          <w:lang w:eastAsia="en-US"/>
        </w:rPr>
        <w:t xml:space="preserve"> </w:t>
      </w:r>
      <w:r w:rsidR="00AA5B65" w:rsidRPr="000912EF">
        <w:rPr>
          <w:lang w:eastAsia="en-US"/>
        </w:rPr>
        <w:t>smalles</w:t>
      </w:r>
      <w:r w:rsidR="00181405" w:rsidRPr="000912EF">
        <w:rPr>
          <w:lang w:eastAsia="en-US"/>
        </w:rPr>
        <w:t>t for Chemical products (Chemical products)</w:t>
      </w:r>
      <w:r w:rsidR="00AA5B65" w:rsidRPr="000912EF">
        <w:rPr>
          <w:lang w:eastAsia="en-US"/>
        </w:rPr>
        <w:t xml:space="preserve"> </w:t>
      </w:r>
      <w:r w:rsidR="00B81C51" w:rsidRPr="000912EF">
        <w:rPr>
          <w:lang w:eastAsia="en-US"/>
        </w:rPr>
        <w:t xml:space="preserve">with </w:t>
      </w:r>
      <w:r w:rsidR="00251D61">
        <w:rPr>
          <w:lang w:eastAsia="en-US"/>
        </w:rPr>
        <w:t>a</w:t>
      </w:r>
      <w:r w:rsidR="00B81C51" w:rsidRPr="000912EF">
        <w:rPr>
          <w:lang w:eastAsia="en-US"/>
        </w:rPr>
        <w:t xml:space="preserve"> value of 94.79 (53</w:t>
      </w:r>
      <w:r w:rsidR="00C77461">
        <w:rPr>
          <w:lang w:eastAsia="en-US"/>
        </w:rPr>
        <w:t>.00</w:t>
      </w:r>
      <w:r w:rsidR="00B81C51" w:rsidRPr="000912EF">
        <w:rPr>
          <w:lang w:eastAsia="en-US"/>
        </w:rPr>
        <w:t xml:space="preserve">) </w:t>
      </w:r>
      <w:r w:rsidR="00AA5B65" w:rsidRPr="000912EF">
        <w:rPr>
          <w:lang w:eastAsia="en-US"/>
        </w:rPr>
        <w:t xml:space="preserve">and largest for Paper and paper products </w:t>
      </w:r>
      <w:r w:rsidR="001C4BD8" w:rsidRPr="000912EF">
        <w:rPr>
          <w:lang w:eastAsia="en-US"/>
        </w:rPr>
        <w:t>(Paper and paper products)</w:t>
      </w:r>
      <w:r w:rsidR="00B81C51" w:rsidRPr="000912EF">
        <w:rPr>
          <w:lang w:eastAsia="en-US"/>
        </w:rPr>
        <w:t xml:space="preserve"> with </w:t>
      </w:r>
      <w:r w:rsidR="00251D61">
        <w:rPr>
          <w:lang w:eastAsia="en-US"/>
        </w:rPr>
        <w:t>a</w:t>
      </w:r>
      <w:r w:rsidR="00B81C51" w:rsidRPr="000912EF">
        <w:rPr>
          <w:lang w:eastAsia="en-US"/>
        </w:rPr>
        <w:t xml:space="preserve"> value of 263.40 (131.5)</w:t>
      </w:r>
      <w:r w:rsidR="00AA5B65" w:rsidRPr="000912EF">
        <w:rPr>
          <w:lang w:eastAsia="en-US"/>
        </w:rPr>
        <w:t>. Regarding the number of comment letters, the mea</w:t>
      </w:r>
      <w:r w:rsidR="001C4BD8" w:rsidRPr="000912EF">
        <w:rPr>
          <w:lang w:eastAsia="en-US"/>
        </w:rPr>
        <w:t>n (</w:t>
      </w:r>
      <w:r w:rsidR="00AA5B65" w:rsidRPr="000912EF">
        <w:rPr>
          <w:lang w:eastAsia="en-US"/>
        </w:rPr>
        <w:t>median) value is smalles</w:t>
      </w:r>
      <w:r w:rsidR="001C4BD8" w:rsidRPr="000912EF">
        <w:rPr>
          <w:lang w:eastAsia="en-US"/>
        </w:rPr>
        <w:t>t for Chemical products (Chemical products, Scientific instruments)</w:t>
      </w:r>
      <w:r w:rsidR="00AA5B65" w:rsidRPr="000912EF">
        <w:rPr>
          <w:lang w:eastAsia="en-US"/>
        </w:rPr>
        <w:t xml:space="preserve"> </w:t>
      </w:r>
      <w:r w:rsidR="00B81C51" w:rsidRPr="000912EF">
        <w:rPr>
          <w:lang w:eastAsia="en-US"/>
        </w:rPr>
        <w:t xml:space="preserve">with </w:t>
      </w:r>
      <w:r w:rsidR="00251D61">
        <w:rPr>
          <w:lang w:eastAsia="en-US"/>
        </w:rPr>
        <w:t>a</w:t>
      </w:r>
      <w:r w:rsidR="00B81C51" w:rsidRPr="000912EF">
        <w:rPr>
          <w:lang w:eastAsia="en-US"/>
        </w:rPr>
        <w:t xml:space="preserve"> value of 2.07 (2) </w:t>
      </w:r>
      <w:r w:rsidR="00AA5B65" w:rsidRPr="000912EF">
        <w:rPr>
          <w:lang w:eastAsia="en-US"/>
        </w:rPr>
        <w:t>and largest for Paper and paper products</w:t>
      </w:r>
      <w:r w:rsidR="00B81C51" w:rsidRPr="000912EF">
        <w:rPr>
          <w:lang w:eastAsia="en-US"/>
        </w:rPr>
        <w:t xml:space="preserve"> (</w:t>
      </w:r>
      <w:r w:rsidR="003177EE" w:rsidRPr="000912EF">
        <w:rPr>
          <w:lang w:eastAsia="en-US"/>
        </w:rPr>
        <w:t xml:space="preserve">Paper and paper products, </w:t>
      </w:r>
      <w:r w:rsidR="00B81C51" w:rsidRPr="000912EF">
        <w:rPr>
          <w:lang w:eastAsia="en-US"/>
        </w:rPr>
        <w:t xml:space="preserve">Manufacturing) with </w:t>
      </w:r>
      <w:r w:rsidR="00BD7A05">
        <w:rPr>
          <w:lang w:eastAsia="en-US"/>
        </w:rPr>
        <w:t>a</w:t>
      </w:r>
      <w:r w:rsidR="00B81C51" w:rsidRPr="000912EF">
        <w:rPr>
          <w:lang w:eastAsia="en-US"/>
        </w:rPr>
        <w:t xml:space="preserve"> value of </w:t>
      </w:r>
      <w:r w:rsidR="003177EE" w:rsidRPr="000912EF">
        <w:rPr>
          <w:lang w:eastAsia="en-US"/>
        </w:rPr>
        <w:t>4.3 (4)</w:t>
      </w:r>
      <w:r w:rsidR="00AA5B65" w:rsidRPr="000912EF">
        <w:rPr>
          <w:lang w:eastAsia="en-US"/>
        </w:rPr>
        <w:t xml:space="preserve">. Regarding </w:t>
      </w:r>
      <w:r w:rsidR="00367900">
        <w:rPr>
          <w:i/>
          <w:lang w:eastAsia="en-US"/>
        </w:rPr>
        <w:t>Comments</w:t>
      </w:r>
      <w:r w:rsidR="009D79A8">
        <w:rPr>
          <w:lang w:eastAsia="en-US"/>
        </w:rPr>
        <w:t xml:space="preserve">, the mean (median) value is smallest for Chemical Products (Chemical Products) with </w:t>
      </w:r>
      <w:r w:rsidR="00251D61">
        <w:rPr>
          <w:lang w:eastAsia="en-US"/>
        </w:rPr>
        <w:t>a</w:t>
      </w:r>
      <w:r w:rsidR="009D79A8">
        <w:rPr>
          <w:lang w:eastAsia="en-US"/>
        </w:rPr>
        <w:t xml:space="preserve"> value of 14.73 (3) and largest for Paper</w:t>
      </w:r>
      <w:r w:rsidR="00A14565" w:rsidRPr="000912EF">
        <w:rPr>
          <w:lang w:eastAsia="en-US"/>
        </w:rPr>
        <w:t xml:space="preserve"> and paper products (Manufacturing) with </w:t>
      </w:r>
      <w:r w:rsidR="00251D61">
        <w:rPr>
          <w:lang w:eastAsia="en-US"/>
        </w:rPr>
        <w:t>a</w:t>
      </w:r>
      <w:r w:rsidR="00A14565" w:rsidRPr="000912EF">
        <w:rPr>
          <w:lang w:eastAsia="en-US"/>
        </w:rPr>
        <w:t xml:space="preserve"> value of 45.2 (48)</w:t>
      </w:r>
      <w:r w:rsidR="00AA5B65" w:rsidRPr="000912EF">
        <w:rPr>
          <w:lang w:eastAsia="en-US"/>
        </w:rPr>
        <w:t xml:space="preserve">. </w:t>
      </w:r>
      <w:r w:rsidR="00D20791">
        <w:rPr>
          <w:lang w:eastAsia="en-US"/>
        </w:rPr>
        <w:t xml:space="preserve">In general, </w:t>
      </w:r>
      <w:r w:rsidR="00367900">
        <w:rPr>
          <w:lang w:eastAsia="en-US"/>
        </w:rPr>
        <w:t>I can observe that</w:t>
      </w:r>
      <w:r w:rsidR="00D20791">
        <w:rPr>
          <w:lang w:eastAsia="en-US"/>
        </w:rPr>
        <w:t xml:space="preserve"> </w:t>
      </w:r>
      <w:r w:rsidR="00367900">
        <w:rPr>
          <w:lang w:eastAsia="en-US"/>
        </w:rPr>
        <w:t xml:space="preserve">the SEC review </w:t>
      </w:r>
      <w:r w:rsidR="00D20791">
        <w:rPr>
          <w:lang w:eastAsia="en-US"/>
        </w:rPr>
        <w:t>is the most intensive in Paper and Paper Products and the least intensive in Chemical Products.</w:t>
      </w:r>
    </w:p>
    <w:p w14:paraId="31C454E3" w14:textId="259E3E70" w:rsidR="00AC6A0C" w:rsidRDefault="003674D3" w:rsidP="0030659B">
      <w:pPr>
        <w:spacing w:line="360" w:lineRule="auto"/>
        <w:jc w:val="both"/>
        <w:rPr>
          <w:lang w:eastAsia="en-US"/>
        </w:rPr>
      </w:pPr>
      <w:r>
        <w:rPr>
          <w:lang w:eastAsia="en-US"/>
        </w:rPr>
        <w:t xml:space="preserve">According to Table </w:t>
      </w:r>
      <w:r w:rsidR="00174399">
        <w:rPr>
          <w:lang w:eastAsia="en-US"/>
        </w:rPr>
        <w:t>4</w:t>
      </w:r>
      <w:r>
        <w:rPr>
          <w:lang w:eastAsia="en-US"/>
        </w:rPr>
        <w:t>, Panel D</w:t>
      </w:r>
      <w:r w:rsidR="00AC6A0C" w:rsidRPr="000912EF">
        <w:rPr>
          <w:lang w:eastAsia="en-US"/>
        </w:rPr>
        <w:t xml:space="preserve">, the mean and median value all three SEC review attributes in NYSE and AMEX are higher than those in NASDAQ.  </w:t>
      </w:r>
      <w:r w:rsidR="00D64A1E">
        <w:rPr>
          <w:lang w:eastAsia="en-US"/>
        </w:rPr>
        <w:t>According to</w:t>
      </w:r>
      <w:r w:rsidR="00D01BC1">
        <w:rPr>
          <w:lang w:eastAsia="en-US"/>
        </w:rPr>
        <w:t xml:space="preserve"> </w:t>
      </w:r>
      <w:r w:rsidR="00D01BC1">
        <w:rPr>
          <w:lang w:eastAsia="en-US"/>
        </w:rPr>
        <w:fldChar w:fldCharType="begin" w:fldLock="1"/>
      </w:r>
      <w:r w:rsidR="00A611DF">
        <w:rPr>
          <w:lang w:eastAsia="en-US"/>
        </w:rPr>
        <w:instrText>ADDIN CSL_CITATION {"citationItems":[{"id":"ITEM-1","itemData":{"ISSN":"0015198X","author":[{"dropping-particle":"","family":"Hegde","given":"S.","non-dropping-particle":"","parse-names":false,"suffix":""},{"dropping-particle":"","family":"Lin","given":"H.","non-dropping-particle":"","parse-names":false,"suffix":""},{"dropping-particle":"","family":"Varshney","given":"S.","non-dropping-particle":"","parse-names":false,"suffix":""}],"container-title":"Financial Analysts Journal","id":"ITEM-1","issue":"1","issued":{"date-parts":[["2010"]]},"page":"77-87","title":"Competitive stock markets: Evidence from companies' dual listings on the NYSE and NASDAQ","type":"article-journal","volume":"66"},"uris":["http://www.mendeley.com/documents/?uuid=d1608fab-e69f-4536-9e69-2872797ca0c9"]}],"mendeley":{"formattedCitation":"(Hegde, Lin, &amp; Varshney, 2010)","manualFormatting":"Hegde et al., (2010)","plainTextFormattedCitation":"(Hegde, Lin, &amp; Varshney, 2010)","previouslyFormattedCitation":"(Hegde, Lin, &amp; Varshney, 2010)"},"properties":{"noteIndex":0},"schema":"https://github.com/citation-style-language/schema/raw/master/csl-citation.json"}</w:instrText>
      </w:r>
      <w:r w:rsidR="00D01BC1">
        <w:rPr>
          <w:lang w:eastAsia="en-US"/>
        </w:rPr>
        <w:fldChar w:fldCharType="separate"/>
      </w:r>
      <w:r w:rsidR="004168EA">
        <w:rPr>
          <w:noProof/>
          <w:lang w:eastAsia="en-US"/>
        </w:rPr>
        <w:t>Hegde et al.</w:t>
      </w:r>
      <w:r w:rsidR="00D01BC1" w:rsidRPr="00D01BC1">
        <w:rPr>
          <w:noProof/>
          <w:lang w:eastAsia="en-US"/>
        </w:rPr>
        <w:t xml:space="preserve">, </w:t>
      </w:r>
      <w:r w:rsidR="004168EA">
        <w:rPr>
          <w:noProof/>
          <w:lang w:eastAsia="en-US"/>
        </w:rPr>
        <w:t>(</w:t>
      </w:r>
      <w:r w:rsidR="00D01BC1" w:rsidRPr="00D01BC1">
        <w:rPr>
          <w:noProof/>
          <w:lang w:eastAsia="en-US"/>
        </w:rPr>
        <w:t>2010)</w:t>
      </w:r>
      <w:r w:rsidR="00D01BC1">
        <w:rPr>
          <w:lang w:eastAsia="en-US"/>
        </w:rPr>
        <w:fldChar w:fldCharType="end"/>
      </w:r>
      <w:r w:rsidR="00D64A1E">
        <w:rPr>
          <w:lang w:eastAsia="en-US"/>
        </w:rPr>
        <w:t xml:space="preserve">, </w:t>
      </w:r>
      <w:r w:rsidR="009C2757">
        <w:rPr>
          <w:lang w:eastAsia="en-US"/>
        </w:rPr>
        <w:t xml:space="preserve">small </w:t>
      </w:r>
      <w:r w:rsidR="007D60FF">
        <w:rPr>
          <w:lang w:eastAsia="en-US"/>
        </w:rPr>
        <w:lastRenderedPageBreak/>
        <w:t xml:space="preserve">firms prefer listing </w:t>
      </w:r>
      <w:r w:rsidR="00D64A1E">
        <w:rPr>
          <w:lang w:eastAsia="en-US"/>
        </w:rPr>
        <w:t xml:space="preserve">on NASDAQ due to the </w:t>
      </w:r>
      <w:r w:rsidR="00251D61">
        <w:rPr>
          <w:lang w:eastAsia="en-US"/>
        </w:rPr>
        <w:t xml:space="preserve">highest </w:t>
      </w:r>
      <w:r w:rsidR="00D64A1E">
        <w:rPr>
          <w:lang w:eastAsia="en-US"/>
        </w:rPr>
        <w:t>cost efficiency</w:t>
      </w:r>
      <w:r w:rsidR="009C2757">
        <w:rPr>
          <w:lang w:eastAsia="en-US"/>
        </w:rPr>
        <w:t xml:space="preserve">. Furthermore, JOBs Act aims to relieve some disclosure regulation on the emerging growth or small companies. Therefore, the SEC review </w:t>
      </w:r>
      <w:r w:rsidR="00251D61">
        <w:rPr>
          <w:lang w:eastAsia="en-US"/>
        </w:rPr>
        <w:t>of IPOs on</w:t>
      </w:r>
      <w:r w:rsidR="009C2757">
        <w:rPr>
          <w:lang w:eastAsia="en-US"/>
        </w:rPr>
        <w:t xml:space="preserve"> NASDAQ, </w:t>
      </w:r>
      <w:r w:rsidR="00251D61">
        <w:rPr>
          <w:lang w:eastAsia="en-US"/>
        </w:rPr>
        <w:t>which</w:t>
      </w:r>
      <w:r w:rsidR="009C2757">
        <w:rPr>
          <w:lang w:eastAsia="en-US"/>
        </w:rPr>
        <w:t xml:space="preserve"> attracts more the small companies, could be less intense. </w:t>
      </w:r>
    </w:p>
    <w:p w14:paraId="27723C73" w14:textId="75A2E681" w:rsidR="00781539" w:rsidRPr="003674D3" w:rsidRDefault="003674D3" w:rsidP="0030659B">
      <w:pPr>
        <w:spacing w:line="360" w:lineRule="auto"/>
        <w:jc w:val="both"/>
        <w:rPr>
          <w:lang w:eastAsia="en-US"/>
        </w:rPr>
      </w:pPr>
      <w:r>
        <w:rPr>
          <w:lang w:eastAsia="en-US"/>
        </w:rPr>
        <w:t xml:space="preserve">Table </w:t>
      </w:r>
      <w:r w:rsidR="00174399">
        <w:rPr>
          <w:lang w:eastAsia="en-US"/>
        </w:rPr>
        <w:t>4</w:t>
      </w:r>
      <w:r>
        <w:rPr>
          <w:lang w:eastAsia="en-US"/>
        </w:rPr>
        <w:t>, Panel E</w:t>
      </w:r>
      <w:r w:rsidR="00781539" w:rsidRPr="00781539">
        <w:rPr>
          <w:lang w:eastAsia="en-US"/>
        </w:rPr>
        <w:t xml:space="preserve"> provides</w:t>
      </w:r>
      <w:r w:rsidR="00781539">
        <w:rPr>
          <w:lang w:eastAsia="en-US"/>
        </w:rPr>
        <w:t xml:space="preserve"> summary</w:t>
      </w:r>
      <w:r w:rsidR="00781539" w:rsidRPr="00781539">
        <w:rPr>
          <w:lang w:eastAsia="en-US"/>
        </w:rPr>
        <w:t xml:space="preserve"> descriptive statistics of three SEC review attributes </w:t>
      </w:r>
      <w:r w:rsidR="00781539">
        <w:rPr>
          <w:lang w:eastAsia="en-US"/>
        </w:rPr>
        <w:t>by reviewers</w:t>
      </w:r>
      <w:r w:rsidR="00781539" w:rsidRPr="00781539">
        <w:rPr>
          <w:lang w:eastAsia="en-US"/>
        </w:rPr>
        <w:t xml:space="preserve">. </w:t>
      </w:r>
      <w:r w:rsidR="009C2757">
        <w:rPr>
          <w:lang w:eastAsia="en-US"/>
        </w:rPr>
        <w:t>The table reveals that t</w:t>
      </w:r>
      <w:r w:rsidR="002B4EEC">
        <w:rPr>
          <w:lang w:eastAsia="en-US"/>
        </w:rPr>
        <w:t>he number of IPOs receiving initial comment letter is 710 and the number of reviewers is 56</w:t>
      </w:r>
      <w:r w:rsidR="009C2757">
        <w:rPr>
          <w:lang w:eastAsia="en-US"/>
        </w:rPr>
        <w:t xml:space="preserve">. </w:t>
      </w:r>
      <w:r w:rsidR="00781539" w:rsidRPr="00781539">
        <w:rPr>
          <w:lang w:eastAsia="en-US"/>
        </w:rPr>
        <w:t xml:space="preserve">Regarding </w:t>
      </w:r>
      <w:r w:rsidR="009C2757">
        <w:rPr>
          <w:i/>
          <w:lang w:eastAsia="en-US"/>
        </w:rPr>
        <w:t>Duration</w:t>
      </w:r>
      <w:r w:rsidR="00781539" w:rsidRPr="00781539">
        <w:rPr>
          <w:lang w:eastAsia="en-US"/>
        </w:rPr>
        <w:t xml:space="preserve">, the mean (median) </w:t>
      </w:r>
      <w:r w:rsidR="00781539">
        <w:rPr>
          <w:lang w:eastAsia="en-US"/>
        </w:rPr>
        <w:t>value of this measure is 149.23 (125.44</w:t>
      </w:r>
      <w:r w:rsidR="00781539" w:rsidRPr="00781539">
        <w:rPr>
          <w:lang w:eastAsia="en-US"/>
        </w:rPr>
        <w:t xml:space="preserve">). The mean (median) value of </w:t>
      </w:r>
      <w:r w:rsidR="009C2757">
        <w:rPr>
          <w:i/>
          <w:lang w:eastAsia="en-US"/>
        </w:rPr>
        <w:t>Letters</w:t>
      </w:r>
      <w:r w:rsidR="00781539">
        <w:rPr>
          <w:lang w:eastAsia="en-US"/>
        </w:rPr>
        <w:t xml:space="preserve"> is 3.50 </w:t>
      </w:r>
      <w:r w:rsidR="00781539" w:rsidRPr="00781539">
        <w:rPr>
          <w:lang w:eastAsia="en-US"/>
        </w:rPr>
        <w:t>(3</w:t>
      </w:r>
      <w:r w:rsidR="00781539">
        <w:rPr>
          <w:lang w:eastAsia="en-US"/>
        </w:rPr>
        <w:t>.32</w:t>
      </w:r>
      <w:r w:rsidR="00781539" w:rsidRPr="00781539">
        <w:rPr>
          <w:lang w:eastAsia="en-US"/>
        </w:rPr>
        <w:t xml:space="preserve">). </w:t>
      </w:r>
      <w:r>
        <w:rPr>
          <w:lang w:eastAsia="en-US"/>
        </w:rPr>
        <w:t xml:space="preserve">Regarding </w:t>
      </w:r>
      <w:r>
        <w:rPr>
          <w:i/>
          <w:lang w:eastAsia="en-US"/>
        </w:rPr>
        <w:t xml:space="preserve">Comments, </w:t>
      </w:r>
      <w:r>
        <w:rPr>
          <w:lang w:eastAsia="en-US"/>
        </w:rPr>
        <w:t>t</w:t>
      </w:r>
      <w:r w:rsidR="00781539" w:rsidRPr="00781539">
        <w:rPr>
          <w:lang w:eastAsia="en-US"/>
        </w:rPr>
        <w:t>he mean (</w:t>
      </w:r>
      <w:r w:rsidR="00781539">
        <w:rPr>
          <w:lang w:eastAsia="en-US"/>
        </w:rPr>
        <w:t>median) IPO firm receives 36.18 (37</w:t>
      </w:r>
      <w:r w:rsidR="00781539" w:rsidRPr="00781539">
        <w:rPr>
          <w:lang w:eastAsia="en-US"/>
        </w:rPr>
        <w:t>) comment in initial comment letter.</w:t>
      </w:r>
      <w:r>
        <w:rPr>
          <w:lang w:eastAsia="en-US"/>
        </w:rPr>
        <w:t xml:space="preserve"> It also could be identified that the variation in </w:t>
      </w:r>
      <w:r>
        <w:rPr>
          <w:i/>
          <w:lang w:eastAsia="en-US"/>
        </w:rPr>
        <w:t xml:space="preserve">Duration </w:t>
      </w:r>
      <w:r>
        <w:rPr>
          <w:lang w:eastAsia="en-US"/>
        </w:rPr>
        <w:t xml:space="preserve">and </w:t>
      </w:r>
      <w:r>
        <w:rPr>
          <w:i/>
          <w:lang w:eastAsia="en-US"/>
        </w:rPr>
        <w:t xml:space="preserve">Comments </w:t>
      </w:r>
      <w:r>
        <w:rPr>
          <w:lang w:eastAsia="en-US"/>
        </w:rPr>
        <w:t xml:space="preserve">is relatively large with </w:t>
      </w:r>
      <w:r w:rsidR="004168EA">
        <w:rPr>
          <w:lang w:eastAsia="en-US"/>
        </w:rPr>
        <w:t>a</w:t>
      </w:r>
      <w:r>
        <w:rPr>
          <w:lang w:eastAsia="en-US"/>
        </w:rPr>
        <w:t xml:space="preserve"> standard deviation of 123.77 and 18.99, respectively.  </w:t>
      </w:r>
    </w:p>
    <w:p w14:paraId="50DFEE7F" w14:textId="795DE02B" w:rsidR="005B6A6C" w:rsidRDefault="003674D3" w:rsidP="0030659B">
      <w:pPr>
        <w:spacing w:line="360" w:lineRule="auto"/>
        <w:jc w:val="both"/>
        <w:rPr>
          <w:lang w:eastAsia="en-US"/>
        </w:rPr>
      </w:pPr>
      <w:r>
        <w:rPr>
          <w:lang w:eastAsia="en-US"/>
        </w:rPr>
        <w:t xml:space="preserve">Table </w:t>
      </w:r>
      <w:r w:rsidR="00174399">
        <w:rPr>
          <w:lang w:eastAsia="en-US"/>
        </w:rPr>
        <w:t>4</w:t>
      </w:r>
      <w:r>
        <w:rPr>
          <w:lang w:eastAsia="en-US"/>
        </w:rPr>
        <w:t xml:space="preserve">, Panel F provides descriptive statistics of three SEC review attributes by offices of </w:t>
      </w:r>
      <w:r w:rsidR="004168EA">
        <w:rPr>
          <w:lang w:eastAsia="en-US"/>
        </w:rPr>
        <w:t xml:space="preserve">the </w:t>
      </w:r>
      <w:r>
        <w:rPr>
          <w:lang w:eastAsia="en-US"/>
        </w:rPr>
        <w:t xml:space="preserve">Division of </w:t>
      </w:r>
      <w:r w:rsidR="00953B8E">
        <w:rPr>
          <w:lang w:eastAsia="en-US"/>
        </w:rPr>
        <w:t>Corporation</w:t>
      </w:r>
      <w:r>
        <w:rPr>
          <w:lang w:eastAsia="en-US"/>
        </w:rPr>
        <w:t xml:space="preserve"> Finance.</w:t>
      </w:r>
      <w:r w:rsidR="00AC6A0C" w:rsidRPr="000912EF">
        <w:rPr>
          <w:lang w:eastAsia="en-US"/>
        </w:rPr>
        <w:t xml:space="preserve"> </w:t>
      </w:r>
      <w:r>
        <w:t xml:space="preserve">My sample includes 10 offices </w:t>
      </w:r>
      <w:r w:rsidR="004168EA">
        <w:t>from</w:t>
      </w:r>
      <w:r>
        <w:t xml:space="preserve"> 11 offices currently operating in </w:t>
      </w:r>
      <w:r w:rsidR="00BD7A05">
        <w:t>the</w:t>
      </w:r>
      <w:r w:rsidR="00953B8E">
        <w:t xml:space="preserve"> </w:t>
      </w:r>
      <w:r>
        <w:t xml:space="preserve">Division of </w:t>
      </w:r>
      <w:r w:rsidR="00953B8E">
        <w:t>Corporation</w:t>
      </w:r>
      <w:r>
        <w:t xml:space="preserve"> Finance, which indicat</w:t>
      </w:r>
      <w:r w:rsidR="003D795D">
        <w:t xml:space="preserve">es </w:t>
      </w:r>
      <w:r>
        <w:t>a broad selection of the offices</w:t>
      </w:r>
      <w:r>
        <w:rPr>
          <w:lang w:eastAsia="en-US"/>
        </w:rPr>
        <w:t>.</w:t>
      </w:r>
      <w:r w:rsidR="004168EA">
        <w:rPr>
          <w:rStyle w:val="FootnoteReference"/>
          <w:lang w:eastAsia="en-US"/>
        </w:rPr>
        <w:footnoteReference w:id="14"/>
      </w:r>
      <w:r>
        <w:rPr>
          <w:lang w:eastAsia="en-US"/>
        </w:rPr>
        <w:t xml:space="preserve"> Regarding </w:t>
      </w:r>
      <w:r>
        <w:rPr>
          <w:i/>
          <w:lang w:eastAsia="en-US"/>
        </w:rPr>
        <w:t>Duration</w:t>
      </w:r>
      <w:r w:rsidR="00AC6A0C" w:rsidRPr="000912EF">
        <w:rPr>
          <w:lang w:eastAsia="en-US"/>
        </w:rPr>
        <w:t xml:space="preserve">, the mean (or median) value of duration is lowest for Office of </w:t>
      </w:r>
      <w:r w:rsidR="00D004A0">
        <w:rPr>
          <w:lang w:eastAsia="en-US"/>
        </w:rPr>
        <w:t>Healthcare and Insurance</w:t>
      </w:r>
      <w:r w:rsidR="00AC6A0C" w:rsidRPr="000912EF">
        <w:rPr>
          <w:lang w:eastAsia="en-US"/>
        </w:rPr>
        <w:t xml:space="preserve"> (Office of </w:t>
      </w:r>
      <w:r w:rsidR="00D004A0">
        <w:rPr>
          <w:lang w:eastAsia="en-US"/>
        </w:rPr>
        <w:t>Healthcare and Insurance</w:t>
      </w:r>
      <w:r w:rsidR="00AC6A0C" w:rsidRPr="000912EF">
        <w:rPr>
          <w:lang w:eastAsia="en-US"/>
        </w:rPr>
        <w:t xml:space="preserve">) with </w:t>
      </w:r>
      <w:r w:rsidR="004168EA">
        <w:rPr>
          <w:lang w:eastAsia="en-US"/>
        </w:rPr>
        <w:t>a</w:t>
      </w:r>
      <w:r w:rsidR="00AC6A0C" w:rsidRPr="000912EF">
        <w:rPr>
          <w:lang w:eastAsia="en-US"/>
        </w:rPr>
        <w:t xml:space="preserve"> value </w:t>
      </w:r>
      <w:r w:rsidR="00D004A0">
        <w:rPr>
          <w:lang w:eastAsia="en-US"/>
        </w:rPr>
        <w:t>of 94.57 (49.5</w:t>
      </w:r>
      <w:r>
        <w:rPr>
          <w:lang w:eastAsia="en-US"/>
        </w:rPr>
        <w:t>0</w:t>
      </w:r>
      <w:r w:rsidR="00AC6A0C" w:rsidRPr="000912EF">
        <w:rPr>
          <w:lang w:eastAsia="en-US"/>
        </w:rPr>
        <w:t>) and highest for Office</w:t>
      </w:r>
      <w:r w:rsidR="003D795D">
        <w:rPr>
          <w:lang w:eastAsia="en-US"/>
        </w:rPr>
        <w:t xml:space="preserve"> of Transportation and Leisure </w:t>
      </w:r>
      <w:r w:rsidR="00AC6A0C" w:rsidRPr="000912EF">
        <w:rPr>
          <w:lang w:eastAsia="en-US"/>
        </w:rPr>
        <w:t xml:space="preserve">(Office of </w:t>
      </w:r>
      <w:r w:rsidR="00D004A0">
        <w:rPr>
          <w:lang w:eastAsia="en-US"/>
        </w:rPr>
        <w:t>Telecommunications</w:t>
      </w:r>
      <w:r w:rsidR="00AC6A0C" w:rsidRPr="000912EF">
        <w:rPr>
          <w:lang w:eastAsia="en-US"/>
        </w:rPr>
        <w:t xml:space="preserve">) with </w:t>
      </w:r>
      <w:r w:rsidR="004168EA">
        <w:rPr>
          <w:lang w:eastAsia="en-US"/>
        </w:rPr>
        <w:t>a</w:t>
      </w:r>
      <w:r w:rsidR="00AC6A0C" w:rsidRPr="000912EF">
        <w:rPr>
          <w:lang w:eastAsia="en-US"/>
        </w:rPr>
        <w:t xml:space="preserve"> v</w:t>
      </w:r>
      <w:r w:rsidR="00D004A0">
        <w:rPr>
          <w:lang w:eastAsia="en-US"/>
        </w:rPr>
        <w:t>alue of 166.49 (106</w:t>
      </w:r>
      <w:r w:rsidR="00AC6A0C" w:rsidRPr="000912EF">
        <w:rPr>
          <w:lang w:eastAsia="en-US"/>
        </w:rPr>
        <w:t xml:space="preserve">). Regarding the number of comment letters, the mean (or median) value is lowest for </w:t>
      </w:r>
      <w:r w:rsidR="00BD7A05">
        <w:rPr>
          <w:lang w:eastAsia="en-US"/>
        </w:rPr>
        <w:t xml:space="preserve">the </w:t>
      </w:r>
      <w:r w:rsidR="00D004A0" w:rsidRPr="000912EF">
        <w:rPr>
          <w:lang w:eastAsia="en-US"/>
        </w:rPr>
        <w:t xml:space="preserve">Office of </w:t>
      </w:r>
      <w:r w:rsidR="00D004A0">
        <w:rPr>
          <w:lang w:eastAsia="en-US"/>
        </w:rPr>
        <w:t>Healthcare and Insurance</w:t>
      </w:r>
      <w:r w:rsidR="00D004A0" w:rsidRPr="000912EF">
        <w:rPr>
          <w:lang w:eastAsia="en-US"/>
        </w:rPr>
        <w:t xml:space="preserve"> (Office of </w:t>
      </w:r>
      <w:r w:rsidR="00D004A0">
        <w:rPr>
          <w:lang w:eastAsia="en-US"/>
        </w:rPr>
        <w:t>Healthcare and Insurance</w:t>
      </w:r>
      <w:r w:rsidR="00D004A0" w:rsidRPr="000912EF">
        <w:rPr>
          <w:lang w:eastAsia="en-US"/>
        </w:rPr>
        <w:t>)</w:t>
      </w:r>
      <w:r w:rsidR="00D004A0">
        <w:rPr>
          <w:lang w:eastAsia="en-US"/>
        </w:rPr>
        <w:t xml:space="preserve"> with </w:t>
      </w:r>
      <w:r w:rsidR="004168EA">
        <w:rPr>
          <w:lang w:eastAsia="en-US"/>
        </w:rPr>
        <w:t>a</w:t>
      </w:r>
      <w:r w:rsidR="00D004A0">
        <w:rPr>
          <w:lang w:eastAsia="en-US"/>
        </w:rPr>
        <w:t xml:space="preserve"> value of 1.98 (2</w:t>
      </w:r>
      <w:r w:rsidR="00AC6A0C" w:rsidRPr="000912EF">
        <w:rPr>
          <w:lang w:eastAsia="en-US"/>
        </w:rPr>
        <w:t>) and highest for Office of Manufacturing and Construction (Office of Manufacturing and Cons</w:t>
      </w:r>
      <w:r w:rsidR="00D004A0">
        <w:rPr>
          <w:lang w:eastAsia="en-US"/>
        </w:rPr>
        <w:t xml:space="preserve">truction) with </w:t>
      </w:r>
      <w:r w:rsidR="004168EA">
        <w:rPr>
          <w:lang w:eastAsia="en-US"/>
        </w:rPr>
        <w:t>a</w:t>
      </w:r>
      <w:r w:rsidR="00D004A0">
        <w:rPr>
          <w:lang w:eastAsia="en-US"/>
        </w:rPr>
        <w:t xml:space="preserve"> value of 3.88</w:t>
      </w:r>
      <w:r w:rsidR="00AC6A0C" w:rsidRPr="000912EF">
        <w:rPr>
          <w:lang w:eastAsia="en-US"/>
        </w:rPr>
        <w:t xml:space="preserve"> (4). Regarding the number of comments in initial comment letters, the mean (or median) value is lowest for </w:t>
      </w:r>
      <w:r w:rsidR="00E53742">
        <w:rPr>
          <w:lang w:eastAsia="en-US"/>
        </w:rPr>
        <w:t xml:space="preserve">the </w:t>
      </w:r>
      <w:r w:rsidR="00D004A0" w:rsidRPr="000912EF">
        <w:rPr>
          <w:lang w:eastAsia="en-US"/>
        </w:rPr>
        <w:t xml:space="preserve">Office of </w:t>
      </w:r>
      <w:r w:rsidR="00D004A0">
        <w:rPr>
          <w:lang w:eastAsia="en-US"/>
        </w:rPr>
        <w:t>Healthcare and Insurance</w:t>
      </w:r>
      <w:r w:rsidR="00D004A0" w:rsidRPr="000912EF">
        <w:rPr>
          <w:lang w:eastAsia="en-US"/>
        </w:rPr>
        <w:t xml:space="preserve"> (Office of </w:t>
      </w:r>
      <w:r w:rsidR="00D004A0">
        <w:rPr>
          <w:lang w:eastAsia="en-US"/>
        </w:rPr>
        <w:t>Healthcare and Insurance</w:t>
      </w:r>
      <w:r w:rsidR="00D004A0" w:rsidRPr="000912EF">
        <w:rPr>
          <w:lang w:eastAsia="en-US"/>
        </w:rPr>
        <w:t>)</w:t>
      </w:r>
      <w:r w:rsidR="00D004A0">
        <w:rPr>
          <w:lang w:eastAsia="en-US"/>
        </w:rPr>
        <w:t xml:space="preserve"> </w:t>
      </w:r>
      <w:r w:rsidR="00AC6A0C" w:rsidRPr="000912EF">
        <w:rPr>
          <w:lang w:eastAsia="en-US"/>
        </w:rPr>
        <w:t xml:space="preserve">with </w:t>
      </w:r>
      <w:r w:rsidR="004168EA">
        <w:rPr>
          <w:lang w:eastAsia="en-US"/>
        </w:rPr>
        <w:t>a</w:t>
      </w:r>
      <w:r w:rsidR="00AC6A0C" w:rsidRPr="000912EF">
        <w:rPr>
          <w:lang w:eastAsia="en-US"/>
        </w:rPr>
        <w:t xml:space="preserve"> value of 1</w:t>
      </w:r>
      <w:r w:rsidR="00D004A0">
        <w:rPr>
          <w:lang w:eastAsia="en-US"/>
        </w:rPr>
        <w:t>3.39</w:t>
      </w:r>
      <w:r w:rsidR="00AC6A0C" w:rsidRPr="000912EF">
        <w:rPr>
          <w:lang w:eastAsia="en-US"/>
        </w:rPr>
        <w:t xml:space="preserve"> (</w:t>
      </w:r>
      <w:r w:rsidR="00D004A0">
        <w:rPr>
          <w:lang w:eastAsia="en-US"/>
        </w:rPr>
        <w:t>2</w:t>
      </w:r>
      <w:r w:rsidR="00AC6A0C" w:rsidRPr="000912EF">
        <w:rPr>
          <w:lang w:eastAsia="en-US"/>
        </w:rPr>
        <w:t xml:space="preserve">) and highest for </w:t>
      </w:r>
      <w:r w:rsidR="00E53742">
        <w:rPr>
          <w:lang w:eastAsia="en-US"/>
        </w:rPr>
        <w:t>the</w:t>
      </w:r>
      <w:r w:rsidR="00AC6A0C" w:rsidRPr="000912EF">
        <w:rPr>
          <w:lang w:eastAsia="en-US"/>
        </w:rPr>
        <w:t xml:space="preserve"> Office of Manufacturing and Construction (Office of Manufacturing and Construction) with </w:t>
      </w:r>
      <w:r w:rsidR="004168EA">
        <w:rPr>
          <w:lang w:eastAsia="en-US"/>
        </w:rPr>
        <w:t>a</w:t>
      </w:r>
      <w:r w:rsidR="00AC6A0C" w:rsidRPr="000912EF">
        <w:rPr>
          <w:lang w:eastAsia="en-US"/>
        </w:rPr>
        <w:t xml:space="preserve"> value of </w:t>
      </w:r>
      <w:r w:rsidR="00D004A0">
        <w:rPr>
          <w:lang w:eastAsia="en-US"/>
        </w:rPr>
        <w:t>42.28 (46.5</w:t>
      </w:r>
      <w:r w:rsidR="00AC6A0C" w:rsidRPr="000912EF">
        <w:rPr>
          <w:lang w:eastAsia="en-US"/>
        </w:rPr>
        <w:t>)</w:t>
      </w:r>
      <w:r w:rsidR="003D795D">
        <w:rPr>
          <w:lang w:eastAsia="en-US"/>
        </w:rPr>
        <w:t>.</w:t>
      </w:r>
      <w:r w:rsidR="004B2F18">
        <w:rPr>
          <w:lang w:eastAsia="en-US"/>
        </w:rPr>
        <w:t xml:space="preserve"> In general, it could be identified that the SEC review is the least intense in </w:t>
      </w:r>
      <w:r w:rsidR="00E53742">
        <w:rPr>
          <w:lang w:eastAsia="en-US"/>
        </w:rPr>
        <w:t xml:space="preserve">the </w:t>
      </w:r>
      <w:r w:rsidR="004B2F18">
        <w:rPr>
          <w:lang w:eastAsia="en-US"/>
        </w:rPr>
        <w:t xml:space="preserve">Office of Healthcare and Insurance and the most intense in </w:t>
      </w:r>
      <w:r w:rsidR="00E53742">
        <w:rPr>
          <w:lang w:eastAsia="en-US"/>
        </w:rPr>
        <w:t xml:space="preserve">the </w:t>
      </w:r>
      <w:r w:rsidR="004B2F18">
        <w:rPr>
          <w:lang w:eastAsia="en-US"/>
        </w:rPr>
        <w:t>Office of Manufacturing and Construction.</w:t>
      </w:r>
    </w:p>
    <w:p w14:paraId="7CAC0BBE" w14:textId="0CF1FF29" w:rsidR="00626DC3" w:rsidRPr="004168EA" w:rsidRDefault="004168EA" w:rsidP="004168EA">
      <w:pPr>
        <w:pStyle w:val="ListParagraph"/>
        <w:spacing w:line="360" w:lineRule="auto"/>
        <w:ind w:left="0"/>
        <w:jc w:val="center"/>
        <w:rPr>
          <w:b/>
          <w:lang w:eastAsia="en-US"/>
        </w:rPr>
      </w:pPr>
      <w:r>
        <w:rPr>
          <w:b/>
          <w:lang w:eastAsia="en-US"/>
        </w:rPr>
        <w:t xml:space="preserve">[Insert </w:t>
      </w:r>
      <w:r w:rsidR="00174399">
        <w:rPr>
          <w:b/>
          <w:lang w:eastAsia="en-US"/>
        </w:rPr>
        <w:t>Table 4</w:t>
      </w:r>
      <w:r>
        <w:rPr>
          <w:b/>
          <w:lang w:eastAsia="en-US"/>
        </w:rPr>
        <w:t xml:space="preserve"> about here]</w:t>
      </w:r>
    </w:p>
    <w:p w14:paraId="47060E1D" w14:textId="0AF5BA54" w:rsidR="00806E7C" w:rsidRPr="009F7296" w:rsidRDefault="00806E7C" w:rsidP="009F7296">
      <w:pPr>
        <w:pStyle w:val="ListParagraph"/>
        <w:numPr>
          <w:ilvl w:val="1"/>
          <w:numId w:val="1"/>
        </w:numPr>
        <w:spacing w:line="360" w:lineRule="auto"/>
        <w:jc w:val="both"/>
        <w:outlineLvl w:val="1"/>
        <w:rPr>
          <w:b/>
          <w:color w:val="000000" w:themeColor="text1"/>
          <w:lang w:eastAsia="en-US"/>
        </w:rPr>
      </w:pPr>
      <w:bookmarkStart w:id="33" w:name="_Toc9185801"/>
      <w:r w:rsidRPr="009F7296">
        <w:rPr>
          <w:b/>
          <w:color w:val="000000" w:themeColor="text1"/>
          <w:lang w:eastAsia="en-US"/>
        </w:rPr>
        <w:t>Descriptive statistics of the determinants of the SEC review</w:t>
      </w:r>
      <w:bookmarkEnd w:id="33"/>
    </w:p>
    <w:p w14:paraId="2C5A8DBA" w14:textId="4D6F9E21" w:rsidR="004B2F18" w:rsidRDefault="001521E1" w:rsidP="0030659B">
      <w:pPr>
        <w:spacing w:line="360" w:lineRule="auto"/>
        <w:jc w:val="both"/>
        <w:rPr>
          <w:color w:val="000000" w:themeColor="text1"/>
          <w:lang w:eastAsia="en-US"/>
        </w:rPr>
      </w:pPr>
      <w:r>
        <w:rPr>
          <w:color w:val="000000" w:themeColor="text1"/>
          <w:lang w:eastAsia="en-US"/>
        </w:rPr>
        <w:lastRenderedPageBreak/>
        <w:t xml:space="preserve">Table </w:t>
      </w:r>
      <w:r w:rsidR="00174399">
        <w:rPr>
          <w:color w:val="000000" w:themeColor="text1"/>
          <w:lang w:eastAsia="en-US"/>
        </w:rPr>
        <w:t>5</w:t>
      </w:r>
      <w:r>
        <w:rPr>
          <w:color w:val="000000" w:themeColor="text1"/>
          <w:lang w:eastAsia="en-US"/>
        </w:rPr>
        <w:t xml:space="preserve"> provides the descripti</w:t>
      </w:r>
      <w:r w:rsidR="00AA30DF">
        <w:rPr>
          <w:color w:val="000000" w:themeColor="text1"/>
          <w:lang w:eastAsia="en-US"/>
        </w:rPr>
        <w:t xml:space="preserve">ve statistics </w:t>
      </w:r>
      <w:r w:rsidR="00E53742">
        <w:rPr>
          <w:color w:val="000000" w:themeColor="text1"/>
          <w:lang w:eastAsia="en-US"/>
        </w:rPr>
        <w:t>for</w:t>
      </w:r>
      <w:r w:rsidR="00AA30DF">
        <w:rPr>
          <w:color w:val="000000" w:themeColor="text1"/>
          <w:lang w:eastAsia="en-US"/>
        </w:rPr>
        <w:t xml:space="preserve"> the determinants of the SEC review.</w:t>
      </w:r>
      <w:r w:rsidR="007F0CC7" w:rsidRPr="00EC26CF">
        <w:rPr>
          <w:rStyle w:val="FootnoteReference"/>
        </w:rPr>
        <w:footnoteReference w:id="15"/>
      </w:r>
      <w:r w:rsidR="00650734">
        <w:rPr>
          <w:color w:val="000000" w:themeColor="text1"/>
          <w:lang w:eastAsia="en-US"/>
        </w:rPr>
        <w:t xml:space="preserve"> Regarding IPO firm’s characteristics, </w:t>
      </w:r>
      <w:r w:rsidR="00971929">
        <w:rPr>
          <w:color w:val="000000" w:themeColor="text1"/>
          <w:lang w:eastAsia="en-US"/>
        </w:rPr>
        <w:t>the median value</w:t>
      </w:r>
      <w:r w:rsidR="00076414">
        <w:rPr>
          <w:color w:val="000000" w:themeColor="text1"/>
          <w:lang w:eastAsia="en-US"/>
        </w:rPr>
        <w:t xml:space="preserve"> </w:t>
      </w:r>
      <w:r w:rsidR="00076414">
        <w:rPr>
          <w:i/>
          <w:color w:val="000000" w:themeColor="text1"/>
          <w:lang w:eastAsia="en-US"/>
        </w:rPr>
        <w:t>Size</w:t>
      </w:r>
      <w:r w:rsidR="00650734">
        <w:rPr>
          <w:color w:val="000000" w:themeColor="text1"/>
          <w:lang w:eastAsia="en-US"/>
        </w:rPr>
        <w:t>, which is based on the firms’ market capitalization (natura</w:t>
      </w:r>
      <w:r w:rsidR="00FE1883">
        <w:rPr>
          <w:color w:val="000000" w:themeColor="text1"/>
          <w:lang w:eastAsia="en-US"/>
        </w:rPr>
        <w:t>l logarithm), is 6.22</w:t>
      </w:r>
      <w:r w:rsidR="00F00D15">
        <w:rPr>
          <w:color w:val="000000" w:themeColor="text1"/>
          <w:lang w:eastAsia="en-US"/>
        </w:rPr>
        <w:t xml:space="preserve"> (equivalent to $</w:t>
      </w:r>
      <w:r w:rsidR="00FE1883">
        <w:rPr>
          <w:color w:val="000000" w:themeColor="text1"/>
          <w:lang w:eastAsia="en-US"/>
        </w:rPr>
        <w:t>502.70</w:t>
      </w:r>
      <w:r w:rsidR="000C1B4C">
        <w:rPr>
          <w:color w:val="000000" w:themeColor="text1"/>
          <w:lang w:eastAsia="en-US"/>
        </w:rPr>
        <w:t xml:space="preserve"> million</w:t>
      </w:r>
      <w:r w:rsidR="00F00D15">
        <w:rPr>
          <w:color w:val="000000" w:themeColor="text1"/>
          <w:lang w:eastAsia="en-US"/>
        </w:rPr>
        <w:t>)</w:t>
      </w:r>
      <w:r w:rsidR="007F0CC7">
        <w:rPr>
          <w:color w:val="000000" w:themeColor="text1"/>
          <w:lang w:eastAsia="en-US"/>
        </w:rPr>
        <w:t>,</w:t>
      </w:r>
      <w:r w:rsidR="00111BC9">
        <w:rPr>
          <w:color w:val="000000" w:themeColor="text1"/>
          <w:lang w:eastAsia="en-US"/>
        </w:rPr>
        <w:t xml:space="preserve"> </w:t>
      </w:r>
      <w:r w:rsidR="00E53742">
        <w:rPr>
          <w:color w:val="000000" w:themeColor="text1"/>
          <w:lang w:eastAsia="en-US"/>
        </w:rPr>
        <w:t xml:space="preserve">which </w:t>
      </w:r>
      <w:r w:rsidR="00111BC9">
        <w:rPr>
          <w:color w:val="000000" w:themeColor="text1"/>
          <w:lang w:eastAsia="en-US"/>
        </w:rPr>
        <w:t xml:space="preserve">indicates that </w:t>
      </w:r>
      <w:r w:rsidR="00384C93">
        <w:rPr>
          <w:color w:val="000000" w:themeColor="text1"/>
          <w:lang w:eastAsia="en-US"/>
        </w:rPr>
        <w:t>on average</w:t>
      </w:r>
      <w:r w:rsidR="007F0CC7">
        <w:rPr>
          <w:color w:val="000000" w:themeColor="text1"/>
          <w:lang w:eastAsia="en-US"/>
        </w:rPr>
        <w:t>,</w:t>
      </w:r>
      <w:r w:rsidR="00111BC9">
        <w:rPr>
          <w:color w:val="000000" w:themeColor="text1"/>
          <w:lang w:eastAsia="en-US"/>
        </w:rPr>
        <w:t xml:space="preserve"> the </w:t>
      </w:r>
      <w:r w:rsidR="007F0CC7">
        <w:rPr>
          <w:color w:val="000000" w:themeColor="text1"/>
          <w:lang w:eastAsia="en-US"/>
        </w:rPr>
        <w:t>U.S IPOs in my sample are small-cap companies.</w:t>
      </w:r>
      <w:r w:rsidR="007F0CC7" w:rsidRPr="00EC26CF">
        <w:rPr>
          <w:rStyle w:val="FootnoteReference"/>
        </w:rPr>
        <w:footnoteReference w:id="16"/>
      </w:r>
      <w:r w:rsidR="007F0CC7">
        <w:rPr>
          <w:color w:val="000000" w:themeColor="text1"/>
          <w:lang w:eastAsia="en-US"/>
        </w:rPr>
        <w:t xml:space="preserve"> </w:t>
      </w:r>
      <w:r w:rsidR="00296848">
        <w:rPr>
          <w:i/>
          <w:color w:val="000000" w:themeColor="text1"/>
          <w:lang w:eastAsia="en-US"/>
        </w:rPr>
        <w:t>Sales</w:t>
      </w:r>
      <w:r w:rsidR="00076414">
        <w:rPr>
          <w:i/>
          <w:color w:val="000000" w:themeColor="text1"/>
          <w:lang w:eastAsia="en-US"/>
        </w:rPr>
        <w:t xml:space="preserve"> growth</w:t>
      </w:r>
      <w:r w:rsidR="00F12E0F">
        <w:rPr>
          <w:color w:val="000000" w:themeColor="text1"/>
          <w:lang w:eastAsia="en-US"/>
        </w:rPr>
        <w:t xml:space="preserve"> is positive </w:t>
      </w:r>
      <w:r w:rsidR="00367479">
        <w:rPr>
          <w:color w:val="000000" w:themeColor="text1"/>
          <w:lang w:eastAsia="en-US"/>
        </w:rPr>
        <w:t>with</w:t>
      </w:r>
      <w:r w:rsidR="000C1B4C">
        <w:rPr>
          <w:color w:val="000000" w:themeColor="text1"/>
          <w:lang w:eastAsia="en-US"/>
        </w:rPr>
        <w:t xml:space="preserve"> the </w:t>
      </w:r>
      <w:r w:rsidR="00C124A3">
        <w:rPr>
          <w:color w:val="000000" w:themeColor="text1"/>
          <w:lang w:eastAsia="en-US"/>
        </w:rPr>
        <w:t xml:space="preserve">median value of 0.32, </w:t>
      </w:r>
      <w:r w:rsidR="00E53742">
        <w:rPr>
          <w:color w:val="000000" w:themeColor="text1"/>
          <w:lang w:eastAsia="en-US"/>
        </w:rPr>
        <w:t xml:space="preserve">which </w:t>
      </w:r>
      <w:r w:rsidR="00C124A3">
        <w:rPr>
          <w:color w:val="000000" w:themeColor="text1"/>
          <w:lang w:eastAsia="en-US"/>
        </w:rPr>
        <w:t xml:space="preserve">indicates that the U.S IPOs </w:t>
      </w:r>
      <w:r w:rsidR="00FE1883">
        <w:rPr>
          <w:color w:val="000000" w:themeColor="text1"/>
          <w:lang w:eastAsia="en-US"/>
        </w:rPr>
        <w:t xml:space="preserve">generally </w:t>
      </w:r>
      <w:r w:rsidR="00C124A3">
        <w:rPr>
          <w:color w:val="000000" w:themeColor="text1"/>
          <w:lang w:eastAsia="en-US"/>
        </w:rPr>
        <w:t xml:space="preserve">experience a </w:t>
      </w:r>
      <w:r w:rsidR="00587B26">
        <w:rPr>
          <w:color w:val="000000" w:themeColor="text1"/>
          <w:lang w:eastAsia="en-US"/>
        </w:rPr>
        <w:t xml:space="preserve">relatively </w:t>
      </w:r>
      <w:r w:rsidR="007F35E2">
        <w:rPr>
          <w:color w:val="000000" w:themeColor="text1"/>
          <w:lang w:eastAsia="en-US"/>
        </w:rPr>
        <w:t xml:space="preserve">high </w:t>
      </w:r>
      <w:r w:rsidR="00F60BDD">
        <w:rPr>
          <w:color w:val="000000" w:themeColor="text1"/>
          <w:lang w:eastAsia="en-US"/>
        </w:rPr>
        <w:t xml:space="preserve">potential </w:t>
      </w:r>
      <w:r w:rsidR="00C124A3">
        <w:rPr>
          <w:color w:val="000000" w:themeColor="text1"/>
          <w:lang w:eastAsia="en-US"/>
        </w:rPr>
        <w:t xml:space="preserve">growth in </w:t>
      </w:r>
      <w:r w:rsidR="00076414">
        <w:rPr>
          <w:color w:val="000000" w:themeColor="text1"/>
          <w:lang w:eastAsia="en-US"/>
        </w:rPr>
        <w:t>sales</w:t>
      </w:r>
      <w:r w:rsidR="00587B26">
        <w:rPr>
          <w:color w:val="000000" w:themeColor="text1"/>
          <w:lang w:eastAsia="en-US"/>
        </w:rPr>
        <w:t xml:space="preserve"> with </w:t>
      </w:r>
      <w:r w:rsidR="00007020">
        <w:rPr>
          <w:color w:val="000000" w:themeColor="text1"/>
          <w:lang w:eastAsia="en-US"/>
        </w:rPr>
        <w:t>an</w:t>
      </w:r>
      <w:r w:rsidR="00587B26">
        <w:rPr>
          <w:color w:val="000000" w:themeColor="text1"/>
          <w:lang w:eastAsia="en-US"/>
        </w:rPr>
        <w:t xml:space="preserve"> </w:t>
      </w:r>
      <w:r w:rsidR="007F35E2">
        <w:rPr>
          <w:color w:val="000000" w:themeColor="text1"/>
          <w:lang w:eastAsia="en-US"/>
        </w:rPr>
        <w:t xml:space="preserve">increase of 32% </w:t>
      </w:r>
      <w:r w:rsidR="00007020">
        <w:rPr>
          <w:color w:val="000000" w:themeColor="text1"/>
          <w:lang w:eastAsia="en-US"/>
        </w:rPr>
        <w:t>on average</w:t>
      </w:r>
      <w:r w:rsidR="007F35E2">
        <w:rPr>
          <w:color w:val="000000" w:themeColor="text1"/>
          <w:lang w:eastAsia="en-US"/>
        </w:rPr>
        <w:t xml:space="preserve">. </w:t>
      </w:r>
      <w:r w:rsidR="00076414">
        <w:rPr>
          <w:i/>
          <w:color w:val="000000" w:themeColor="text1"/>
          <w:lang w:eastAsia="en-US"/>
        </w:rPr>
        <w:t xml:space="preserve">Leverage </w:t>
      </w:r>
      <w:r w:rsidR="00076414">
        <w:rPr>
          <w:color w:val="000000" w:themeColor="text1"/>
          <w:lang w:eastAsia="en-US"/>
        </w:rPr>
        <w:t>is lower than 1</w:t>
      </w:r>
      <w:r w:rsidR="007F35E2">
        <w:rPr>
          <w:color w:val="000000" w:themeColor="text1"/>
          <w:lang w:eastAsia="en-US"/>
        </w:rPr>
        <w:t xml:space="preserve"> </w:t>
      </w:r>
      <w:r w:rsidR="00007020">
        <w:rPr>
          <w:color w:val="000000" w:themeColor="text1"/>
          <w:lang w:eastAsia="en-US"/>
        </w:rPr>
        <w:t xml:space="preserve">on </w:t>
      </w:r>
      <w:r w:rsidR="00007020" w:rsidRPr="008E3597">
        <w:rPr>
          <w:color w:val="000000" w:themeColor="text1"/>
          <w:lang w:eastAsia="en-US"/>
        </w:rPr>
        <w:t xml:space="preserve">average </w:t>
      </w:r>
      <w:r w:rsidR="007F35E2">
        <w:rPr>
          <w:color w:val="000000" w:themeColor="text1"/>
          <w:lang w:eastAsia="en-US"/>
        </w:rPr>
        <w:t xml:space="preserve">with </w:t>
      </w:r>
      <w:r w:rsidR="00007020" w:rsidRPr="008E3597">
        <w:rPr>
          <w:color w:val="000000" w:themeColor="text1"/>
          <w:lang w:eastAsia="en-US"/>
        </w:rPr>
        <w:t>a</w:t>
      </w:r>
      <w:r w:rsidR="007F35E2">
        <w:rPr>
          <w:color w:val="000000" w:themeColor="text1"/>
          <w:lang w:eastAsia="en-US"/>
        </w:rPr>
        <w:t xml:space="preserve"> median value of 0.32, </w:t>
      </w:r>
      <w:r w:rsidR="00E53742" w:rsidRPr="008E3597">
        <w:rPr>
          <w:color w:val="000000" w:themeColor="text1"/>
          <w:lang w:eastAsia="en-US"/>
        </w:rPr>
        <w:t xml:space="preserve">which </w:t>
      </w:r>
      <w:r w:rsidR="007F35E2">
        <w:rPr>
          <w:color w:val="000000" w:themeColor="text1"/>
          <w:lang w:eastAsia="en-US"/>
        </w:rPr>
        <w:t xml:space="preserve">indicates that </w:t>
      </w:r>
      <w:r w:rsidR="008E3597" w:rsidRPr="008E3597">
        <w:rPr>
          <w:color w:val="000000" w:themeColor="text1"/>
          <w:lang w:eastAsia="en-US"/>
        </w:rPr>
        <w:t>on average</w:t>
      </w:r>
      <w:r w:rsidR="007F35E2">
        <w:rPr>
          <w:color w:val="000000" w:themeColor="text1"/>
          <w:lang w:eastAsia="en-US"/>
        </w:rPr>
        <w:t>, the U.S IPOs’ liabilities are 32% of shareholders’ equity which is an acceptable capital structure</w:t>
      </w:r>
      <w:r w:rsidR="008E3597" w:rsidRPr="008E3597">
        <w:rPr>
          <w:color w:val="000000" w:themeColor="text1"/>
          <w:lang w:eastAsia="en-US"/>
        </w:rPr>
        <w:t xml:space="preserve"> since on average, no more than half of the firms’ assets are financed by debts</w:t>
      </w:r>
      <w:r w:rsidR="00F60BDD">
        <w:rPr>
          <w:color w:val="000000" w:themeColor="text1"/>
          <w:lang w:eastAsia="en-US"/>
        </w:rPr>
        <w:t xml:space="preserve">. </w:t>
      </w:r>
      <w:r w:rsidR="00F60BDD">
        <w:rPr>
          <w:i/>
          <w:color w:val="000000" w:themeColor="text1"/>
          <w:lang w:eastAsia="en-US"/>
        </w:rPr>
        <w:t xml:space="preserve">BM </w:t>
      </w:r>
      <w:r w:rsidR="00F60BDD">
        <w:rPr>
          <w:color w:val="000000" w:themeColor="text1"/>
          <w:lang w:eastAsia="en-US"/>
        </w:rPr>
        <w:t xml:space="preserve">is lower than 1 </w:t>
      </w:r>
      <w:r w:rsidR="00007020">
        <w:rPr>
          <w:color w:val="000000" w:themeColor="text1"/>
          <w:lang w:eastAsia="en-US"/>
        </w:rPr>
        <w:t xml:space="preserve">on average </w:t>
      </w:r>
      <w:r w:rsidR="00F60BDD">
        <w:rPr>
          <w:color w:val="000000" w:themeColor="text1"/>
          <w:lang w:eastAsia="en-US"/>
        </w:rPr>
        <w:t xml:space="preserve">with </w:t>
      </w:r>
      <w:r w:rsidR="00007020">
        <w:rPr>
          <w:color w:val="000000" w:themeColor="text1"/>
          <w:lang w:eastAsia="en-US"/>
        </w:rPr>
        <w:t>a</w:t>
      </w:r>
      <w:r w:rsidR="00F60BDD">
        <w:rPr>
          <w:color w:val="000000" w:themeColor="text1"/>
          <w:lang w:eastAsia="en-US"/>
        </w:rPr>
        <w:t xml:space="preserve"> mean value of 0.25, </w:t>
      </w:r>
      <w:r w:rsidR="00E53742">
        <w:rPr>
          <w:color w:val="000000" w:themeColor="text1"/>
          <w:lang w:eastAsia="en-US"/>
        </w:rPr>
        <w:t xml:space="preserve">which </w:t>
      </w:r>
      <w:r w:rsidR="00F60BDD">
        <w:rPr>
          <w:color w:val="000000" w:themeColor="text1"/>
          <w:lang w:eastAsia="en-US"/>
        </w:rPr>
        <w:t xml:space="preserve">indicates that U.S. IPOs’ stocks are generally </w:t>
      </w:r>
      <w:proofErr w:type="gramStart"/>
      <w:r w:rsidR="00F60BDD">
        <w:rPr>
          <w:color w:val="000000" w:themeColor="text1"/>
          <w:lang w:eastAsia="en-US"/>
        </w:rPr>
        <w:t>undervalued</w:t>
      </w:r>
      <w:proofErr w:type="gramEnd"/>
      <w:r w:rsidR="00F60BDD">
        <w:rPr>
          <w:color w:val="000000" w:themeColor="text1"/>
          <w:lang w:eastAsia="en-US"/>
        </w:rPr>
        <w:t xml:space="preserve"> and the investors would be willing to pay higher prices than the firms’ true values. </w:t>
      </w:r>
      <w:r w:rsidR="00007020">
        <w:rPr>
          <w:color w:val="000000" w:themeColor="text1"/>
          <w:lang w:eastAsia="en-US"/>
        </w:rPr>
        <w:t>M</w:t>
      </w:r>
      <w:r w:rsidR="000D09DA">
        <w:rPr>
          <w:color w:val="000000" w:themeColor="text1"/>
          <w:lang w:eastAsia="en-US"/>
        </w:rPr>
        <w:t>edian value of E</w:t>
      </w:r>
      <w:r w:rsidR="00FF2FAC">
        <w:rPr>
          <w:i/>
          <w:color w:val="000000" w:themeColor="text1"/>
          <w:lang w:eastAsia="en-US"/>
        </w:rPr>
        <w:t xml:space="preserve">xternal financing </w:t>
      </w:r>
      <w:r w:rsidR="00FF2FAC">
        <w:rPr>
          <w:color w:val="000000" w:themeColor="text1"/>
          <w:lang w:eastAsia="en-US"/>
        </w:rPr>
        <w:t xml:space="preserve">is 0.41, </w:t>
      </w:r>
      <w:r w:rsidR="00E53742">
        <w:rPr>
          <w:color w:val="000000" w:themeColor="text1"/>
          <w:lang w:eastAsia="en-US"/>
        </w:rPr>
        <w:t xml:space="preserve">which </w:t>
      </w:r>
      <w:r w:rsidR="00FF2FAC">
        <w:rPr>
          <w:color w:val="000000" w:themeColor="text1"/>
          <w:lang w:eastAsia="en-US"/>
        </w:rPr>
        <w:t xml:space="preserve">indicates that </w:t>
      </w:r>
      <w:r w:rsidR="00007020">
        <w:rPr>
          <w:color w:val="000000" w:themeColor="text1"/>
          <w:lang w:eastAsia="en-US"/>
        </w:rPr>
        <w:t>on average,</w:t>
      </w:r>
      <w:r w:rsidR="00FF2FAC">
        <w:rPr>
          <w:color w:val="000000" w:themeColor="text1"/>
          <w:lang w:eastAsia="en-US"/>
        </w:rPr>
        <w:t xml:space="preserve"> U.S. IPOs’ funds acquired from outside sources (debt or equity) are 41% of their total assets, which is a relatively high need of external financing. </w:t>
      </w:r>
      <w:r w:rsidR="00007020">
        <w:rPr>
          <w:color w:val="000000" w:themeColor="text1"/>
          <w:lang w:eastAsia="en-US"/>
        </w:rPr>
        <w:t>M</w:t>
      </w:r>
      <w:r w:rsidR="000D09DA">
        <w:rPr>
          <w:color w:val="000000" w:themeColor="text1"/>
          <w:lang w:eastAsia="en-US"/>
        </w:rPr>
        <w:t xml:space="preserve">edian value of </w:t>
      </w:r>
      <w:r w:rsidR="000D09DA">
        <w:rPr>
          <w:i/>
          <w:color w:val="000000" w:themeColor="text1"/>
          <w:lang w:eastAsia="en-US"/>
        </w:rPr>
        <w:t xml:space="preserve">Firm age </w:t>
      </w:r>
      <w:r w:rsidR="000D09DA">
        <w:rPr>
          <w:color w:val="000000" w:themeColor="text1"/>
          <w:lang w:eastAsia="en-US"/>
        </w:rPr>
        <w:t xml:space="preserve">is 2, </w:t>
      </w:r>
      <w:r w:rsidR="00E53742">
        <w:rPr>
          <w:color w:val="000000" w:themeColor="text1"/>
          <w:lang w:eastAsia="en-US"/>
        </w:rPr>
        <w:t xml:space="preserve">which </w:t>
      </w:r>
      <w:r w:rsidR="000D09DA">
        <w:rPr>
          <w:color w:val="000000" w:themeColor="text1"/>
          <w:lang w:eastAsia="en-US"/>
        </w:rPr>
        <w:t xml:space="preserve">indicates that </w:t>
      </w:r>
      <w:r w:rsidR="00007020">
        <w:rPr>
          <w:color w:val="000000" w:themeColor="text1"/>
          <w:lang w:eastAsia="en-US"/>
        </w:rPr>
        <w:t>on average,</w:t>
      </w:r>
      <w:r w:rsidR="000D09DA">
        <w:rPr>
          <w:color w:val="000000" w:themeColor="text1"/>
          <w:lang w:eastAsia="en-US"/>
        </w:rPr>
        <w:t xml:space="preserve"> U.S IPOs are young who have been </w:t>
      </w:r>
      <w:r w:rsidR="00007020">
        <w:rPr>
          <w:color w:val="000000" w:themeColor="text1"/>
          <w:lang w:eastAsia="en-US"/>
        </w:rPr>
        <w:t>established for</w:t>
      </w:r>
      <w:r w:rsidR="000D09DA">
        <w:rPr>
          <w:color w:val="000000" w:themeColor="text1"/>
          <w:lang w:eastAsia="en-US"/>
        </w:rPr>
        <w:t xml:space="preserve"> approximately 2 years</w:t>
      </w:r>
      <w:r w:rsidR="00007020">
        <w:rPr>
          <w:color w:val="000000" w:themeColor="text1"/>
          <w:lang w:eastAsia="en-US"/>
        </w:rPr>
        <w:t>. M</w:t>
      </w:r>
      <w:r w:rsidR="000D09DA">
        <w:rPr>
          <w:color w:val="000000" w:themeColor="text1"/>
          <w:lang w:eastAsia="en-US"/>
        </w:rPr>
        <w:t xml:space="preserve">edian value of </w:t>
      </w:r>
      <w:r w:rsidR="000D09DA">
        <w:rPr>
          <w:i/>
          <w:color w:val="000000" w:themeColor="text1"/>
          <w:lang w:eastAsia="en-US"/>
        </w:rPr>
        <w:t xml:space="preserve">Segments </w:t>
      </w:r>
      <w:r w:rsidR="003B57C3">
        <w:rPr>
          <w:color w:val="000000" w:themeColor="text1"/>
          <w:lang w:eastAsia="en-US"/>
        </w:rPr>
        <w:t xml:space="preserve">is 1, </w:t>
      </w:r>
      <w:r w:rsidR="00E53742">
        <w:rPr>
          <w:color w:val="000000" w:themeColor="text1"/>
          <w:lang w:eastAsia="en-US"/>
        </w:rPr>
        <w:t xml:space="preserve">which </w:t>
      </w:r>
      <w:r w:rsidR="003B57C3">
        <w:rPr>
          <w:color w:val="000000" w:themeColor="text1"/>
          <w:lang w:eastAsia="en-US"/>
        </w:rPr>
        <w:t>indicates</w:t>
      </w:r>
      <w:r w:rsidR="000D09DA">
        <w:rPr>
          <w:color w:val="000000" w:themeColor="text1"/>
          <w:lang w:eastAsia="en-US"/>
        </w:rPr>
        <w:t xml:space="preserve"> that U.S IPOs </w:t>
      </w:r>
      <w:r w:rsidR="003B57C3">
        <w:rPr>
          <w:color w:val="000000" w:themeColor="text1"/>
          <w:lang w:eastAsia="en-US"/>
        </w:rPr>
        <w:t>are not diversified and complicated</w:t>
      </w:r>
      <w:r w:rsidR="000D09DA">
        <w:rPr>
          <w:color w:val="000000" w:themeColor="text1"/>
          <w:lang w:eastAsia="en-US"/>
        </w:rPr>
        <w:t xml:space="preserve"> </w:t>
      </w:r>
      <w:r w:rsidR="003B57C3">
        <w:rPr>
          <w:color w:val="000000" w:themeColor="text1"/>
          <w:lang w:eastAsia="en-US"/>
        </w:rPr>
        <w:t xml:space="preserve">in their areas of operation, generally </w:t>
      </w:r>
      <w:r w:rsidR="00007020">
        <w:rPr>
          <w:color w:val="000000" w:themeColor="text1"/>
          <w:lang w:eastAsia="en-US"/>
        </w:rPr>
        <w:t xml:space="preserve">having </w:t>
      </w:r>
      <w:r w:rsidR="003B57C3">
        <w:rPr>
          <w:color w:val="000000" w:themeColor="text1"/>
          <w:lang w:eastAsia="en-US"/>
        </w:rPr>
        <w:t xml:space="preserve">only one business segment. The median value of </w:t>
      </w:r>
      <w:proofErr w:type="spellStart"/>
      <w:r w:rsidR="00B90319">
        <w:rPr>
          <w:i/>
          <w:color w:val="000000" w:themeColor="text1"/>
          <w:lang w:eastAsia="en-US"/>
        </w:rPr>
        <w:t>Zscore</w:t>
      </w:r>
      <w:proofErr w:type="spellEnd"/>
      <w:r w:rsidR="003B57C3">
        <w:rPr>
          <w:i/>
          <w:color w:val="000000" w:themeColor="text1"/>
          <w:lang w:eastAsia="en-US"/>
        </w:rPr>
        <w:t xml:space="preserve"> </w:t>
      </w:r>
      <w:r w:rsidR="003B57C3">
        <w:rPr>
          <w:color w:val="000000" w:themeColor="text1"/>
          <w:lang w:eastAsia="en-US"/>
        </w:rPr>
        <w:t>is 5.52, which is higher than</w:t>
      </w:r>
      <w:r w:rsidR="003B57C3" w:rsidRPr="003B57C3">
        <w:rPr>
          <w:color w:val="000000" w:themeColor="text1"/>
          <w:lang w:eastAsia="en-US"/>
        </w:rPr>
        <w:t xml:space="preserve"> 2.99 </w:t>
      </w:r>
      <w:r w:rsidR="003B57C3">
        <w:rPr>
          <w:color w:val="000000" w:themeColor="text1"/>
          <w:lang w:eastAsia="en-US"/>
        </w:rPr>
        <w:t xml:space="preserve">and </w:t>
      </w:r>
      <w:r w:rsidR="003B57C3" w:rsidRPr="003B57C3">
        <w:rPr>
          <w:color w:val="000000" w:themeColor="text1"/>
          <w:lang w:eastAsia="en-US"/>
        </w:rPr>
        <w:t xml:space="preserve">indicates that </w:t>
      </w:r>
      <w:r w:rsidR="003B57C3">
        <w:rPr>
          <w:color w:val="000000" w:themeColor="text1"/>
          <w:lang w:eastAsia="en-US"/>
        </w:rPr>
        <w:t xml:space="preserve">in general, U.S IPOs are </w:t>
      </w:r>
      <w:r w:rsidR="003B57C3" w:rsidRPr="003B57C3">
        <w:rPr>
          <w:color w:val="000000" w:themeColor="text1"/>
          <w:lang w:eastAsia="en-US"/>
        </w:rPr>
        <w:t>safe from bankruptcy</w:t>
      </w:r>
      <w:r w:rsidR="003B57C3">
        <w:rPr>
          <w:color w:val="000000" w:themeColor="text1"/>
          <w:lang w:eastAsia="en-US"/>
        </w:rPr>
        <w:t xml:space="preserve">. </w:t>
      </w:r>
      <w:r w:rsidR="0015476D">
        <w:rPr>
          <w:color w:val="000000" w:themeColor="text1"/>
          <w:lang w:eastAsia="en-US"/>
        </w:rPr>
        <w:t>M</w:t>
      </w:r>
      <w:r w:rsidR="00F36FAA">
        <w:rPr>
          <w:color w:val="000000" w:themeColor="text1"/>
          <w:lang w:eastAsia="en-US"/>
        </w:rPr>
        <w:t xml:space="preserve">ean value of </w:t>
      </w:r>
      <w:r w:rsidR="00F36FAA">
        <w:rPr>
          <w:i/>
          <w:color w:val="000000" w:themeColor="text1"/>
          <w:lang w:eastAsia="en-US"/>
        </w:rPr>
        <w:t xml:space="preserve">Big 4 </w:t>
      </w:r>
      <w:r w:rsidR="00F36FAA">
        <w:rPr>
          <w:color w:val="000000" w:themeColor="text1"/>
          <w:lang w:eastAsia="en-US"/>
        </w:rPr>
        <w:t xml:space="preserve">is 0.81, </w:t>
      </w:r>
      <w:r w:rsidR="00E53742">
        <w:rPr>
          <w:color w:val="000000" w:themeColor="text1"/>
          <w:lang w:eastAsia="en-US"/>
        </w:rPr>
        <w:t xml:space="preserve">which </w:t>
      </w:r>
      <w:r w:rsidR="00F36FAA">
        <w:rPr>
          <w:color w:val="000000" w:themeColor="text1"/>
          <w:lang w:eastAsia="en-US"/>
        </w:rPr>
        <w:t xml:space="preserve">indicates that </w:t>
      </w:r>
      <w:r w:rsidR="0015476D">
        <w:rPr>
          <w:color w:val="000000" w:themeColor="text1"/>
          <w:lang w:eastAsia="en-US"/>
        </w:rPr>
        <w:t xml:space="preserve">on average, </w:t>
      </w:r>
      <w:r w:rsidR="00F36FAA">
        <w:rPr>
          <w:color w:val="000000" w:themeColor="text1"/>
          <w:lang w:eastAsia="en-US"/>
        </w:rPr>
        <w:t xml:space="preserve">81% </w:t>
      </w:r>
      <w:r w:rsidR="00AC42B3">
        <w:rPr>
          <w:color w:val="000000" w:themeColor="text1"/>
          <w:lang w:eastAsia="en-US"/>
        </w:rPr>
        <w:t xml:space="preserve">or most of </w:t>
      </w:r>
      <w:r w:rsidR="00F36FAA">
        <w:rPr>
          <w:color w:val="000000" w:themeColor="text1"/>
          <w:lang w:eastAsia="en-US"/>
        </w:rPr>
        <w:t xml:space="preserve">U.S IPOs in my sample are audited by Big 4 auditors. </w:t>
      </w:r>
      <w:r w:rsidR="0015476D">
        <w:rPr>
          <w:color w:val="000000" w:themeColor="text1"/>
          <w:lang w:eastAsia="en-US"/>
        </w:rPr>
        <w:t>M</w:t>
      </w:r>
      <w:r w:rsidR="00F36FAA">
        <w:rPr>
          <w:color w:val="000000" w:themeColor="text1"/>
          <w:lang w:eastAsia="en-US"/>
        </w:rPr>
        <w:t xml:space="preserve">ean value of </w:t>
      </w:r>
      <w:r w:rsidR="00F36FAA">
        <w:rPr>
          <w:i/>
          <w:color w:val="000000" w:themeColor="text1"/>
          <w:lang w:eastAsia="en-US"/>
        </w:rPr>
        <w:t xml:space="preserve">Restructuring </w:t>
      </w:r>
      <w:r w:rsidR="00F36FAA">
        <w:rPr>
          <w:color w:val="000000" w:themeColor="text1"/>
          <w:lang w:eastAsia="en-US"/>
        </w:rPr>
        <w:t xml:space="preserve">is 0.11, </w:t>
      </w:r>
      <w:r w:rsidR="00E53742">
        <w:rPr>
          <w:color w:val="000000" w:themeColor="text1"/>
          <w:lang w:eastAsia="en-US"/>
        </w:rPr>
        <w:t xml:space="preserve">which </w:t>
      </w:r>
      <w:r w:rsidR="00F36FAA">
        <w:rPr>
          <w:color w:val="000000" w:themeColor="text1"/>
          <w:lang w:eastAsia="en-US"/>
        </w:rPr>
        <w:t xml:space="preserve">indicates that </w:t>
      </w:r>
      <w:r w:rsidR="0015476D">
        <w:rPr>
          <w:color w:val="000000" w:themeColor="text1"/>
          <w:lang w:eastAsia="en-US"/>
        </w:rPr>
        <w:t xml:space="preserve">on average, </w:t>
      </w:r>
      <w:r w:rsidR="00F36FAA">
        <w:rPr>
          <w:color w:val="000000" w:themeColor="text1"/>
          <w:lang w:eastAsia="en-US"/>
        </w:rPr>
        <w:t xml:space="preserve">11% </w:t>
      </w:r>
      <w:r w:rsidR="00A02079">
        <w:rPr>
          <w:color w:val="000000" w:themeColor="text1"/>
          <w:lang w:eastAsia="en-US"/>
        </w:rPr>
        <w:t>of</w:t>
      </w:r>
      <w:r w:rsidR="00F36FAA">
        <w:rPr>
          <w:color w:val="000000" w:themeColor="text1"/>
          <w:lang w:eastAsia="en-US"/>
        </w:rPr>
        <w:t xml:space="preserve"> U.S. IPOs in my sample engage in the restructuring activities. </w:t>
      </w:r>
      <w:r w:rsidR="0015476D">
        <w:rPr>
          <w:color w:val="000000" w:themeColor="text1"/>
          <w:lang w:eastAsia="en-US"/>
        </w:rPr>
        <w:t>M</w:t>
      </w:r>
      <w:r w:rsidR="00F36FAA">
        <w:rPr>
          <w:color w:val="000000" w:themeColor="text1"/>
          <w:lang w:eastAsia="en-US"/>
        </w:rPr>
        <w:t xml:space="preserve">ean value of </w:t>
      </w:r>
      <w:r w:rsidR="00F36FAA">
        <w:rPr>
          <w:i/>
          <w:color w:val="000000" w:themeColor="text1"/>
          <w:lang w:eastAsia="en-US"/>
        </w:rPr>
        <w:t xml:space="preserve">M&amp;A </w:t>
      </w:r>
      <w:r w:rsidR="00F36FAA">
        <w:rPr>
          <w:color w:val="000000" w:themeColor="text1"/>
          <w:lang w:eastAsia="en-US"/>
        </w:rPr>
        <w:t xml:space="preserve">is 0.14, </w:t>
      </w:r>
      <w:r w:rsidR="00E53742">
        <w:rPr>
          <w:color w:val="000000" w:themeColor="text1"/>
          <w:lang w:eastAsia="en-US"/>
        </w:rPr>
        <w:t xml:space="preserve">which </w:t>
      </w:r>
      <w:r w:rsidR="00F36FAA">
        <w:rPr>
          <w:color w:val="000000" w:themeColor="text1"/>
          <w:lang w:eastAsia="en-US"/>
        </w:rPr>
        <w:t xml:space="preserve">indicates that </w:t>
      </w:r>
      <w:r w:rsidR="0015476D">
        <w:rPr>
          <w:color w:val="000000" w:themeColor="text1"/>
          <w:lang w:eastAsia="en-US"/>
        </w:rPr>
        <w:t xml:space="preserve">on average, </w:t>
      </w:r>
      <w:r w:rsidR="00F36FAA">
        <w:rPr>
          <w:color w:val="000000" w:themeColor="text1"/>
          <w:lang w:eastAsia="en-US"/>
        </w:rPr>
        <w:t>14%</w:t>
      </w:r>
      <w:r w:rsidR="00A02079">
        <w:rPr>
          <w:color w:val="000000" w:themeColor="text1"/>
          <w:lang w:eastAsia="en-US"/>
        </w:rPr>
        <w:t xml:space="preserve"> of</w:t>
      </w:r>
      <w:r w:rsidR="00F36FAA">
        <w:rPr>
          <w:color w:val="000000" w:themeColor="text1"/>
          <w:lang w:eastAsia="en-US"/>
        </w:rPr>
        <w:t xml:space="preserve"> U.S IPOs in my sample conduct the M&amp;A activities. </w:t>
      </w:r>
      <w:r w:rsidR="0015476D">
        <w:rPr>
          <w:color w:val="000000" w:themeColor="text1"/>
          <w:lang w:eastAsia="en-US"/>
        </w:rPr>
        <w:t>M</w:t>
      </w:r>
      <w:r w:rsidR="00F36FAA">
        <w:rPr>
          <w:color w:val="000000" w:themeColor="text1"/>
          <w:lang w:eastAsia="en-US"/>
        </w:rPr>
        <w:t xml:space="preserve">ean value of </w:t>
      </w:r>
      <w:r w:rsidR="00F36FAA">
        <w:rPr>
          <w:i/>
          <w:color w:val="000000" w:themeColor="text1"/>
          <w:lang w:eastAsia="en-US"/>
        </w:rPr>
        <w:t xml:space="preserve">Positive earnings </w:t>
      </w:r>
      <w:r w:rsidR="00F36FAA">
        <w:rPr>
          <w:color w:val="000000" w:themeColor="text1"/>
          <w:lang w:eastAsia="en-US"/>
        </w:rPr>
        <w:t xml:space="preserve">is 0.4, </w:t>
      </w:r>
      <w:r w:rsidR="00E53742">
        <w:rPr>
          <w:color w:val="000000" w:themeColor="text1"/>
          <w:lang w:eastAsia="en-US"/>
        </w:rPr>
        <w:t xml:space="preserve">which </w:t>
      </w:r>
      <w:r w:rsidR="00F36FAA">
        <w:rPr>
          <w:color w:val="000000" w:themeColor="text1"/>
          <w:lang w:eastAsia="en-US"/>
        </w:rPr>
        <w:t xml:space="preserve">indicates that </w:t>
      </w:r>
      <w:r w:rsidR="0015476D">
        <w:rPr>
          <w:color w:val="000000" w:themeColor="text1"/>
          <w:lang w:eastAsia="en-US"/>
        </w:rPr>
        <w:t xml:space="preserve">on average, </w:t>
      </w:r>
      <w:r w:rsidR="00F36FAA">
        <w:rPr>
          <w:color w:val="000000" w:themeColor="text1"/>
          <w:lang w:eastAsia="en-US"/>
        </w:rPr>
        <w:t xml:space="preserve">40% </w:t>
      </w:r>
      <w:r w:rsidR="00A02079">
        <w:rPr>
          <w:color w:val="000000" w:themeColor="text1"/>
          <w:lang w:eastAsia="en-US"/>
        </w:rPr>
        <w:t>of</w:t>
      </w:r>
      <w:r w:rsidR="00F36FAA">
        <w:rPr>
          <w:color w:val="000000" w:themeColor="text1"/>
          <w:lang w:eastAsia="en-US"/>
        </w:rPr>
        <w:t xml:space="preserve"> U.S IPOs in my sample have profit. The mean value of </w:t>
      </w:r>
      <w:proofErr w:type="spellStart"/>
      <w:r w:rsidR="00B90319">
        <w:rPr>
          <w:i/>
          <w:color w:val="000000" w:themeColor="text1"/>
          <w:lang w:eastAsia="en-US"/>
        </w:rPr>
        <w:t>CEOchairman</w:t>
      </w:r>
      <w:proofErr w:type="spellEnd"/>
      <w:r w:rsidR="00F36FAA">
        <w:rPr>
          <w:i/>
          <w:color w:val="000000" w:themeColor="text1"/>
          <w:lang w:eastAsia="en-US"/>
        </w:rPr>
        <w:t xml:space="preserve"> </w:t>
      </w:r>
      <w:r w:rsidR="00F36FAA">
        <w:rPr>
          <w:color w:val="000000" w:themeColor="text1"/>
          <w:lang w:eastAsia="en-US"/>
        </w:rPr>
        <w:t xml:space="preserve">is 0.52, </w:t>
      </w:r>
      <w:r w:rsidR="00E53742">
        <w:rPr>
          <w:color w:val="000000" w:themeColor="text1"/>
          <w:lang w:eastAsia="en-US"/>
        </w:rPr>
        <w:t xml:space="preserve">which </w:t>
      </w:r>
      <w:r w:rsidR="00F36FAA">
        <w:rPr>
          <w:color w:val="000000" w:themeColor="text1"/>
          <w:lang w:eastAsia="en-US"/>
        </w:rPr>
        <w:t xml:space="preserve">indicates that </w:t>
      </w:r>
      <w:r w:rsidR="0015476D">
        <w:rPr>
          <w:color w:val="000000" w:themeColor="text1"/>
          <w:lang w:eastAsia="en-US"/>
        </w:rPr>
        <w:t xml:space="preserve">on average, </w:t>
      </w:r>
      <w:r w:rsidR="00F36FAA">
        <w:rPr>
          <w:color w:val="000000" w:themeColor="text1"/>
          <w:lang w:eastAsia="en-US"/>
        </w:rPr>
        <w:t xml:space="preserve">52% U.S. IPOs in my sample have CEO who is also </w:t>
      </w:r>
      <w:r w:rsidR="0015476D">
        <w:rPr>
          <w:color w:val="000000" w:themeColor="text1"/>
          <w:lang w:eastAsia="en-US"/>
        </w:rPr>
        <w:t>the</w:t>
      </w:r>
      <w:r w:rsidR="00F36FAA">
        <w:rPr>
          <w:color w:val="000000" w:themeColor="text1"/>
          <w:lang w:eastAsia="en-US"/>
        </w:rPr>
        <w:t xml:space="preserve"> chairman of </w:t>
      </w:r>
      <w:r w:rsidR="0015476D">
        <w:rPr>
          <w:color w:val="000000" w:themeColor="text1"/>
          <w:lang w:eastAsia="en-US"/>
        </w:rPr>
        <w:t xml:space="preserve">the </w:t>
      </w:r>
      <w:r w:rsidR="00F36FAA">
        <w:rPr>
          <w:color w:val="000000" w:themeColor="text1"/>
          <w:lang w:eastAsia="en-US"/>
        </w:rPr>
        <w:t xml:space="preserve">board of directors. </w:t>
      </w:r>
    </w:p>
    <w:p w14:paraId="28F9EA57" w14:textId="5F9E2EE9" w:rsidR="00282C10" w:rsidRDefault="00282C10" w:rsidP="0030659B">
      <w:pPr>
        <w:spacing w:line="360" w:lineRule="auto"/>
        <w:jc w:val="both"/>
        <w:rPr>
          <w:color w:val="000000" w:themeColor="text1"/>
          <w:lang w:eastAsia="en-US"/>
        </w:rPr>
      </w:pPr>
      <w:r>
        <w:rPr>
          <w:color w:val="000000" w:themeColor="text1"/>
          <w:lang w:eastAsia="en-US"/>
        </w:rPr>
        <w:t xml:space="preserve">Regarding </w:t>
      </w:r>
      <w:r w:rsidR="00D92D32">
        <w:rPr>
          <w:color w:val="000000" w:themeColor="text1"/>
          <w:lang w:eastAsia="en-US"/>
        </w:rPr>
        <w:t>incidences</w:t>
      </w:r>
      <w:r>
        <w:rPr>
          <w:color w:val="000000" w:themeColor="text1"/>
          <w:lang w:eastAsia="en-US"/>
        </w:rPr>
        <w:t xml:space="preserve"> of regulatory changes and crisis, the mean value of </w:t>
      </w:r>
      <w:r>
        <w:rPr>
          <w:i/>
          <w:color w:val="000000" w:themeColor="text1"/>
          <w:lang w:eastAsia="en-US"/>
        </w:rPr>
        <w:t xml:space="preserve">JOBs Act </w:t>
      </w:r>
      <w:r>
        <w:rPr>
          <w:color w:val="000000" w:themeColor="text1"/>
          <w:lang w:eastAsia="en-US"/>
        </w:rPr>
        <w:t xml:space="preserve">is 0.51, </w:t>
      </w:r>
      <w:r w:rsidR="00E53742">
        <w:rPr>
          <w:color w:val="000000" w:themeColor="text1"/>
          <w:lang w:eastAsia="en-US"/>
        </w:rPr>
        <w:t xml:space="preserve">which </w:t>
      </w:r>
      <w:r>
        <w:rPr>
          <w:color w:val="000000" w:themeColor="text1"/>
          <w:lang w:eastAsia="en-US"/>
        </w:rPr>
        <w:t xml:space="preserve">indicates that </w:t>
      </w:r>
      <w:r w:rsidR="0015476D">
        <w:rPr>
          <w:color w:val="000000" w:themeColor="text1"/>
          <w:lang w:eastAsia="en-US"/>
        </w:rPr>
        <w:t>on average, 51%</w:t>
      </w:r>
      <w:r>
        <w:rPr>
          <w:color w:val="000000" w:themeColor="text1"/>
          <w:lang w:eastAsia="en-US"/>
        </w:rPr>
        <w:t xml:space="preserve"> U.S IPOs in my sample file S-1 Form in the post-JOBs-</w:t>
      </w:r>
      <w:r w:rsidR="00A92D0F">
        <w:rPr>
          <w:color w:val="000000" w:themeColor="text1"/>
          <w:lang w:eastAsia="en-US"/>
        </w:rPr>
        <w:t xml:space="preserve">Act period (2012 – </w:t>
      </w:r>
      <w:r>
        <w:rPr>
          <w:color w:val="000000" w:themeColor="text1"/>
          <w:lang w:eastAsia="en-US"/>
        </w:rPr>
        <w:t>2017</w:t>
      </w:r>
      <w:r w:rsidR="00A92D0F">
        <w:rPr>
          <w:color w:val="000000" w:themeColor="text1"/>
          <w:lang w:eastAsia="en-US"/>
        </w:rPr>
        <w:t>)</w:t>
      </w:r>
      <w:r>
        <w:rPr>
          <w:color w:val="000000" w:themeColor="text1"/>
          <w:lang w:eastAsia="en-US"/>
        </w:rPr>
        <w:t xml:space="preserve">. </w:t>
      </w:r>
      <w:r w:rsidR="0015476D">
        <w:rPr>
          <w:color w:val="000000" w:themeColor="text1"/>
          <w:lang w:eastAsia="en-US"/>
        </w:rPr>
        <w:t>M</w:t>
      </w:r>
      <w:r>
        <w:rPr>
          <w:color w:val="000000" w:themeColor="text1"/>
          <w:lang w:eastAsia="en-US"/>
        </w:rPr>
        <w:t xml:space="preserve">ean value of </w:t>
      </w:r>
      <w:r>
        <w:rPr>
          <w:i/>
          <w:color w:val="000000" w:themeColor="text1"/>
          <w:lang w:eastAsia="en-US"/>
        </w:rPr>
        <w:t xml:space="preserve">Dodd-Frank </w:t>
      </w:r>
      <w:r>
        <w:rPr>
          <w:color w:val="000000" w:themeColor="text1"/>
          <w:lang w:eastAsia="en-US"/>
        </w:rPr>
        <w:t xml:space="preserve">is 0.30, </w:t>
      </w:r>
      <w:r w:rsidR="00E53742">
        <w:rPr>
          <w:color w:val="000000" w:themeColor="text1"/>
          <w:lang w:eastAsia="en-US"/>
        </w:rPr>
        <w:t xml:space="preserve">which </w:t>
      </w:r>
      <w:r>
        <w:rPr>
          <w:color w:val="000000" w:themeColor="text1"/>
          <w:lang w:eastAsia="en-US"/>
        </w:rPr>
        <w:t xml:space="preserve">indicates that </w:t>
      </w:r>
      <w:r w:rsidR="0015476D">
        <w:rPr>
          <w:color w:val="000000" w:themeColor="text1"/>
          <w:lang w:eastAsia="en-US"/>
        </w:rPr>
        <w:t>on average, 30%</w:t>
      </w:r>
      <w:r>
        <w:rPr>
          <w:color w:val="000000" w:themeColor="text1"/>
          <w:lang w:eastAsia="en-US"/>
        </w:rPr>
        <w:t xml:space="preserve"> U.</w:t>
      </w:r>
      <w:r w:rsidR="00A92D0F">
        <w:rPr>
          <w:color w:val="000000" w:themeColor="text1"/>
          <w:lang w:eastAsia="en-US"/>
        </w:rPr>
        <w:t xml:space="preserve">S </w:t>
      </w:r>
      <w:r w:rsidR="00A92D0F">
        <w:rPr>
          <w:color w:val="000000" w:themeColor="text1"/>
          <w:lang w:eastAsia="en-US"/>
        </w:rPr>
        <w:lastRenderedPageBreak/>
        <w:t>IPOs in my sub-</w:t>
      </w:r>
      <w:r>
        <w:rPr>
          <w:color w:val="000000" w:themeColor="text1"/>
          <w:lang w:eastAsia="en-US"/>
        </w:rPr>
        <w:t>sample</w:t>
      </w:r>
      <w:r w:rsidR="00A92D0F">
        <w:rPr>
          <w:color w:val="000000" w:themeColor="text1"/>
          <w:lang w:eastAsia="en-US"/>
        </w:rPr>
        <w:t xml:space="preserve">, which only cover the period from 2005 to 2011, </w:t>
      </w:r>
      <w:r>
        <w:rPr>
          <w:color w:val="000000" w:themeColor="text1"/>
          <w:lang w:eastAsia="en-US"/>
        </w:rPr>
        <w:t>file S-1 Form</w:t>
      </w:r>
      <w:r w:rsidR="00A92D0F">
        <w:rPr>
          <w:color w:val="000000" w:themeColor="text1"/>
          <w:lang w:eastAsia="en-US"/>
        </w:rPr>
        <w:t xml:space="preserve"> in the post-Dodd-Frank period (2010 – </w:t>
      </w:r>
      <w:r>
        <w:rPr>
          <w:color w:val="000000" w:themeColor="text1"/>
          <w:lang w:eastAsia="en-US"/>
        </w:rPr>
        <w:t>2011</w:t>
      </w:r>
      <w:r w:rsidR="00A92D0F">
        <w:rPr>
          <w:color w:val="000000" w:themeColor="text1"/>
          <w:lang w:eastAsia="en-US"/>
        </w:rPr>
        <w:t>)</w:t>
      </w:r>
      <w:r>
        <w:rPr>
          <w:color w:val="000000" w:themeColor="text1"/>
          <w:lang w:eastAsia="en-US"/>
        </w:rPr>
        <w:t xml:space="preserve">. </w:t>
      </w:r>
      <w:r w:rsidR="0015476D">
        <w:rPr>
          <w:color w:val="000000" w:themeColor="text1"/>
          <w:lang w:eastAsia="en-US"/>
        </w:rPr>
        <w:t>M</w:t>
      </w:r>
      <w:r>
        <w:rPr>
          <w:color w:val="000000" w:themeColor="text1"/>
          <w:lang w:eastAsia="en-US"/>
        </w:rPr>
        <w:t xml:space="preserve">ean value of </w:t>
      </w:r>
      <w:r>
        <w:rPr>
          <w:i/>
          <w:color w:val="000000" w:themeColor="text1"/>
          <w:lang w:eastAsia="en-US"/>
        </w:rPr>
        <w:t xml:space="preserve">Financial crisis </w:t>
      </w:r>
      <w:r>
        <w:rPr>
          <w:color w:val="000000" w:themeColor="text1"/>
          <w:lang w:eastAsia="en-US"/>
        </w:rPr>
        <w:t xml:space="preserve">is 0.13, </w:t>
      </w:r>
      <w:r w:rsidR="00E53742">
        <w:rPr>
          <w:color w:val="000000" w:themeColor="text1"/>
          <w:lang w:eastAsia="en-US"/>
        </w:rPr>
        <w:t xml:space="preserve">which </w:t>
      </w:r>
      <w:r>
        <w:rPr>
          <w:color w:val="000000" w:themeColor="text1"/>
          <w:lang w:eastAsia="en-US"/>
        </w:rPr>
        <w:t xml:space="preserve">indicates that </w:t>
      </w:r>
      <w:r w:rsidR="0015476D">
        <w:rPr>
          <w:color w:val="000000" w:themeColor="text1"/>
          <w:lang w:eastAsia="en-US"/>
        </w:rPr>
        <w:t xml:space="preserve">on average, </w:t>
      </w:r>
      <w:r>
        <w:rPr>
          <w:color w:val="000000" w:themeColor="text1"/>
          <w:lang w:eastAsia="en-US"/>
        </w:rPr>
        <w:t xml:space="preserve">13% U.S IPOs in </w:t>
      </w:r>
      <w:r w:rsidR="0093687F">
        <w:rPr>
          <w:color w:val="000000" w:themeColor="text1"/>
          <w:lang w:eastAsia="en-US"/>
        </w:rPr>
        <w:t xml:space="preserve">my </w:t>
      </w:r>
      <w:r w:rsidR="00A92D0F">
        <w:rPr>
          <w:color w:val="000000" w:themeColor="text1"/>
          <w:lang w:eastAsia="en-US"/>
        </w:rPr>
        <w:t>sub-sample, which only cover</w:t>
      </w:r>
      <w:r w:rsidR="0015476D">
        <w:rPr>
          <w:color w:val="000000" w:themeColor="text1"/>
          <w:lang w:eastAsia="en-US"/>
        </w:rPr>
        <w:t>s</w:t>
      </w:r>
      <w:r w:rsidR="00A92D0F">
        <w:rPr>
          <w:color w:val="000000" w:themeColor="text1"/>
          <w:lang w:eastAsia="en-US"/>
        </w:rPr>
        <w:t xml:space="preserve"> the period from 2005 to 2011, </w:t>
      </w:r>
      <w:r>
        <w:rPr>
          <w:color w:val="000000" w:themeColor="text1"/>
          <w:lang w:eastAsia="en-US"/>
        </w:rPr>
        <w:t>file S-1 Form in the per</w:t>
      </w:r>
      <w:r w:rsidR="00A92D0F">
        <w:rPr>
          <w:color w:val="000000" w:themeColor="text1"/>
          <w:lang w:eastAsia="en-US"/>
        </w:rPr>
        <w:t xml:space="preserve">iod of global financial crisis (2008 - </w:t>
      </w:r>
      <w:r>
        <w:rPr>
          <w:color w:val="000000" w:themeColor="text1"/>
          <w:lang w:eastAsia="en-US"/>
        </w:rPr>
        <w:t>2009</w:t>
      </w:r>
      <w:r w:rsidR="00A92D0F">
        <w:rPr>
          <w:color w:val="000000" w:themeColor="text1"/>
          <w:lang w:eastAsia="en-US"/>
        </w:rPr>
        <w:t>)</w:t>
      </w:r>
      <w:r>
        <w:rPr>
          <w:color w:val="000000" w:themeColor="text1"/>
          <w:lang w:eastAsia="en-US"/>
        </w:rPr>
        <w:t xml:space="preserve">. </w:t>
      </w:r>
    </w:p>
    <w:p w14:paraId="534ACD7E" w14:textId="7024BB76" w:rsidR="00971929" w:rsidRDefault="00A92D0F" w:rsidP="0030659B">
      <w:pPr>
        <w:spacing w:line="360" w:lineRule="auto"/>
        <w:jc w:val="both"/>
        <w:rPr>
          <w:color w:val="000000" w:themeColor="text1"/>
          <w:lang w:eastAsia="en-US"/>
        </w:rPr>
      </w:pPr>
      <w:r>
        <w:rPr>
          <w:color w:val="000000" w:themeColor="text1"/>
          <w:lang w:eastAsia="en-US"/>
        </w:rPr>
        <w:t xml:space="preserve">Regarding industry characteristics, mean value of </w:t>
      </w:r>
      <w:r w:rsidR="00971929">
        <w:rPr>
          <w:i/>
          <w:color w:val="000000" w:themeColor="text1"/>
          <w:lang w:eastAsia="en-US"/>
        </w:rPr>
        <w:t xml:space="preserve">Regulated </w:t>
      </w:r>
      <w:r w:rsidR="00971929">
        <w:rPr>
          <w:color w:val="000000" w:themeColor="text1"/>
          <w:lang w:eastAsia="en-US"/>
        </w:rPr>
        <w:t xml:space="preserve">is 0.01, </w:t>
      </w:r>
      <w:r w:rsidR="0015476D">
        <w:rPr>
          <w:color w:val="000000" w:themeColor="text1"/>
          <w:lang w:eastAsia="en-US"/>
        </w:rPr>
        <w:t>indicating</w:t>
      </w:r>
      <w:r w:rsidR="00CD61A3">
        <w:rPr>
          <w:color w:val="000000" w:themeColor="text1"/>
          <w:lang w:eastAsia="en-US"/>
        </w:rPr>
        <w:t xml:space="preserve"> that on average,</w:t>
      </w:r>
      <w:r w:rsidR="00971929">
        <w:rPr>
          <w:color w:val="000000" w:themeColor="text1"/>
          <w:lang w:eastAsia="en-US"/>
        </w:rPr>
        <w:t xml:space="preserve"> only 1% </w:t>
      </w:r>
      <w:r w:rsidR="00CD61A3">
        <w:rPr>
          <w:color w:val="000000" w:themeColor="text1"/>
          <w:lang w:eastAsia="en-US"/>
        </w:rPr>
        <w:t xml:space="preserve">of </w:t>
      </w:r>
      <w:r w:rsidR="00971929">
        <w:rPr>
          <w:color w:val="000000" w:themeColor="text1"/>
          <w:lang w:eastAsia="en-US"/>
        </w:rPr>
        <w:t xml:space="preserve">IPOs in my sample </w:t>
      </w:r>
      <w:r w:rsidR="00CD61A3">
        <w:rPr>
          <w:color w:val="000000" w:themeColor="text1"/>
          <w:lang w:eastAsia="en-US"/>
        </w:rPr>
        <w:t>operate</w:t>
      </w:r>
      <w:r w:rsidR="00971929">
        <w:rPr>
          <w:color w:val="000000" w:themeColor="text1"/>
          <w:lang w:eastAsia="en-US"/>
        </w:rPr>
        <w:t xml:space="preserve"> in regulated </w:t>
      </w:r>
      <w:r w:rsidR="00CD61A3">
        <w:rPr>
          <w:color w:val="000000" w:themeColor="text1"/>
          <w:lang w:eastAsia="en-US"/>
        </w:rPr>
        <w:t>industries. M</w:t>
      </w:r>
      <w:r w:rsidR="00971929">
        <w:rPr>
          <w:color w:val="000000" w:themeColor="text1"/>
          <w:lang w:eastAsia="en-US"/>
        </w:rPr>
        <w:t xml:space="preserve">ean value of </w:t>
      </w:r>
      <w:r w:rsidR="00971929">
        <w:rPr>
          <w:i/>
          <w:color w:val="000000" w:themeColor="text1"/>
          <w:lang w:eastAsia="en-US"/>
        </w:rPr>
        <w:t xml:space="preserve">Technology </w:t>
      </w:r>
      <w:r w:rsidR="00971929">
        <w:rPr>
          <w:color w:val="000000" w:themeColor="text1"/>
          <w:lang w:eastAsia="en-US"/>
        </w:rPr>
        <w:t xml:space="preserve">is 0.2, </w:t>
      </w:r>
      <w:r w:rsidR="00E53742">
        <w:rPr>
          <w:color w:val="000000" w:themeColor="text1"/>
          <w:lang w:eastAsia="en-US"/>
        </w:rPr>
        <w:t xml:space="preserve">which </w:t>
      </w:r>
      <w:r w:rsidR="00971929">
        <w:rPr>
          <w:color w:val="000000" w:themeColor="text1"/>
          <w:lang w:eastAsia="en-US"/>
        </w:rPr>
        <w:t xml:space="preserve">indicates that 20% </w:t>
      </w:r>
      <w:r w:rsidR="00A02079">
        <w:rPr>
          <w:color w:val="000000" w:themeColor="text1"/>
          <w:lang w:eastAsia="en-US"/>
        </w:rPr>
        <w:t>of</w:t>
      </w:r>
      <w:r w:rsidR="00971929">
        <w:rPr>
          <w:color w:val="000000" w:themeColor="text1"/>
          <w:lang w:eastAsia="en-US"/>
        </w:rPr>
        <w:t xml:space="preserve"> IPOs in my sample </w:t>
      </w:r>
      <w:r w:rsidR="00CD61A3">
        <w:rPr>
          <w:color w:val="000000" w:themeColor="text1"/>
          <w:lang w:eastAsia="en-US"/>
        </w:rPr>
        <w:t>operate</w:t>
      </w:r>
      <w:r w:rsidR="00971929">
        <w:rPr>
          <w:color w:val="000000" w:themeColor="text1"/>
          <w:lang w:eastAsia="en-US"/>
        </w:rPr>
        <w:t xml:space="preserve"> in technology </w:t>
      </w:r>
      <w:r w:rsidR="005A46EE">
        <w:rPr>
          <w:color w:val="000000" w:themeColor="text1"/>
          <w:lang w:eastAsia="en-US"/>
        </w:rPr>
        <w:t>industries</w:t>
      </w:r>
      <w:r w:rsidR="00971929">
        <w:rPr>
          <w:color w:val="000000" w:themeColor="text1"/>
          <w:lang w:eastAsia="en-US"/>
        </w:rPr>
        <w:t xml:space="preserve">. </w:t>
      </w:r>
      <w:r w:rsidR="00CD61A3">
        <w:rPr>
          <w:color w:val="000000" w:themeColor="text1"/>
          <w:lang w:eastAsia="en-US"/>
        </w:rPr>
        <w:t>M</w:t>
      </w:r>
      <w:r w:rsidR="0093687F">
        <w:rPr>
          <w:color w:val="000000" w:themeColor="text1"/>
          <w:lang w:eastAsia="en-US"/>
        </w:rPr>
        <w:t xml:space="preserve">edian value of </w:t>
      </w:r>
      <w:r w:rsidR="0093687F">
        <w:rPr>
          <w:i/>
          <w:color w:val="000000" w:themeColor="text1"/>
          <w:lang w:eastAsia="en-US"/>
        </w:rPr>
        <w:t xml:space="preserve">IPOs by industry </w:t>
      </w:r>
      <w:r w:rsidR="0093687F">
        <w:rPr>
          <w:color w:val="000000" w:themeColor="text1"/>
          <w:lang w:eastAsia="en-US"/>
        </w:rPr>
        <w:t xml:space="preserve">is 64, </w:t>
      </w:r>
      <w:r w:rsidR="00E53742">
        <w:rPr>
          <w:color w:val="000000" w:themeColor="text1"/>
          <w:lang w:eastAsia="en-US"/>
        </w:rPr>
        <w:t xml:space="preserve">which </w:t>
      </w:r>
      <w:r w:rsidR="0093687F">
        <w:rPr>
          <w:color w:val="000000" w:themeColor="text1"/>
          <w:lang w:eastAsia="en-US"/>
        </w:rPr>
        <w:t xml:space="preserve">indicates that </w:t>
      </w:r>
      <w:r w:rsidR="00CD61A3">
        <w:rPr>
          <w:color w:val="000000" w:themeColor="text1"/>
          <w:lang w:eastAsia="en-US"/>
        </w:rPr>
        <w:t>on average, each</w:t>
      </w:r>
      <w:r w:rsidR="0093687F">
        <w:rPr>
          <w:color w:val="000000" w:themeColor="text1"/>
          <w:lang w:eastAsia="en-US"/>
        </w:rPr>
        <w:t xml:space="preserve"> industry in my sample contains 64 U.S IPOs. </w:t>
      </w:r>
      <w:r w:rsidR="00CD61A3">
        <w:rPr>
          <w:color w:val="000000" w:themeColor="text1"/>
          <w:lang w:eastAsia="en-US"/>
        </w:rPr>
        <w:t>M</w:t>
      </w:r>
      <w:r w:rsidR="0093687F">
        <w:rPr>
          <w:color w:val="000000" w:themeColor="text1"/>
          <w:lang w:eastAsia="en-US"/>
        </w:rPr>
        <w:t xml:space="preserve">edian value of Herfindahl index is relatively low with </w:t>
      </w:r>
      <w:r w:rsidR="00BD7A05">
        <w:rPr>
          <w:color w:val="000000" w:themeColor="text1"/>
          <w:lang w:eastAsia="en-US"/>
        </w:rPr>
        <w:t>a</w:t>
      </w:r>
      <w:r w:rsidR="0093687F">
        <w:rPr>
          <w:color w:val="000000" w:themeColor="text1"/>
          <w:lang w:eastAsia="en-US"/>
        </w:rPr>
        <w:t xml:space="preserve"> value of 0.10, </w:t>
      </w:r>
      <w:r w:rsidR="00E53742">
        <w:rPr>
          <w:color w:val="000000" w:themeColor="text1"/>
          <w:lang w:eastAsia="en-US"/>
        </w:rPr>
        <w:t xml:space="preserve">which </w:t>
      </w:r>
      <w:r w:rsidR="0093687F">
        <w:rPr>
          <w:color w:val="000000" w:themeColor="text1"/>
          <w:lang w:eastAsia="en-US"/>
        </w:rPr>
        <w:t xml:space="preserve">indicates that </w:t>
      </w:r>
      <w:r w:rsidR="00586F10">
        <w:rPr>
          <w:color w:val="000000" w:themeColor="text1"/>
          <w:lang w:eastAsia="en-US"/>
        </w:rPr>
        <w:t>i</w:t>
      </w:r>
      <w:r w:rsidR="0093687F">
        <w:rPr>
          <w:color w:val="000000" w:themeColor="text1"/>
          <w:lang w:eastAsia="en-US"/>
        </w:rPr>
        <w:t xml:space="preserve">n the whole, the markets in my sample have low concentration or high competition. </w:t>
      </w:r>
    </w:p>
    <w:p w14:paraId="1D2F4F2C" w14:textId="2878AC46" w:rsidR="0093687F" w:rsidRDefault="0093687F" w:rsidP="0030659B">
      <w:pPr>
        <w:spacing w:line="360" w:lineRule="auto"/>
        <w:jc w:val="both"/>
        <w:rPr>
          <w:color w:val="000000" w:themeColor="text1"/>
          <w:lang w:eastAsia="en-US"/>
        </w:rPr>
      </w:pPr>
      <w:r>
        <w:rPr>
          <w:color w:val="000000" w:themeColor="text1"/>
          <w:lang w:eastAsia="en-US"/>
        </w:rPr>
        <w:t xml:space="preserve">Regarding </w:t>
      </w:r>
      <w:r w:rsidR="00CD61A3">
        <w:rPr>
          <w:color w:val="000000" w:themeColor="text1"/>
          <w:lang w:eastAsia="en-US"/>
        </w:rPr>
        <w:t>SEC</w:t>
      </w:r>
      <w:r>
        <w:rPr>
          <w:color w:val="000000" w:themeColor="text1"/>
          <w:lang w:eastAsia="en-US"/>
        </w:rPr>
        <w:t xml:space="preserve"> characteristics, </w:t>
      </w:r>
      <w:r w:rsidR="00CD61A3">
        <w:rPr>
          <w:color w:val="000000" w:themeColor="text1"/>
          <w:lang w:eastAsia="en-US"/>
        </w:rPr>
        <w:t>M</w:t>
      </w:r>
      <w:r>
        <w:rPr>
          <w:color w:val="000000" w:themeColor="text1"/>
          <w:lang w:eastAsia="en-US"/>
        </w:rPr>
        <w:t xml:space="preserve">ean value of </w:t>
      </w:r>
      <w:r>
        <w:rPr>
          <w:i/>
          <w:color w:val="000000" w:themeColor="text1"/>
          <w:lang w:eastAsia="en-US"/>
        </w:rPr>
        <w:t xml:space="preserve">Directors/Chiefs </w:t>
      </w:r>
      <w:r>
        <w:rPr>
          <w:color w:val="000000" w:themeColor="text1"/>
          <w:lang w:eastAsia="en-US"/>
        </w:rPr>
        <w:t xml:space="preserve">is 0.93, </w:t>
      </w:r>
      <w:r w:rsidR="00E53742">
        <w:rPr>
          <w:color w:val="000000" w:themeColor="text1"/>
          <w:lang w:eastAsia="en-US"/>
        </w:rPr>
        <w:t xml:space="preserve">which </w:t>
      </w:r>
      <w:r w:rsidR="00AC42B3">
        <w:rPr>
          <w:color w:val="000000" w:themeColor="text1"/>
          <w:lang w:eastAsia="en-US"/>
        </w:rPr>
        <w:t xml:space="preserve">indicates that </w:t>
      </w:r>
      <w:r w:rsidR="00CD61A3">
        <w:rPr>
          <w:color w:val="000000" w:themeColor="text1"/>
          <w:lang w:eastAsia="en-US"/>
        </w:rPr>
        <w:t xml:space="preserve">on average, </w:t>
      </w:r>
      <w:r w:rsidR="00AC42B3">
        <w:rPr>
          <w:color w:val="000000" w:themeColor="text1"/>
          <w:lang w:eastAsia="en-US"/>
        </w:rPr>
        <w:t>93% or most of the initial S-1 Form filed by U.S IPOs in my sample are reviewed by</w:t>
      </w:r>
      <w:r w:rsidR="005F1CB2">
        <w:rPr>
          <w:color w:val="000000" w:themeColor="text1"/>
          <w:lang w:eastAsia="en-US"/>
        </w:rPr>
        <w:t xml:space="preserve"> </w:t>
      </w:r>
      <w:r w:rsidR="00AC42B3">
        <w:rPr>
          <w:color w:val="000000" w:themeColor="text1"/>
          <w:lang w:eastAsia="en-US"/>
        </w:rPr>
        <w:t xml:space="preserve">the reviewers holding the job position </w:t>
      </w:r>
      <w:proofErr w:type="gramStart"/>
      <w:r w:rsidR="005A46EE">
        <w:rPr>
          <w:color w:val="000000" w:themeColor="text1"/>
          <w:lang w:eastAsia="en-US"/>
        </w:rPr>
        <w:t xml:space="preserve">of </w:t>
      </w:r>
      <w:r w:rsidR="00AC42B3">
        <w:rPr>
          <w:color w:val="000000" w:themeColor="text1"/>
          <w:lang w:eastAsia="en-US"/>
        </w:rPr>
        <w:t xml:space="preserve"> Directors</w:t>
      </w:r>
      <w:proofErr w:type="gramEnd"/>
      <w:r w:rsidR="00AC42B3">
        <w:rPr>
          <w:color w:val="000000" w:themeColor="text1"/>
          <w:lang w:eastAsia="en-US"/>
        </w:rPr>
        <w:t xml:space="preserve">/Chiefs. </w:t>
      </w:r>
      <w:r w:rsidR="00CD61A3">
        <w:rPr>
          <w:color w:val="000000" w:themeColor="text1"/>
          <w:lang w:eastAsia="en-US"/>
        </w:rPr>
        <w:t>M</w:t>
      </w:r>
      <w:r w:rsidR="00AC42B3">
        <w:rPr>
          <w:color w:val="000000" w:themeColor="text1"/>
          <w:lang w:eastAsia="en-US"/>
        </w:rPr>
        <w:t xml:space="preserve">ean value of </w:t>
      </w:r>
      <w:r w:rsidR="00AC42B3">
        <w:rPr>
          <w:i/>
          <w:color w:val="000000" w:themeColor="text1"/>
          <w:lang w:eastAsia="en-US"/>
        </w:rPr>
        <w:t xml:space="preserve">Accountant </w:t>
      </w:r>
      <w:r w:rsidR="00AC42B3">
        <w:rPr>
          <w:color w:val="000000" w:themeColor="text1"/>
          <w:lang w:eastAsia="en-US"/>
        </w:rPr>
        <w:t xml:space="preserve">is 0.31, </w:t>
      </w:r>
      <w:r w:rsidR="00CD61A3">
        <w:rPr>
          <w:color w:val="000000" w:themeColor="text1"/>
          <w:lang w:eastAsia="en-US"/>
        </w:rPr>
        <w:t>indicating</w:t>
      </w:r>
      <w:r w:rsidR="00AC42B3">
        <w:rPr>
          <w:color w:val="000000" w:themeColor="text1"/>
          <w:lang w:eastAsia="en-US"/>
        </w:rPr>
        <w:t xml:space="preserve"> that 31% initial S-1 Form filed by the U.S IPOs in my sample are reviewed by the accountant reviewers.</w:t>
      </w:r>
    </w:p>
    <w:p w14:paraId="3D6274C9" w14:textId="29427862" w:rsidR="001D2859" w:rsidRPr="001D2859" w:rsidRDefault="001D2859" w:rsidP="001D2859">
      <w:pPr>
        <w:pStyle w:val="ListParagraph"/>
        <w:ind w:left="360"/>
        <w:jc w:val="center"/>
        <w:rPr>
          <w:b/>
          <w:lang w:eastAsia="en-US"/>
        </w:rPr>
      </w:pPr>
      <w:r>
        <w:rPr>
          <w:b/>
          <w:lang w:eastAsia="en-US"/>
        </w:rPr>
        <w:t xml:space="preserve">[Insert Table </w:t>
      </w:r>
      <w:r w:rsidR="00174399">
        <w:rPr>
          <w:b/>
          <w:lang w:eastAsia="en-US"/>
        </w:rPr>
        <w:t>5</w:t>
      </w:r>
      <w:r>
        <w:rPr>
          <w:b/>
          <w:lang w:eastAsia="en-US"/>
        </w:rPr>
        <w:t xml:space="preserve"> about here]</w:t>
      </w:r>
    </w:p>
    <w:p w14:paraId="27C41AED" w14:textId="64EDE533" w:rsidR="001D2859" w:rsidRPr="009F7296" w:rsidRDefault="001D2859" w:rsidP="009F7296">
      <w:pPr>
        <w:pStyle w:val="ListParagraph"/>
        <w:numPr>
          <w:ilvl w:val="1"/>
          <w:numId w:val="1"/>
        </w:numPr>
        <w:spacing w:line="360" w:lineRule="auto"/>
        <w:jc w:val="both"/>
        <w:outlineLvl w:val="1"/>
        <w:rPr>
          <w:b/>
          <w:color w:val="000000" w:themeColor="text1"/>
          <w:lang w:eastAsia="en-US"/>
        </w:rPr>
      </w:pPr>
      <w:bookmarkStart w:id="34" w:name="_Toc9185802"/>
      <w:r w:rsidRPr="009F7296">
        <w:rPr>
          <w:b/>
          <w:color w:val="000000" w:themeColor="text1"/>
          <w:lang w:eastAsia="en-US"/>
        </w:rPr>
        <w:t>Correlation matrix of the SEC review attributes and their determinants.</w:t>
      </w:r>
      <w:bookmarkEnd w:id="34"/>
    </w:p>
    <w:p w14:paraId="72BC9BF9" w14:textId="39B789C8" w:rsidR="00936218" w:rsidRPr="00D64A28" w:rsidRDefault="001D2859" w:rsidP="0030659B">
      <w:pPr>
        <w:spacing w:line="360" w:lineRule="auto"/>
        <w:jc w:val="both"/>
      </w:pPr>
      <w:r>
        <w:rPr>
          <w:color w:val="000000" w:themeColor="text1"/>
          <w:lang w:eastAsia="en-US"/>
        </w:rPr>
        <w:t xml:space="preserve">A correlation matrix for the key variables including, the SEC review </w:t>
      </w:r>
      <w:proofErr w:type="gramStart"/>
      <w:r>
        <w:rPr>
          <w:color w:val="000000" w:themeColor="text1"/>
          <w:lang w:eastAsia="en-US"/>
        </w:rPr>
        <w:t>attributes</w:t>
      </w:r>
      <w:proofErr w:type="gramEnd"/>
      <w:r>
        <w:rPr>
          <w:color w:val="000000" w:themeColor="text1"/>
          <w:lang w:eastAsia="en-US"/>
        </w:rPr>
        <w:t xml:space="preserve"> and their determinants </w:t>
      </w:r>
      <w:r w:rsidR="00D97A33">
        <w:rPr>
          <w:color w:val="000000" w:themeColor="text1"/>
          <w:lang w:eastAsia="en-US"/>
        </w:rPr>
        <w:t>is</w:t>
      </w:r>
      <w:r>
        <w:rPr>
          <w:color w:val="000000" w:themeColor="text1"/>
          <w:lang w:eastAsia="en-US"/>
        </w:rPr>
        <w:t xml:space="preserve"> presented in </w:t>
      </w:r>
      <w:r w:rsidR="00174399">
        <w:rPr>
          <w:color w:val="000000" w:themeColor="text1"/>
          <w:lang w:eastAsia="en-US"/>
        </w:rPr>
        <w:t>Table 6</w:t>
      </w:r>
      <w:r>
        <w:rPr>
          <w:color w:val="000000" w:themeColor="text1"/>
          <w:lang w:eastAsia="en-US"/>
        </w:rPr>
        <w:t xml:space="preserve">. </w:t>
      </w:r>
      <w:r w:rsidR="001B078E">
        <w:rPr>
          <w:color w:val="000000" w:themeColor="text1"/>
          <w:lang w:eastAsia="en-US"/>
        </w:rPr>
        <w:t>Regarding the correlation between the SEC review attributes and IPO firms’</w:t>
      </w:r>
      <w:r w:rsidR="008650ED">
        <w:rPr>
          <w:color w:val="000000" w:themeColor="text1"/>
          <w:lang w:eastAsia="en-US"/>
        </w:rPr>
        <w:t xml:space="preserve"> characteristics, </w:t>
      </w:r>
      <w:r>
        <w:rPr>
          <w:color w:val="000000" w:themeColor="text1"/>
          <w:lang w:eastAsia="en-US"/>
        </w:rPr>
        <w:t>I observe a negative correlation between all SEC review attributes</w:t>
      </w:r>
      <w:r w:rsidR="000444EF">
        <w:rPr>
          <w:color w:val="000000" w:themeColor="text1"/>
          <w:lang w:eastAsia="en-US"/>
        </w:rPr>
        <w:t xml:space="preserve"> (</w:t>
      </w:r>
      <w:r w:rsidR="000444EF">
        <w:rPr>
          <w:i/>
          <w:color w:val="000000" w:themeColor="text1"/>
          <w:lang w:eastAsia="en-US"/>
        </w:rPr>
        <w:t>Duration, Letters, Comments)</w:t>
      </w:r>
      <w:r>
        <w:rPr>
          <w:color w:val="000000" w:themeColor="text1"/>
          <w:lang w:eastAsia="en-US"/>
        </w:rPr>
        <w:t xml:space="preserve"> and </w:t>
      </w:r>
      <w:r w:rsidR="000444EF">
        <w:rPr>
          <w:i/>
          <w:color w:val="000000" w:themeColor="text1"/>
          <w:lang w:eastAsia="en-US"/>
        </w:rPr>
        <w:t>External financing</w:t>
      </w:r>
      <w:r w:rsidR="000444EF">
        <w:rPr>
          <w:color w:val="000000" w:themeColor="text1"/>
          <w:lang w:eastAsia="en-US"/>
        </w:rPr>
        <w:t xml:space="preserve">, in line with </w:t>
      </w:r>
      <w:r w:rsidR="00FF5EFB">
        <w:rPr>
          <w:color w:val="000000" w:themeColor="text1"/>
          <w:lang w:eastAsia="en-US"/>
        </w:rPr>
        <w:t>assumption</w:t>
      </w:r>
      <w:r w:rsidR="00D3163A">
        <w:rPr>
          <w:color w:val="000000" w:themeColor="text1"/>
          <w:lang w:eastAsia="en-US"/>
        </w:rPr>
        <w:t xml:space="preserve"> of</w:t>
      </w:r>
      <w:r w:rsidR="000444EF">
        <w:rPr>
          <w:color w:val="000000" w:themeColor="text1"/>
          <w:lang w:eastAsia="en-US"/>
        </w:rPr>
        <w:t xml:space="preserve"> higher </w:t>
      </w:r>
      <w:r w:rsidR="00D3163A">
        <w:rPr>
          <w:color w:val="000000" w:themeColor="text1"/>
          <w:lang w:eastAsia="en-US"/>
        </w:rPr>
        <w:t>reporting quality of the firm acquiring funds from outside sources</w:t>
      </w:r>
      <w:r w:rsidR="00FF5EFB">
        <w:rPr>
          <w:color w:val="000000" w:themeColor="text1"/>
          <w:lang w:eastAsia="en-US"/>
        </w:rPr>
        <w:t xml:space="preserve"> </w:t>
      </w:r>
      <w:r w:rsidR="00FF5EFB">
        <w:rPr>
          <w:rFonts w:eastAsiaTheme="minorEastAsia"/>
        </w:rPr>
        <w:fldChar w:fldCharType="begin" w:fldLock="1"/>
      </w:r>
      <w:r w:rsidR="00A611DF">
        <w:rPr>
          <w:rFonts w:eastAsiaTheme="minorEastAsia"/>
        </w:rPr>
        <w:instrText>ADDIN CSL_CITATION {"citationItems":[{"id":"ITEM-1","itemData":{"DOI":"10.1007/s11142-011-9153-8","ISSN":"13806653","abstract":"Motivated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2011)","plainTextFormattedCitation":"(Ettredge et al., 2011)","previouslyFormattedCitation":"(Ettredge et al., 2011)"},"properties":{"noteIndex":0},"schema":"https://github.com/citation-style-language/schema/raw/master/csl-citation.json"}</w:instrText>
      </w:r>
      <w:r w:rsidR="00FF5EFB">
        <w:rPr>
          <w:rFonts w:eastAsiaTheme="minorEastAsia"/>
        </w:rPr>
        <w:fldChar w:fldCharType="separate"/>
      </w:r>
      <w:r w:rsidR="00FF5EFB" w:rsidRPr="00081133">
        <w:rPr>
          <w:rFonts w:eastAsiaTheme="minorEastAsia"/>
          <w:noProof/>
        </w:rPr>
        <w:t>(Ettredge et al., 2011)</w:t>
      </w:r>
      <w:r w:rsidR="00FF5EFB">
        <w:rPr>
          <w:rFonts w:eastAsiaTheme="minorEastAsia"/>
        </w:rPr>
        <w:fldChar w:fldCharType="end"/>
      </w:r>
      <w:r w:rsidR="00FF5EFB">
        <w:rPr>
          <w:rFonts w:eastAsiaTheme="minorEastAsia"/>
        </w:rPr>
        <w:t xml:space="preserve">, suggesting less SEC scrutiny on these firms </w:t>
      </w:r>
      <w:r w:rsidR="00FF5EFB">
        <w:rPr>
          <w:rFonts w:eastAsiaTheme="minorEastAsia"/>
        </w:rPr>
        <w:fldChar w:fldCharType="begin" w:fldLock="1"/>
      </w:r>
      <w:r w:rsidR="00A611DF">
        <w:rPr>
          <w:rFonts w:eastAsiaTheme="minorEastAsia"/>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rsidR="00FF5EFB">
        <w:rPr>
          <w:rFonts w:eastAsiaTheme="minorEastAsia"/>
        </w:rPr>
        <w:fldChar w:fldCharType="separate"/>
      </w:r>
      <w:r w:rsidR="00FF5EFB" w:rsidRPr="00081133">
        <w:rPr>
          <w:rFonts w:eastAsiaTheme="minorEastAsia"/>
          <w:noProof/>
        </w:rPr>
        <w:t>(Heese et al., 2017)</w:t>
      </w:r>
      <w:r w:rsidR="00FF5EFB">
        <w:rPr>
          <w:rFonts w:eastAsiaTheme="minorEastAsia"/>
        </w:rPr>
        <w:fldChar w:fldCharType="end"/>
      </w:r>
      <w:r w:rsidR="00D3163A">
        <w:rPr>
          <w:color w:val="000000" w:themeColor="text1"/>
          <w:lang w:eastAsia="en-US"/>
        </w:rPr>
        <w:t xml:space="preserve">. A positive correlation </w:t>
      </w:r>
      <w:r w:rsidR="00D3163A" w:rsidRPr="00D3163A">
        <w:rPr>
          <w:color w:val="000000" w:themeColor="text1"/>
          <w:lang w:eastAsia="en-US"/>
        </w:rPr>
        <w:t>between all SEC review attributes</w:t>
      </w:r>
      <w:r w:rsidR="00D3163A">
        <w:rPr>
          <w:color w:val="000000" w:themeColor="text1"/>
          <w:lang w:eastAsia="en-US"/>
        </w:rPr>
        <w:t xml:space="preserve"> and </w:t>
      </w:r>
      <w:r w:rsidR="00D3163A">
        <w:rPr>
          <w:i/>
          <w:color w:val="000000" w:themeColor="text1"/>
          <w:lang w:eastAsia="en-US"/>
        </w:rPr>
        <w:t xml:space="preserve">Firm age </w:t>
      </w:r>
      <w:r w:rsidR="00D3163A">
        <w:rPr>
          <w:color w:val="000000" w:themeColor="text1"/>
          <w:lang w:eastAsia="en-US"/>
        </w:rPr>
        <w:t xml:space="preserve">is identified, consistent with </w:t>
      </w:r>
      <w:r w:rsidR="00FF5EFB">
        <w:rPr>
          <w:color w:val="000000" w:themeColor="text1"/>
          <w:lang w:eastAsia="en-US"/>
        </w:rPr>
        <w:t xml:space="preserve">arguments </w:t>
      </w:r>
      <w:r w:rsidR="00D3163A">
        <w:rPr>
          <w:color w:val="000000" w:themeColor="text1"/>
          <w:lang w:eastAsia="en-US"/>
        </w:rPr>
        <w:t xml:space="preserve">of more complexity in </w:t>
      </w:r>
      <w:r w:rsidR="005F1CB2">
        <w:rPr>
          <w:color w:val="000000" w:themeColor="text1"/>
          <w:lang w:eastAsia="en-US"/>
        </w:rPr>
        <w:t>the reports</w:t>
      </w:r>
      <w:r w:rsidR="00D3163A">
        <w:rPr>
          <w:color w:val="000000" w:themeColor="text1"/>
          <w:lang w:eastAsia="en-US"/>
        </w:rPr>
        <w:t xml:space="preserve"> prepared by the older firm</w:t>
      </w:r>
      <w:r w:rsidR="00FF5EFB">
        <w:rPr>
          <w:color w:val="000000" w:themeColor="text1"/>
          <w:lang w:eastAsia="en-US"/>
        </w:rPr>
        <w:t xml:space="preserve">, </w:t>
      </w:r>
      <w:r w:rsidR="00FF5EFB">
        <w:rPr>
          <w:lang w:eastAsia="en-US"/>
        </w:rPr>
        <w:t xml:space="preserve">suggesting higher degree and likelihood of the SEC review </w:t>
      </w:r>
      <w:r w:rsidR="00FF5EFB">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FF5EFB">
        <w:rPr>
          <w:lang w:eastAsia="en-US"/>
        </w:rPr>
        <w:fldChar w:fldCharType="separate"/>
      </w:r>
      <w:r w:rsidR="00FF5EFB" w:rsidRPr="00C503E1">
        <w:rPr>
          <w:noProof/>
          <w:lang w:eastAsia="en-US"/>
        </w:rPr>
        <w:t>(Cassell et al., 2013; Heese et al., 2017)</w:t>
      </w:r>
      <w:r w:rsidR="00FF5EFB">
        <w:rPr>
          <w:lang w:eastAsia="en-US"/>
        </w:rPr>
        <w:fldChar w:fldCharType="end"/>
      </w:r>
      <w:r w:rsidR="00D3163A">
        <w:rPr>
          <w:color w:val="000000" w:themeColor="text1"/>
          <w:lang w:eastAsia="en-US"/>
        </w:rPr>
        <w:t xml:space="preserve">. </w:t>
      </w:r>
      <w:r w:rsidR="00D64A28">
        <w:rPr>
          <w:color w:val="000000" w:themeColor="text1"/>
          <w:lang w:eastAsia="en-US"/>
        </w:rPr>
        <w:t>Otherwise</w:t>
      </w:r>
      <w:r w:rsidR="00D64A28">
        <w:t xml:space="preserve">, it could be also identified that </w:t>
      </w:r>
      <w:r w:rsidR="00D64A28">
        <w:rPr>
          <w:i/>
        </w:rPr>
        <w:t xml:space="preserve">Firm age </w:t>
      </w:r>
      <w:r w:rsidR="00D64A28">
        <w:t xml:space="preserve">is positively correlated with </w:t>
      </w:r>
      <w:r w:rsidR="00D64A28">
        <w:rPr>
          <w:i/>
        </w:rPr>
        <w:t xml:space="preserve">Size </w:t>
      </w:r>
      <w:r w:rsidR="00D64A28">
        <w:t xml:space="preserve">and </w:t>
      </w:r>
      <w:r w:rsidR="00D64A28">
        <w:rPr>
          <w:i/>
        </w:rPr>
        <w:t xml:space="preserve">Segments, </w:t>
      </w:r>
      <w:r w:rsidR="00D64A28">
        <w:t xml:space="preserve">which are two indicators of the firms’ complexity, suggesting that older firms have more complexity in their business. </w:t>
      </w:r>
      <w:r w:rsidR="00D3163A">
        <w:rPr>
          <w:color w:val="000000" w:themeColor="text1"/>
          <w:lang w:eastAsia="en-US"/>
        </w:rPr>
        <w:t xml:space="preserve">The correlation between all SEC review attributes and </w:t>
      </w:r>
      <w:r w:rsidR="00D3163A">
        <w:rPr>
          <w:i/>
          <w:color w:val="000000" w:themeColor="text1"/>
          <w:lang w:eastAsia="en-US"/>
        </w:rPr>
        <w:t xml:space="preserve">Segments </w:t>
      </w:r>
      <w:r w:rsidR="008650ED">
        <w:rPr>
          <w:color w:val="000000" w:themeColor="text1"/>
          <w:lang w:eastAsia="en-US"/>
        </w:rPr>
        <w:t xml:space="preserve">is also </w:t>
      </w:r>
      <w:r w:rsidR="00D3163A">
        <w:rPr>
          <w:color w:val="000000" w:themeColor="text1"/>
          <w:lang w:eastAsia="en-US"/>
        </w:rPr>
        <w:t xml:space="preserve">positive, in agreement with </w:t>
      </w:r>
      <w:r w:rsidR="00FF5EFB">
        <w:rPr>
          <w:color w:val="000000" w:themeColor="text1"/>
          <w:lang w:eastAsia="en-US"/>
        </w:rPr>
        <w:t xml:space="preserve">the arguments </w:t>
      </w:r>
      <w:r w:rsidR="00D3163A">
        <w:rPr>
          <w:color w:val="000000" w:themeColor="text1"/>
          <w:lang w:eastAsia="en-US"/>
        </w:rPr>
        <w:t xml:space="preserve">of </w:t>
      </w:r>
      <w:r w:rsidR="004F7613">
        <w:rPr>
          <w:color w:val="000000" w:themeColor="text1"/>
          <w:lang w:eastAsia="en-US"/>
        </w:rPr>
        <w:t>more complexity in the reports</w:t>
      </w:r>
      <w:r w:rsidR="00D3163A">
        <w:rPr>
          <w:color w:val="000000" w:themeColor="text1"/>
          <w:lang w:eastAsia="en-US"/>
        </w:rPr>
        <w:t xml:space="preserve"> prepared by the firm having more business segments</w:t>
      </w:r>
      <w:r w:rsidR="00FF5EFB">
        <w:rPr>
          <w:color w:val="000000" w:themeColor="text1"/>
          <w:lang w:eastAsia="en-US"/>
        </w:rPr>
        <w:t xml:space="preserve">, </w:t>
      </w:r>
      <w:r w:rsidR="00FF5EFB">
        <w:rPr>
          <w:lang w:eastAsia="en-US"/>
        </w:rPr>
        <w:t xml:space="preserve">suggesting higher degree of the SEC review </w:t>
      </w:r>
      <w:r w:rsidR="00FF5EFB">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2017)","manualFormatting":"(Cassell et al., 2013)","plainTextFormattedCitation":"(Cassell et al., 2013; Heese et al., 2017)","previouslyFormattedCitation":"(Cassell et al., 2013; Heese et al., 2017)"},"properties":{"noteIndex":0},"schema":"https://github.com/citation-style-language/schema/raw/master/csl-citation.json"}</w:instrText>
      </w:r>
      <w:r w:rsidR="00FF5EFB">
        <w:rPr>
          <w:lang w:eastAsia="en-US"/>
        </w:rPr>
        <w:fldChar w:fldCharType="separate"/>
      </w:r>
      <w:r w:rsidR="00FF5EFB">
        <w:rPr>
          <w:noProof/>
          <w:lang w:eastAsia="en-US"/>
        </w:rPr>
        <w:t>(Cassell et al., 2013</w:t>
      </w:r>
      <w:r w:rsidR="00FF5EFB" w:rsidRPr="00C503E1">
        <w:rPr>
          <w:noProof/>
          <w:lang w:eastAsia="en-US"/>
        </w:rPr>
        <w:t>)</w:t>
      </w:r>
      <w:r w:rsidR="00FF5EFB">
        <w:rPr>
          <w:lang w:eastAsia="en-US"/>
        </w:rPr>
        <w:fldChar w:fldCharType="end"/>
      </w:r>
      <w:r w:rsidR="00CD61A3">
        <w:rPr>
          <w:color w:val="000000" w:themeColor="text1"/>
          <w:lang w:eastAsia="en-US"/>
        </w:rPr>
        <w:t xml:space="preserve">. I observe a </w:t>
      </w:r>
      <w:r w:rsidR="005F1CB2">
        <w:rPr>
          <w:color w:val="000000" w:themeColor="text1"/>
          <w:lang w:eastAsia="en-US"/>
        </w:rPr>
        <w:t xml:space="preserve">negative correlation between all SEC review attributes and </w:t>
      </w:r>
      <w:proofErr w:type="spellStart"/>
      <w:r w:rsidR="00B90319">
        <w:rPr>
          <w:i/>
          <w:color w:val="000000" w:themeColor="text1"/>
          <w:lang w:eastAsia="en-US"/>
        </w:rPr>
        <w:t>Zscore</w:t>
      </w:r>
      <w:proofErr w:type="spellEnd"/>
      <w:r w:rsidR="005F1CB2">
        <w:rPr>
          <w:i/>
          <w:color w:val="000000" w:themeColor="text1"/>
          <w:lang w:eastAsia="en-US"/>
        </w:rPr>
        <w:t xml:space="preserve">, </w:t>
      </w:r>
      <w:r w:rsidR="005F1CB2">
        <w:rPr>
          <w:color w:val="000000" w:themeColor="text1"/>
          <w:lang w:eastAsia="en-US"/>
        </w:rPr>
        <w:t xml:space="preserve">in line with </w:t>
      </w:r>
      <w:r w:rsidR="00FF5EFB">
        <w:rPr>
          <w:color w:val="000000" w:themeColor="text1"/>
          <w:lang w:eastAsia="en-US"/>
        </w:rPr>
        <w:t>argument</w:t>
      </w:r>
      <w:r w:rsidR="005F1CB2">
        <w:rPr>
          <w:color w:val="000000" w:themeColor="text1"/>
          <w:lang w:eastAsia="en-US"/>
        </w:rPr>
        <w:t xml:space="preserve"> of more problems in the reports prepared by the firm experiencing financial distress</w:t>
      </w:r>
      <w:r w:rsidR="00FF5EFB">
        <w:rPr>
          <w:color w:val="000000" w:themeColor="text1"/>
          <w:lang w:eastAsia="en-US"/>
        </w:rPr>
        <w:t xml:space="preserve"> </w:t>
      </w:r>
      <w:r w:rsidR="00FF5EFB">
        <w:fldChar w:fldCharType="begin" w:fldLock="1"/>
      </w:r>
      <w:r w:rsidR="00A611DF">
        <w:instrText>ADDIN CSL_CITATION {"citationItems":[{"id":"ITEM-1","itemData":{"DOI":"10.1111/j.1475-679X.2009.00349.x","ISSN":"00218456","abstract":"This study examines whether auditors can effectively use nonfinancial measures to assess the reasonableness of financial performance and, thereby, help detect financial statement fraud (hereafter, fraud). If auditors or other interested parties (e.g., directors, lenders, investors, or regulators) can identify nonfinancial measures (e.g., facilities growth) that are correlated with financial measures (e.g., revenue growth), inconsistent patterns between the nonfinancial and financial measures can be used to detect firms with high fraud risk. We find that the difference between financial and nonfinancial performance is significantly greater for firms that committed fraud than for their non-fraud competitors. We also find that this difference is a significant fraud indicator when included in a model containing variables that have previously been linked to the likelihood of fraud. Overall, our results provide empirical evidence suggesting that nonfinancial measures can be effectively used to assess the likelihood of fraud.","author":[{"dropping-particle":"","family":"Brazel","given":"J. F.","non-dropping-particle":"","parse-names":false,"suffix":""},{"dropping-particle":"","family":"Jones","given":"K. L.","non-dropping-particle":"","parse-names":false,"suffix":""},{"dropping-particle":"","family":"Zimbelman","given":"M. F.","non-dropping-particle":"","parse-names":false,"suffix":""}],"container-title":"Journal of Accounting Research","id":"ITEM-1","issue":"5","issued":{"date-parts":[["2009"]]},"page":"1135-1166","title":"Using nonfinancial measures to assess fraud risk","type":"article-journal","volume":"47"},"uris":["http://www.mendeley.com/documents/?uuid=c556d2f6-b043-464e-be3a-23c0329103c1"]},{"id":"ITEM-2","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Research","id":"ITEM-2","issue":"1","issued":{"date-parts":[["1996"]]},"page":"1-36","title":"Causes and Consequences of Earnings Manipulation: An Analysis of Firms Subject to Enforcement Actions by the SEC","type":"article-journal","volume":"13"},"uris":["http://www.mendeley.com/documents/?uuid=b0b870c6-2960-4888-a546-9bdb2ec59a54"]}],"mendeley":{"formattedCitation":"(Brazel et al., 2009; Dechow et al., 1996)","manualFormatting":"( Dechow et al., 1996; Brazel et al., 2009)","plainTextFormattedCitation":"(Brazel et al., 2009; Dechow et al., 1996)","previouslyFormattedCitation":"(Brazel et al., 2009; Dechow et al., 1996)"},"properties":{"noteIndex":0},"schema":"https://github.com/citation-style-language/schema/raw/master/csl-citation.json"}</w:instrText>
      </w:r>
      <w:r w:rsidR="00FF5EFB">
        <w:fldChar w:fldCharType="separate"/>
      </w:r>
      <w:r w:rsidR="00FF5EFB">
        <w:rPr>
          <w:noProof/>
        </w:rPr>
        <w:t>(</w:t>
      </w:r>
      <w:r w:rsidR="00FF5EFB" w:rsidRPr="00FF5EFB">
        <w:rPr>
          <w:noProof/>
        </w:rPr>
        <w:t xml:space="preserve"> </w:t>
      </w:r>
      <w:r w:rsidR="00FF5EFB">
        <w:rPr>
          <w:noProof/>
        </w:rPr>
        <w:t>Dechow et al.</w:t>
      </w:r>
      <w:r w:rsidR="00FF5EFB" w:rsidRPr="00A15E16">
        <w:rPr>
          <w:noProof/>
        </w:rPr>
        <w:t xml:space="preserve">, </w:t>
      </w:r>
      <w:r w:rsidR="00FF5EFB" w:rsidRPr="00A15E16">
        <w:rPr>
          <w:noProof/>
        </w:rPr>
        <w:lastRenderedPageBreak/>
        <w:t>1996</w:t>
      </w:r>
      <w:r w:rsidR="00FF5EFB">
        <w:rPr>
          <w:noProof/>
        </w:rPr>
        <w:t>; Brazel et al., 2009</w:t>
      </w:r>
      <w:r w:rsidR="00FF5EFB" w:rsidRPr="00A15E16">
        <w:rPr>
          <w:noProof/>
        </w:rPr>
        <w:t>)</w:t>
      </w:r>
      <w:r w:rsidR="00FF5EFB">
        <w:fldChar w:fldCharType="end"/>
      </w:r>
      <w:r w:rsidR="00FF5EFB">
        <w:t xml:space="preserve">, suggesting more intense SEC review on these firms </w:t>
      </w:r>
      <w:r w:rsidR="00FF5EFB">
        <w:fldChar w:fldCharType="begin" w:fldLock="1"/>
      </w:r>
      <w:r w:rsidR="00A611DF">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rsidR="00FF5EFB">
        <w:fldChar w:fldCharType="separate"/>
      </w:r>
      <w:r w:rsidR="00FF5EFB" w:rsidRPr="00A15E16">
        <w:rPr>
          <w:noProof/>
        </w:rPr>
        <w:t>(Heese et al., 2017)</w:t>
      </w:r>
      <w:r w:rsidR="00FF5EFB">
        <w:fldChar w:fldCharType="end"/>
      </w:r>
      <w:r w:rsidR="005F1CB2">
        <w:rPr>
          <w:color w:val="000000" w:themeColor="text1"/>
          <w:lang w:eastAsia="en-US"/>
        </w:rPr>
        <w:t xml:space="preserve">. A positive correlation between all SEC review attributes and </w:t>
      </w:r>
      <w:r w:rsidR="005F1CB2">
        <w:rPr>
          <w:i/>
          <w:color w:val="000000" w:themeColor="text1"/>
          <w:lang w:eastAsia="en-US"/>
        </w:rPr>
        <w:t xml:space="preserve">Positive earnings, </w:t>
      </w:r>
      <w:r w:rsidR="005F1CB2">
        <w:rPr>
          <w:color w:val="000000" w:themeColor="text1"/>
          <w:lang w:eastAsia="en-US"/>
        </w:rPr>
        <w:t xml:space="preserve">consistent with </w:t>
      </w:r>
      <w:r w:rsidR="00A02079">
        <w:rPr>
          <w:color w:val="000000" w:themeColor="text1"/>
          <w:lang w:eastAsia="en-US"/>
        </w:rPr>
        <w:t xml:space="preserve">the </w:t>
      </w:r>
      <w:r w:rsidR="005F1CB2">
        <w:rPr>
          <w:color w:val="000000" w:themeColor="text1"/>
          <w:lang w:eastAsia="en-US"/>
        </w:rPr>
        <w:t xml:space="preserve">hypothesis of </w:t>
      </w:r>
      <w:r w:rsidR="001B078E">
        <w:rPr>
          <w:color w:val="000000" w:themeColor="text1"/>
          <w:lang w:eastAsia="en-US"/>
        </w:rPr>
        <w:t>income-increasing earning management in the firm going public</w:t>
      </w:r>
      <w:r w:rsidR="00FF5EFB">
        <w:rPr>
          <w:color w:val="000000" w:themeColor="text1"/>
          <w:lang w:eastAsia="en-US"/>
        </w:rPr>
        <w:t xml:space="preserve"> </w:t>
      </w:r>
      <w:r w:rsidR="00FF5EFB">
        <w:fldChar w:fldCharType="begin" w:fldLock="1"/>
      </w:r>
      <w:r w:rsidR="00A611DF">
        <w:instrText>ADDIN CSL_CITATION {"citationItems":[{"id":"ITEM-1","itemData":{"ISBN":"1540-6261","ISSN":"00221082","PMID":"1311802","abstract":"Issuers of initial public offerings (IPOs) can report earnings in excess of cash flows by taking positive accruals. This paper provides evidence that issuers with unusu- ally high accruals in the IPO year experience poor stock return performance in the three years thereafter. IPO issuers in the most “aggressive” quartile of earnings managers have a three-year aftermarket stock return of approximately 20 percent less than IPO issuers in the most “conservative” quartile. They also issue about 20 percent fewer seasoned equity offerings. These differences are statistically and economically significant in a variety of specifications.","author":[{"dropping-particle":"","family":"Teoh","given":"Siew Hong","non-dropping-particle":"","parse-names":false,"suffix":""},{"dropping-particle":"","family":"Welch","given":"Ivo","non-dropping-particle":"","parse-names":false,"suffix":""},{"dropping-particle":"","family":"Wong","given":"T.J.","non-dropping-particle":"","parse-names":false,"suffix":""}],"container-title":"The Journal of Finance","id":"ITEM-1","issue":"6","issued":{"date-parts":[["1998"]]},"note":"4*","page":"1935-1974","title":"Earnings Management and the Long-Run Market Performance of Initial Public Offerings","type":"article-journal","volume":"53"},"uris":["http://www.mendeley.com/documents/?uuid=df119c60-80fa-4e3c-9236-cb84a3060fd4"]}],"mendeley":{"formattedCitation":"(Teoh et al., 1998)","manualFormatting":"(Teoh et al., 1998)","plainTextFormattedCitation":"(Teoh et al., 1998)","previouslyFormattedCitation":"(Teoh et al., 1998)"},"properties":{"noteIndex":0},"schema":"https://github.com/citation-style-language/schema/raw/master/csl-citation.json"}</w:instrText>
      </w:r>
      <w:r w:rsidR="00FF5EFB">
        <w:fldChar w:fldCharType="separate"/>
      </w:r>
      <w:r w:rsidR="00FF5EFB" w:rsidRPr="00C909C3">
        <w:rPr>
          <w:noProof/>
        </w:rPr>
        <w:t>(</w:t>
      </w:r>
      <w:r w:rsidR="00FF5EFB">
        <w:rPr>
          <w:noProof/>
        </w:rPr>
        <w:t>Teoh et al.</w:t>
      </w:r>
      <w:r w:rsidR="00FF5EFB" w:rsidRPr="00C909C3">
        <w:rPr>
          <w:noProof/>
        </w:rPr>
        <w:t>, 1998)</w:t>
      </w:r>
      <w:r w:rsidR="00FF5EFB">
        <w:fldChar w:fldCharType="end"/>
      </w:r>
      <w:r w:rsidR="00FF5EFB">
        <w:t>, suggesting higher extent of the SEC review as in line with the assumption of public interest theory</w:t>
      </w:r>
      <w:r w:rsidR="001B078E">
        <w:rPr>
          <w:color w:val="000000" w:themeColor="text1"/>
          <w:lang w:eastAsia="en-US"/>
        </w:rPr>
        <w:t xml:space="preserve">. The </w:t>
      </w:r>
      <w:r w:rsidR="008650ED">
        <w:rPr>
          <w:color w:val="000000" w:themeColor="text1"/>
          <w:lang w:eastAsia="en-US"/>
        </w:rPr>
        <w:t xml:space="preserve">relatively strong </w:t>
      </w:r>
      <w:r w:rsidR="001B078E">
        <w:rPr>
          <w:color w:val="000000" w:themeColor="text1"/>
          <w:lang w:eastAsia="en-US"/>
        </w:rPr>
        <w:t xml:space="preserve">correlation between all SEC review attributes and </w:t>
      </w:r>
      <w:proofErr w:type="spellStart"/>
      <w:r w:rsidR="00B90319">
        <w:rPr>
          <w:i/>
          <w:color w:val="000000" w:themeColor="text1"/>
          <w:lang w:eastAsia="en-US"/>
        </w:rPr>
        <w:t>CEOchairman</w:t>
      </w:r>
      <w:proofErr w:type="spellEnd"/>
      <w:r w:rsidR="001B078E">
        <w:rPr>
          <w:i/>
          <w:color w:val="000000" w:themeColor="text1"/>
          <w:lang w:eastAsia="en-US"/>
        </w:rPr>
        <w:t xml:space="preserve"> </w:t>
      </w:r>
      <w:r w:rsidR="001B078E">
        <w:rPr>
          <w:color w:val="000000" w:themeColor="text1"/>
          <w:lang w:eastAsia="en-US"/>
        </w:rPr>
        <w:t xml:space="preserve">is </w:t>
      </w:r>
      <w:r w:rsidR="008650ED">
        <w:rPr>
          <w:color w:val="000000" w:themeColor="text1"/>
          <w:lang w:eastAsia="en-US"/>
        </w:rPr>
        <w:t>identified</w:t>
      </w:r>
      <w:r w:rsidR="001B078E">
        <w:rPr>
          <w:color w:val="000000" w:themeColor="text1"/>
          <w:lang w:eastAsia="en-US"/>
        </w:rPr>
        <w:t>, consistent with hypothesis of weak</w:t>
      </w:r>
      <w:r w:rsidR="00CD61A3">
        <w:rPr>
          <w:color w:val="000000" w:themeColor="text1"/>
          <w:lang w:eastAsia="en-US"/>
        </w:rPr>
        <w:t xml:space="preserve"> monitoring effectiveness in</w:t>
      </w:r>
      <w:r w:rsidR="001B078E">
        <w:rPr>
          <w:color w:val="000000" w:themeColor="text1"/>
          <w:lang w:eastAsia="en-US"/>
        </w:rPr>
        <w:t xml:space="preserve"> firm</w:t>
      </w:r>
      <w:r w:rsidR="00CD61A3">
        <w:rPr>
          <w:color w:val="000000" w:themeColor="text1"/>
          <w:lang w:eastAsia="en-US"/>
        </w:rPr>
        <w:t>s</w:t>
      </w:r>
      <w:r w:rsidR="001B078E">
        <w:rPr>
          <w:color w:val="000000" w:themeColor="text1"/>
          <w:lang w:eastAsia="en-US"/>
        </w:rPr>
        <w:t xml:space="preserve"> having board of directors led by a CEO</w:t>
      </w:r>
      <w:r w:rsidR="004A2E26">
        <w:rPr>
          <w:color w:val="000000" w:themeColor="text1"/>
          <w:lang w:eastAsia="en-US"/>
        </w:rPr>
        <w:t xml:space="preserve"> </w:t>
      </w:r>
      <w:r w:rsidR="004A2E26" w:rsidRPr="000912EF">
        <w:rPr>
          <w:lang w:eastAsia="en-US"/>
        </w:rPr>
        <w:t>(</w:t>
      </w:r>
      <w:proofErr w:type="spellStart"/>
      <w:r w:rsidR="004A2E26" w:rsidRPr="000912EF">
        <w:rPr>
          <w:lang w:eastAsia="en-US"/>
        </w:rPr>
        <w:t>Ertimur</w:t>
      </w:r>
      <w:proofErr w:type="spellEnd"/>
      <w:r w:rsidR="004A2E26" w:rsidRPr="000912EF">
        <w:rPr>
          <w:lang w:eastAsia="en-US"/>
        </w:rPr>
        <w:t xml:space="preserve"> &amp; </w:t>
      </w:r>
      <w:proofErr w:type="spellStart"/>
      <w:r w:rsidR="004A2E26" w:rsidRPr="000912EF">
        <w:rPr>
          <w:lang w:eastAsia="en-US"/>
        </w:rPr>
        <w:t>Nondorf</w:t>
      </w:r>
      <w:proofErr w:type="spellEnd"/>
      <w:r w:rsidR="004A2E26" w:rsidRPr="000912EF">
        <w:rPr>
          <w:lang w:eastAsia="en-US"/>
        </w:rPr>
        <w:t>, 2006)</w:t>
      </w:r>
      <w:r w:rsidR="004A2E26">
        <w:rPr>
          <w:b/>
          <w:lang w:eastAsia="en-US"/>
        </w:rPr>
        <w:t xml:space="preserve">, </w:t>
      </w:r>
      <w:r w:rsidR="004A2E26" w:rsidRPr="004A2E26">
        <w:rPr>
          <w:lang w:eastAsia="en-US"/>
        </w:rPr>
        <w:t>suggesting</w:t>
      </w:r>
      <w:r w:rsidR="004A2E26">
        <w:rPr>
          <w:b/>
          <w:lang w:eastAsia="en-US"/>
        </w:rPr>
        <w:t xml:space="preserve"> </w:t>
      </w:r>
      <w:r w:rsidR="004A2E26" w:rsidRPr="000912EF">
        <w:rPr>
          <w:lang w:eastAsia="en-US"/>
        </w:rPr>
        <w:t xml:space="preserve">the </w:t>
      </w:r>
      <w:r w:rsidR="00CD61A3">
        <w:rPr>
          <w:lang w:eastAsia="en-US"/>
        </w:rPr>
        <w:t xml:space="preserve">high </w:t>
      </w:r>
      <w:r w:rsidR="004A2E26" w:rsidRPr="000912EF">
        <w:rPr>
          <w:lang w:eastAsia="en-US"/>
        </w:rPr>
        <w:t xml:space="preserve">degree of SEC review </w:t>
      </w:r>
      <w:r w:rsidR="004A2E26">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remediation","type":"article-journal","volume":"88"},"uris":["http://www.mendeley.com/documents/?uuid=dea718b9-c36f-49a6-a8c7-49415620a7b4"]},{"id":"ITEM-2","itemData":{"DOI":"10.2308/accr-10033","ISSN":"00014826","abstract":"We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Review","id":"ITEM-2","issue":"4","issued":{"date-parts":[["2011"]]},"page":"1415-1444","title":"Determinants of disclosure noncompliance and the effect of the SEC review: Evidence from the 2006 mandated compensation disclosure regulations","type":"article-journal","volume":"86"},"uris":["http://www.mendeley.com/documents/?uuid=e8971756-f262-4b89-b55d-978e24fc4f8c"]},{"id":"ITEM-3","itemData":{"DOI":"10.1007/s11142-011-9153-8","ISSN":"13806653","abstract":"Motivated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Studies","id":"ITEM-3","issue":"4","issued":{"date-parts":[["2011"]]},"page":"866-889","title":"The effects of firm size, corporate governance quality, and bad news on disclosure compliance","type":"article-journal","volume":"16"},"uris":["http://www.mendeley.com/documents/?uuid=2c677795-dcd8-4506-87da-1a5ecc2c0b18"]},{"id":"ITEM-4","itemData":{"abstract":"We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paper","id":"ITEM-4","issued":{"date-parts":[["2006"]]},"title":"IPO Firms and the SEC Comment Letter Process","type":"report"},"uris":["http://www.mendeley.com/documents/?uuid=01b61a32-44a8-4cff-b503-d4d5cb89a0fb"]}],"mendeley":{"formattedCitation":"(Cassell et al., 2013; Ertimur &amp; Nondorf, 2006; Ettredge et al., 2011; Robinson et al., 2011)","manualFormatting":"( Ertimur &amp; Nondorf, 2006; Ettredge et al., 2011; Robinson et al., 2011; Cassell et al., 2013)","plainTextFormattedCitation":"(Cassell et al., 2013; Ertimur &amp; Nondorf, 2006; Ettredge et al., 2011; Robinson et al., 2011)","previouslyFormattedCitation":"(Cassell et al., 2013; Ertimur &amp; Nondorf, 2006; Ettredge et al., 2011; Robinson et al., 2011)"},"properties":{"noteIndex":0},"schema":"https://github.com/citation-style-language/schema/raw/master/csl-citation.json"}</w:instrText>
      </w:r>
      <w:r w:rsidR="004A2E26">
        <w:rPr>
          <w:lang w:eastAsia="en-US"/>
        </w:rPr>
        <w:fldChar w:fldCharType="separate"/>
      </w:r>
      <w:r w:rsidR="004A2E26" w:rsidRPr="00C728A9">
        <w:rPr>
          <w:noProof/>
          <w:lang w:eastAsia="en-US"/>
        </w:rPr>
        <w:t>( Ertimur &amp; Nondorf, 2006; Ettredge et al., 2011; Robinson et al., 2011</w:t>
      </w:r>
      <w:r w:rsidR="004A2E26">
        <w:rPr>
          <w:noProof/>
          <w:lang w:eastAsia="en-US"/>
        </w:rPr>
        <w:t>;</w:t>
      </w:r>
      <w:r w:rsidR="004A2E26" w:rsidRPr="00C728A9">
        <w:rPr>
          <w:noProof/>
          <w:lang w:eastAsia="en-US"/>
        </w:rPr>
        <w:t xml:space="preserve"> </w:t>
      </w:r>
      <w:r w:rsidR="004A2E26">
        <w:rPr>
          <w:noProof/>
          <w:lang w:eastAsia="en-US"/>
        </w:rPr>
        <w:t>Cassell et al., 2013</w:t>
      </w:r>
      <w:r w:rsidR="004A2E26" w:rsidRPr="00C728A9">
        <w:rPr>
          <w:noProof/>
          <w:lang w:eastAsia="en-US"/>
        </w:rPr>
        <w:t>)</w:t>
      </w:r>
      <w:r w:rsidR="004A2E26">
        <w:rPr>
          <w:lang w:eastAsia="en-US"/>
        </w:rPr>
        <w:fldChar w:fldCharType="end"/>
      </w:r>
      <w:r w:rsidR="001B078E">
        <w:rPr>
          <w:color w:val="000000" w:themeColor="text1"/>
          <w:lang w:eastAsia="en-US"/>
        </w:rPr>
        <w:t xml:space="preserve">. In addition, I observe a </w:t>
      </w:r>
      <w:r w:rsidR="008650ED">
        <w:rPr>
          <w:color w:val="000000" w:themeColor="text1"/>
          <w:lang w:eastAsia="en-US"/>
        </w:rPr>
        <w:t xml:space="preserve">positive </w:t>
      </w:r>
      <w:r w:rsidR="001B078E">
        <w:rPr>
          <w:color w:val="000000" w:themeColor="text1"/>
          <w:lang w:eastAsia="en-US"/>
        </w:rPr>
        <w:t xml:space="preserve">correlation between two SEC review attributes including; </w:t>
      </w:r>
      <w:r w:rsidR="008650ED">
        <w:rPr>
          <w:i/>
          <w:color w:val="000000" w:themeColor="text1"/>
          <w:lang w:eastAsia="en-US"/>
        </w:rPr>
        <w:t xml:space="preserve">Letters, Comments, </w:t>
      </w:r>
      <w:r w:rsidR="008650ED">
        <w:rPr>
          <w:color w:val="000000" w:themeColor="text1"/>
          <w:lang w:eastAsia="en-US"/>
        </w:rPr>
        <w:t xml:space="preserve">and </w:t>
      </w:r>
      <w:r w:rsidR="008650ED">
        <w:rPr>
          <w:i/>
          <w:color w:val="000000" w:themeColor="text1"/>
          <w:lang w:eastAsia="en-US"/>
        </w:rPr>
        <w:t xml:space="preserve">Size, </w:t>
      </w:r>
      <w:r w:rsidR="008650ED">
        <w:rPr>
          <w:color w:val="000000" w:themeColor="text1"/>
          <w:lang w:eastAsia="en-US"/>
        </w:rPr>
        <w:t xml:space="preserve">in line with </w:t>
      </w:r>
      <w:r w:rsidR="00A02079">
        <w:rPr>
          <w:color w:val="000000" w:themeColor="text1"/>
          <w:lang w:eastAsia="en-US"/>
        </w:rPr>
        <w:t xml:space="preserve">the </w:t>
      </w:r>
      <w:r w:rsidR="008650ED">
        <w:rPr>
          <w:color w:val="000000" w:themeColor="text1"/>
          <w:lang w:eastAsia="en-US"/>
        </w:rPr>
        <w:t>hypothesis o</w:t>
      </w:r>
      <w:r w:rsidR="004F7613">
        <w:rPr>
          <w:color w:val="000000" w:themeColor="text1"/>
          <w:lang w:eastAsia="en-US"/>
        </w:rPr>
        <w:t>f more complexity in the reports</w:t>
      </w:r>
      <w:r w:rsidR="008650ED">
        <w:rPr>
          <w:color w:val="000000" w:themeColor="text1"/>
          <w:lang w:eastAsia="en-US"/>
        </w:rPr>
        <w:t xml:space="preserve"> prepared by the bigger firms</w:t>
      </w:r>
      <w:r w:rsidR="004A2E26">
        <w:rPr>
          <w:color w:val="000000" w:themeColor="text1"/>
          <w:lang w:eastAsia="en-US"/>
        </w:rPr>
        <w:t xml:space="preserve">, suggesting more intense SEC review </w:t>
      </w:r>
      <w:r w:rsidR="004A2E26">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4A2E26">
        <w:rPr>
          <w:lang w:eastAsia="en-US"/>
        </w:rPr>
        <w:fldChar w:fldCharType="separate"/>
      </w:r>
      <w:r w:rsidR="004A2E26" w:rsidRPr="00C503E1">
        <w:rPr>
          <w:noProof/>
          <w:lang w:eastAsia="en-US"/>
        </w:rPr>
        <w:t>(Cassell et al., 2013; Heese et al., 2017)</w:t>
      </w:r>
      <w:r w:rsidR="004A2E26">
        <w:rPr>
          <w:lang w:eastAsia="en-US"/>
        </w:rPr>
        <w:fldChar w:fldCharType="end"/>
      </w:r>
      <w:r w:rsidR="008650ED">
        <w:rPr>
          <w:color w:val="000000" w:themeColor="text1"/>
          <w:lang w:eastAsia="en-US"/>
        </w:rPr>
        <w:t xml:space="preserve">. The correlation between </w:t>
      </w:r>
      <w:r w:rsidR="008650ED">
        <w:rPr>
          <w:i/>
          <w:color w:val="000000" w:themeColor="text1"/>
          <w:lang w:eastAsia="en-US"/>
        </w:rPr>
        <w:t xml:space="preserve">Letters </w:t>
      </w:r>
      <w:r w:rsidR="008650ED">
        <w:rPr>
          <w:color w:val="000000" w:themeColor="text1"/>
          <w:lang w:eastAsia="en-US"/>
        </w:rPr>
        <w:t xml:space="preserve">and </w:t>
      </w:r>
      <w:r w:rsidR="008650ED">
        <w:rPr>
          <w:i/>
          <w:color w:val="000000" w:themeColor="text1"/>
          <w:lang w:eastAsia="en-US"/>
        </w:rPr>
        <w:t xml:space="preserve">Restructuring </w:t>
      </w:r>
      <w:r w:rsidR="008650ED">
        <w:rPr>
          <w:color w:val="000000" w:themeColor="text1"/>
          <w:lang w:eastAsia="en-US"/>
        </w:rPr>
        <w:t xml:space="preserve">is positive, in agreement with </w:t>
      </w:r>
      <w:r w:rsidR="004A2E26">
        <w:rPr>
          <w:color w:val="000000" w:themeColor="text1"/>
          <w:lang w:eastAsia="en-US"/>
        </w:rPr>
        <w:t>arguments</w:t>
      </w:r>
      <w:r w:rsidR="008650ED">
        <w:rPr>
          <w:color w:val="000000" w:themeColor="text1"/>
          <w:lang w:eastAsia="en-US"/>
        </w:rPr>
        <w:t xml:space="preserve"> of more complexity in </w:t>
      </w:r>
      <w:r w:rsidR="004F7613">
        <w:rPr>
          <w:color w:val="000000" w:themeColor="text1"/>
          <w:lang w:eastAsia="en-US"/>
        </w:rPr>
        <w:t>the reports</w:t>
      </w:r>
      <w:r w:rsidR="00CD61A3">
        <w:rPr>
          <w:color w:val="000000" w:themeColor="text1"/>
          <w:lang w:eastAsia="en-US"/>
        </w:rPr>
        <w:t xml:space="preserve"> prepared by </w:t>
      </w:r>
      <w:r w:rsidR="008650ED">
        <w:rPr>
          <w:color w:val="000000" w:themeColor="text1"/>
          <w:lang w:eastAsia="en-US"/>
        </w:rPr>
        <w:t>firm</w:t>
      </w:r>
      <w:r w:rsidR="00CD61A3">
        <w:rPr>
          <w:color w:val="000000" w:themeColor="text1"/>
          <w:lang w:eastAsia="en-US"/>
        </w:rPr>
        <w:t>s</w:t>
      </w:r>
      <w:r w:rsidR="008650ED">
        <w:rPr>
          <w:color w:val="000000" w:themeColor="text1"/>
          <w:lang w:eastAsia="en-US"/>
        </w:rPr>
        <w:t xml:space="preserve"> conducting restructurin</w:t>
      </w:r>
      <w:r w:rsidR="009E0292">
        <w:rPr>
          <w:color w:val="000000" w:themeColor="text1"/>
          <w:lang w:eastAsia="en-US"/>
        </w:rPr>
        <w:t>g</w:t>
      </w:r>
      <w:r w:rsidR="004F7613">
        <w:rPr>
          <w:color w:val="000000" w:themeColor="text1"/>
          <w:lang w:eastAsia="en-US"/>
        </w:rPr>
        <w:t xml:space="preserve"> activities</w:t>
      </w:r>
      <w:r w:rsidR="004A2E26">
        <w:rPr>
          <w:color w:val="000000" w:themeColor="text1"/>
          <w:lang w:eastAsia="en-US"/>
        </w:rPr>
        <w:t xml:space="preserve">, suggesting more intense SEC review </w:t>
      </w:r>
      <w:r w:rsidR="004A2E26">
        <w:rPr>
          <w:lang w:eastAsia="en-US"/>
        </w:rPr>
        <w:fldChar w:fldCharType="begin" w:fldLock="1"/>
      </w:r>
      <w:r w:rsidR="00A611DF">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4A2E26">
        <w:rPr>
          <w:lang w:eastAsia="en-US"/>
        </w:rPr>
        <w:fldChar w:fldCharType="separate"/>
      </w:r>
      <w:r w:rsidR="004A2E26" w:rsidRPr="00C503E1">
        <w:rPr>
          <w:noProof/>
          <w:lang w:eastAsia="en-US"/>
        </w:rPr>
        <w:t>(Cassell et al., 2013; Heese et al., 2017)</w:t>
      </w:r>
      <w:r w:rsidR="004A2E26">
        <w:rPr>
          <w:lang w:eastAsia="en-US"/>
        </w:rPr>
        <w:fldChar w:fldCharType="end"/>
      </w:r>
      <w:r w:rsidR="004F7613">
        <w:rPr>
          <w:color w:val="000000" w:themeColor="text1"/>
          <w:lang w:eastAsia="en-US"/>
        </w:rPr>
        <w:t>.</w:t>
      </w:r>
      <w:r w:rsidR="0078517E">
        <w:t xml:space="preserve"> </w:t>
      </w:r>
      <w:r w:rsidR="00CD61A3">
        <w:t>I also find</w:t>
      </w:r>
      <w:r w:rsidR="0078517E">
        <w:t xml:space="preserve"> that </w:t>
      </w:r>
      <w:r w:rsidR="0078517E">
        <w:rPr>
          <w:i/>
        </w:rPr>
        <w:t xml:space="preserve">Restructuring </w:t>
      </w:r>
      <w:r w:rsidR="0078517E">
        <w:t xml:space="preserve">is positively correlated with </w:t>
      </w:r>
      <w:r w:rsidR="0078517E">
        <w:rPr>
          <w:i/>
        </w:rPr>
        <w:t xml:space="preserve">Size </w:t>
      </w:r>
      <w:r w:rsidR="0078517E">
        <w:t xml:space="preserve">and </w:t>
      </w:r>
      <w:r w:rsidR="0078517E">
        <w:rPr>
          <w:i/>
        </w:rPr>
        <w:t xml:space="preserve">Segments, </w:t>
      </w:r>
      <w:r w:rsidR="0078517E">
        <w:t>which are two indicators of the firms’ complexity, suggesting that the firms conducting restructuring activities could have more complexity in their business.</w:t>
      </w:r>
      <w:r w:rsidR="004F7613">
        <w:rPr>
          <w:color w:val="000000" w:themeColor="text1"/>
          <w:lang w:eastAsia="en-US"/>
        </w:rPr>
        <w:t xml:space="preserve"> A negative correlation between two SEC review attributes including; </w:t>
      </w:r>
      <w:r w:rsidR="004F7613">
        <w:rPr>
          <w:i/>
          <w:color w:val="000000" w:themeColor="text1"/>
          <w:lang w:eastAsia="en-US"/>
        </w:rPr>
        <w:t xml:space="preserve">Duration, Comments, </w:t>
      </w:r>
      <w:r w:rsidR="004F7613">
        <w:rPr>
          <w:color w:val="000000" w:themeColor="text1"/>
          <w:lang w:eastAsia="en-US"/>
        </w:rPr>
        <w:t xml:space="preserve">and </w:t>
      </w:r>
      <w:r w:rsidR="004F7613">
        <w:rPr>
          <w:i/>
          <w:color w:val="000000" w:themeColor="text1"/>
          <w:lang w:eastAsia="en-US"/>
        </w:rPr>
        <w:t xml:space="preserve">M&amp;A, </w:t>
      </w:r>
      <w:r w:rsidR="00CD61A3">
        <w:rPr>
          <w:color w:val="000000" w:themeColor="text1"/>
          <w:lang w:eastAsia="en-US"/>
        </w:rPr>
        <w:t xml:space="preserve">is </w:t>
      </w:r>
      <w:r w:rsidR="004F7613">
        <w:rPr>
          <w:color w:val="000000" w:themeColor="text1"/>
          <w:lang w:eastAsia="en-US"/>
        </w:rPr>
        <w:t xml:space="preserve">inconsistent with </w:t>
      </w:r>
      <w:r w:rsidR="00A02079">
        <w:rPr>
          <w:color w:val="000000" w:themeColor="text1"/>
          <w:lang w:eastAsia="en-US"/>
        </w:rPr>
        <w:t xml:space="preserve">the </w:t>
      </w:r>
      <w:r w:rsidR="004F7613">
        <w:rPr>
          <w:color w:val="000000" w:themeColor="text1"/>
          <w:lang w:eastAsia="en-US"/>
        </w:rPr>
        <w:t>hypothesis of more complexity in the reports prepared by the firm conducting M&amp;A activities</w:t>
      </w:r>
      <w:r w:rsidR="004A2E26">
        <w:rPr>
          <w:color w:val="000000" w:themeColor="text1"/>
          <w:lang w:eastAsia="en-US"/>
        </w:rPr>
        <w:t xml:space="preserve">, suggesting higher degree of the SEC review </w:t>
      </w:r>
      <w:r w:rsidR="004A2E26">
        <w:fldChar w:fldCharType="begin" w:fldLock="1"/>
      </w:r>
      <w:r w:rsidR="00A611DF">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rsidR="004A2E26">
        <w:fldChar w:fldCharType="separate"/>
      </w:r>
      <w:r w:rsidR="004A2E26" w:rsidRPr="000837A7">
        <w:rPr>
          <w:noProof/>
        </w:rPr>
        <w:t>(Cassell et al., 2013; Heese et al., 2017)</w:t>
      </w:r>
      <w:r w:rsidR="004A2E26">
        <w:fldChar w:fldCharType="end"/>
      </w:r>
      <w:r w:rsidR="004F7613">
        <w:rPr>
          <w:color w:val="000000" w:themeColor="text1"/>
          <w:lang w:eastAsia="en-US"/>
        </w:rPr>
        <w:t xml:space="preserve">. </w:t>
      </w:r>
      <w:r w:rsidR="00CD61A3">
        <w:t xml:space="preserve">I also identify </w:t>
      </w:r>
      <w:r w:rsidR="0078517E">
        <w:t xml:space="preserve">that </w:t>
      </w:r>
      <w:r w:rsidR="0078517E">
        <w:rPr>
          <w:i/>
        </w:rPr>
        <w:t xml:space="preserve">M&amp;A </w:t>
      </w:r>
      <w:r w:rsidR="0078517E">
        <w:t xml:space="preserve">is positively correlated with </w:t>
      </w:r>
      <w:r w:rsidR="0078517E">
        <w:rPr>
          <w:i/>
        </w:rPr>
        <w:t xml:space="preserve">Segments, </w:t>
      </w:r>
      <w:r w:rsidR="00CD61A3">
        <w:t>which is</w:t>
      </w:r>
      <w:r w:rsidR="0078517E">
        <w:t xml:space="preserve"> an indicator of the firms’ </w:t>
      </w:r>
      <w:r w:rsidR="00CD61A3">
        <w:t xml:space="preserve">complexity, suggesting that </w:t>
      </w:r>
      <w:r w:rsidR="0078517E">
        <w:t xml:space="preserve">firms conducting M&amp;A activities could have more complexity in their business. </w:t>
      </w:r>
    </w:p>
    <w:p w14:paraId="3F39BF0D" w14:textId="7EF88FC0" w:rsidR="004F7613" w:rsidRDefault="004F7613" w:rsidP="0030659B">
      <w:pPr>
        <w:spacing w:line="360" w:lineRule="auto"/>
        <w:jc w:val="both"/>
        <w:rPr>
          <w:color w:val="000000" w:themeColor="text1"/>
          <w:lang w:eastAsia="en-US"/>
        </w:rPr>
      </w:pPr>
      <w:r>
        <w:rPr>
          <w:color w:val="000000" w:themeColor="text1"/>
          <w:lang w:eastAsia="en-US"/>
        </w:rPr>
        <w:t xml:space="preserve">Regarding the </w:t>
      </w:r>
      <w:r w:rsidR="00D92D32">
        <w:rPr>
          <w:color w:val="000000" w:themeColor="text1"/>
          <w:lang w:eastAsia="en-US"/>
        </w:rPr>
        <w:t>incidences</w:t>
      </w:r>
      <w:r>
        <w:rPr>
          <w:color w:val="000000" w:themeColor="text1"/>
          <w:lang w:eastAsia="en-US"/>
        </w:rPr>
        <w:t xml:space="preserve"> of regulatory changes and crisis, I observe a </w:t>
      </w:r>
      <w:r w:rsidR="00E377A9">
        <w:rPr>
          <w:color w:val="000000" w:themeColor="text1"/>
          <w:lang w:eastAsia="en-US"/>
        </w:rPr>
        <w:t xml:space="preserve">strong negative correlation between all SEC review attributes and </w:t>
      </w:r>
      <w:r w:rsidR="00E377A9">
        <w:rPr>
          <w:i/>
          <w:color w:val="000000" w:themeColor="text1"/>
          <w:lang w:eastAsia="en-US"/>
        </w:rPr>
        <w:t xml:space="preserve">JOBs Act, </w:t>
      </w:r>
      <w:r w:rsidR="00776A08">
        <w:rPr>
          <w:color w:val="000000" w:themeColor="text1"/>
          <w:lang w:eastAsia="en-US"/>
        </w:rPr>
        <w:t xml:space="preserve">in line with the key target </w:t>
      </w:r>
      <w:r w:rsidR="00E377A9">
        <w:rPr>
          <w:color w:val="000000" w:themeColor="text1"/>
          <w:lang w:eastAsia="en-US"/>
        </w:rPr>
        <w:t xml:space="preserve">of </w:t>
      </w:r>
      <w:r w:rsidR="004F5BE6">
        <w:rPr>
          <w:color w:val="000000" w:themeColor="text1"/>
          <w:lang w:eastAsia="en-US"/>
        </w:rPr>
        <w:t>JOBs Act</w:t>
      </w:r>
      <w:r w:rsidR="00E377A9">
        <w:rPr>
          <w:color w:val="000000" w:themeColor="text1"/>
          <w:lang w:eastAsia="en-US"/>
        </w:rPr>
        <w:t xml:space="preserve"> </w:t>
      </w:r>
      <w:r w:rsidR="004A2E26">
        <w:rPr>
          <w:color w:val="000000" w:themeColor="text1"/>
          <w:lang w:eastAsia="en-US"/>
        </w:rPr>
        <w:t xml:space="preserve">which is </w:t>
      </w:r>
      <w:r w:rsidR="00E377A9">
        <w:rPr>
          <w:color w:val="000000" w:themeColor="text1"/>
          <w:lang w:eastAsia="en-US"/>
        </w:rPr>
        <w:t>relieving some SEC disclosure regulation</w:t>
      </w:r>
      <w:r w:rsidR="00776A08">
        <w:rPr>
          <w:color w:val="000000" w:themeColor="text1"/>
          <w:lang w:eastAsia="en-US"/>
        </w:rPr>
        <w:t xml:space="preserve"> </w:t>
      </w:r>
      <w:r w:rsidR="00776A08" w:rsidRPr="00011D31">
        <w:rPr>
          <w:color w:val="000000" w:themeColor="text1"/>
        </w:rPr>
        <w:t>(</w:t>
      </w:r>
      <w:r w:rsidR="00C41C90">
        <w:rPr>
          <w:color w:val="000000" w:themeColor="text1"/>
        </w:rPr>
        <w:fldChar w:fldCharType="begin" w:fldLock="1"/>
      </w:r>
      <w:r w:rsidR="00A611DF">
        <w:rPr>
          <w:color w:val="000000" w:themeColor="text1"/>
        </w:rPr>
        <w:instrText>ADDIN CSL_CITATION {"citationItems":[{"id":"ITEM-1","itemData":{"URL":"https://www.sec.gov/spotlight/jobs-act.shtml","accessed":{"date-parts":[["2018","3","10"]]},"author":[{"dropping-particle":"","family":"Securities and Exchange Commission (SEC)","given":"","non-dropping-particle":"","parse-names":false,"suffix":""}],"id":"ITEM-1","issued":{"date-parts":[["2012"]]},"title":"Jumpstart Our Business Startups (JOBS) Act","type":"webpage"},"uris":["http://www.mendeley.com/documents/?uuid=06d78f0b-3de9-41fc-89f7-9a291d206608"]}],"mendeley":{"formattedCitation":"(Securities and Exchange Commission (SEC), 2012)","manualFormatting":"SEC, 2012","plainTextFormattedCitation":"(Securities and Exchange Commission (SEC), 2012)","previouslyFormattedCitation":"(Securities and Exchange Commission (SEC), 2012)"},"properties":{"noteIndex":0},"schema":"https://github.com/citation-style-language/schema/raw/master/csl-citation.json"}</w:instrText>
      </w:r>
      <w:r w:rsidR="00C41C90">
        <w:rPr>
          <w:color w:val="000000" w:themeColor="text1"/>
        </w:rPr>
        <w:fldChar w:fldCharType="separate"/>
      </w:r>
      <w:r w:rsidR="00C41C90">
        <w:rPr>
          <w:noProof/>
          <w:color w:val="000000" w:themeColor="text1"/>
        </w:rPr>
        <w:t>SEC</w:t>
      </w:r>
      <w:r w:rsidR="00C41C90" w:rsidRPr="00C41C90">
        <w:rPr>
          <w:noProof/>
          <w:color w:val="000000" w:themeColor="text1"/>
        </w:rPr>
        <w:t>, 2012</w:t>
      </w:r>
      <w:r w:rsidR="00C41C90">
        <w:rPr>
          <w:color w:val="000000" w:themeColor="text1"/>
        </w:rPr>
        <w:fldChar w:fldCharType="end"/>
      </w:r>
      <w:r w:rsidR="00776A08">
        <w:rPr>
          <w:lang w:eastAsia="en-US"/>
        </w:rPr>
        <w:fldChar w:fldCharType="begin" w:fldLock="1"/>
      </w:r>
      <w:r w:rsidR="00A611DF">
        <w:rPr>
          <w:lang w:eastAsia="en-US"/>
        </w:rPr>
        <w:instrText>ADDIN CSL_CITATION {"citationItems":[{"id":"ITEM-1","itemData":{"DOI":"10.1017/S0022109014000015","ISSN":"17566916","abstract":"During 1980-2000, an average of 310 companies per year went public in the U.S. Since the technology bubble burst in 2000, the average has been only 99 initial public offerings (IPOs) per year, with the drop especially precipitous among small firms. Many have blamed the Sarbanes-Oxley Act of 2002 and the 2003 Global Settlement’s effects on analyst coverage for the decline in U.S. IPO activity. Our alternative explanation posits that the advantages of selling out to a larger organization, which can speed a product to market and realize economies of scope, have increased relative to the benefits of remaining as an independent firm. Consistent with this hypothesis, we document that small company IPOs have had declining profitability and an increasing probability of being involved in acquisitions.","author":[{"dropping-particle":"","family":"Gao","given":"X.","non-dropping-particle":"","parse-names":false,"suffix":""},{"dropping-particle":"","family":"Ritter","given":"J.R.","non-dropping-particle":"","parse-names":false,"suffix":""},{"dropping-particle":"","family":"Zhu","given":"Z.","non-dropping-particle":"","parse-names":false,"suffix":""}],"container-title":"Journal of Financial and Quantitative Analysis","id":"ITEM-1","issue":"6","issued":{"date-parts":[["2013"]]},"page":"1663-1692","title":"Where have all the IPOs gone?","type":"article-journal","volume":"48"},"uris":["http://www.mendeley.com/documents/?uuid=4f061877-1ba6-46b7-b68c-cd02d844858c"]}],"mendeley":{"formattedCitation":"(Gao et al., 2013)","manualFormatting":"; Gao et al., 2013)","plainTextFormattedCitation":"(Gao et al., 2013)","previouslyFormattedCitation":"(Gao et al., 2013)"},"properties":{"noteIndex":0},"schema":"https://github.com/citation-style-language/schema/raw/master/csl-citation.json"}</w:instrText>
      </w:r>
      <w:r w:rsidR="00776A08">
        <w:rPr>
          <w:lang w:eastAsia="en-US"/>
        </w:rPr>
        <w:fldChar w:fldCharType="separate"/>
      </w:r>
      <w:r w:rsidR="00776A08">
        <w:rPr>
          <w:noProof/>
          <w:lang w:eastAsia="en-US"/>
        </w:rPr>
        <w:t xml:space="preserve">; </w:t>
      </w:r>
      <w:r w:rsidR="00776A08" w:rsidRPr="00F817FE">
        <w:rPr>
          <w:noProof/>
          <w:lang w:eastAsia="en-US"/>
        </w:rPr>
        <w:t>Gao</w:t>
      </w:r>
      <w:r w:rsidR="00776A08">
        <w:rPr>
          <w:noProof/>
          <w:lang w:eastAsia="en-US"/>
        </w:rPr>
        <w:t xml:space="preserve"> et al.</w:t>
      </w:r>
      <w:r w:rsidR="00C41C90">
        <w:rPr>
          <w:noProof/>
          <w:lang w:eastAsia="en-US"/>
        </w:rPr>
        <w:t>,</w:t>
      </w:r>
      <w:r w:rsidR="00776A08" w:rsidRPr="00F817FE">
        <w:rPr>
          <w:noProof/>
          <w:lang w:eastAsia="en-US"/>
        </w:rPr>
        <w:t xml:space="preserve"> 2013)</w:t>
      </w:r>
      <w:r w:rsidR="00776A08">
        <w:rPr>
          <w:lang w:eastAsia="en-US"/>
        </w:rPr>
        <w:fldChar w:fldCharType="end"/>
      </w:r>
      <w:r w:rsidR="00E377A9">
        <w:rPr>
          <w:color w:val="000000" w:themeColor="text1"/>
          <w:lang w:eastAsia="en-US"/>
        </w:rPr>
        <w:t xml:space="preserve">. The negative correlation between two SEC characteristics including; </w:t>
      </w:r>
      <w:r w:rsidR="00E377A9">
        <w:rPr>
          <w:i/>
          <w:color w:val="000000" w:themeColor="text1"/>
          <w:lang w:eastAsia="en-US"/>
        </w:rPr>
        <w:t xml:space="preserve">Duration, Letters, </w:t>
      </w:r>
      <w:r w:rsidR="00E377A9">
        <w:rPr>
          <w:color w:val="000000" w:themeColor="text1"/>
          <w:lang w:eastAsia="en-US"/>
        </w:rPr>
        <w:t xml:space="preserve">and </w:t>
      </w:r>
      <w:r w:rsidR="00E377A9">
        <w:rPr>
          <w:i/>
          <w:color w:val="000000" w:themeColor="text1"/>
          <w:lang w:eastAsia="en-US"/>
        </w:rPr>
        <w:t xml:space="preserve">Dodd-Frank </w:t>
      </w:r>
      <w:r w:rsidR="00E377A9">
        <w:rPr>
          <w:color w:val="000000" w:themeColor="text1"/>
          <w:lang w:eastAsia="en-US"/>
        </w:rPr>
        <w:t>is identified, consistent wit</w:t>
      </w:r>
      <w:r w:rsidR="00776A08">
        <w:rPr>
          <w:color w:val="000000" w:themeColor="text1"/>
          <w:lang w:eastAsia="en-US"/>
        </w:rPr>
        <w:t>h the key target</w:t>
      </w:r>
      <w:r w:rsidR="00E377A9">
        <w:rPr>
          <w:color w:val="000000" w:themeColor="text1"/>
          <w:lang w:eastAsia="en-US"/>
        </w:rPr>
        <w:t xml:space="preserve"> of Dodd-Frank 2010 </w:t>
      </w:r>
      <w:r w:rsidR="00776A08">
        <w:rPr>
          <w:color w:val="000000" w:themeColor="text1"/>
          <w:lang w:eastAsia="en-US"/>
        </w:rPr>
        <w:t>which is</w:t>
      </w:r>
      <w:r w:rsidR="00E377A9">
        <w:rPr>
          <w:color w:val="000000" w:themeColor="text1"/>
          <w:lang w:eastAsia="en-US"/>
        </w:rPr>
        <w:t xml:space="preserve"> enhancing the regulatory oversight to protect investors</w:t>
      </w:r>
      <w:r w:rsidR="00776A08">
        <w:rPr>
          <w:color w:val="000000" w:themeColor="text1"/>
          <w:lang w:eastAsia="en-US"/>
        </w:rPr>
        <w:t xml:space="preserve"> </w:t>
      </w:r>
      <w:r w:rsidR="00776A08" w:rsidRPr="00C42E92">
        <w:rPr>
          <w:lang w:eastAsia="en-US"/>
        </w:rPr>
        <w:fldChar w:fldCharType="begin" w:fldLock="1"/>
      </w:r>
      <w:r w:rsidR="00A611DF">
        <w:rPr>
          <w:lang w:eastAsia="en-US"/>
        </w:rPr>
        <w:instrText>ADDIN CSL_CITATION {"citationItems":[{"id":"ITEM-1","itemData":{"author":[{"dropping-particle":"","family":"WilmerHale","given":"","non-dropping-particle":"","parse-names":false,"suffix":""}],"container-title":"Wilmer Cutler Pickering Hale And Dorr LLP","id":"ITEM-1","issued":{"date-parts":[["2011"]]},"title":"2011 IPO Report","type":"article-journal"},"uris":["http://www.mendeley.com/documents/?uuid=61ce636d-2fea-498c-998c-ca90a508b676"]}],"mendeley":{"formattedCitation":"(WilmerHale, 2011)","plainTextFormattedCitation":"(WilmerHale, 2011)","previouslyFormattedCitation":"(WilmerHale, 2011)"},"properties":{"noteIndex":0},"schema":"https://github.com/citation-style-language/schema/raw/master/csl-citation.json"}</w:instrText>
      </w:r>
      <w:r w:rsidR="00776A08" w:rsidRPr="00C42E92">
        <w:rPr>
          <w:lang w:eastAsia="en-US"/>
        </w:rPr>
        <w:fldChar w:fldCharType="separate"/>
      </w:r>
      <w:r w:rsidR="00776A08" w:rsidRPr="00C42E92">
        <w:rPr>
          <w:noProof/>
          <w:lang w:eastAsia="en-US"/>
        </w:rPr>
        <w:t>(WilmerHale, 2011)</w:t>
      </w:r>
      <w:r w:rsidR="00776A08" w:rsidRPr="00C42E92">
        <w:rPr>
          <w:lang w:eastAsia="en-US"/>
        </w:rPr>
        <w:fldChar w:fldCharType="end"/>
      </w:r>
      <w:r w:rsidR="00E377A9">
        <w:rPr>
          <w:color w:val="000000" w:themeColor="text1"/>
          <w:lang w:eastAsia="en-US"/>
        </w:rPr>
        <w:t xml:space="preserve">. The correlation between two SEC characteristics including; </w:t>
      </w:r>
      <w:r w:rsidR="00E377A9">
        <w:rPr>
          <w:i/>
          <w:color w:val="000000" w:themeColor="text1"/>
          <w:lang w:eastAsia="en-US"/>
        </w:rPr>
        <w:t xml:space="preserve">Duration, Letters, </w:t>
      </w:r>
      <w:r w:rsidR="00E377A9">
        <w:rPr>
          <w:color w:val="000000" w:themeColor="text1"/>
          <w:lang w:eastAsia="en-US"/>
        </w:rPr>
        <w:t xml:space="preserve">and </w:t>
      </w:r>
      <w:r w:rsidR="00E377A9">
        <w:rPr>
          <w:i/>
          <w:color w:val="000000" w:themeColor="text1"/>
          <w:lang w:eastAsia="en-US"/>
        </w:rPr>
        <w:t xml:space="preserve">Financial crisis </w:t>
      </w:r>
      <w:r w:rsidR="00E377A9">
        <w:rPr>
          <w:color w:val="000000" w:themeColor="text1"/>
          <w:lang w:eastAsia="en-US"/>
        </w:rPr>
        <w:t xml:space="preserve">is positive, in line with </w:t>
      </w:r>
      <w:r w:rsidR="00A02079">
        <w:rPr>
          <w:color w:val="000000" w:themeColor="text1"/>
          <w:lang w:eastAsia="en-US"/>
        </w:rPr>
        <w:t xml:space="preserve">the </w:t>
      </w:r>
      <w:r w:rsidR="00776A08">
        <w:rPr>
          <w:color w:val="000000" w:themeColor="text1"/>
          <w:lang w:eastAsia="en-US"/>
        </w:rPr>
        <w:t xml:space="preserve">application of public interest theory and the findings </w:t>
      </w:r>
      <w:r w:rsidR="00E377A9">
        <w:rPr>
          <w:color w:val="000000" w:themeColor="text1"/>
          <w:lang w:eastAsia="en-US"/>
        </w:rPr>
        <w:t>of more regulatory scrutiny during financial crisis</w:t>
      </w:r>
      <w:r w:rsidR="00776A08">
        <w:rPr>
          <w:color w:val="000000" w:themeColor="text1"/>
          <w:lang w:eastAsia="en-US"/>
        </w:rPr>
        <w:t xml:space="preserve"> (</w:t>
      </w:r>
      <w:r w:rsidR="00776A08" w:rsidRPr="00F90E77">
        <w:fldChar w:fldCharType="begin" w:fldLock="1"/>
      </w:r>
      <w:r w:rsidR="00A611DF">
        <w:instrText>ADDIN CSL_CITATION {"citationItems":[{"id":"ITEM-1","itemData":{"author":[{"dropping-particle":"","family":"Blackburne","given":"Terrence","non-dropping-particle":"","parse-names":false,"suffix":""}],"container-title":"Working paper","id":"ITEM-1","issued":{"date-parts":[["2014"]]},"title":"Regulatory Oversight and Reporting Incentives: Evidence from SEC Budget Allocations Terrence","type":"article-journal"},"uris":["http://www.mendeley.com/documents/?uuid=9a5e3877-0197-49fd-9514-481934d4138a"]}],"mendeley":{"formattedCitation":"(Blackburne, 2014)","manualFormatting":"Blackburne, 2014","plainTextFormattedCitation":"(Blackburne, 2014)","previouslyFormattedCitation":"(Blackburne, 2014)"},"properties":{"noteIndex":0},"schema":"https://github.com/citation-style-language/schema/raw/master/csl-citation.json"}</w:instrText>
      </w:r>
      <w:r w:rsidR="00776A08" w:rsidRPr="00F90E77">
        <w:fldChar w:fldCharType="separate"/>
      </w:r>
      <w:r w:rsidR="00776A08" w:rsidRPr="00F90E77">
        <w:rPr>
          <w:noProof/>
        </w:rPr>
        <w:t>Black</w:t>
      </w:r>
      <w:r w:rsidR="00776A08">
        <w:rPr>
          <w:noProof/>
        </w:rPr>
        <w:t xml:space="preserve">burne, </w:t>
      </w:r>
      <w:r w:rsidR="00776A08" w:rsidRPr="00F90E77">
        <w:rPr>
          <w:noProof/>
        </w:rPr>
        <w:t>2014</w:t>
      </w:r>
      <w:r w:rsidR="00776A08" w:rsidRPr="00F90E77">
        <w:fldChar w:fldCharType="end"/>
      </w:r>
      <w:r w:rsidR="00776A08">
        <w:t xml:space="preserve">; </w:t>
      </w:r>
      <w:proofErr w:type="spellStart"/>
      <w:r w:rsidR="00776A08">
        <w:rPr>
          <w:color w:val="000000" w:themeColor="text1"/>
          <w:lang w:eastAsia="en-US"/>
        </w:rPr>
        <w:t>Colaco</w:t>
      </w:r>
      <w:proofErr w:type="spellEnd"/>
      <w:r w:rsidR="00776A08">
        <w:rPr>
          <w:color w:val="000000" w:themeColor="text1"/>
          <w:lang w:eastAsia="en-US"/>
        </w:rPr>
        <w:t xml:space="preserve"> et al., </w:t>
      </w:r>
      <w:r w:rsidR="00F57010">
        <w:rPr>
          <w:color w:val="000000" w:themeColor="text1"/>
          <w:lang w:eastAsia="en-US"/>
        </w:rPr>
        <w:t>2018</w:t>
      </w:r>
      <w:r w:rsidR="00776A08" w:rsidRPr="00776A08">
        <w:rPr>
          <w:color w:val="000000" w:themeColor="text1"/>
          <w:lang w:eastAsia="en-US"/>
        </w:rPr>
        <w:t>)</w:t>
      </w:r>
      <w:r w:rsidR="00E377A9">
        <w:rPr>
          <w:color w:val="000000" w:themeColor="text1"/>
          <w:lang w:eastAsia="en-US"/>
        </w:rPr>
        <w:t xml:space="preserve">. </w:t>
      </w:r>
    </w:p>
    <w:p w14:paraId="79EB93A3" w14:textId="34E35136" w:rsidR="00AF7A06" w:rsidRDefault="00E13AFB" w:rsidP="0030659B">
      <w:pPr>
        <w:spacing w:line="360" w:lineRule="auto"/>
        <w:jc w:val="both"/>
      </w:pPr>
      <w:r>
        <w:rPr>
          <w:color w:val="000000" w:themeColor="text1"/>
          <w:lang w:eastAsia="en-US"/>
        </w:rPr>
        <w:t>Regarding</w:t>
      </w:r>
      <w:r w:rsidR="00E377A9" w:rsidRPr="00776A08">
        <w:rPr>
          <w:color w:val="000000" w:themeColor="text1"/>
          <w:lang w:eastAsia="en-US"/>
        </w:rPr>
        <w:t xml:space="preserve"> industry characteristics, I observe a </w:t>
      </w:r>
      <w:r w:rsidR="00AF7A06" w:rsidRPr="00776A08">
        <w:rPr>
          <w:color w:val="000000" w:themeColor="text1"/>
          <w:lang w:eastAsia="en-US"/>
        </w:rPr>
        <w:t xml:space="preserve">negative correlation between all SEC review attributes and </w:t>
      </w:r>
      <w:r w:rsidR="00AF7A06" w:rsidRPr="00776A08">
        <w:rPr>
          <w:i/>
          <w:color w:val="000000" w:themeColor="text1"/>
          <w:lang w:eastAsia="en-US"/>
        </w:rPr>
        <w:t xml:space="preserve">IPOs by industry, </w:t>
      </w:r>
      <w:r w:rsidR="00AF7A06" w:rsidRPr="00776A08">
        <w:rPr>
          <w:color w:val="000000" w:themeColor="text1"/>
          <w:lang w:eastAsia="en-US"/>
        </w:rPr>
        <w:t xml:space="preserve">in agreement with </w:t>
      </w:r>
      <w:r>
        <w:rPr>
          <w:color w:val="000000" w:themeColor="text1"/>
          <w:lang w:eastAsia="en-US"/>
        </w:rPr>
        <w:t xml:space="preserve">the </w:t>
      </w:r>
      <w:r w:rsidR="00776A08" w:rsidRPr="00776A08">
        <w:t xml:space="preserve">assumption of economic interest group theory and </w:t>
      </w:r>
      <w:r w:rsidR="00776A08" w:rsidRPr="00776A08">
        <w:rPr>
          <w:lang w:eastAsia="en-US"/>
        </w:rPr>
        <w:t>behavioural effects stat</w:t>
      </w:r>
      <w:r w:rsidR="00776A08">
        <w:rPr>
          <w:lang w:eastAsia="en-US"/>
        </w:rPr>
        <w:t>ing</w:t>
      </w:r>
      <w:r>
        <w:rPr>
          <w:lang w:eastAsia="en-US"/>
        </w:rPr>
        <w:t xml:space="preserve"> that excessive </w:t>
      </w:r>
      <w:r w:rsidR="00776A08" w:rsidRPr="00776A08">
        <w:rPr>
          <w:lang w:eastAsia="en-US"/>
        </w:rPr>
        <w:t xml:space="preserve">workload could reduce the workers’ </w:t>
      </w:r>
      <w:r w:rsidR="00776A08" w:rsidRPr="00776A08">
        <w:rPr>
          <w:lang w:eastAsia="en-US"/>
        </w:rPr>
        <w:lastRenderedPageBreak/>
        <w:t>motivation and commitment</w:t>
      </w:r>
      <w:r w:rsidR="00776A08">
        <w:rPr>
          <w:color w:val="000000" w:themeColor="text1"/>
          <w:lang w:eastAsia="en-US"/>
        </w:rPr>
        <w:t>. T</w:t>
      </w:r>
      <w:r w:rsidR="00AF7A06" w:rsidRPr="00776A08">
        <w:rPr>
          <w:color w:val="000000" w:themeColor="text1"/>
          <w:lang w:eastAsia="en-US"/>
        </w:rPr>
        <w:t xml:space="preserve">he correlation between all SEC review attributes and </w:t>
      </w:r>
      <w:r w:rsidR="00AF7A06" w:rsidRPr="00776A08">
        <w:rPr>
          <w:i/>
        </w:rPr>
        <w:t xml:space="preserve">Herfindahl index </w:t>
      </w:r>
      <w:r w:rsidR="00AF7A06" w:rsidRPr="00776A08">
        <w:t>is positive, consistent with</w:t>
      </w:r>
      <w:r w:rsidR="00CF7703">
        <w:t xml:space="preserve"> the argument</w:t>
      </w:r>
      <w:r w:rsidR="00776A08">
        <w:t xml:space="preserve"> of higher information uncertainty in </w:t>
      </w:r>
      <w:r w:rsidR="00A611DF">
        <w:t xml:space="preserve">high-concentrated markets </w:t>
      </w:r>
      <w:r w:rsidR="00A611DF">
        <w:fldChar w:fldCharType="begin" w:fldLock="1"/>
      </w:r>
      <w:r w:rsidR="00A611DF">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et al., 2014)","plainTextFormattedCitation":"(Ali et al., 2014)","previouslyFormattedCitation":"(Ali et al., 2014)"},"properties":{"noteIndex":0},"schema":"https://github.com/citation-style-language/schema/raw/master/csl-citation.json"}</w:instrText>
      </w:r>
      <w:r w:rsidR="00A611DF">
        <w:fldChar w:fldCharType="separate"/>
      </w:r>
      <w:r w:rsidR="00A611DF" w:rsidRPr="00A611DF">
        <w:rPr>
          <w:noProof/>
        </w:rPr>
        <w:t>(Ali et al., 2014)</w:t>
      </w:r>
      <w:r w:rsidR="00A611DF">
        <w:fldChar w:fldCharType="end"/>
      </w:r>
      <w:r w:rsidR="00600B99">
        <w:rPr>
          <w:lang w:eastAsia="en-US"/>
        </w:rPr>
        <w:t xml:space="preserve">, suggesting more intense SEC scrutiny </w:t>
      </w:r>
      <w:r w:rsidR="00600B99">
        <w:rPr>
          <w:noProof/>
          <w:lang w:eastAsia="en-US"/>
        </w:rPr>
        <w:t>(</w:t>
      </w:r>
      <w:r w:rsidR="00600B99" w:rsidRPr="005F78FD">
        <w:rPr>
          <w:noProof/>
          <w:lang w:eastAsia="en-US"/>
        </w:rPr>
        <w:t xml:space="preserve"> </w:t>
      </w:r>
      <w:r w:rsidR="00600B99">
        <w:rPr>
          <w:noProof/>
          <w:lang w:eastAsia="en-US"/>
        </w:rPr>
        <w:t xml:space="preserve">Ertimur &amp; Nondorf, 2006; </w:t>
      </w:r>
      <w:r w:rsidR="00600B99" w:rsidRPr="005F78FD">
        <w:rPr>
          <w:noProof/>
          <w:lang w:eastAsia="en-US"/>
        </w:rPr>
        <w:t>Chen &amp; John</w:t>
      </w:r>
      <w:r w:rsidR="00600B99">
        <w:rPr>
          <w:noProof/>
          <w:lang w:eastAsia="en-US"/>
        </w:rPr>
        <w:t>ston, 2010; Colaco et al., 2017)</w:t>
      </w:r>
      <w:r w:rsidR="00600B99">
        <w:t xml:space="preserve">. </w:t>
      </w:r>
      <w:r w:rsidR="00AF7A06" w:rsidRPr="00776A08">
        <w:t xml:space="preserve">A positive correlation between two SEC review attributes including; </w:t>
      </w:r>
      <w:r w:rsidR="00AF7A06" w:rsidRPr="00776A08">
        <w:rPr>
          <w:i/>
        </w:rPr>
        <w:t xml:space="preserve">Letters, Comments, </w:t>
      </w:r>
      <w:r w:rsidR="00AF7A06" w:rsidRPr="00776A08">
        <w:t xml:space="preserve">and </w:t>
      </w:r>
      <w:r w:rsidR="00AF7A06" w:rsidRPr="00776A08">
        <w:rPr>
          <w:i/>
        </w:rPr>
        <w:t xml:space="preserve">Technology </w:t>
      </w:r>
      <w:r w:rsidR="00AF7A06" w:rsidRPr="00776A08">
        <w:t>is identified, in line wi</w:t>
      </w:r>
      <w:r w:rsidR="007650A9" w:rsidRPr="00776A08">
        <w:t>t</w:t>
      </w:r>
      <w:r w:rsidR="00AF7A06" w:rsidRPr="00776A08">
        <w:t xml:space="preserve">h </w:t>
      </w:r>
      <w:r w:rsidR="00CF7703">
        <w:t>the argument of higher information uncertainty in</w:t>
      </w:r>
      <w:r>
        <w:t xml:space="preserve"> the</w:t>
      </w:r>
      <w:r w:rsidR="00CF7703">
        <w:t xml:space="preserve"> </w:t>
      </w:r>
      <w:r w:rsidR="005A46EE">
        <w:t>technology industries</w:t>
      </w:r>
      <w:r w:rsidR="00CF7703">
        <w:t xml:space="preserve"> (</w:t>
      </w:r>
      <w:r w:rsidR="00CF7703">
        <w:rPr>
          <w:i/>
          <w:lang w:eastAsia="en-US"/>
        </w:rPr>
        <w:fldChar w:fldCharType="begin" w:fldLock="1"/>
      </w:r>
      <w:r w:rsidR="00A611DF">
        <w:rPr>
          <w:i/>
          <w:lang w:eastAsia="en-US"/>
        </w:rPr>
        <w:instrText>ADDIN CSL_CITATION {"citationItems":[{"id":"ITEM-1","itemData":{"DOI":"10.1093/rfs/hhn039","ISSN":"08939454","abstract":"Over the past forty years, the volatility of the average stock return has drastically outpaced total market volatility. Thus, idiosyncratic return volatility has dramatically increased. We estimate this increase to be 6% per year. Consistent with an efficient market, we show that this result is mirrored by an increase in the idiosyncratic volatility of fundamental cash flows. We argue that these findings are attributable to more intense economy-wide competition. Various cross-sectional and time-series tests support this idea. Economic competitiveness facilitates reinterpretation of the results from previous studies.","author":[{"dropping-particle":"","family":"Irvine","given":"P. J.","non-dropping-particle":"","parse-names":false,"suffix":""},{"dropping-particle":"","family":"Pontiff","given":"J.","non-dropping-particle":"","parse-names":false,"suffix":""}],"container-title":"Review of Financial Studies","id":"ITEM-1","issue":"3","issued":{"date-parts":[["2009"]]},"page":"1149-1177","title":"Idiosyncratic return volatility, cash flows, and product market competition","type":"article-journal","volume":"22"},"uris":["http://www.mendeley.com/documents/?uuid=678993ba-339f-4fbb-baf0-dc1b240753b5","http://www.mendeley.com/documents/?uuid=88faa0e0-100c-48c3-a6fe-1b8cfb4ea45e"]}],"mendeley":{"formattedCitation":"(Irvine &amp; Pontiff, 2009)","manualFormatting":"Chahine et al., 2015; Colaco et al.; 2017)","plainTextFormattedCitation":"(Irvine &amp; Pontiff, 2009)","previouslyFormattedCitation":"(Irvine &amp; Pontiff, 2009)"},"properties":{"noteIndex":0},"schema":"https://github.com/citation-style-language/schema/raw/master/csl-citation.json"}</w:instrText>
      </w:r>
      <w:r w:rsidR="00CF7703">
        <w:rPr>
          <w:i/>
          <w:lang w:eastAsia="en-US"/>
        </w:rPr>
        <w:fldChar w:fldCharType="separate"/>
      </w:r>
      <w:r w:rsidR="00CF7703">
        <w:rPr>
          <w:noProof/>
          <w:lang w:eastAsia="en-US"/>
        </w:rPr>
        <w:t xml:space="preserve">Chahine et al., </w:t>
      </w:r>
      <w:r w:rsidR="00CF7703" w:rsidRPr="00FD5570">
        <w:rPr>
          <w:noProof/>
          <w:lang w:eastAsia="en-US"/>
        </w:rPr>
        <w:t>2015</w:t>
      </w:r>
      <w:r w:rsidR="00CF7703">
        <w:rPr>
          <w:noProof/>
          <w:lang w:eastAsia="en-US"/>
        </w:rPr>
        <w:t xml:space="preserve">; </w:t>
      </w:r>
      <w:r w:rsidR="00CF7703">
        <w:rPr>
          <w:noProof/>
        </w:rPr>
        <w:t xml:space="preserve">Colaco et al.; </w:t>
      </w:r>
      <w:r w:rsidR="00CF7703" w:rsidRPr="00667A16">
        <w:rPr>
          <w:noProof/>
        </w:rPr>
        <w:t>2017</w:t>
      </w:r>
      <w:r w:rsidR="00CF7703" w:rsidRPr="006F229B">
        <w:rPr>
          <w:noProof/>
          <w:lang w:eastAsia="en-US"/>
        </w:rPr>
        <w:t>)</w:t>
      </w:r>
      <w:r w:rsidR="00CF7703">
        <w:rPr>
          <w:i/>
          <w:lang w:eastAsia="en-US"/>
        </w:rPr>
        <w:fldChar w:fldCharType="end"/>
      </w:r>
      <w:r w:rsidR="00CF7703">
        <w:rPr>
          <w:lang w:eastAsia="en-US"/>
        </w:rPr>
        <w:t xml:space="preserve">, suggesting more intense SEC scrutiny </w:t>
      </w:r>
      <w:r w:rsidR="00CF7703">
        <w:rPr>
          <w:noProof/>
          <w:lang w:eastAsia="en-US"/>
        </w:rPr>
        <w:t>(</w:t>
      </w:r>
      <w:r w:rsidR="00CF7703" w:rsidRPr="005F78FD">
        <w:rPr>
          <w:noProof/>
          <w:lang w:eastAsia="en-US"/>
        </w:rPr>
        <w:t xml:space="preserve"> </w:t>
      </w:r>
      <w:r w:rsidR="00CF7703">
        <w:rPr>
          <w:noProof/>
          <w:lang w:eastAsia="en-US"/>
        </w:rPr>
        <w:t xml:space="preserve">Ertimur &amp; Nondorf, 2006; </w:t>
      </w:r>
      <w:r w:rsidR="00CF7703" w:rsidRPr="005F78FD">
        <w:rPr>
          <w:noProof/>
          <w:lang w:eastAsia="en-US"/>
        </w:rPr>
        <w:t>Chen &amp; John</w:t>
      </w:r>
      <w:r w:rsidR="00F57010">
        <w:rPr>
          <w:noProof/>
          <w:lang w:eastAsia="en-US"/>
        </w:rPr>
        <w:t>ston, 2010; Colaco et al., 2018</w:t>
      </w:r>
      <w:r w:rsidR="00CF7703">
        <w:rPr>
          <w:noProof/>
          <w:lang w:eastAsia="en-US"/>
        </w:rPr>
        <w:t>)</w:t>
      </w:r>
      <w:r w:rsidR="00CF7703">
        <w:t>.</w:t>
      </w:r>
    </w:p>
    <w:p w14:paraId="7493E616" w14:textId="1C81D514" w:rsidR="008849B7" w:rsidRPr="008849B7" w:rsidRDefault="008849B7" w:rsidP="0030659B">
      <w:pPr>
        <w:spacing w:line="360" w:lineRule="auto"/>
        <w:jc w:val="both"/>
        <w:rPr>
          <w:i/>
        </w:rPr>
      </w:pPr>
      <w:r w:rsidRPr="00776A08">
        <w:t xml:space="preserve">Regarding the SEC characteristics, I observe a negative correlation between </w:t>
      </w:r>
      <w:r w:rsidRPr="00776A08">
        <w:rPr>
          <w:i/>
        </w:rPr>
        <w:t xml:space="preserve">Duration </w:t>
      </w:r>
      <w:r w:rsidRPr="00776A08">
        <w:t xml:space="preserve">and </w:t>
      </w:r>
      <w:r w:rsidRPr="00776A08">
        <w:rPr>
          <w:i/>
        </w:rPr>
        <w:t>Directors/Chiefs</w:t>
      </w:r>
      <w:r w:rsidRPr="00776A08">
        <w:t xml:space="preserve">, </w:t>
      </w:r>
      <w:r w:rsidR="00CF7703">
        <w:rPr>
          <w:lang w:eastAsia="en-US"/>
        </w:rPr>
        <w:t xml:space="preserve">in line with the findings of </w:t>
      </w:r>
      <w:r w:rsidR="00CF7703"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CF7703" w:rsidRPr="000912EF">
        <w:rPr>
          <w:lang w:eastAsia="en-US"/>
        </w:rPr>
        <w:fldChar w:fldCharType="separate"/>
      </w:r>
      <w:r w:rsidR="00CF7703" w:rsidRPr="000912EF">
        <w:rPr>
          <w:noProof/>
          <w:lang w:eastAsia="en-US"/>
        </w:rPr>
        <w:t>Baugh et al. (2017)</w:t>
      </w:r>
      <w:r w:rsidR="00CF7703" w:rsidRPr="000912EF">
        <w:rPr>
          <w:lang w:eastAsia="en-US"/>
        </w:rPr>
        <w:fldChar w:fldCharType="end"/>
      </w:r>
      <w:r w:rsidR="00CF7703">
        <w:rPr>
          <w:lang w:eastAsia="en-US"/>
        </w:rPr>
        <w:t xml:space="preserve"> and the assumption of personal experience of the individual style effects theory</w:t>
      </w:r>
      <w:r w:rsidRPr="00776A08">
        <w:t xml:space="preserve">. The correlation between two SEC review attributes including; </w:t>
      </w:r>
      <w:r w:rsidRPr="00776A08">
        <w:rPr>
          <w:i/>
        </w:rPr>
        <w:t xml:space="preserve">Letters, Comments, </w:t>
      </w:r>
      <w:r w:rsidRPr="00776A08">
        <w:t xml:space="preserve">and </w:t>
      </w:r>
      <w:r w:rsidRPr="00776A08">
        <w:rPr>
          <w:i/>
        </w:rPr>
        <w:t xml:space="preserve">Accountant </w:t>
      </w:r>
      <w:r w:rsidRPr="00776A08">
        <w:t xml:space="preserve">is negative, consistent with </w:t>
      </w:r>
      <w:r w:rsidR="00CF7703">
        <w:rPr>
          <w:lang w:eastAsia="en-US"/>
        </w:rPr>
        <w:t>expertise assumption in theory of individual style effects and</w:t>
      </w:r>
      <w:r w:rsidR="00CF7703">
        <w:t xml:space="preserve"> the arguments</w:t>
      </w:r>
      <w:r w:rsidRPr="00776A08">
        <w:t xml:space="preserve"> of less accounting information in S-1 filing</w:t>
      </w:r>
      <w:r w:rsidR="00CF7703">
        <w:t xml:space="preserve"> which could lead to less intense review conducted by the account reviewers, who mainly focus on accounting information (</w:t>
      </w:r>
      <w:r w:rsidR="00CF7703"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CF7703" w:rsidRPr="000912EF">
        <w:rPr>
          <w:lang w:eastAsia="en-US"/>
        </w:rPr>
        <w:fldChar w:fldCharType="separate"/>
      </w:r>
      <w:r w:rsidR="00CF7703">
        <w:rPr>
          <w:noProof/>
          <w:lang w:eastAsia="en-US"/>
        </w:rPr>
        <w:t xml:space="preserve">Baugh et al., </w:t>
      </w:r>
      <w:r w:rsidR="00CF7703" w:rsidRPr="000912EF">
        <w:rPr>
          <w:noProof/>
          <w:lang w:eastAsia="en-US"/>
        </w:rPr>
        <w:t>2017)</w:t>
      </w:r>
      <w:r w:rsidR="00CF7703" w:rsidRPr="000912EF">
        <w:rPr>
          <w:lang w:eastAsia="en-US"/>
        </w:rPr>
        <w:fldChar w:fldCharType="end"/>
      </w:r>
      <w:r w:rsidR="00CF7703">
        <w:rPr>
          <w:i/>
        </w:rPr>
        <w:t xml:space="preserve"> </w:t>
      </w:r>
    </w:p>
    <w:p w14:paraId="27227039" w14:textId="5BF761DE" w:rsidR="001D2859" w:rsidRPr="001D2859" w:rsidRDefault="001D2859" w:rsidP="001D2859">
      <w:pPr>
        <w:pStyle w:val="ListParagraph"/>
        <w:ind w:left="360"/>
        <w:jc w:val="center"/>
        <w:rPr>
          <w:b/>
          <w:lang w:eastAsia="en-US"/>
        </w:rPr>
      </w:pPr>
      <w:r>
        <w:rPr>
          <w:b/>
          <w:lang w:eastAsia="en-US"/>
        </w:rPr>
        <w:t xml:space="preserve">[Insert Table </w:t>
      </w:r>
      <w:r w:rsidR="00174399">
        <w:rPr>
          <w:b/>
          <w:lang w:eastAsia="en-US"/>
        </w:rPr>
        <w:t>6</w:t>
      </w:r>
      <w:r>
        <w:rPr>
          <w:b/>
          <w:lang w:eastAsia="en-US"/>
        </w:rPr>
        <w:t xml:space="preserve"> about here]</w:t>
      </w:r>
    </w:p>
    <w:p w14:paraId="49120B5A" w14:textId="77777777" w:rsidR="001D2859" w:rsidRPr="001D2859" w:rsidRDefault="001D2859" w:rsidP="001D2859">
      <w:pPr>
        <w:spacing w:line="360" w:lineRule="auto"/>
        <w:jc w:val="both"/>
        <w:rPr>
          <w:color w:val="000000" w:themeColor="text1"/>
          <w:lang w:eastAsia="en-US"/>
        </w:rPr>
      </w:pPr>
    </w:p>
    <w:p w14:paraId="16DACFF1" w14:textId="40684645" w:rsidR="00977465" w:rsidRDefault="00153963" w:rsidP="00977465">
      <w:pPr>
        <w:pStyle w:val="ListParagraph"/>
        <w:numPr>
          <w:ilvl w:val="0"/>
          <w:numId w:val="1"/>
        </w:numPr>
        <w:spacing w:line="360" w:lineRule="auto"/>
        <w:jc w:val="both"/>
        <w:outlineLvl w:val="0"/>
        <w:rPr>
          <w:b/>
          <w:lang w:eastAsia="en-US"/>
        </w:rPr>
      </w:pPr>
      <w:bookmarkStart w:id="35" w:name="_Toc9185803"/>
      <w:r>
        <w:rPr>
          <w:b/>
          <w:lang w:eastAsia="en-US"/>
        </w:rPr>
        <w:t xml:space="preserve">Univariate </w:t>
      </w:r>
      <w:r w:rsidR="00EF78F3" w:rsidRPr="000912EF">
        <w:rPr>
          <w:b/>
          <w:lang w:eastAsia="en-US"/>
        </w:rPr>
        <w:t>Analysis</w:t>
      </w:r>
      <w:bookmarkEnd w:id="35"/>
    </w:p>
    <w:p w14:paraId="7B5CA067" w14:textId="682B911B" w:rsidR="00977465" w:rsidRPr="00977465" w:rsidRDefault="00D142DF" w:rsidP="0030659B">
      <w:pPr>
        <w:spacing w:line="360" w:lineRule="auto"/>
        <w:jc w:val="both"/>
        <w:rPr>
          <w:lang w:eastAsia="en-US"/>
        </w:rPr>
      </w:pPr>
      <w:r>
        <w:rPr>
          <w:lang w:eastAsia="en-US"/>
        </w:rPr>
        <w:t>I conduct u</w:t>
      </w:r>
      <w:r w:rsidR="00977465">
        <w:rPr>
          <w:lang w:eastAsia="en-US"/>
        </w:rPr>
        <w:t xml:space="preserve">nivariate </w:t>
      </w:r>
      <w:r w:rsidR="00E13AFB">
        <w:rPr>
          <w:lang w:eastAsia="en-US"/>
        </w:rPr>
        <w:t>analyses</w:t>
      </w:r>
      <w:r w:rsidR="00977465">
        <w:rPr>
          <w:lang w:eastAsia="en-US"/>
        </w:rPr>
        <w:t xml:space="preserve"> </w:t>
      </w:r>
      <w:proofErr w:type="gramStart"/>
      <w:r>
        <w:rPr>
          <w:lang w:eastAsia="en-US"/>
        </w:rPr>
        <w:t>in order to</w:t>
      </w:r>
      <w:proofErr w:type="gramEnd"/>
      <w:r>
        <w:rPr>
          <w:lang w:eastAsia="en-US"/>
        </w:rPr>
        <w:t xml:space="preserve"> </w:t>
      </w:r>
      <w:r w:rsidR="00977465">
        <w:rPr>
          <w:lang w:eastAsia="en-US"/>
        </w:rPr>
        <w:t xml:space="preserve">provide initial evidence about the impact of IPO firm’s characteristics, </w:t>
      </w:r>
      <w:r w:rsidR="00D92D32">
        <w:rPr>
          <w:lang w:eastAsia="en-US"/>
        </w:rPr>
        <w:t>incidences</w:t>
      </w:r>
      <w:r w:rsidR="00977465">
        <w:rPr>
          <w:lang w:eastAsia="en-US"/>
        </w:rPr>
        <w:t xml:space="preserve">, industry/market characteristics and the SEC’s characteristics on the SEC review of S-1 filings. </w:t>
      </w:r>
      <w:r>
        <w:rPr>
          <w:lang w:eastAsia="en-US"/>
        </w:rPr>
        <w:t>Particularly, the univariate analysis is employed to examine wh</w:t>
      </w:r>
      <w:r w:rsidR="00451E3E">
        <w:rPr>
          <w:lang w:eastAsia="en-US"/>
        </w:rPr>
        <w:t>ether significant differences in</w:t>
      </w:r>
      <w:r>
        <w:rPr>
          <w:lang w:eastAsia="en-US"/>
        </w:rPr>
        <w:t xml:space="preserve"> the SEC review attributes </w:t>
      </w:r>
      <w:r w:rsidR="00451E3E">
        <w:rPr>
          <w:lang w:eastAsia="en-US"/>
        </w:rPr>
        <w:t xml:space="preserve">exist </w:t>
      </w:r>
      <w:r>
        <w:rPr>
          <w:lang w:eastAsia="en-US"/>
        </w:rPr>
        <w:t>between two distinct groups of the determinants of the SEC review by applying both parametric t-test and nonparametric Wilcoxon signed-rank test</w:t>
      </w:r>
      <w:r w:rsidR="00960A70">
        <w:rPr>
          <w:lang w:eastAsia="en-US"/>
        </w:rPr>
        <w:t>. I also employ univariate linear regression to examine the relationship between the SEC review attributes and their determinants.</w:t>
      </w:r>
      <w:r>
        <w:rPr>
          <w:lang w:eastAsia="en-US"/>
        </w:rPr>
        <w:t xml:space="preserve"> </w:t>
      </w:r>
    </w:p>
    <w:p w14:paraId="4EA788EE" w14:textId="2D078ED8" w:rsidR="00F410DD" w:rsidRDefault="00F410DD" w:rsidP="00F410DD">
      <w:pPr>
        <w:pStyle w:val="ListParagraph"/>
        <w:numPr>
          <w:ilvl w:val="1"/>
          <w:numId w:val="1"/>
        </w:numPr>
        <w:spacing w:line="360" w:lineRule="auto"/>
        <w:jc w:val="both"/>
        <w:outlineLvl w:val="1"/>
        <w:rPr>
          <w:b/>
          <w:lang w:eastAsia="en-US"/>
        </w:rPr>
      </w:pPr>
      <w:bookmarkStart w:id="36" w:name="_Toc9185804"/>
      <w:r w:rsidRPr="000912EF">
        <w:rPr>
          <w:b/>
          <w:lang w:eastAsia="en-US"/>
        </w:rPr>
        <w:t>IPO firms’ characteristics</w:t>
      </w:r>
      <w:bookmarkEnd w:id="36"/>
    </w:p>
    <w:p w14:paraId="40902F68" w14:textId="0B201032" w:rsidR="009F7296" w:rsidRDefault="00960A70" w:rsidP="0030659B">
      <w:pPr>
        <w:spacing w:line="360" w:lineRule="auto"/>
        <w:jc w:val="both"/>
        <w:rPr>
          <w:lang w:eastAsia="en-US"/>
        </w:rPr>
      </w:pPr>
      <w:r>
        <w:rPr>
          <w:lang w:eastAsia="en-US"/>
        </w:rPr>
        <w:t xml:space="preserve">Table </w:t>
      </w:r>
      <w:r w:rsidR="00174399">
        <w:rPr>
          <w:lang w:eastAsia="en-US"/>
        </w:rPr>
        <w:t>7</w:t>
      </w:r>
      <w:r>
        <w:rPr>
          <w:lang w:eastAsia="en-US"/>
        </w:rPr>
        <w:t xml:space="preserve"> presents the univariate tests of the impact of IPO firms’ characteristics on the SEC review attributes. Regarding </w:t>
      </w:r>
      <w:r>
        <w:rPr>
          <w:i/>
          <w:lang w:eastAsia="en-US"/>
        </w:rPr>
        <w:t xml:space="preserve">Restructuring, </w:t>
      </w:r>
      <w:r w:rsidRPr="00960A70">
        <w:rPr>
          <w:lang w:eastAsia="en-US"/>
        </w:rPr>
        <w:t>Panel A</w:t>
      </w:r>
      <w:r w:rsidR="000406B4">
        <w:rPr>
          <w:lang w:eastAsia="en-US"/>
        </w:rPr>
        <w:t xml:space="preserve"> in</w:t>
      </w:r>
      <w:r w:rsidRPr="00960A70">
        <w:rPr>
          <w:lang w:eastAsia="en-US"/>
        </w:rPr>
        <w:t xml:space="preserve"> Table </w:t>
      </w:r>
      <w:r w:rsidR="00174399">
        <w:rPr>
          <w:lang w:eastAsia="en-US"/>
        </w:rPr>
        <w:t>7</w:t>
      </w:r>
      <w:r w:rsidRPr="00960A70">
        <w:rPr>
          <w:lang w:eastAsia="en-US"/>
        </w:rPr>
        <w:t xml:space="preserve"> show</w:t>
      </w:r>
      <w:r>
        <w:rPr>
          <w:lang w:eastAsia="en-US"/>
        </w:rPr>
        <w:t>s</w:t>
      </w:r>
      <w:r w:rsidRPr="00960A70">
        <w:rPr>
          <w:lang w:eastAsia="en-US"/>
        </w:rPr>
        <w:t xml:space="preserve"> </w:t>
      </w:r>
      <w:r>
        <w:rPr>
          <w:lang w:eastAsia="en-US"/>
        </w:rPr>
        <w:t xml:space="preserve">that </w:t>
      </w:r>
      <w:r w:rsidR="00944C92">
        <w:rPr>
          <w:lang w:eastAsia="en-US"/>
        </w:rPr>
        <w:t xml:space="preserve">the t-test of difference in means of </w:t>
      </w:r>
      <w:r w:rsidR="00944C92">
        <w:rPr>
          <w:i/>
          <w:lang w:eastAsia="en-US"/>
        </w:rPr>
        <w:t xml:space="preserve">Letters </w:t>
      </w:r>
      <w:r w:rsidR="00944C92">
        <w:rPr>
          <w:lang w:eastAsia="en-US"/>
        </w:rPr>
        <w:t>between restructuring firms (</w:t>
      </w:r>
      <w:r w:rsidR="00944C92">
        <w:rPr>
          <w:i/>
          <w:lang w:eastAsia="en-US"/>
        </w:rPr>
        <w:t xml:space="preserve">Restructuring = 1) </w:t>
      </w:r>
      <w:r w:rsidR="00944C92">
        <w:rPr>
          <w:lang w:eastAsia="en-US"/>
        </w:rPr>
        <w:t>and non-restructuring firm (</w:t>
      </w:r>
      <w:r w:rsidR="00944C92">
        <w:rPr>
          <w:i/>
          <w:lang w:eastAsia="en-US"/>
        </w:rPr>
        <w:t xml:space="preserve">Restructuring = 0) </w:t>
      </w:r>
      <w:r w:rsidR="00794DBA">
        <w:rPr>
          <w:lang w:eastAsia="en-US"/>
        </w:rPr>
        <w:t>are highly significant</w:t>
      </w:r>
      <w:r w:rsidR="00944C92">
        <w:rPr>
          <w:lang w:eastAsia="en-US"/>
        </w:rPr>
        <w:t xml:space="preserve"> at 1% as the difference in median of </w:t>
      </w:r>
      <w:r w:rsidR="00944C92">
        <w:rPr>
          <w:i/>
          <w:lang w:eastAsia="en-US"/>
        </w:rPr>
        <w:t xml:space="preserve">Letters </w:t>
      </w:r>
      <w:r w:rsidR="00944C92">
        <w:rPr>
          <w:lang w:eastAsia="en-US"/>
        </w:rPr>
        <w:t>based on</w:t>
      </w:r>
      <w:r w:rsidR="00DD0B5E">
        <w:rPr>
          <w:lang w:eastAsia="en-US"/>
        </w:rPr>
        <w:t xml:space="preserve"> Wilcoxon signed-rank test</w:t>
      </w:r>
      <w:r w:rsidR="00944C92">
        <w:rPr>
          <w:lang w:eastAsia="en-US"/>
        </w:rPr>
        <w:t xml:space="preserve">. Particularly, mean of </w:t>
      </w:r>
      <w:r w:rsidR="00944C92">
        <w:rPr>
          <w:i/>
          <w:lang w:eastAsia="en-US"/>
        </w:rPr>
        <w:t xml:space="preserve">Letters </w:t>
      </w:r>
      <w:r w:rsidR="00944C92">
        <w:rPr>
          <w:lang w:eastAsia="en-US"/>
        </w:rPr>
        <w:t>in the group of restructuring firms is higher than</w:t>
      </w:r>
      <w:r w:rsidR="001F07EF">
        <w:rPr>
          <w:lang w:eastAsia="en-US"/>
        </w:rPr>
        <w:t xml:space="preserve"> that</w:t>
      </w:r>
      <w:r w:rsidR="00944C92">
        <w:rPr>
          <w:lang w:eastAsia="en-US"/>
        </w:rPr>
        <w:t xml:space="preserve"> in the group of non-restructuring firm</w:t>
      </w:r>
      <w:r w:rsidR="001F07EF">
        <w:rPr>
          <w:lang w:eastAsia="en-US"/>
        </w:rPr>
        <w:t>s, meanwhile, t</w:t>
      </w:r>
      <w:r w:rsidR="00DD0B5E">
        <w:rPr>
          <w:lang w:eastAsia="en-US"/>
        </w:rPr>
        <w:t xml:space="preserve">he median of </w:t>
      </w:r>
      <w:r w:rsidR="00DD0B5E">
        <w:rPr>
          <w:i/>
          <w:lang w:eastAsia="en-US"/>
        </w:rPr>
        <w:t xml:space="preserve">Letters </w:t>
      </w:r>
      <w:r w:rsidR="00DD0B5E">
        <w:rPr>
          <w:lang w:eastAsia="en-US"/>
        </w:rPr>
        <w:t xml:space="preserve">in the group of restructuring firms is equal </w:t>
      </w:r>
      <w:r w:rsidR="001F07EF">
        <w:rPr>
          <w:lang w:eastAsia="en-US"/>
        </w:rPr>
        <w:t xml:space="preserve">that </w:t>
      </w:r>
      <w:r w:rsidR="00DD0B5E">
        <w:rPr>
          <w:lang w:eastAsia="en-US"/>
        </w:rPr>
        <w:t>in the g</w:t>
      </w:r>
      <w:r w:rsidR="001F07EF">
        <w:rPr>
          <w:lang w:eastAsia="en-US"/>
        </w:rPr>
        <w:t xml:space="preserve">roup of non-restructuring firms. </w:t>
      </w:r>
      <w:r w:rsidR="00DD0B5E">
        <w:rPr>
          <w:lang w:eastAsia="en-US"/>
        </w:rPr>
        <w:t xml:space="preserve">The parametric results indicate that firms conducting restructuring activities receive more comment letters from </w:t>
      </w:r>
      <w:r w:rsidR="00DD0B5E">
        <w:rPr>
          <w:lang w:eastAsia="en-US"/>
        </w:rPr>
        <w:lastRenderedPageBreak/>
        <w:t xml:space="preserve">the SEC. On the contrary, I observe no difference in both </w:t>
      </w:r>
      <w:r w:rsidR="00DD0B5E">
        <w:rPr>
          <w:i/>
          <w:lang w:eastAsia="en-US"/>
        </w:rPr>
        <w:t xml:space="preserve">Duration </w:t>
      </w:r>
      <w:r w:rsidR="00DD0B5E">
        <w:rPr>
          <w:lang w:eastAsia="en-US"/>
        </w:rPr>
        <w:t xml:space="preserve">and </w:t>
      </w:r>
      <w:r w:rsidR="00DD0B5E">
        <w:rPr>
          <w:i/>
          <w:lang w:eastAsia="en-US"/>
        </w:rPr>
        <w:t xml:space="preserve">Comments </w:t>
      </w:r>
      <w:r w:rsidR="00DD0B5E">
        <w:rPr>
          <w:lang w:eastAsia="en-US"/>
        </w:rPr>
        <w:t xml:space="preserve">between restructuring firms and non-restructuring firm in </w:t>
      </w:r>
      <w:r w:rsidR="00CB3B3A">
        <w:rPr>
          <w:lang w:eastAsia="en-US"/>
        </w:rPr>
        <w:t>terms</w:t>
      </w:r>
      <w:r w:rsidR="00DD0B5E">
        <w:rPr>
          <w:lang w:eastAsia="en-US"/>
        </w:rPr>
        <w:t xml:space="preserve"> of both parametric and non-parametric analysis. </w:t>
      </w:r>
    </w:p>
    <w:p w14:paraId="1A91CD54" w14:textId="4AF408C6" w:rsidR="009944D7" w:rsidRDefault="00DD0B5E" w:rsidP="0030659B">
      <w:pPr>
        <w:spacing w:line="360" w:lineRule="auto"/>
        <w:jc w:val="both"/>
        <w:rPr>
          <w:lang w:eastAsia="en-US"/>
        </w:rPr>
      </w:pPr>
      <w:r>
        <w:rPr>
          <w:lang w:eastAsia="en-US"/>
        </w:rPr>
        <w:t xml:space="preserve">Regarding </w:t>
      </w:r>
      <w:r>
        <w:rPr>
          <w:i/>
          <w:lang w:eastAsia="en-US"/>
        </w:rPr>
        <w:t>M&amp;A</w:t>
      </w:r>
      <w:r>
        <w:rPr>
          <w:lang w:eastAsia="en-US"/>
        </w:rPr>
        <w:t>, Panel B</w:t>
      </w:r>
      <w:r w:rsidR="000406B4">
        <w:rPr>
          <w:lang w:eastAsia="en-US"/>
        </w:rPr>
        <w:t xml:space="preserve"> in</w:t>
      </w:r>
      <w:r>
        <w:rPr>
          <w:lang w:eastAsia="en-US"/>
        </w:rPr>
        <w:t xml:space="preserve"> Table </w:t>
      </w:r>
      <w:r w:rsidR="00174399">
        <w:rPr>
          <w:lang w:eastAsia="en-US"/>
        </w:rPr>
        <w:t>7</w:t>
      </w:r>
      <w:r>
        <w:rPr>
          <w:lang w:eastAsia="en-US"/>
        </w:rPr>
        <w:t xml:space="preserve"> presents that </w:t>
      </w:r>
      <w:r w:rsidR="00794DBA">
        <w:rPr>
          <w:lang w:eastAsia="en-US"/>
        </w:rPr>
        <w:t xml:space="preserve">t-test of difference in means of </w:t>
      </w:r>
      <w:r w:rsidR="00794DBA">
        <w:rPr>
          <w:i/>
          <w:lang w:eastAsia="en-US"/>
        </w:rPr>
        <w:t>Duration</w:t>
      </w:r>
      <w:r w:rsidR="006C1B53">
        <w:rPr>
          <w:i/>
          <w:lang w:eastAsia="en-US"/>
        </w:rPr>
        <w:t xml:space="preserve"> </w:t>
      </w:r>
      <w:r w:rsidR="006C1B53">
        <w:rPr>
          <w:lang w:eastAsia="en-US"/>
        </w:rPr>
        <w:t xml:space="preserve">and </w:t>
      </w:r>
      <w:r w:rsidR="006C1B53">
        <w:rPr>
          <w:i/>
          <w:lang w:eastAsia="en-US"/>
        </w:rPr>
        <w:t>Comments</w:t>
      </w:r>
      <w:r w:rsidR="00794DBA">
        <w:rPr>
          <w:i/>
          <w:lang w:eastAsia="en-US"/>
        </w:rPr>
        <w:t xml:space="preserve"> </w:t>
      </w:r>
      <w:r w:rsidR="00794DBA">
        <w:rPr>
          <w:lang w:eastAsia="en-US"/>
        </w:rPr>
        <w:t>between M&amp;A firms (</w:t>
      </w:r>
      <w:r w:rsidR="00794DBA">
        <w:rPr>
          <w:i/>
          <w:lang w:eastAsia="en-US"/>
        </w:rPr>
        <w:t xml:space="preserve">M&amp;A = 1) </w:t>
      </w:r>
      <w:r w:rsidR="00794DBA">
        <w:rPr>
          <w:lang w:eastAsia="en-US"/>
        </w:rPr>
        <w:t>and non-M&amp;A firms (</w:t>
      </w:r>
      <w:r w:rsidR="00794DBA">
        <w:rPr>
          <w:i/>
          <w:lang w:eastAsia="en-US"/>
        </w:rPr>
        <w:t xml:space="preserve">M&amp;A = 0) </w:t>
      </w:r>
      <w:r w:rsidR="00794DBA">
        <w:rPr>
          <w:lang w:eastAsia="en-US"/>
        </w:rPr>
        <w:t xml:space="preserve">are significant as the difference in median of </w:t>
      </w:r>
      <w:r w:rsidR="00794DBA">
        <w:rPr>
          <w:i/>
          <w:lang w:eastAsia="en-US"/>
        </w:rPr>
        <w:t xml:space="preserve">Duration </w:t>
      </w:r>
      <w:r w:rsidR="00794DBA">
        <w:rPr>
          <w:lang w:eastAsia="en-US"/>
        </w:rPr>
        <w:t xml:space="preserve">based on Wilcoxon signed-rank test. Particularly, </w:t>
      </w:r>
      <w:proofErr w:type="gramStart"/>
      <w:r w:rsidR="00794DBA">
        <w:rPr>
          <w:lang w:eastAsia="en-US"/>
        </w:rPr>
        <w:t>mean</w:t>
      </w:r>
      <w:proofErr w:type="gramEnd"/>
      <w:r w:rsidR="001F07EF">
        <w:rPr>
          <w:lang w:eastAsia="en-US"/>
        </w:rPr>
        <w:t xml:space="preserve"> and median</w:t>
      </w:r>
      <w:r w:rsidR="00794DBA">
        <w:rPr>
          <w:lang w:eastAsia="en-US"/>
        </w:rPr>
        <w:t xml:space="preserve"> of </w:t>
      </w:r>
      <w:r w:rsidR="00794DBA">
        <w:rPr>
          <w:i/>
          <w:lang w:eastAsia="en-US"/>
        </w:rPr>
        <w:t xml:space="preserve">Duration </w:t>
      </w:r>
      <w:r w:rsidR="006C1B53">
        <w:rPr>
          <w:lang w:eastAsia="en-US"/>
        </w:rPr>
        <w:t xml:space="preserve">and </w:t>
      </w:r>
      <w:r w:rsidR="006C1B53">
        <w:rPr>
          <w:i/>
          <w:lang w:eastAsia="en-US"/>
        </w:rPr>
        <w:t xml:space="preserve">Comments </w:t>
      </w:r>
      <w:r w:rsidR="00794DBA">
        <w:rPr>
          <w:lang w:eastAsia="en-US"/>
        </w:rPr>
        <w:t xml:space="preserve">in the group of M&amp;A firms </w:t>
      </w:r>
      <w:r w:rsidR="001F07EF">
        <w:rPr>
          <w:lang w:eastAsia="en-US"/>
        </w:rPr>
        <w:t xml:space="preserve">are </w:t>
      </w:r>
      <w:r w:rsidR="00B23C69">
        <w:rPr>
          <w:lang w:eastAsia="en-US"/>
        </w:rPr>
        <w:t xml:space="preserve">lower </w:t>
      </w:r>
      <w:r w:rsidR="00794DBA">
        <w:rPr>
          <w:lang w:eastAsia="en-US"/>
        </w:rPr>
        <w:t xml:space="preserve">than </w:t>
      </w:r>
      <w:r w:rsidR="001F07EF">
        <w:rPr>
          <w:lang w:eastAsia="en-US"/>
        </w:rPr>
        <w:t xml:space="preserve">those </w:t>
      </w:r>
      <w:r w:rsidR="00794DBA">
        <w:rPr>
          <w:lang w:eastAsia="en-US"/>
        </w:rPr>
        <w:t>in the group of non-</w:t>
      </w:r>
      <w:r w:rsidR="00B23C69">
        <w:rPr>
          <w:lang w:eastAsia="en-US"/>
        </w:rPr>
        <w:t>M&amp;A</w:t>
      </w:r>
      <w:r w:rsidR="006C1B53">
        <w:rPr>
          <w:lang w:eastAsia="en-US"/>
        </w:rPr>
        <w:t xml:space="preserve"> firms</w:t>
      </w:r>
      <w:r w:rsidR="002A7F01">
        <w:rPr>
          <w:lang w:eastAsia="en-US"/>
        </w:rPr>
        <w:t xml:space="preserve">. </w:t>
      </w:r>
      <w:r w:rsidR="009944D7">
        <w:rPr>
          <w:lang w:eastAsia="en-US"/>
        </w:rPr>
        <w:t>Overall, both parametric and non-parametric results reveal that</w:t>
      </w:r>
      <w:r w:rsidR="002A7F01">
        <w:rPr>
          <w:lang w:eastAsia="en-US"/>
        </w:rPr>
        <w:t xml:space="preserve"> </w:t>
      </w:r>
      <w:r w:rsidR="002A7F01">
        <w:rPr>
          <w:i/>
          <w:lang w:eastAsia="en-US"/>
        </w:rPr>
        <w:t>Duration</w:t>
      </w:r>
      <w:r w:rsidR="002A7F01">
        <w:rPr>
          <w:lang w:eastAsia="en-US"/>
        </w:rPr>
        <w:t xml:space="preserve"> and </w:t>
      </w:r>
      <w:r w:rsidR="002A7F01">
        <w:rPr>
          <w:i/>
          <w:lang w:eastAsia="en-US"/>
        </w:rPr>
        <w:t xml:space="preserve">Comments </w:t>
      </w:r>
      <w:r w:rsidR="002A7F01">
        <w:rPr>
          <w:lang w:eastAsia="en-US"/>
        </w:rPr>
        <w:t xml:space="preserve">in the group of M&amp;A firms are lower than those in the group of non-M&amp;A firms, </w:t>
      </w:r>
      <w:r w:rsidR="00E53742">
        <w:rPr>
          <w:lang w:eastAsia="en-US"/>
        </w:rPr>
        <w:t xml:space="preserve">which </w:t>
      </w:r>
      <w:r w:rsidR="002A7F01">
        <w:rPr>
          <w:lang w:eastAsia="en-US"/>
        </w:rPr>
        <w:t>indicates that</w:t>
      </w:r>
      <w:r w:rsidR="009944D7">
        <w:rPr>
          <w:lang w:eastAsia="en-US"/>
        </w:rPr>
        <w:t xml:space="preserve"> for M&amp;A firms, the SEC spend less time for the review of the firms’ S-1 filings and issue </w:t>
      </w:r>
      <w:r w:rsidR="00A02079">
        <w:rPr>
          <w:lang w:eastAsia="en-US"/>
        </w:rPr>
        <w:t>fewer</w:t>
      </w:r>
      <w:r w:rsidR="009944D7">
        <w:rPr>
          <w:lang w:eastAsia="en-US"/>
        </w:rPr>
        <w:t xml:space="preserve"> comments for their initial S-1 filings.</w:t>
      </w:r>
      <w:r w:rsidR="009944D7" w:rsidRPr="009944D7">
        <w:rPr>
          <w:lang w:eastAsia="en-US"/>
        </w:rPr>
        <w:t xml:space="preserve"> </w:t>
      </w:r>
      <w:r w:rsidR="009944D7">
        <w:rPr>
          <w:lang w:eastAsia="en-US"/>
        </w:rPr>
        <w:t xml:space="preserve">On the contrary, I observe no difference in </w:t>
      </w:r>
      <w:r w:rsidR="00DC31D0">
        <w:rPr>
          <w:i/>
          <w:lang w:eastAsia="en-US"/>
        </w:rPr>
        <w:t xml:space="preserve">Letters </w:t>
      </w:r>
      <w:r w:rsidR="00DC31D0">
        <w:rPr>
          <w:lang w:eastAsia="en-US"/>
        </w:rPr>
        <w:t xml:space="preserve">between M&amp;A </w:t>
      </w:r>
      <w:r w:rsidR="009944D7">
        <w:rPr>
          <w:lang w:eastAsia="en-US"/>
        </w:rPr>
        <w:t>firms and non-</w:t>
      </w:r>
      <w:r w:rsidR="00DC31D0">
        <w:rPr>
          <w:lang w:eastAsia="en-US"/>
        </w:rPr>
        <w:t>M&amp;A</w:t>
      </w:r>
      <w:r w:rsidR="009944D7">
        <w:rPr>
          <w:lang w:eastAsia="en-US"/>
        </w:rPr>
        <w:t xml:space="preserve"> firm</w:t>
      </w:r>
      <w:r w:rsidR="00556EBC">
        <w:rPr>
          <w:lang w:eastAsia="en-US"/>
        </w:rPr>
        <w:t>s</w:t>
      </w:r>
      <w:r w:rsidR="009944D7">
        <w:rPr>
          <w:lang w:eastAsia="en-US"/>
        </w:rPr>
        <w:t xml:space="preserve"> </w:t>
      </w:r>
      <w:r w:rsidR="00CB3B3A">
        <w:rPr>
          <w:lang w:eastAsia="en-US"/>
        </w:rPr>
        <w:t>in terms</w:t>
      </w:r>
      <w:r w:rsidR="009944D7">
        <w:rPr>
          <w:lang w:eastAsia="en-US"/>
        </w:rPr>
        <w:t xml:space="preserve"> of both parametric and non-parametric analysis. </w:t>
      </w:r>
    </w:p>
    <w:p w14:paraId="3C2EC8C7" w14:textId="43DD1BC0" w:rsidR="00B72A95" w:rsidRDefault="00CE2325" w:rsidP="0030659B">
      <w:pPr>
        <w:spacing w:line="360" w:lineRule="auto"/>
        <w:jc w:val="both"/>
        <w:rPr>
          <w:lang w:eastAsia="en-US"/>
        </w:rPr>
      </w:pPr>
      <w:r>
        <w:rPr>
          <w:lang w:eastAsia="en-US"/>
        </w:rPr>
        <w:t xml:space="preserve">Regarding </w:t>
      </w:r>
      <w:r>
        <w:rPr>
          <w:i/>
          <w:lang w:eastAsia="en-US"/>
        </w:rPr>
        <w:t xml:space="preserve">Big4, </w:t>
      </w:r>
      <w:r w:rsidR="00B72A95">
        <w:rPr>
          <w:lang w:eastAsia="en-US"/>
        </w:rPr>
        <w:t>Panel C</w:t>
      </w:r>
      <w:r w:rsidR="000406B4">
        <w:rPr>
          <w:lang w:eastAsia="en-US"/>
        </w:rPr>
        <w:t xml:space="preserve"> in</w:t>
      </w:r>
      <w:r w:rsidR="00B72A95">
        <w:rPr>
          <w:lang w:eastAsia="en-US"/>
        </w:rPr>
        <w:t xml:space="preserve"> Table </w:t>
      </w:r>
      <w:r w:rsidR="00174399">
        <w:rPr>
          <w:lang w:eastAsia="en-US"/>
        </w:rPr>
        <w:t>7</w:t>
      </w:r>
      <w:r w:rsidR="00B72A95">
        <w:rPr>
          <w:lang w:eastAsia="en-US"/>
        </w:rPr>
        <w:t xml:space="preserve"> reveals that </w:t>
      </w:r>
      <w:r>
        <w:rPr>
          <w:lang w:eastAsia="en-US"/>
        </w:rPr>
        <w:t xml:space="preserve">Wilcoxon signed-rank test of difference in median of </w:t>
      </w:r>
      <w:r>
        <w:rPr>
          <w:i/>
          <w:lang w:eastAsia="en-US"/>
        </w:rPr>
        <w:t xml:space="preserve">Duration </w:t>
      </w:r>
      <w:r>
        <w:rPr>
          <w:lang w:eastAsia="en-US"/>
        </w:rPr>
        <w:t>between firms audited by Big 4 auditors (</w:t>
      </w:r>
      <w:r>
        <w:rPr>
          <w:i/>
          <w:lang w:eastAsia="en-US"/>
        </w:rPr>
        <w:t xml:space="preserve">Big4 = 1) </w:t>
      </w:r>
      <w:r>
        <w:rPr>
          <w:lang w:eastAsia="en-US"/>
        </w:rPr>
        <w:t>and firms not audited by Big 4 auditors (</w:t>
      </w:r>
      <w:r>
        <w:rPr>
          <w:i/>
          <w:lang w:eastAsia="en-US"/>
        </w:rPr>
        <w:t xml:space="preserve">Big4 = 0) </w:t>
      </w:r>
      <w:r>
        <w:rPr>
          <w:lang w:eastAsia="en-US"/>
        </w:rPr>
        <w:t xml:space="preserve">are slightly significant at 10%, meanwhile, t-test of difference in mean of </w:t>
      </w:r>
      <w:r>
        <w:rPr>
          <w:i/>
          <w:lang w:eastAsia="en-US"/>
        </w:rPr>
        <w:t>Duration</w:t>
      </w:r>
      <w:r>
        <w:rPr>
          <w:lang w:eastAsia="en-US"/>
        </w:rPr>
        <w:t xml:space="preserve"> is not significant. Particularly, the median of </w:t>
      </w:r>
      <w:r>
        <w:rPr>
          <w:i/>
          <w:lang w:eastAsia="en-US"/>
        </w:rPr>
        <w:t xml:space="preserve">Duration </w:t>
      </w:r>
      <w:r>
        <w:rPr>
          <w:lang w:eastAsia="en-US"/>
        </w:rPr>
        <w:t>in the group of f</w:t>
      </w:r>
      <w:r w:rsidR="002A7F01">
        <w:rPr>
          <w:lang w:eastAsia="en-US"/>
        </w:rPr>
        <w:t xml:space="preserve">irms audited by Big 4 auditors </w:t>
      </w:r>
      <w:r>
        <w:rPr>
          <w:lang w:eastAsia="en-US"/>
        </w:rPr>
        <w:t xml:space="preserve">is lower than in the group of firms not audited by Big 4 </w:t>
      </w:r>
      <w:r w:rsidR="002A7F01">
        <w:rPr>
          <w:lang w:eastAsia="en-US"/>
        </w:rPr>
        <w:t xml:space="preserve">auditors. </w:t>
      </w:r>
      <w:r w:rsidR="00B72A95">
        <w:rPr>
          <w:lang w:eastAsia="en-US"/>
        </w:rPr>
        <w:t xml:space="preserve">Overall, non-parametric results </w:t>
      </w:r>
      <w:r w:rsidR="002A7F01">
        <w:rPr>
          <w:lang w:eastAsia="en-US"/>
        </w:rPr>
        <w:t xml:space="preserve">indicate that </w:t>
      </w:r>
      <w:r w:rsidR="00B72A95">
        <w:rPr>
          <w:lang w:eastAsia="en-US"/>
        </w:rPr>
        <w:t xml:space="preserve">the SEC spend less time for the review of S-1 filings which are prepared by the firms audited by Big 4 auditors. </w:t>
      </w:r>
      <w:r>
        <w:rPr>
          <w:lang w:eastAsia="en-US"/>
        </w:rPr>
        <w:t xml:space="preserve">Contrarily, I observe no difference in </w:t>
      </w:r>
      <w:r>
        <w:rPr>
          <w:i/>
          <w:lang w:eastAsia="en-US"/>
        </w:rPr>
        <w:t xml:space="preserve">Letters </w:t>
      </w:r>
      <w:r>
        <w:rPr>
          <w:lang w:eastAsia="en-US"/>
        </w:rPr>
        <w:t xml:space="preserve">and </w:t>
      </w:r>
      <w:r>
        <w:rPr>
          <w:i/>
          <w:lang w:eastAsia="en-US"/>
        </w:rPr>
        <w:t xml:space="preserve">Comments </w:t>
      </w:r>
      <w:r>
        <w:rPr>
          <w:lang w:eastAsia="en-US"/>
        </w:rPr>
        <w:t>between</w:t>
      </w:r>
      <w:r w:rsidRPr="00CE2325">
        <w:rPr>
          <w:lang w:eastAsia="en-US"/>
        </w:rPr>
        <w:t xml:space="preserve"> </w:t>
      </w:r>
      <w:r>
        <w:rPr>
          <w:lang w:eastAsia="en-US"/>
        </w:rPr>
        <w:t>the firms audited by Big 4 auditors and the firms not audited by Big 4 auditors.</w:t>
      </w:r>
    </w:p>
    <w:p w14:paraId="16BB46FF" w14:textId="4ECD6667" w:rsidR="00CE1D38" w:rsidRDefault="00B72A95" w:rsidP="0030659B">
      <w:pPr>
        <w:spacing w:line="360" w:lineRule="auto"/>
        <w:jc w:val="both"/>
        <w:rPr>
          <w:lang w:eastAsia="en-US"/>
        </w:rPr>
      </w:pPr>
      <w:r>
        <w:rPr>
          <w:lang w:eastAsia="en-US"/>
        </w:rPr>
        <w:t xml:space="preserve">Regarding </w:t>
      </w:r>
      <w:r>
        <w:rPr>
          <w:i/>
          <w:lang w:eastAsia="en-US"/>
        </w:rPr>
        <w:t xml:space="preserve">Positive-earnings, </w:t>
      </w:r>
      <w:r>
        <w:rPr>
          <w:lang w:eastAsia="en-US"/>
        </w:rPr>
        <w:t xml:space="preserve">Panel </w:t>
      </w:r>
      <w:r w:rsidR="00CE1D38">
        <w:rPr>
          <w:lang w:eastAsia="en-US"/>
        </w:rPr>
        <w:t>D</w:t>
      </w:r>
      <w:r w:rsidR="000406B4">
        <w:rPr>
          <w:lang w:eastAsia="en-US"/>
        </w:rPr>
        <w:t xml:space="preserve"> in</w:t>
      </w:r>
      <w:r w:rsidR="00CE1D38">
        <w:rPr>
          <w:lang w:eastAsia="en-US"/>
        </w:rPr>
        <w:t xml:space="preserve"> Table </w:t>
      </w:r>
      <w:r w:rsidR="00174399">
        <w:rPr>
          <w:lang w:eastAsia="en-US"/>
        </w:rPr>
        <w:t>7</w:t>
      </w:r>
      <w:r w:rsidR="00CE1D38">
        <w:rPr>
          <w:lang w:eastAsia="en-US"/>
        </w:rPr>
        <w:t xml:space="preserve"> shows </w:t>
      </w:r>
      <w:r w:rsidRPr="00B72A95">
        <w:rPr>
          <w:lang w:eastAsia="en-US"/>
        </w:rPr>
        <w:t xml:space="preserve">that t-test of difference in means of </w:t>
      </w:r>
      <w:r>
        <w:rPr>
          <w:lang w:eastAsia="en-US"/>
        </w:rPr>
        <w:t xml:space="preserve">all SEC review attributes </w:t>
      </w:r>
      <w:proofErr w:type="gramStart"/>
      <w:r>
        <w:rPr>
          <w:lang w:eastAsia="en-US"/>
        </w:rPr>
        <w:t>including;</w:t>
      </w:r>
      <w:proofErr w:type="gramEnd"/>
      <w:r>
        <w:rPr>
          <w:lang w:eastAsia="en-US"/>
        </w:rPr>
        <w:t xml:space="preserve"> </w:t>
      </w:r>
      <w:r>
        <w:rPr>
          <w:i/>
          <w:lang w:eastAsia="en-US"/>
        </w:rPr>
        <w:t>Duration, Letters, Comments,</w:t>
      </w:r>
      <w:r w:rsidRPr="00B72A95">
        <w:rPr>
          <w:lang w:eastAsia="en-US"/>
        </w:rPr>
        <w:t xml:space="preserve"> between </w:t>
      </w:r>
      <w:r>
        <w:rPr>
          <w:lang w:eastAsia="en-US"/>
        </w:rPr>
        <w:t xml:space="preserve">firms having profits </w:t>
      </w:r>
      <w:r w:rsidRPr="00B72A95">
        <w:rPr>
          <w:lang w:eastAsia="en-US"/>
        </w:rPr>
        <w:t>(</w:t>
      </w:r>
      <w:r>
        <w:rPr>
          <w:i/>
          <w:lang w:eastAsia="en-US"/>
        </w:rPr>
        <w:t>Positive-earnings = 0</w:t>
      </w:r>
      <w:r w:rsidRPr="00B72A95">
        <w:rPr>
          <w:lang w:eastAsia="en-US"/>
        </w:rPr>
        <w:t xml:space="preserve">) and </w:t>
      </w:r>
      <w:r>
        <w:rPr>
          <w:lang w:eastAsia="en-US"/>
        </w:rPr>
        <w:t>firms suffering loss</w:t>
      </w:r>
      <w:r w:rsidRPr="00B72A95">
        <w:rPr>
          <w:lang w:eastAsia="en-US"/>
        </w:rPr>
        <w:t xml:space="preserve"> (</w:t>
      </w:r>
      <w:r>
        <w:rPr>
          <w:i/>
          <w:lang w:eastAsia="en-US"/>
        </w:rPr>
        <w:t>Positive-earnings = 1</w:t>
      </w:r>
      <w:r w:rsidRPr="00B72A95">
        <w:rPr>
          <w:lang w:eastAsia="en-US"/>
        </w:rPr>
        <w:t xml:space="preserve">) </w:t>
      </w:r>
      <w:r>
        <w:rPr>
          <w:lang w:eastAsia="en-US"/>
        </w:rPr>
        <w:t>are all strongly significant at 1</w:t>
      </w:r>
      <w:r w:rsidRPr="00B72A95">
        <w:rPr>
          <w:lang w:eastAsia="en-US"/>
        </w:rPr>
        <w:t xml:space="preserve">% as the difference in median of </w:t>
      </w:r>
      <w:r w:rsidR="00B26F56">
        <w:rPr>
          <w:lang w:eastAsia="en-US"/>
        </w:rPr>
        <w:t>all SEC review attributes</w:t>
      </w:r>
      <w:r w:rsidRPr="00B72A95">
        <w:rPr>
          <w:lang w:eastAsia="en-US"/>
        </w:rPr>
        <w:t xml:space="preserve"> based on Wilcoxon signed-rank test.</w:t>
      </w:r>
      <w:r>
        <w:rPr>
          <w:lang w:eastAsia="en-US"/>
        </w:rPr>
        <w:t xml:space="preserve"> Particularly, </w:t>
      </w:r>
      <w:proofErr w:type="gramStart"/>
      <w:r>
        <w:rPr>
          <w:lang w:eastAsia="en-US"/>
        </w:rPr>
        <w:t>mean</w:t>
      </w:r>
      <w:proofErr w:type="gramEnd"/>
      <w:r w:rsidR="002A7F01">
        <w:rPr>
          <w:lang w:eastAsia="en-US"/>
        </w:rPr>
        <w:t xml:space="preserve"> and median</w:t>
      </w:r>
      <w:r>
        <w:rPr>
          <w:lang w:eastAsia="en-US"/>
        </w:rPr>
        <w:t xml:space="preserve"> of </w:t>
      </w:r>
      <w:r w:rsidR="002A7F01">
        <w:rPr>
          <w:lang w:eastAsia="en-US"/>
        </w:rPr>
        <w:t>all SEC review attributes</w:t>
      </w:r>
      <w:r>
        <w:rPr>
          <w:i/>
          <w:lang w:eastAsia="en-US"/>
        </w:rPr>
        <w:t xml:space="preserve"> </w:t>
      </w:r>
      <w:r>
        <w:rPr>
          <w:lang w:eastAsia="en-US"/>
        </w:rPr>
        <w:t xml:space="preserve">in the group of firms having profits </w:t>
      </w:r>
      <w:r w:rsidR="002A7F01">
        <w:rPr>
          <w:lang w:eastAsia="en-US"/>
        </w:rPr>
        <w:t>are</w:t>
      </w:r>
      <w:r>
        <w:rPr>
          <w:lang w:eastAsia="en-US"/>
        </w:rPr>
        <w:t xml:space="preserve"> higher than</w:t>
      </w:r>
      <w:r w:rsidR="002A7F01">
        <w:rPr>
          <w:lang w:eastAsia="en-US"/>
        </w:rPr>
        <w:t xml:space="preserve"> those</w:t>
      </w:r>
      <w:r>
        <w:rPr>
          <w:lang w:eastAsia="en-US"/>
        </w:rPr>
        <w:t xml:space="preserve"> </w:t>
      </w:r>
      <w:r w:rsidR="00556EBC">
        <w:rPr>
          <w:lang w:eastAsia="en-US"/>
        </w:rPr>
        <w:t>of</w:t>
      </w:r>
      <w:r>
        <w:rPr>
          <w:lang w:eastAsia="en-US"/>
        </w:rPr>
        <w:t xml:space="preserve"> firms suffering loss</w:t>
      </w:r>
      <w:r w:rsidR="002A7F01">
        <w:rPr>
          <w:lang w:eastAsia="en-US"/>
        </w:rPr>
        <w:t xml:space="preserve">. </w:t>
      </w:r>
      <w:r w:rsidR="00CE1D38">
        <w:rPr>
          <w:lang w:eastAsia="en-US"/>
        </w:rPr>
        <w:t>Overall, both parametric and non-parametric results reveal that for firm</w:t>
      </w:r>
      <w:r w:rsidR="00556EBC">
        <w:rPr>
          <w:lang w:eastAsia="en-US"/>
        </w:rPr>
        <w:t>s</w:t>
      </w:r>
      <w:r w:rsidR="00CE1D38">
        <w:rPr>
          <w:lang w:eastAsia="en-US"/>
        </w:rPr>
        <w:t xml:space="preserve"> having profits, the SEC spend more time, issue more comment letters in the review of the firms’ S-1 filings and issue more comments for their initial S-1 filings.</w:t>
      </w:r>
    </w:p>
    <w:p w14:paraId="12C4482C" w14:textId="43A3FDB6" w:rsidR="00E148DF" w:rsidRDefault="00CE1D38" w:rsidP="0030659B">
      <w:pPr>
        <w:spacing w:line="360" w:lineRule="auto"/>
        <w:jc w:val="both"/>
        <w:rPr>
          <w:lang w:eastAsia="en-US"/>
        </w:rPr>
      </w:pPr>
      <w:r>
        <w:rPr>
          <w:lang w:eastAsia="en-US"/>
        </w:rPr>
        <w:t xml:space="preserve">Regarding </w:t>
      </w:r>
      <w:proofErr w:type="spellStart"/>
      <w:r w:rsidR="00B90319">
        <w:rPr>
          <w:i/>
          <w:lang w:eastAsia="en-US"/>
        </w:rPr>
        <w:t>CEOchairman</w:t>
      </w:r>
      <w:proofErr w:type="spellEnd"/>
      <w:r>
        <w:rPr>
          <w:i/>
          <w:lang w:eastAsia="en-US"/>
        </w:rPr>
        <w:t xml:space="preserve">, </w:t>
      </w:r>
      <w:r>
        <w:rPr>
          <w:lang w:eastAsia="en-US"/>
        </w:rPr>
        <w:t>Panel E</w:t>
      </w:r>
      <w:r w:rsidR="000406B4">
        <w:rPr>
          <w:lang w:eastAsia="en-US"/>
        </w:rPr>
        <w:t xml:space="preserve"> in</w:t>
      </w:r>
      <w:r>
        <w:rPr>
          <w:lang w:eastAsia="en-US"/>
        </w:rPr>
        <w:t xml:space="preserve"> Table </w:t>
      </w:r>
      <w:r w:rsidR="00174399">
        <w:rPr>
          <w:lang w:eastAsia="en-US"/>
        </w:rPr>
        <w:t>7</w:t>
      </w:r>
      <w:r>
        <w:rPr>
          <w:lang w:eastAsia="en-US"/>
        </w:rPr>
        <w:t xml:space="preserve"> reveals that </w:t>
      </w:r>
      <w:r w:rsidRPr="00B72A95">
        <w:rPr>
          <w:lang w:eastAsia="en-US"/>
        </w:rPr>
        <w:t xml:space="preserve">t-test of difference in means of </w:t>
      </w:r>
      <w:r>
        <w:rPr>
          <w:lang w:eastAsia="en-US"/>
        </w:rPr>
        <w:t xml:space="preserve">all SEC review attributes including; </w:t>
      </w:r>
      <w:r>
        <w:rPr>
          <w:i/>
          <w:lang w:eastAsia="en-US"/>
        </w:rPr>
        <w:t>Duration, Letters, Comments,</w:t>
      </w:r>
      <w:r w:rsidRPr="00B72A95">
        <w:rPr>
          <w:lang w:eastAsia="en-US"/>
        </w:rPr>
        <w:t xml:space="preserve"> between </w:t>
      </w:r>
      <w:r>
        <w:rPr>
          <w:lang w:eastAsia="en-US"/>
        </w:rPr>
        <w:t xml:space="preserve">firms having CEO who is also a chairman of board of directors </w:t>
      </w:r>
      <w:r w:rsidRPr="00B72A95">
        <w:rPr>
          <w:lang w:eastAsia="en-US"/>
        </w:rPr>
        <w:t>(</w:t>
      </w:r>
      <w:proofErr w:type="spellStart"/>
      <w:r w:rsidR="00B90319">
        <w:rPr>
          <w:i/>
          <w:lang w:eastAsia="en-US"/>
        </w:rPr>
        <w:t>CEOchairman</w:t>
      </w:r>
      <w:proofErr w:type="spellEnd"/>
      <w:r>
        <w:rPr>
          <w:i/>
          <w:lang w:eastAsia="en-US"/>
        </w:rPr>
        <w:t xml:space="preserve"> = 1</w:t>
      </w:r>
      <w:r w:rsidRPr="00B72A95">
        <w:rPr>
          <w:lang w:eastAsia="en-US"/>
        </w:rPr>
        <w:t xml:space="preserve">) and </w:t>
      </w:r>
      <w:r>
        <w:rPr>
          <w:lang w:eastAsia="en-US"/>
        </w:rPr>
        <w:t xml:space="preserve">firms having CEO who is </w:t>
      </w:r>
      <w:r w:rsidR="00E148DF">
        <w:rPr>
          <w:lang w:eastAsia="en-US"/>
        </w:rPr>
        <w:t>not</w:t>
      </w:r>
      <w:r>
        <w:rPr>
          <w:lang w:eastAsia="en-US"/>
        </w:rPr>
        <w:t xml:space="preserve"> a </w:t>
      </w:r>
      <w:r>
        <w:rPr>
          <w:lang w:eastAsia="en-US"/>
        </w:rPr>
        <w:lastRenderedPageBreak/>
        <w:t>chairman of board of directors</w:t>
      </w:r>
      <w:r w:rsidRPr="00B72A95">
        <w:rPr>
          <w:lang w:eastAsia="en-US"/>
        </w:rPr>
        <w:t xml:space="preserve"> (</w:t>
      </w:r>
      <w:proofErr w:type="spellStart"/>
      <w:r w:rsidR="00B90319">
        <w:rPr>
          <w:i/>
          <w:lang w:eastAsia="en-US"/>
        </w:rPr>
        <w:t>CEOchairman</w:t>
      </w:r>
      <w:proofErr w:type="spellEnd"/>
      <w:r w:rsidR="00E148DF">
        <w:rPr>
          <w:i/>
          <w:lang w:eastAsia="en-US"/>
        </w:rPr>
        <w:t xml:space="preserve"> = 0</w:t>
      </w:r>
      <w:r w:rsidRPr="00B72A95">
        <w:rPr>
          <w:lang w:eastAsia="en-US"/>
        </w:rPr>
        <w:t xml:space="preserve">) </w:t>
      </w:r>
      <w:r>
        <w:rPr>
          <w:lang w:eastAsia="en-US"/>
        </w:rPr>
        <w:t>are all strongly significant at 1</w:t>
      </w:r>
      <w:r w:rsidRPr="00B72A95">
        <w:rPr>
          <w:lang w:eastAsia="en-US"/>
        </w:rPr>
        <w:t xml:space="preserve">% as the difference in median of </w:t>
      </w:r>
      <w:r w:rsidR="00B26F56">
        <w:rPr>
          <w:lang w:eastAsia="en-US"/>
        </w:rPr>
        <w:t>all SEC revi</w:t>
      </w:r>
      <w:r w:rsidR="008814B3">
        <w:rPr>
          <w:lang w:eastAsia="en-US"/>
        </w:rPr>
        <w:t>ew attribu</w:t>
      </w:r>
      <w:r w:rsidR="00723BAD">
        <w:rPr>
          <w:lang w:eastAsia="en-US"/>
        </w:rPr>
        <w:t>tes</w:t>
      </w:r>
      <w:r w:rsidRPr="00B72A95">
        <w:rPr>
          <w:lang w:eastAsia="en-US"/>
        </w:rPr>
        <w:t xml:space="preserve"> based on Wilcoxon signed-rank test.</w:t>
      </w:r>
      <w:r>
        <w:rPr>
          <w:lang w:eastAsia="en-US"/>
        </w:rPr>
        <w:t xml:space="preserve"> Particularly, </w:t>
      </w:r>
      <w:proofErr w:type="gramStart"/>
      <w:r>
        <w:rPr>
          <w:lang w:eastAsia="en-US"/>
        </w:rPr>
        <w:t>mean</w:t>
      </w:r>
      <w:proofErr w:type="gramEnd"/>
      <w:r>
        <w:rPr>
          <w:lang w:eastAsia="en-US"/>
        </w:rPr>
        <w:t xml:space="preserve"> </w:t>
      </w:r>
      <w:r w:rsidR="002A7F01">
        <w:rPr>
          <w:lang w:eastAsia="en-US"/>
        </w:rPr>
        <w:t xml:space="preserve">and median </w:t>
      </w:r>
      <w:r>
        <w:rPr>
          <w:lang w:eastAsia="en-US"/>
        </w:rPr>
        <w:t xml:space="preserve">of </w:t>
      </w:r>
      <w:r w:rsidR="002A7F01">
        <w:rPr>
          <w:lang w:eastAsia="en-US"/>
        </w:rPr>
        <w:t>all SEC review attributes</w:t>
      </w:r>
      <w:r>
        <w:rPr>
          <w:i/>
          <w:lang w:eastAsia="en-US"/>
        </w:rPr>
        <w:t xml:space="preserve"> </w:t>
      </w:r>
      <w:r>
        <w:rPr>
          <w:lang w:eastAsia="en-US"/>
        </w:rPr>
        <w:t xml:space="preserve">in the group of the firms </w:t>
      </w:r>
      <w:r w:rsidR="00E148DF">
        <w:rPr>
          <w:lang w:eastAsia="en-US"/>
        </w:rPr>
        <w:t>having CEO who is also a chairman of board of directors</w:t>
      </w:r>
      <w:r>
        <w:rPr>
          <w:lang w:eastAsia="en-US"/>
        </w:rPr>
        <w:t xml:space="preserve"> </w:t>
      </w:r>
      <w:r w:rsidR="002A7F01">
        <w:rPr>
          <w:lang w:eastAsia="en-US"/>
        </w:rPr>
        <w:t>are</w:t>
      </w:r>
      <w:r>
        <w:rPr>
          <w:lang w:eastAsia="en-US"/>
        </w:rPr>
        <w:t xml:space="preserve"> higher than </w:t>
      </w:r>
      <w:r w:rsidR="002A7F01">
        <w:rPr>
          <w:lang w:eastAsia="en-US"/>
        </w:rPr>
        <w:t xml:space="preserve">those </w:t>
      </w:r>
      <w:r>
        <w:rPr>
          <w:lang w:eastAsia="en-US"/>
        </w:rPr>
        <w:t xml:space="preserve">in the </w:t>
      </w:r>
      <w:r w:rsidR="002A7F01">
        <w:rPr>
          <w:lang w:eastAsia="en-US"/>
        </w:rPr>
        <w:t xml:space="preserve">group of </w:t>
      </w:r>
      <w:r>
        <w:rPr>
          <w:lang w:eastAsia="en-US"/>
        </w:rPr>
        <w:t xml:space="preserve">firms </w:t>
      </w:r>
      <w:r w:rsidR="00E148DF">
        <w:rPr>
          <w:lang w:eastAsia="en-US"/>
        </w:rPr>
        <w:t>having CEO who is not a chairman of board of directors</w:t>
      </w:r>
      <w:r>
        <w:rPr>
          <w:lang w:eastAsia="en-US"/>
        </w:rPr>
        <w:t xml:space="preserve">. Overall, both parametric and non-parametric results </w:t>
      </w:r>
      <w:r w:rsidR="00E148DF">
        <w:rPr>
          <w:lang w:eastAsia="en-US"/>
        </w:rPr>
        <w:t>indicate</w:t>
      </w:r>
      <w:r>
        <w:rPr>
          <w:lang w:eastAsia="en-US"/>
        </w:rPr>
        <w:t xml:space="preserve"> that for the firm having </w:t>
      </w:r>
      <w:r w:rsidR="00E148DF">
        <w:rPr>
          <w:lang w:eastAsia="en-US"/>
        </w:rPr>
        <w:t>CEO who is also a chairman of board of directors</w:t>
      </w:r>
      <w:r>
        <w:rPr>
          <w:lang w:eastAsia="en-US"/>
        </w:rPr>
        <w:t>, the SEC spend more time, issue more comment letters in the review of the firms’ S-1 filings and issue more comments for their initial S-1 filings.</w:t>
      </w:r>
    </w:p>
    <w:p w14:paraId="7FFECBD3" w14:textId="5CFADB69" w:rsidR="00FF6503" w:rsidRDefault="00E148DF" w:rsidP="0030659B">
      <w:pPr>
        <w:spacing w:line="360" w:lineRule="auto"/>
        <w:jc w:val="both"/>
        <w:rPr>
          <w:lang w:eastAsia="en-US"/>
        </w:rPr>
      </w:pPr>
      <w:r>
        <w:rPr>
          <w:lang w:eastAsia="en-US"/>
        </w:rPr>
        <w:t xml:space="preserve">Table </w:t>
      </w:r>
      <w:r w:rsidR="00174399">
        <w:rPr>
          <w:lang w:eastAsia="en-US"/>
        </w:rPr>
        <w:t>7</w:t>
      </w:r>
      <w:r>
        <w:rPr>
          <w:lang w:eastAsia="en-US"/>
        </w:rPr>
        <w:t>, Panel F present</w:t>
      </w:r>
      <w:r w:rsidR="00A02079">
        <w:rPr>
          <w:lang w:eastAsia="en-US"/>
        </w:rPr>
        <w:t>s</w:t>
      </w:r>
      <w:r>
        <w:rPr>
          <w:lang w:eastAsia="en-US"/>
        </w:rPr>
        <w:t xml:space="preserve"> the </w:t>
      </w:r>
      <w:r w:rsidR="00753F6C">
        <w:rPr>
          <w:lang w:eastAsia="en-US"/>
        </w:rPr>
        <w:t xml:space="preserve">results from estimating the univariate negative binomial regressions involving a dependent variable, which is </w:t>
      </w:r>
      <w:r w:rsidR="00753F6C">
        <w:rPr>
          <w:i/>
          <w:lang w:eastAsia="en-US"/>
        </w:rPr>
        <w:t xml:space="preserve">Duration, Letters </w:t>
      </w:r>
      <w:r w:rsidR="00753F6C">
        <w:rPr>
          <w:lang w:eastAsia="en-US"/>
        </w:rPr>
        <w:t xml:space="preserve">or </w:t>
      </w:r>
      <w:r w:rsidR="00753F6C">
        <w:rPr>
          <w:i/>
          <w:lang w:eastAsia="en-US"/>
        </w:rPr>
        <w:t>Comments,</w:t>
      </w:r>
      <w:r w:rsidR="00753F6C">
        <w:rPr>
          <w:lang w:eastAsia="en-US"/>
        </w:rPr>
        <w:t xml:space="preserve"> and a</w:t>
      </w:r>
      <w:r w:rsidR="00E13FD3">
        <w:rPr>
          <w:lang w:eastAsia="en-US"/>
        </w:rPr>
        <w:t>n</w:t>
      </w:r>
      <w:r w:rsidR="00753F6C">
        <w:rPr>
          <w:lang w:eastAsia="en-US"/>
        </w:rPr>
        <w:t xml:space="preserve"> independent variable, which is </w:t>
      </w:r>
      <w:r w:rsidR="00753F6C">
        <w:rPr>
          <w:i/>
          <w:lang w:eastAsia="en-US"/>
        </w:rPr>
        <w:t xml:space="preserve">Size, </w:t>
      </w:r>
      <w:r w:rsidR="00296848">
        <w:rPr>
          <w:i/>
          <w:lang w:eastAsia="en-US"/>
        </w:rPr>
        <w:t>Sales</w:t>
      </w:r>
      <w:r w:rsidR="00753F6C">
        <w:rPr>
          <w:i/>
          <w:lang w:eastAsia="en-US"/>
        </w:rPr>
        <w:t xml:space="preserve"> growth, Leverage, BM, External financing, Firm age, Segments </w:t>
      </w:r>
      <w:r w:rsidR="00753F6C">
        <w:rPr>
          <w:lang w:eastAsia="en-US"/>
        </w:rPr>
        <w:t xml:space="preserve">or </w:t>
      </w:r>
      <w:proofErr w:type="spellStart"/>
      <w:r w:rsidR="00B90319">
        <w:rPr>
          <w:i/>
          <w:lang w:eastAsia="en-US"/>
        </w:rPr>
        <w:t>Zscore</w:t>
      </w:r>
      <w:proofErr w:type="spellEnd"/>
      <w:r w:rsidR="00753F6C">
        <w:rPr>
          <w:i/>
          <w:lang w:eastAsia="en-US"/>
        </w:rPr>
        <w:t xml:space="preserve">. </w:t>
      </w:r>
      <w:r w:rsidR="00753F6C">
        <w:rPr>
          <w:lang w:eastAsia="en-US"/>
        </w:rPr>
        <w:t xml:space="preserve">The results reveal that </w:t>
      </w:r>
      <w:r w:rsidR="00E13FD3">
        <w:rPr>
          <w:lang w:eastAsia="en-US"/>
        </w:rPr>
        <w:t>effects of</w:t>
      </w:r>
      <w:r w:rsidR="00753F6C">
        <w:rPr>
          <w:lang w:eastAsia="en-US"/>
        </w:rPr>
        <w:t xml:space="preserve"> </w:t>
      </w:r>
      <w:r w:rsidR="00753F6C">
        <w:rPr>
          <w:i/>
          <w:lang w:eastAsia="en-US"/>
        </w:rPr>
        <w:t xml:space="preserve">Size </w:t>
      </w:r>
      <w:r w:rsidR="00E13FD3">
        <w:rPr>
          <w:lang w:eastAsia="en-US"/>
        </w:rPr>
        <w:t xml:space="preserve">on </w:t>
      </w:r>
      <w:r w:rsidR="00E13FD3">
        <w:rPr>
          <w:i/>
          <w:lang w:eastAsia="en-US"/>
        </w:rPr>
        <w:t xml:space="preserve">Letters </w:t>
      </w:r>
      <w:r w:rsidR="00E13FD3">
        <w:rPr>
          <w:lang w:eastAsia="en-US"/>
        </w:rPr>
        <w:t xml:space="preserve">and </w:t>
      </w:r>
      <w:r w:rsidR="00E13FD3">
        <w:rPr>
          <w:i/>
          <w:lang w:eastAsia="en-US"/>
        </w:rPr>
        <w:t xml:space="preserve">Comments </w:t>
      </w:r>
      <w:r w:rsidR="00E13FD3">
        <w:rPr>
          <w:lang w:eastAsia="en-US"/>
        </w:rPr>
        <w:t>are</w:t>
      </w:r>
      <w:r w:rsidR="00753F6C">
        <w:rPr>
          <w:lang w:eastAsia="en-US"/>
        </w:rPr>
        <w:t xml:space="preserve"> </w:t>
      </w:r>
      <w:r w:rsidR="00E13FD3">
        <w:rPr>
          <w:lang w:eastAsia="en-US"/>
        </w:rPr>
        <w:t xml:space="preserve">positive and highly significant, </w:t>
      </w:r>
      <w:r w:rsidR="00E53742">
        <w:rPr>
          <w:lang w:eastAsia="en-US"/>
        </w:rPr>
        <w:t xml:space="preserve">which </w:t>
      </w:r>
      <w:r w:rsidR="00E13FD3">
        <w:rPr>
          <w:lang w:eastAsia="en-US"/>
        </w:rPr>
        <w:t xml:space="preserve">indicates that the SEC issue more comment letters during their review and more comments on initial S-1 filings for the bigger firms. In addition, I observe that the effect of </w:t>
      </w:r>
      <w:r w:rsidR="00296848">
        <w:rPr>
          <w:i/>
          <w:lang w:eastAsia="en-US"/>
        </w:rPr>
        <w:t>Sales</w:t>
      </w:r>
      <w:r w:rsidR="00E13FD3">
        <w:rPr>
          <w:i/>
          <w:lang w:eastAsia="en-US"/>
        </w:rPr>
        <w:t xml:space="preserve"> growth </w:t>
      </w:r>
      <w:r w:rsidR="00E13FD3">
        <w:rPr>
          <w:lang w:eastAsia="en-US"/>
        </w:rPr>
        <w:t xml:space="preserve">on </w:t>
      </w:r>
      <w:r w:rsidR="00D150DF">
        <w:rPr>
          <w:i/>
          <w:lang w:eastAsia="en-US"/>
        </w:rPr>
        <w:t xml:space="preserve">Duration </w:t>
      </w:r>
      <w:r w:rsidR="00D150DF">
        <w:rPr>
          <w:lang w:eastAsia="en-US"/>
        </w:rPr>
        <w:t xml:space="preserve">and </w:t>
      </w:r>
      <w:r w:rsidR="00E13FD3">
        <w:rPr>
          <w:i/>
          <w:lang w:eastAsia="en-US"/>
        </w:rPr>
        <w:t>Letters</w:t>
      </w:r>
      <w:r w:rsidR="00D150DF">
        <w:rPr>
          <w:i/>
          <w:lang w:eastAsia="en-US"/>
        </w:rPr>
        <w:t xml:space="preserve"> </w:t>
      </w:r>
      <w:r w:rsidR="00D150DF">
        <w:rPr>
          <w:lang w:eastAsia="en-US"/>
        </w:rPr>
        <w:t>are</w:t>
      </w:r>
      <w:r w:rsidR="00E13FD3">
        <w:rPr>
          <w:lang w:eastAsia="en-US"/>
        </w:rPr>
        <w:t xml:space="preserve"> positive, </w:t>
      </w:r>
      <w:r w:rsidR="00E53742">
        <w:rPr>
          <w:lang w:eastAsia="en-US"/>
        </w:rPr>
        <w:t xml:space="preserve">which </w:t>
      </w:r>
      <w:r w:rsidR="00E13FD3">
        <w:rPr>
          <w:lang w:eastAsia="en-US"/>
        </w:rPr>
        <w:t xml:space="preserve">indicates that the SEC </w:t>
      </w:r>
      <w:r w:rsidR="00D150DF">
        <w:rPr>
          <w:lang w:eastAsia="en-US"/>
        </w:rPr>
        <w:t xml:space="preserve">spend more time </w:t>
      </w:r>
      <w:r w:rsidR="00E13FD3">
        <w:rPr>
          <w:lang w:eastAsia="en-US"/>
        </w:rPr>
        <w:t xml:space="preserve">issue more comment letters in the review of S-1 filings which are prepared by the firms having higher growth in sales or potential performance in the future. </w:t>
      </w:r>
      <w:r w:rsidR="00274415">
        <w:rPr>
          <w:lang w:eastAsia="en-US"/>
        </w:rPr>
        <w:t xml:space="preserve">Furthermore, I identify that the effects of </w:t>
      </w:r>
      <w:r w:rsidR="00274415">
        <w:rPr>
          <w:i/>
          <w:lang w:eastAsia="en-US"/>
        </w:rPr>
        <w:t xml:space="preserve">External financing </w:t>
      </w:r>
      <w:r w:rsidR="00274415">
        <w:rPr>
          <w:lang w:eastAsia="en-US"/>
        </w:rPr>
        <w:t xml:space="preserve">on all three SEC review attributes are negative and strongly significant, </w:t>
      </w:r>
      <w:r w:rsidR="00E53742">
        <w:rPr>
          <w:lang w:eastAsia="en-US"/>
        </w:rPr>
        <w:t xml:space="preserve">which </w:t>
      </w:r>
      <w:r w:rsidR="00274415">
        <w:rPr>
          <w:lang w:eastAsia="en-US"/>
        </w:rPr>
        <w:t xml:space="preserve">indicate that for firms conducting </w:t>
      </w:r>
      <w:r w:rsidR="00274415">
        <w:t>funding activities via new borrowing and stock issue,</w:t>
      </w:r>
      <w:r w:rsidR="00274415">
        <w:rPr>
          <w:lang w:eastAsia="en-US"/>
        </w:rPr>
        <w:t xml:space="preserve"> the SEC spend more time, issue more comment letters in the review of the firms’ S-1 filings and issue more comments for their initial S-1 filings. Otherwise, the results also present that the effects of </w:t>
      </w:r>
      <w:r w:rsidR="00274415">
        <w:rPr>
          <w:i/>
          <w:lang w:eastAsia="en-US"/>
        </w:rPr>
        <w:t xml:space="preserve">Firm age </w:t>
      </w:r>
      <w:r w:rsidR="00274415">
        <w:rPr>
          <w:lang w:eastAsia="en-US"/>
        </w:rPr>
        <w:t xml:space="preserve">on all three SEC review attributes are positive and strongly significant, </w:t>
      </w:r>
      <w:r w:rsidR="00E53742">
        <w:rPr>
          <w:lang w:eastAsia="en-US"/>
        </w:rPr>
        <w:t>which indicate</w:t>
      </w:r>
      <w:r w:rsidR="00556EBC">
        <w:rPr>
          <w:lang w:eastAsia="en-US"/>
        </w:rPr>
        <w:t>s</w:t>
      </w:r>
      <w:r w:rsidR="00274415">
        <w:rPr>
          <w:lang w:eastAsia="en-US"/>
        </w:rPr>
        <w:t xml:space="preserve"> that for older firms, the SEC spend more time, issue more comment letters in the review of the firms’ S-1 filings and issue more comments </w:t>
      </w:r>
      <w:r w:rsidR="00556EBC">
        <w:rPr>
          <w:lang w:eastAsia="en-US"/>
        </w:rPr>
        <w:t>on</w:t>
      </w:r>
      <w:r w:rsidR="00274415">
        <w:rPr>
          <w:lang w:eastAsia="en-US"/>
        </w:rPr>
        <w:t xml:space="preserve"> their initial S-1 filings. Moreover, I observe that the effects of </w:t>
      </w:r>
      <w:r w:rsidR="00274415">
        <w:rPr>
          <w:i/>
          <w:lang w:eastAsia="en-US"/>
        </w:rPr>
        <w:t>Segments</w:t>
      </w:r>
      <w:r w:rsidR="00274415">
        <w:rPr>
          <w:lang w:eastAsia="en-US"/>
        </w:rPr>
        <w:t xml:space="preserve"> on all three SEC review attributes are positive and strongly significant, </w:t>
      </w:r>
      <w:r w:rsidR="00E53742">
        <w:rPr>
          <w:lang w:eastAsia="en-US"/>
        </w:rPr>
        <w:t xml:space="preserve">which </w:t>
      </w:r>
      <w:r w:rsidR="00274415">
        <w:rPr>
          <w:lang w:eastAsia="en-US"/>
        </w:rPr>
        <w:t xml:space="preserve">indicate </w:t>
      </w:r>
      <w:r w:rsidR="002A7F01">
        <w:rPr>
          <w:lang w:eastAsia="en-US"/>
        </w:rPr>
        <w:t xml:space="preserve">that </w:t>
      </w:r>
      <w:r w:rsidR="00274415">
        <w:rPr>
          <w:lang w:eastAsia="en-US"/>
        </w:rPr>
        <w:t xml:space="preserve">for the firms having more segments in their business, </w:t>
      </w:r>
      <w:r w:rsidR="001F07EF">
        <w:rPr>
          <w:lang w:eastAsia="en-US"/>
        </w:rPr>
        <w:t xml:space="preserve">the SEC spend more time, issue more comment letters in the review of the firms’ S-1 filings and issue more comments </w:t>
      </w:r>
      <w:r w:rsidR="00C855F0">
        <w:rPr>
          <w:lang w:eastAsia="en-US"/>
        </w:rPr>
        <w:t>on</w:t>
      </w:r>
      <w:r w:rsidR="001F07EF">
        <w:rPr>
          <w:lang w:eastAsia="en-US"/>
        </w:rPr>
        <w:t xml:space="preserve"> initial S-1 filings. Additionally, the results reveal that the effects of </w:t>
      </w:r>
      <w:proofErr w:type="spellStart"/>
      <w:r w:rsidR="00B90319">
        <w:rPr>
          <w:i/>
          <w:lang w:eastAsia="en-US"/>
        </w:rPr>
        <w:t>Zscore</w:t>
      </w:r>
      <w:proofErr w:type="spellEnd"/>
      <w:r w:rsidR="001F07EF">
        <w:rPr>
          <w:i/>
          <w:lang w:eastAsia="en-US"/>
        </w:rPr>
        <w:t xml:space="preserve"> </w:t>
      </w:r>
      <w:r w:rsidR="001F07EF">
        <w:rPr>
          <w:lang w:eastAsia="en-US"/>
        </w:rPr>
        <w:t xml:space="preserve">on </w:t>
      </w:r>
      <w:r w:rsidR="001F07EF">
        <w:rPr>
          <w:i/>
          <w:lang w:eastAsia="en-US"/>
        </w:rPr>
        <w:t xml:space="preserve">Duration </w:t>
      </w:r>
      <w:r w:rsidR="001F07EF">
        <w:rPr>
          <w:lang w:eastAsia="en-US"/>
        </w:rPr>
        <w:t xml:space="preserve">and </w:t>
      </w:r>
      <w:r w:rsidR="001F07EF">
        <w:rPr>
          <w:i/>
          <w:lang w:eastAsia="en-US"/>
        </w:rPr>
        <w:t xml:space="preserve">Letters </w:t>
      </w:r>
      <w:r w:rsidR="001F07EF">
        <w:rPr>
          <w:lang w:eastAsia="en-US"/>
        </w:rPr>
        <w:t xml:space="preserve">are negative, </w:t>
      </w:r>
      <w:r w:rsidR="00E53742">
        <w:rPr>
          <w:lang w:eastAsia="en-US"/>
        </w:rPr>
        <w:t xml:space="preserve">which </w:t>
      </w:r>
      <w:r w:rsidR="001F07EF">
        <w:rPr>
          <w:lang w:eastAsia="en-US"/>
        </w:rPr>
        <w:t xml:space="preserve">indicates that the SEC spend more time and issue more comment letters in the review </w:t>
      </w:r>
      <w:proofErr w:type="gramStart"/>
      <w:r w:rsidR="001F07EF">
        <w:rPr>
          <w:lang w:eastAsia="en-US"/>
        </w:rPr>
        <w:t>of  S</w:t>
      </w:r>
      <w:proofErr w:type="gramEnd"/>
      <w:r w:rsidR="001F07EF">
        <w:rPr>
          <w:lang w:eastAsia="en-US"/>
        </w:rPr>
        <w:t xml:space="preserve">-1 filings prepared by the firm having higher probability of financial distress. </w:t>
      </w:r>
    </w:p>
    <w:p w14:paraId="0142C20E" w14:textId="4BCACF8E" w:rsidR="003C43A1" w:rsidRPr="003C43A1" w:rsidRDefault="003C43A1" w:rsidP="003C43A1">
      <w:pPr>
        <w:spacing w:line="360" w:lineRule="auto"/>
        <w:jc w:val="center"/>
        <w:rPr>
          <w:b/>
          <w:lang w:eastAsia="en-US"/>
        </w:rPr>
      </w:pPr>
      <w:r>
        <w:rPr>
          <w:b/>
          <w:lang w:eastAsia="en-US"/>
        </w:rPr>
        <w:t xml:space="preserve">[Insert Table </w:t>
      </w:r>
      <w:r w:rsidR="00174399">
        <w:rPr>
          <w:b/>
          <w:lang w:eastAsia="en-US"/>
        </w:rPr>
        <w:t>7</w:t>
      </w:r>
      <w:r w:rsidRPr="003876B9">
        <w:rPr>
          <w:b/>
          <w:lang w:eastAsia="en-US"/>
        </w:rPr>
        <w:t xml:space="preserve"> about here]</w:t>
      </w:r>
    </w:p>
    <w:p w14:paraId="70E44DF6" w14:textId="68191843" w:rsidR="00EF78F3" w:rsidRPr="007D3664" w:rsidRDefault="00D92D32" w:rsidP="007D3664">
      <w:pPr>
        <w:pStyle w:val="ListParagraph"/>
        <w:numPr>
          <w:ilvl w:val="1"/>
          <w:numId w:val="1"/>
        </w:numPr>
        <w:spacing w:line="360" w:lineRule="auto"/>
        <w:jc w:val="both"/>
        <w:outlineLvl w:val="1"/>
        <w:rPr>
          <w:b/>
          <w:lang w:eastAsia="en-US"/>
        </w:rPr>
      </w:pPr>
      <w:bookmarkStart w:id="37" w:name="_Toc9185805"/>
      <w:r>
        <w:rPr>
          <w:b/>
          <w:lang w:eastAsia="en-US"/>
        </w:rPr>
        <w:t>Incidences</w:t>
      </w:r>
      <w:r w:rsidR="00451A66" w:rsidRPr="007D3664">
        <w:rPr>
          <w:b/>
          <w:lang w:eastAsia="en-US"/>
        </w:rPr>
        <w:t xml:space="preserve"> – Regulatory events and crises</w:t>
      </w:r>
      <w:bookmarkEnd w:id="37"/>
    </w:p>
    <w:p w14:paraId="079B4C82" w14:textId="758F59FF" w:rsidR="008E08EB" w:rsidRDefault="00174399" w:rsidP="008E08EB">
      <w:pPr>
        <w:spacing w:line="360" w:lineRule="auto"/>
        <w:jc w:val="both"/>
        <w:rPr>
          <w:lang w:eastAsia="en-US"/>
        </w:rPr>
      </w:pPr>
      <w:r>
        <w:rPr>
          <w:lang w:eastAsia="en-US"/>
        </w:rPr>
        <w:lastRenderedPageBreak/>
        <w:t>Table 8</w:t>
      </w:r>
      <w:r w:rsidR="00B26F56">
        <w:rPr>
          <w:lang w:eastAsia="en-US"/>
        </w:rPr>
        <w:t xml:space="preserve"> presents the univariate tests of the impact of the </w:t>
      </w:r>
      <w:r w:rsidR="00D92D32">
        <w:rPr>
          <w:lang w:eastAsia="en-US"/>
        </w:rPr>
        <w:t>incidences</w:t>
      </w:r>
      <w:r w:rsidR="00B26F56">
        <w:rPr>
          <w:lang w:eastAsia="en-US"/>
        </w:rPr>
        <w:t xml:space="preserve"> of regulatory changes and crisis on the SEC review attributes. </w:t>
      </w:r>
      <w:r w:rsidR="008E08EB">
        <w:rPr>
          <w:lang w:eastAsia="en-US"/>
        </w:rPr>
        <w:t xml:space="preserve">Regarding </w:t>
      </w:r>
      <w:r w:rsidR="008E08EB">
        <w:rPr>
          <w:i/>
          <w:lang w:eastAsia="en-US"/>
        </w:rPr>
        <w:t xml:space="preserve">Financial crisis, </w:t>
      </w:r>
      <w:r w:rsidR="008E08EB">
        <w:rPr>
          <w:lang w:eastAsia="en-US"/>
        </w:rPr>
        <w:t xml:space="preserve">Panel A in </w:t>
      </w:r>
      <w:r>
        <w:rPr>
          <w:lang w:eastAsia="en-US"/>
        </w:rPr>
        <w:t>Table 8</w:t>
      </w:r>
      <w:r w:rsidR="008E08EB">
        <w:rPr>
          <w:lang w:eastAsia="en-US"/>
        </w:rPr>
        <w:t xml:space="preserve"> presents that the t-test of difference in means of </w:t>
      </w:r>
      <w:r w:rsidR="008E08EB">
        <w:rPr>
          <w:i/>
          <w:lang w:eastAsia="en-US"/>
        </w:rPr>
        <w:t xml:space="preserve">Duration </w:t>
      </w:r>
      <w:r w:rsidR="008E08EB">
        <w:rPr>
          <w:lang w:eastAsia="en-US"/>
        </w:rPr>
        <w:t xml:space="preserve">and </w:t>
      </w:r>
      <w:r w:rsidR="008E08EB">
        <w:rPr>
          <w:i/>
          <w:lang w:eastAsia="en-US"/>
        </w:rPr>
        <w:t xml:space="preserve">Letters, </w:t>
      </w:r>
      <w:r w:rsidR="008E08EB">
        <w:rPr>
          <w:lang w:eastAsia="en-US"/>
        </w:rPr>
        <w:t>between the period of financial crisis (</w:t>
      </w:r>
      <w:r w:rsidR="008E08EB">
        <w:rPr>
          <w:i/>
          <w:lang w:eastAsia="en-US"/>
        </w:rPr>
        <w:t xml:space="preserve">Financial crisis = 1) </w:t>
      </w:r>
      <w:r w:rsidR="008E08EB">
        <w:rPr>
          <w:lang w:eastAsia="en-US"/>
        </w:rPr>
        <w:t>and other periods (</w:t>
      </w:r>
      <w:r w:rsidR="008E08EB">
        <w:rPr>
          <w:i/>
          <w:lang w:eastAsia="en-US"/>
        </w:rPr>
        <w:t xml:space="preserve">Financial crisis = 0) </w:t>
      </w:r>
      <w:r w:rsidR="008E08EB">
        <w:rPr>
          <w:lang w:eastAsia="en-US"/>
        </w:rPr>
        <w:t>are significant as is the difference in median of all SEC review attributes</w:t>
      </w:r>
      <w:r w:rsidR="008E08EB">
        <w:rPr>
          <w:i/>
          <w:lang w:eastAsia="en-US"/>
        </w:rPr>
        <w:t xml:space="preserve"> </w:t>
      </w:r>
      <w:r w:rsidR="008E08EB">
        <w:rPr>
          <w:lang w:eastAsia="en-US"/>
        </w:rPr>
        <w:t>based on Wilcoxon signed-rank test.</w:t>
      </w:r>
      <w:r w:rsidR="008E08EB" w:rsidRPr="006C1B53">
        <w:rPr>
          <w:lang w:eastAsia="en-US"/>
        </w:rPr>
        <w:t xml:space="preserve"> </w:t>
      </w:r>
      <w:r w:rsidR="008E08EB">
        <w:rPr>
          <w:lang w:eastAsia="en-US"/>
        </w:rPr>
        <w:t xml:space="preserve">Particularly, the mean and median of </w:t>
      </w:r>
      <w:r w:rsidR="008E08EB">
        <w:rPr>
          <w:i/>
          <w:lang w:eastAsia="en-US"/>
        </w:rPr>
        <w:t xml:space="preserve">Duration </w:t>
      </w:r>
      <w:r w:rsidR="008E08EB">
        <w:rPr>
          <w:lang w:eastAsia="en-US"/>
        </w:rPr>
        <w:t xml:space="preserve">and </w:t>
      </w:r>
      <w:r w:rsidR="008E08EB">
        <w:rPr>
          <w:i/>
          <w:lang w:eastAsia="en-US"/>
        </w:rPr>
        <w:t xml:space="preserve">Letters </w:t>
      </w:r>
      <w:r w:rsidR="008E08EB">
        <w:rPr>
          <w:lang w:eastAsia="en-US"/>
        </w:rPr>
        <w:t xml:space="preserve">in the period of financial crisis are higher than those in other periods. Wilcoxon signed-rank test of difference in median of </w:t>
      </w:r>
      <w:r w:rsidR="008E08EB">
        <w:rPr>
          <w:i/>
          <w:lang w:eastAsia="en-US"/>
        </w:rPr>
        <w:t xml:space="preserve">Comments </w:t>
      </w:r>
      <w:r w:rsidR="008E08EB">
        <w:rPr>
          <w:lang w:eastAsia="en-US"/>
        </w:rPr>
        <w:t>between the period of financial crisis and other periods</w:t>
      </w:r>
      <w:r w:rsidR="008E08EB">
        <w:rPr>
          <w:i/>
          <w:lang w:eastAsia="en-US"/>
        </w:rPr>
        <w:t xml:space="preserve"> </w:t>
      </w:r>
      <w:r w:rsidR="008E08EB">
        <w:rPr>
          <w:lang w:eastAsia="en-US"/>
        </w:rPr>
        <w:t xml:space="preserve">are weakly significant at 10%, meanwhile, t-test of difference in mean of </w:t>
      </w:r>
      <w:r w:rsidR="008E08EB">
        <w:rPr>
          <w:i/>
          <w:lang w:eastAsia="en-US"/>
        </w:rPr>
        <w:t>Comments</w:t>
      </w:r>
      <w:r w:rsidR="008E08EB">
        <w:rPr>
          <w:lang w:eastAsia="en-US"/>
        </w:rPr>
        <w:t xml:space="preserve"> is not significant. Particularly, the median of </w:t>
      </w:r>
      <w:r w:rsidR="008E08EB">
        <w:rPr>
          <w:i/>
        </w:rPr>
        <w:t xml:space="preserve">Comments </w:t>
      </w:r>
      <w:r w:rsidR="008E08EB">
        <w:t xml:space="preserve">in the period of financial crisis is higher than that in other periods. </w:t>
      </w:r>
      <w:r w:rsidR="008E08EB" w:rsidRPr="0008332F">
        <w:t>Overall</w:t>
      </w:r>
      <w:r w:rsidR="008E08EB">
        <w:rPr>
          <w:lang w:eastAsia="en-US"/>
        </w:rPr>
        <w:t>, both parametric and non-parametric results indicate that the SEC spend more time in their review and issue more comment letters during the financial crisis, and the non-parametric results indicate that the SEC issue more comments on initial S-1 filings during the financial crisis.</w:t>
      </w:r>
    </w:p>
    <w:p w14:paraId="50ABC174" w14:textId="1DAC2446" w:rsidR="00A7059E" w:rsidRDefault="00A7059E" w:rsidP="0030659B">
      <w:pPr>
        <w:spacing w:line="360" w:lineRule="auto"/>
        <w:jc w:val="both"/>
        <w:rPr>
          <w:lang w:eastAsia="en-US"/>
        </w:rPr>
      </w:pPr>
      <w:r>
        <w:rPr>
          <w:lang w:eastAsia="en-US"/>
        </w:rPr>
        <w:t xml:space="preserve">Regarding </w:t>
      </w:r>
      <w:r>
        <w:rPr>
          <w:i/>
          <w:lang w:eastAsia="en-US"/>
        </w:rPr>
        <w:t xml:space="preserve">Dodd-Frank, </w:t>
      </w:r>
      <w:r>
        <w:rPr>
          <w:lang w:eastAsia="en-US"/>
        </w:rPr>
        <w:t>Panel B</w:t>
      </w:r>
      <w:r w:rsidR="000406B4">
        <w:rPr>
          <w:lang w:eastAsia="en-US"/>
        </w:rPr>
        <w:t xml:space="preserve"> in</w:t>
      </w:r>
      <w:r>
        <w:rPr>
          <w:lang w:eastAsia="en-US"/>
        </w:rPr>
        <w:t xml:space="preserve"> Table </w:t>
      </w:r>
      <w:r w:rsidR="00174399">
        <w:rPr>
          <w:lang w:eastAsia="en-US"/>
        </w:rPr>
        <w:t>8</w:t>
      </w:r>
      <w:r>
        <w:rPr>
          <w:lang w:eastAsia="en-US"/>
        </w:rPr>
        <w:t xml:space="preserve"> presents that the t-test of difference in means of </w:t>
      </w:r>
      <w:r>
        <w:rPr>
          <w:i/>
          <w:lang w:eastAsia="en-US"/>
        </w:rPr>
        <w:t xml:space="preserve">Duration </w:t>
      </w:r>
      <w:r>
        <w:rPr>
          <w:lang w:eastAsia="en-US"/>
        </w:rPr>
        <w:t xml:space="preserve">and </w:t>
      </w:r>
      <w:r>
        <w:rPr>
          <w:i/>
          <w:lang w:eastAsia="en-US"/>
        </w:rPr>
        <w:t xml:space="preserve">Letters, </w:t>
      </w:r>
      <w:r>
        <w:rPr>
          <w:lang w:eastAsia="en-US"/>
        </w:rPr>
        <w:t>between the period of post-Dodd-Frank 2010 (</w:t>
      </w:r>
      <w:r>
        <w:rPr>
          <w:i/>
          <w:lang w:eastAsia="en-US"/>
        </w:rPr>
        <w:t xml:space="preserve">Dodd-Frank = 1) </w:t>
      </w:r>
      <w:r>
        <w:rPr>
          <w:lang w:eastAsia="en-US"/>
        </w:rPr>
        <w:t>and the period of pre-Dodd-Frank 2010 (</w:t>
      </w:r>
      <w:r>
        <w:rPr>
          <w:i/>
          <w:lang w:eastAsia="en-US"/>
        </w:rPr>
        <w:t xml:space="preserve">Dodd-Frank = 0) </w:t>
      </w:r>
      <w:r>
        <w:rPr>
          <w:lang w:eastAsia="en-US"/>
        </w:rPr>
        <w:t>are highly significant at 1% as the difference in median of all SEC review attributes</w:t>
      </w:r>
      <w:r>
        <w:rPr>
          <w:i/>
          <w:lang w:eastAsia="en-US"/>
        </w:rPr>
        <w:t xml:space="preserve"> </w:t>
      </w:r>
      <w:r>
        <w:rPr>
          <w:lang w:eastAsia="en-US"/>
        </w:rPr>
        <w:t xml:space="preserve">based on Wilcoxon signed-rank test. Particularly, the mean and median of </w:t>
      </w:r>
      <w:r>
        <w:rPr>
          <w:i/>
          <w:lang w:eastAsia="en-US"/>
        </w:rPr>
        <w:t xml:space="preserve">Duration </w:t>
      </w:r>
      <w:r w:rsidRPr="00A7059E">
        <w:rPr>
          <w:lang w:eastAsia="en-US"/>
        </w:rPr>
        <w:t>and</w:t>
      </w:r>
      <w:r>
        <w:rPr>
          <w:i/>
          <w:lang w:eastAsia="en-US"/>
        </w:rPr>
        <w:t xml:space="preserve"> </w:t>
      </w:r>
      <w:r w:rsidRPr="00A7059E">
        <w:rPr>
          <w:i/>
          <w:lang w:eastAsia="en-US"/>
        </w:rPr>
        <w:t>Letters</w:t>
      </w:r>
      <w:r>
        <w:rPr>
          <w:lang w:eastAsia="en-US"/>
        </w:rPr>
        <w:t xml:space="preserve"> in the period of post-Dodd-Frank 2010 are higher than those in the period of pre-Dodd-Frank 2010. Overall, both parametric and non-parametric results indicate that the SEC spend more time in their review and issue more comment letters in the period after the </w:t>
      </w:r>
      <w:r w:rsidR="008E08EB">
        <w:rPr>
          <w:lang w:eastAsia="en-US"/>
        </w:rPr>
        <w:t>enactment</w:t>
      </w:r>
      <w:r>
        <w:rPr>
          <w:lang w:eastAsia="en-US"/>
        </w:rPr>
        <w:t xml:space="preserve"> of Dodd-Frank 2010. </w:t>
      </w:r>
    </w:p>
    <w:p w14:paraId="41BF66B2" w14:textId="2224EDB5" w:rsidR="008E08EB" w:rsidRDefault="008E08EB" w:rsidP="0030659B">
      <w:pPr>
        <w:spacing w:line="360" w:lineRule="auto"/>
        <w:jc w:val="both"/>
        <w:rPr>
          <w:lang w:eastAsia="en-US"/>
        </w:rPr>
      </w:pPr>
      <w:r>
        <w:rPr>
          <w:lang w:eastAsia="en-US"/>
        </w:rPr>
        <w:t xml:space="preserve">Regarding </w:t>
      </w:r>
      <w:r>
        <w:rPr>
          <w:i/>
          <w:lang w:eastAsia="en-US"/>
        </w:rPr>
        <w:t xml:space="preserve">JOBs Act, </w:t>
      </w:r>
      <w:r>
        <w:rPr>
          <w:lang w:eastAsia="en-US"/>
        </w:rPr>
        <w:t xml:space="preserve">Panel C in </w:t>
      </w:r>
      <w:r w:rsidR="00174399">
        <w:rPr>
          <w:lang w:eastAsia="en-US"/>
        </w:rPr>
        <w:t>Table 8</w:t>
      </w:r>
      <w:r w:rsidRPr="00960A70">
        <w:rPr>
          <w:lang w:eastAsia="en-US"/>
        </w:rPr>
        <w:t xml:space="preserve"> show</w:t>
      </w:r>
      <w:r>
        <w:rPr>
          <w:lang w:eastAsia="en-US"/>
        </w:rPr>
        <w:t>s</w:t>
      </w:r>
      <w:r w:rsidRPr="00960A70">
        <w:rPr>
          <w:lang w:eastAsia="en-US"/>
        </w:rPr>
        <w:t xml:space="preserve"> </w:t>
      </w:r>
      <w:r>
        <w:rPr>
          <w:lang w:eastAsia="en-US"/>
        </w:rPr>
        <w:t xml:space="preserve">that </w:t>
      </w:r>
      <w:r w:rsidRPr="000912EF">
        <w:rPr>
          <w:lang w:eastAsia="en-US"/>
        </w:rPr>
        <w:t xml:space="preserve">the proportion of emerging growth companies </w:t>
      </w:r>
      <w:proofErr w:type="gramStart"/>
      <w:r w:rsidRPr="000912EF">
        <w:rPr>
          <w:lang w:eastAsia="en-US"/>
        </w:rPr>
        <w:t>pre</w:t>
      </w:r>
      <w:proofErr w:type="gramEnd"/>
      <w:r w:rsidRPr="000912EF">
        <w:rPr>
          <w:lang w:eastAsia="en-US"/>
        </w:rPr>
        <w:t xml:space="preserve"> and post- JOBs Act are similar and emerging grow</w:t>
      </w:r>
      <w:r>
        <w:rPr>
          <w:lang w:eastAsia="en-US"/>
        </w:rPr>
        <w:t>th</w:t>
      </w:r>
      <w:r w:rsidRPr="000912EF">
        <w:rPr>
          <w:lang w:eastAsia="en-US"/>
        </w:rPr>
        <w:t xml:space="preserve"> companies dominate the sample with the proportion of 87.5% and 85.03%. Therefore, we could test the impact of </w:t>
      </w:r>
      <w:r w:rsidR="004F5BE6">
        <w:rPr>
          <w:lang w:eastAsia="en-US"/>
        </w:rPr>
        <w:t>JOBs Act</w:t>
      </w:r>
      <w:r w:rsidRPr="000912EF">
        <w:rPr>
          <w:lang w:eastAsia="en-US"/>
        </w:rPr>
        <w:t xml:space="preserve"> by dividing the whole sample, rather than the sub-sample of emerging growth companies, into pre- and post-JOBs Act. </w:t>
      </w:r>
      <w:r>
        <w:rPr>
          <w:lang w:eastAsia="en-US"/>
        </w:rPr>
        <w:t xml:space="preserve">The results reveal that the t-test of difference in means of all SEC review attributes including; </w:t>
      </w:r>
      <w:r>
        <w:rPr>
          <w:i/>
          <w:lang w:eastAsia="en-US"/>
        </w:rPr>
        <w:t xml:space="preserve">Duration, Letters, </w:t>
      </w:r>
      <w:r>
        <w:rPr>
          <w:lang w:eastAsia="en-US"/>
        </w:rPr>
        <w:t xml:space="preserve">and </w:t>
      </w:r>
      <w:r>
        <w:rPr>
          <w:i/>
          <w:lang w:eastAsia="en-US"/>
        </w:rPr>
        <w:t xml:space="preserve">Comments, </w:t>
      </w:r>
      <w:r>
        <w:rPr>
          <w:lang w:eastAsia="en-US"/>
        </w:rPr>
        <w:t>between post-JOBs Act period (</w:t>
      </w:r>
      <w:r>
        <w:rPr>
          <w:i/>
          <w:lang w:eastAsia="en-US"/>
        </w:rPr>
        <w:t xml:space="preserve">JOBs Act = 1) </w:t>
      </w:r>
      <w:r>
        <w:rPr>
          <w:lang w:eastAsia="en-US"/>
        </w:rPr>
        <w:t xml:space="preserve">and pre-JOBs Act </w:t>
      </w:r>
      <w:proofErr w:type="gramStart"/>
      <w:r>
        <w:rPr>
          <w:lang w:eastAsia="en-US"/>
        </w:rPr>
        <w:t>period(</w:t>
      </w:r>
      <w:proofErr w:type="gramEnd"/>
      <w:r>
        <w:rPr>
          <w:i/>
          <w:lang w:eastAsia="en-US"/>
        </w:rPr>
        <w:t xml:space="preserve">JOBs Act = 0) </w:t>
      </w:r>
      <w:r>
        <w:rPr>
          <w:lang w:eastAsia="en-US"/>
        </w:rPr>
        <w:t xml:space="preserve">are highly significant at 1% </w:t>
      </w:r>
      <w:r w:rsidR="005A46EE">
        <w:rPr>
          <w:lang w:eastAsia="en-US"/>
        </w:rPr>
        <w:t>as the difference</w:t>
      </w:r>
      <w:r>
        <w:rPr>
          <w:lang w:eastAsia="en-US"/>
        </w:rPr>
        <w:t xml:space="preserve"> in median of all SEC review attributes</w:t>
      </w:r>
      <w:r>
        <w:rPr>
          <w:i/>
          <w:lang w:eastAsia="en-US"/>
        </w:rPr>
        <w:t xml:space="preserve"> </w:t>
      </w:r>
      <w:r>
        <w:rPr>
          <w:lang w:eastAsia="en-US"/>
        </w:rPr>
        <w:t xml:space="preserve">based on Wilcoxon signed-rank test. Particularly, </w:t>
      </w:r>
      <w:proofErr w:type="gramStart"/>
      <w:r>
        <w:rPr>
          <w:lang w:eastAsia="en-US"/>
        </w:rPr>
        <w:t>mean</w:t>
      </w:r>
      <w:proofErr w:type="gramEnd"/>
      <w:r>
        <w:rPr>
          <w:lang w:eastAsia="en-US"/>
        </w:rPr>
        <w:t xml:space="preserve"> and median of all SEC review attributes</w:t>
      </w:r>
      <w:r>
        <w:rPr>
          <w:i/>
          <w:lang w:eastAsia="en-US"/>
        </w:rPr>
        <w:t xml:space="preserve"> </w:t>
      </w:r>
      <w:r>
        <w:rPr>
          <w:lang w:eastAsia="en-US"/>
        </w:rPr>
        <w:t>in the period of post-</w:t>
      </w:r>
      <w:r w:rsidR="004F5BE6">
        <w:rPr>
          <w:lang w:eastAsia="en-US"/>
        </w:rPr>
        <w:t>JOBs Act</w:t>
      </w:r>
      <w:r>
        <w:rPr>
          <w:lang w:eastAsia="en-US"/>
        </w:rPr>
        <w:t xml:space="preserve"> are lower than those in the period of pre-</w:t>
      </w:r>
      <w:r w:rsidR="004F5BE6">
        <w:rPr>
          <w:lang w:eastAsia="en-US"/>
        </w:rPr>
        <w:t>JOBs Act</w:t>
      </w:r>
      <w:r>
        <w:rPr>
          <w:lang w:eastAsia="en-US"/>
        </w:rPr>
        <w:t xml:space="preserve">. Overall, both parametric and non-parametric results indicate that the SEC spend less time, issue fewer comment letters in the review of the firms’ S-1 filings and issue fewer comments for their initial S-1 filings in the period after the enactments of </w:t>
      </w:r>
      <w:r w:rsidR="004F5BE6">
        <w:rPr>
          <w:lang w:eastAsia="en-US"/>
        </w:rPr>
        <w:t>JOBs Act</w:t>
      </w:r>
      <w:r>
        <w:rPr>
          <w:lang w:eastAsia="en-US"/>
        </w:rPr>
        <w:t>.</w:t>
      </w:r>
    </w:p>
    <w:p w14:paraId="6F2CE68C" w14:textId="47719E1F" w:rsidR="00626DC3" w:rsidRPr="003C43A1" w:rsidRDefault="008E08EB" w:rsidP="008E08EB">
      <w:pPr>
        <w:spacing w:line="360" w:lineRule="auto"/>
        <w:jc w:val="center"/>
        <w:rPr>
          <w:b/>
          <w:lang w:eastAsia="en-US"/>
        </w:rPr>
      </w:pPr>
      <w:r>
        <w:rPr>
          <w:b/>
          <w:lang w:eastAsia="en-US"/>
        </w:rPr>
        <w:lastRenderedPageBreak/>
        <w:t xml:space="preserve"> </w:t>
      </w:r>
      <w:r w:rsidR="003C43A1">
        <w:rPr>
          <w:b/>
          <w:lang w:eastAsia="en-US"/>
        </w:rPr>
        <w:t xml:space="preserve">[Insert </w:t>
      </w:r>
      <w:r w:rsidR="00174399">
        <w:rPr>
          <w:b/>
          <w:lang w:eastAsia="en-US"/>
        </w:rPr>
        <w:t>Table 8</w:t>
      </w:r>
      <w:r w:rsidR="003C43A1" w:rsidRPr="003876B9">
        <w:rPr>
          <w:b/>
          <w:lang w:eastAsia="en-US"/>
        </w:rPr>
        <w:t xml:space="preserve"> about here]</w:t>
      </w:r>
    </w:p>
    <w:p w14:paraId="3FEBE635" w14:textId="77777777" w:rsidR="00EF78F3" w:rsidRPr="000912EF" w:rsidRDefault="00EF78F3" w:rsidP="00C20F6A">
      <w:pPr>
        <w:pStyle w:val="ListParagraph"/>
        <w:numPr>
          <w:ilvl w:val="1"/>
          <w:numId w:val="1"/>
        </w:numPr>
        <w:spacing w:line="360" w:lineRule="auto"/>
        <w:jc w:val="both"/>
        <w:outlineLvl w:val="1"/>
        <w:rPr>
          <w:b/>
          <w:lang w:eastAsia="en-US"/>
        </w:rPr>
      </w:pPr>
      <w:bookmarkStart w:id="38" w:name="_Toc9185806"/>
      <w:r w:rsidRPr="000912EF">
        <w:rPr>
          <w:b/>
          <w:lang w:eastAsia="en-US"/>
        </w:rPr>
        <w:t>Industry and market</w:t>
      </w:r>
      <w:bookmarkEnd w:id="38"/>
    </w:p>
    <w:p w14:paraId="19018DF7" w14:textId="15EC1F0B" w:rsidR="003C43A1" w:rsidRDefault="003C43A1" w:rsidP="0030659B">
      <w:pPr>
        <w:spacing w:line="360" w:lineRule="auto"/>
        <w:jc w:val="both"/>
        <w:rPr>
          <w:i/>
          <w:lang w:eastAsia="en-US"/>
        </w:rPr>
      </w:pPr>
      <w:r>
        <w:rPr>
          <w:lang w:eastAsia="en-US"/>
        </w:rPr>
        <w:t xml:space="preserve">Table </w:t>
      </w:r>
      <w:r w:rsidR="00174399">
        <w:rPr>
          <w:lang w:eastAsia="en-US"/>
        </w:rPr>
        <w:t>9</w:t>
      </w:r>
      <w:r>
        <w:rPr>
          <w:lang w:eastAsia="en-US"/>
        </w:rPr>
        <w:t xml:space="preserve"> presents the univariate tests of the impact of industry/market characteristics on the SEC review attributes. Regarding </w:t>
      </w:r>
      <w:r>
        <w:rPr>
          <w:i/>
          <w:lang w:eastAsia="en-US"/>
        </w:rPr>
        <w:t xml:space="preserve">Regulated, </w:t>
      </w:r>
      <w:r>
        <w:rPr>
          <w:lang w:eastAsia="en-US"/>
        </w:rPr>
        <w:t>Panel A</w:t>
      </w:r>
      <w:r w:rsidR="00A377C9">
        <w:rPr>
          <w:lang w:eastAsia="en-US"/>
        </w:rPr>
        <w:t xml:space="preserve"> in</w:t>
      </w:r>
      <w:r>
        <w:rPr>
          <w:lang w:eastAsia="en-US"/>
        </w:rPr>
        <w:t xml:space="preserve"> Table </w:t>
      </w:r>
      <w:r w:rsidR="00174399">
        <w:rPr>
          <w:lang w:eastAsia="en-US"/>
        </w:rPr>
        <w:t>9</w:t>
      </w:r>
      <w:r>
        <w:rPr>
          <w:lang w:eastAsia="en-US"/>
        </w:rPr>
        <w:t xml:space="preserve"> shows no difference in all SEC review attributes including; </w:t>
      </w:r>
      <w:r>
        <w:rPr>
          <w:i/>
          <w:lang w:eastAsia="en-US"/>
        </w:rPr>
        <w:t xml:space="preserve">Duration, Letters, Comments, </w:t>
      </w:r>
      <w:r>
        <w:rPr>
          <w:lang w:eastAsia="en-US"/>
        </w:rPr>
        <w:t>between</w:t>
      </w:r>
      <w:r w:rsidRPr="00CE2325">
        <w:rPr>
          <w:lang w:eastAsia="en-US"/>
        </w:rPr>
        <w:t xml:space="preserve"> </w:t>
      </w:r>
      <w:r>
        <w:rPr>
          <w:lang w:eastAsia="en-US"/>
        </w:rPr>
        <w:t>firms operating in regulated industr</w:t>
      </w:r>
      <w:r w:rsidR="008E08EB">
        <w:rPr>
          <w:lang w:eastAsia="en-US"/>
        </w:rPr>
        <w:t>ies</w:t>
      </w:r>
      <w:r>
        <w:rPr>
          <w:lang w:eastAsia="en-US"/>
        </w:rPr>
        <w:t xml:space="preserve"> (</w:t>
      </w:r>
      <w:r>
        <w:rPr>
          <w:i/>
          <w:lang w:eastAsia="en-US"/>
        </w:rPr>
        <w:t xml:space="preserve">Regulated = </w:t>
      </w:r>
      <w:proofErr w:type="gramStart"/>
      <w:r>
        <w:rPr>
          <w:i/>
          <w:lang w:eastAsia="en-US"/>
        </w:rPr>
        <w:t>1)</w:t>
      </w:r>
      <w:r>
        <w:rPr>
          <w:lang w:eastAsia="en-US"/>
        </w:rPr>
        <w:t>and</w:t>
      </w:r>
      <w:proofErr w:type="gramEnd"/>
      <w:r>
        <w:rPr>
          <w:lang w:eastAsia="en-US"/>
        </w:rPr>
        <w:t xml:space="preserve"> firms operating </w:t>
      </w:r>
      <w:r w:rsidR="008E08EB">
        <w:rPr>
          <w:lang w:eastAsia="en-US"/>
        </w:rPr>
        <w:t xml:space="preserve">in </w:t>
      </w:r>
      <w:r>
        <w:rPr>
          <w:lang w:eastAsia="en-US"/>
        </w:rPr>
        <w:t>non-regulated industries (</w:t>
      </w:r>
      <w:r>
        <w:rPr>
          <w:i/>
          <w:lang w:eastAsia="en-US"/>
        </w:rPr>
        <w:t>Regulated = 0)</w:t>
      </w:r>
    </w:p>
    <w:p w14:paraId="73C13ABB" w14:textId="3A4B85B5" w:rsidR="003C43A1" w:rsidRDefault="003C43A1" w:rsidP="0030659B">
      <w:pPr>
        <w:spacing w:line="360" w:lineRule="auto"/>
        <w:jc w:val="both"/>
        <w:rPr>
          <w:lang w:eastAsia="en-US"/>
        </w:rPr>
      </w:pPr>
      <w:r>
        <w:rPr>
          <w:lang w:eastAsia="en-US"/>
        </w:rPr>
        <w:t xml:space="preserve">Regarding </w:t>
      </w:r>
      <w:r>
        <w:rPr>
          <w:i/>
          <w:lang w:eastAsia="en-US"/>
        </w:rPr>
        <w:t xml:space="preserve">Technology, </w:t>
      </w:r>
      <w:r>
        <w:rPr>
          <w:lang w:eastAsia="en-US"/>
        </w:rPr>
        <w:t>Panel B</w:t>
      </w:r>
      <w:r w:rsidR="00A377C9">
        <w:rPr>
          <w:lang w:eastAsia="en-US"/>
        </w:rPr>
        <w:t xml:space="preserve"> in</w:t>
      </w:r>
      <w:r>
        <w:rPr>
          <w:lang w:eastAsia="en-US"/>
        </w:rPr>
        <w:t xml:space="preserve"> Table </w:t>
      </w:r>
      <w:r w:rsidR="00174399">
        <w:rPr>
          <w:lang w:eastAsia="en-US"/>
        </w:rPr>
        <w:t>9</w:t>
      </w:r>
      <w:r>
        <w:rPr>
          <w:lang w:eastAsia="en-US"/>
        </w:rPr>
        <w:t xml:space="preserve"> reveals that t-test of difference in means of </w:t>
      </w:r>
      <w:r>
        <w:rPr>
          <w:i/>
          <w:lang w:eastAsia="en-US"/>
        </w:rPr>
        <w:t xml:space="preserve">Letters </w:t>
      </w:r>
      <w:r>
        <w:rPr>
          <w:lang w:eastAsia="en-US"/>
        </w:rPr>
        <w:t xml:space="preserve">and </w:t>
      </w:r>
      <w:r>
        <w:rPr>
          <w:i/>
          <w:lang w:eastAsia="en-US"/>
        </w:rPr>
        <w:t xml:space="preserve">Comments, </w:t>
      </w:r>
      <w:r>
        <w:rPr>
          <w:lang w:eastAsia="en-US"/>
        </w:rPr>
        <w:t xml:space="preserve">between the </w:t>
      </w:r>
      <w:r w:rsidR="0008332F">
        <w:rPr>
          <w:lang w:eastAsia="en-US"/>
        </w:rPr>
        <w:t xml:space="preserve">firms operating in technology </w:t>
      </w:r>
      <w:r w:rsidR="005A46EE">
        <w:rPr>
          <w:lang w:eastAsia="en-US"/>
        </w:rPr>
        <w:t>industries</w:t>
      </w:r>
      <w:r w:rsidR="0008332F">
        <w:rPr>
          <w:lang w:eastAsia="en-US"/>
        </w:rPr>
        <w:t xml:space="preserve"> </w:t>
      </w:r>
      <w:r>
        <w:rPr>
          <w:lang w:eastAsia="en-US"/>
        </w:rPr>
        <w:t>(</w:t>
      </w:r>
      <w:r w:rsidR="0008332F">
        <w:rPr>
          <w:i/>
          <w:lang w:eastAsia="en-US"/>
        </w:rPr>
        <w:t>Technology</w:t>
      </w:r>
      <w:r>
        <w:rPr>
          <w:i/>
          <w:lang w:eastAsia="en-US"/>
        </w:rPr>
        <w:t xml:space="preserve"> = 1) </w:t>
      </w:r>
      <w:r>
        <w:rPr>
          <w:lang w:eastAsia="en-US"/>
        </w:rPr>
        <w:t xml:space="preserve">and </w:t>
      </w:r>
      <w:r w:rsidR="0008332F">
        <w:rPr>
          <w:lang w:eastAsia="en-US"/>
        </w:rPr>
        <w:t xml:space="preserve">the firms operating in non-technology </w:t>
      </w:r>
      <w:r w:rsidR="005A46EE">
        <w:rPr>
          <w:lang w:eastAsia="en-US"/>
        </w:rPr>
        <w:t>industries</w:t>
      </w:r>
      <w:r>
        <w:rPr>
          <w:lang w:eastAsia="en-US"/>
        </w:rPr>
        <w:t xml:space="preserve"> (</w:t>
      </w:r>
      <w:r w:rsidR="0008332F">
        <w:rPr>
          <w:i/>
          <w:lang w:eastAsia="en-US"/>
        </w:rPr>
        <w:t>Technology</w:t>
      </w:r>
      <w:r>
        <w:rPr>
          <w:i/>
          <w:lang w:eastAsia="en-US"/>
        </w:rPr>
        <w:t xml:space="preserve"> = 0) </w:t>
      </w:r>
      <w:r>
        <w:rPr>
          <w:lang w:eastAsia="en-US"/>
        </w:rPr>
        <w:t>are significant as the difference in median of all SEC review attributes</w:t>
      </w:r>
      <w:r>
        <w:rPr>
          <w:i/>
          <w:lang w:eastAsia="en-US"/>
        </w:rPr>
        <w:t xml:space="preserve"> </w:t>
      </w:r>
      <w:r>
        <w:rPr>
          <w:lang w:eastAsia="en-US"/>
        </w:rPr>
        <w:t>based on Wilcoxon signed-rank test.</w:t>
      </w:r>
      <w:r w:rsidR="0008332F">
        <w:rPr>
          <w:lang w:eastAsia="en-US"/>
        </w:rPr>
        <w:t xml:space="preserve"> Particularly, the mean and median of </w:t>
      </w:r>
      <w:r w:rsidR="0008332F">
        <w:rPr>
          <w:i/>
          <w:lang w:eastAsia="en-US"/>
        </w:rPr>
        <w:t xml:space="preserve">Letters </w:t>
      </w:r>
      <w:r w:rsidR="0008332F">
        <w:rPr>
          <w:lang w:eastAsia="en-US"/>
        </w:rPr>
        <w:t xml:space="preserve">and </w:t>
      </w:r>
      <w:r w:rsidR="0008332F">
        <w:rPr>
          <w:i/>
          <w:lang w:eastAsia="en-US"/>
        </w:rPr>
        <w:t xml:space="preserve">Comments </w:t>
      </w:r>
      <w:r w:rsidR="0008332F">
        <w:rPr>
          <w:lang w:eastAsia="en-US"/>
        </w:rPr>
        <w:t xml:space="preserve">in the group of firms operating in technology </w:t>
      </w:r>
      <w:r w:rsidR="005A46EE">
        <w:rPr>
          <w:lang w:eastAsia="en-US"/>
        </w:rPr>
        <w:t>industries</w:t>
      </w:r>
      <w:r w:rsidR="0008332F">
        <w:rPr>
          <w:lang w:eastAsia="en-US"/>
        </w:rPr>
        <w:t xml:space="preserve"> higher than those in the group of firms operating in non-technology </w:t>
      </w:r>
      <w:r w:rsidR="005A46EE">
        <w:rPr>
          <w:lang w:eastAsia="en-US"/>
        </w:rPr>
        <w:t>industries</w:t>
      </w:r>
      <w:r w:rsidR="0008332F">
        <w:rPr>
          <w:lang w:eastAsia="en-US"/>
        </w:rPr>
        <w:t xml:space="preserve">. Wilcoxon signed-rank test of difference in median of </w:t>
      </w:r>
      <w:r w:rsidR="0008332F">
        <w:rPr>
          <w:i/>
          <w:lang w:eastAsia="en-US"/>
        </w:rPr>
        <w:t xml:space="preserve">Duration </w:t>
      </w:r>
      <w:r w:rsidR="0008332F">
        <w:rPr>
          <w:lang w:eastAsia="en-US"/>
        </w:rPr>
        <w:t xml:space="preserve">between the firm operating in technology </w:t>
      </w:r>
      <w:r w:rsidR="005A46EE">
        <w:rPr>
          <w:lang w:eastAsia="en-US"/>
        </w:rPr>
        <w:t>industries</w:t>
      </w:r>
      <w:r w:rsidR="0008332F">
        <w:rPr>
          <w:lang w:eastAsia="en-US"/>
        </w:rPr>
        <w:t xml:space="preserve"> and the firm operating in non-technology </w:t>
      </w:r>
      <w:r w:rsidR="005A46EE">
        <w:rPr>
          <w:lang w:eastAsia="en-US"/>
        </w:rPr>
        <w:t>industries</w:t>
      </w:r>
      <w:r w:rsidR="0008332F">
        <w:rPr>
          <w:lang w:eastAsia="en-US"/>
        </w:rPr>
        <w:t xml:space="preserve"> are strongly significant at 10%, meanwhile, t-test of difference in mean of </w:t>
      </w:r>
      <w:r w:rsidR="0008332F">
        <w:rPr>
          <w:i/>
          <w:lang w:eastAsia="en-US"/>
        </w:rPr>
        <w:t>Duration</w:t>
      </w:r>
      <w:r w:rsidR="0008332F">
        <w:rPr>
          <w:lang w:eastAsia="en-US"/>
        </w:rPr>
        <w:t xml:space="preserve"> is not significant. Particularly, the median of </w:t>
      </w:r>
      <w:r w:rsidR="0008332F">
        <w:rPr>
          <w:i/>
          <w:lang w:eastAsia="en-US"/>
        </w:rPr>
        <w:t xml:space="preserve">Duration </w:t>
      </w:r>
      <w:r w:rsidR="0008332F">
        <w:rPr>
          <w:lang w:eastAsia="en-US"/>
        </w:rPr>
        <w:t xml:space="preserve">in the group of firms operating in technology </w:t>
      </w:r>
      <w:r w:rsidR="005A46EE">
        <w:rPr>
          <w:lang w:eastAsia="en-US"/>
        </w:rPr>
        <w:t>industries</w:t>
      </w:r>
      <w:r w:rsidR="0008332F">
        <w:rPr>
          <w:lang w:eastAsia="en-US"/>
        </w:rPr>
        <w:t xml:space="preserve"> is higher than that in the group of firms operating in non-technology </w:t>
      </w:r>
      <w:r w:rsidR="005A46EE">
        <w:rPr>
          <w:lang w:eastAsia="en-US"/>
        </w:rPr>
        <w:t>industries</w:t>
      </w:r>
      <w:r w:rsidR="0008332F">
        <w:rPr>
          <w:lang w:eastAsia="en-US"/>
        </w:rPr>
        <w:t xml:space="preserve">. Overall, both parametric and non-parametric results indicate that </w:t>
      </w:r>
      <w:r w:rsidR="000D65F1">
        <w:rPr>
          <w:lang w:eastAsia="en-US"/>
        </w:rPr>
        <w:t xml:space="preserve">for the firms operating in technology </w:t>
      </w:r>
      <w:r w:rsidR="005A46EE">
        <w:rPr>
          <w:lang w:eastAsia="en-US"/>
        </w:rPr>
        <w:t>industries</w:t>
      </w:r>
      <w:r w:rsidR="000D65F1">
        <w:rPr>
          <w:lang w:eastAsia="en-US"/>
        </w:rPr>
        <w:t xml:space="preserve">, </w:t>
      </w:r>
      <w:r w:rsidR="0008332F">
        <w:rPr>
          <w:lang w:eastAsia="en-US"/>
        </w:rPr>
        <w:t>the SEC issue more comment letters</w:t>
      </w:r>
      <w:r w:rsidR="000D65F1">
        <w:rPr>
          <w:lang w:eastAsia="en-US"/>
        </w:rPr>
        <w:t xml:space="preserve"> and more comments on their initial S-1 filings</w:t>
      </w:r>
      <w:r w:rsidR="0008332F">
        <w:rPr>
          <w:lang w:eastAsia="en-US"/>
        </w:rPr>
        <w:t xml:space="preserve">. Only non-parametric results indicate that the SEC </w:t>
      </w:r>
      <w:r w:rsidR="000D65F1">
        <w:rPr>
          <w:lang w:eastAsia="en-US"/>
        </w:rPr>
        <w:t xml:space="preserve">spend more time for the review of S-1 filings prepared by the firms operating technology </w:t>
      </w:r>
      <w:r w:rsidR="005A46EE">
        <w:rPr>
          <w:lang w:eastAsia="en-US"/>
        </w:rPr>
        <w:t>industries</w:t>
      </w:r>
      <w:r w:rsidR="000D65F1">
        <w:rPr>
          <w:lang w:eastAsia="en-US"/>
        </w:rPr>
        <w:t>.</w:t>
      </w:r>
    </w:p>
    <w:p w14:paraId="506DC139" w14:textId="2952186F" w:rsidR="003C43A1" w:rsidRDefault="000D65F1" w:rsidP="0030659B">
      <w:pPr>
        <w:spacing w:line="360" w:lineRule="auto"/>
        <w:jc w:val="both"/>
        <w:rPr>
          <w:lang w:eastAsia="en-US"/>
        </w:rPr>
      </w:pPr>
      <w:r>
        <w:rPr>
          <w:lang w:eastAsia="en-US"/>
        </w:rPr>
        <w:t xml:space="preserve">Table </w:t>
      </w:r>
      <w:r w:rsidR="00174399">
        <w:rPr>
          <w:lang w:eastAsia="en-US"/>
        </w:rPr>
        <w:t>9</w:t>
      </w:r>
      <w:r>
        <w:rPr>
          <w:lang w:eastAsia="en-US"/>
        </w:rPr>
        <w:t xml:space="preserve">, Panel </w:t>
      </w:r>
      <w:r w:rsidR="00A377C9">
        <w:rPr>
          <w:lang w:eastAsia="en-US"/>
        </w:rPr>
        <w:t>C</w:t>
      </w:r>
      <w:r>
        <w:rPr>
          <w:lang w:eastAsia="en-US"/>
        </w:rPr>
        <w:t xml:space="preserve"> present</w:t>
      </w:r>
      <w:r w:rsidR="00A02079">
        <w:rPr>
          <w:lang w:eastAsia="en-US"/>
        </w:rPr>
        <w:t>s</w:t>
      </w:r>
      <w:r>
        <w:rPr>
          <w:lang w:eastAsia="en-US"/>
        </w:rPr>
        <w:t xml:space="preserve"> the results from estimating the univariate negative binomial regressions involving a dependent variable, which is </w:t>
      </w:r>
      <w:r>
        <w:rPr>
          <w:i/>
          <w:lang w:eastAsia="en-US"/>
        </w:rPr>
        <w:t xml:space="preserve">Duration, Letters </w:t>
      </w:r>
      <w:r>
        <w:rPr>
          <w:lang w:eastAsia="en-US"/>
        </w:rPr>
        <w:t xml:space="preserve">or </w:t>
      </w:r>
      <w:r>
        <w:rPr>
          <w:i/>
          <w:lang w:eastAsia="en-US"/>
        </w:rPr>
        <w:t>Comments,</w:t>
      </w:r>
      <w:r>
        <w:rPr>
          <w:lang w:eastAsia="en-US"/>
        </w:rPr>
        <w:t xml:space="preserve"> and an independent variable, which is </w:t>
      </w:r>
      <w:r>
        <w:rPr>
          <w:i/>
          <w:lang w:eastAsia="en-US"/>
        </w:rPr>
        <w:t xml:space="preserve">IPOs by industry </w:t>
      </w:r>
      <w:r>
        <w:rPr>
          <w:lang w:eastAsia="en-US"/>
        </w:rPr>
        <w:t xml:space="preserve">or </w:t>
      </w:r>
      <w:r>
        <w:rPr>
          <w:i/>
          <w:lang w:eastAsia="en-US"/>
        </w:rPr>
        <w:t>Herfinda</w:t>
      </w:r>
      <w:r w:rsidR="00A02079">
        <w:rPr>
          <w:i/>
          <w:lang w:eastAsia="en-US"/>
        </w:rPr>
        <w:t>h</w:t>
      </w:r>
      <w:r>
        <w:rPr>
          <w:i/>
          <w:lang w:eastAsia="en-US"/>
        </w:rPr>
        <w:t xml:space="preserve">l Index. </w:t>
      </w:r>
      <w:r>
        <w:rPr>
          <w:lang w:eastAsia="en-US"/>
        </w:rPr>
        <w:t xml:space="preserve">The results show that the effects of </w:t>
      </w:r>
      <w:r>
        <w:rPr>
          <w:i/>
          <w:lang w:eastAsia="en-US"/>
        </w:rPr>
        <w:t>IPOs</w:t>
      </w:r>
      <w:r w:rsidR="00DA56E4">
        <w:rPr>
          <w:i/>
          <w:lang w:eastAsia="en-US"/>
        </w:rPr>
        <w:t xml:space="preserve"> by industry</w:t>
      </w:r>
      <w:r>
        <w:rPr>
          <w:i/>
          <w:lang w:eastAsia="en-US"/>
        </w:rPr>
        <w:t xml:space="preserve"> </w:t>
      </w:r>
      <w:r>
        <w:rPr>
          <w:lang w:eastAsia="en-US"/>
        </w:rPr>
        <w:t xml:space="preserve">on all three SEC review attributes are negative and strongly significant, </w:t>
      </w:r>
      <w:r w:rsidR="00E53742">
        <w:rPr>
          <w:lang w:eastAsia="en-US"/>
        </w:rPr>
        <w:t xml:space="preserve">which </w:t>
      </w:r>
      <w:r>
        <w:rPr>
          <w:lang w:eastAsia="en-US"/>
        </w:rPr>
        <w:t>indicate that in industries having more IPO firms</w:t>
      </w:r>
      <w:r>
        <w:t>,</w:t>
      </w:r>
      <w:r>
        <w:rPr>
          <w:lang w:eastAsia="en-US"/>
        </w:rPr>
        <w:t xml:space="preserve"> the SEC spend less time, issue </w:t>
      </w:r>
      <w:r w:rsidR="00A02079">
        <w:rPr>
          <w:lang w:eastAsia="en-US"/>
        </w:rPr>
        <w:t>fewer</w:t>
      </w:r>
      <w:r>
        <w:rPr>
          <w:lang w:eastAsia="en-US"/>
        </w:rPr>
        <w:t xml:space="preserve"> comment letters in the review of the firms’ S-1 filings and issue </w:t>
      </w:r>
      <w:r w:rsidR="00A02079">
        <w:rPr>
          <w:lang w:eastAsia="en-US"/>
        </w:rPr>
        <w:t>fewer</w:t>
      </w:r>
      <w:r>
        <w:rPr>
          <w:lang w:eastAsia="en-US"/>
        </w:rPr>
        <w:t xml:space="preserve"> comments for their initial S-1 filings. In addition, the results also presents that the effects of </w:t>
      </w:r>
      <w:r>
        <w:rPr>
          <w:i/>
          <w:lang w:eastAsia="en-US"/>
        </w:rPr>
        <w:t xml:space="preserve">Herfindahl Index </w:t>
      </w:r>
      <w:r>
        <w:rPr>
          <w:lang w:eastAsia="en-US"/>
        </w:rPr>
        <w:t>on all three SEC review attributes are positive and strongl</w:t>
      </w:r>
      <w:r w:rsidR="00AA1A8D">
        <w:rPr>
          <w:lang w:eastAsia="en-US"/>
        </w:rPr>
        <w:t xml:space="preserve">y significant, </w:t>
      </w:r>
      <w:r w:rsidR="00E53742">
        <w:rPr>
          <w:lang w:eastAsia="en-US"/>
        </w:rPr>
        <w:t xml:space="preserve">which </w:t>
      </w:r>
      <w:r w:rsidR="00AA1A8D">
        <w:rPr>
          <w:lang w:eastAsia="en-US"/>
        </w:rPr>
        <w:t>indicate that in market</w:t>
      </w:r>
      <w:r w:rsidR="005A46EE">
        <w:rPr>
          <w:lang w:eastAsia="en-US"/>
        </w:rPr>
        <w:t>s</w:t>
      </w:r>
      <w:r w:rsidR="00AA1A8D">
        <w:rPr>
          <w:lang w:eastAsia="en-US"/>
        </w:rPr>
        <w:t xml:space="preserve"> </w:t>
      </w:r>
      <w:r w:rsidR="005A46EE">
        <w:rPr>
          <w:lang w:eastAsia="en-US"/>
        </w:rPr>
        <w:t>with</w:t>
      </w:r>
      <w:r w:rsidR="00AA1A8D">
        <w:rPr>
          <w:lang w:eastAsia="en-US"/>
        </w:rPr>
        <w:t xml:space="preserve"> higher concentration or less competition</w:t>
      </w:r>
      <w:r>
        <w:rPr>
          <w:lang w:eastAsia="en-US"/>
        </w:rPr>
        <w:t xml:space="preserve">, the SEC spend more time, issue more comment letters in the review of the firms’ S-1 filings and issue more comments for their initial S-1 filings. </w:t>
      </w:r>
      <w:r w:rsidR="00CA54BA">
        <w:rPr>
          <w:lang w:eastAsia="en-US"/>
        </w:rPr>
        <w:t>Appendix 4 provides d</w:t>
      </w:r>
      <w:r w:rsidR="00CA54BA" w:rsidRPr="00CA54BA">
        <w:rPr>
          <w:lang w:eastAsia="en-US"/>
        </w:rPr>
        <w:t>escriptive statistics of SEC review attributes and Herfindahl index by industry</w:t>
      </w:r>
      <w:r w:rsidR="005A46EE">
        <w:rPr>
          <w:lang w:eastAsia="en-US"/>
        </w:rPr>
        <w:t xml:space="preserve"> in more detail</w:t>
      </w:r>
      <w:r w:rsidR="00CA54BA">
        <w:rPr>
          <w:lang w:eastAsia="en-US"/>
        </w:rPr>
        <w:t>.</w:t>
      </w:r>
    </w:p>
    <w:p w14:paraId="2DA59EBB" w14:textId="4A13444B" w:rsidR="00626DC3" w:rsidRPr="003C43A1" w:rsidRDefault="000D65F1" w:rsidP="00CA54BA">
      <w:pPr>
        <w:spacing w:line="360" w:lineRule="auto"/>
        <w:jc w:val="center"/>
        <w:rPr>
          <w:b/>
          <w:lang w:eastAsia="en-US"/>
        </w:rPr>
      </w:pPr>
      <w:r w:rsidRPr="003876B9">
        <w:rPr>
          <w:b/>
          <w:lang w:eastAsia="en-US"/>
        </w:rPr>
        <w:t xml:space="preserve"> </w:t>
      </w:r>
      <w:r w:rsidR="003C43A1" w:rsidRPr="003876B9">
        <w:rPr>
          <w:b/>
          <w:lang w:eastAsia="en-US"/>
        </w:rPr>
        <w:t xml:space="preserve">[Insert </w:t>
      </w:r>
      <w:r w:rsidR="00174399">
        <w:rPr>
          <w:b/>
          <w:lang w:eastAsia="en-US"/>
        </w:rPr>
        <w:t>Table 9</w:t>
      </w:r>
      <w:r w:rsidR="003C43A1" w:rsidRPr="003876B9">
        <w:rPr>
          <w:b/>
          <w:lang w:eastAsia="en-US"/>
        </w:rPr>
        <w:t xml:space="preserve"> about here]</w:t>
      </w:r>
    </w:p>
    <w:p w14:paraId="6D7E83B9" w14:textId="183A6E42" w:rsidR="00F410DD" w:rsidRPr="000912EF" w:rsidRDefault="00F410DD" w:rsidP="00F410DD">
      <w:pPr>
        <w:pStyle w:val="ListParagraph"/>
        <w:numPr>
          <w:ilvl w:val="1"/>
          <w:numId w:val="1"/>
        </w:numPr>
        <w:spacing w:line="360" w:lineRule="auto"/>
        <w:jc w:val="both"/>
        <w:outlineLvl w:val="1"/>
        <w:rPr>
          <w:b/>
          <w:lang w:eastAsia="en-US"/>
        </w:rPr>
      </w:pPr>
      <w:bookmarkStart w:id="39" w:name="_Toc9185807"/>
      <w:r w:rsidRPr="000912EF">
        <w:rPr>
          <w:b/>
          <w:lang w:eastAsia="en-US"/>
        </w:rPr>
        <w:lastRenderedPageBreak/>
        <w:t>SEC’s characteristics</w:t>
      </w:r>
      <w:bookmarkEnd w:id="39"/>
    </w:p>
    <w:p w14:paraId="32C047BA" w14:textId="5FD3BC1C" w:rsidR="00AA1A8D" w:rsidRDefault="00AA1A8D" w:rsidP="0030659B">
      <w:pPr>
        <w:spacing w:line="360" w:lineRule="auto"/>
        <w:jc w:val="both"/>
        <w:rPr>
          <w:lang w:eastAsia="en-US"/>
        </w:rPr>
      </w:pPr>
      <w:r>
        <w:rPr>
          <w:lang w:eastAsia="en-US"/>
        </w:rPr>
        <w:t xml:space="preserve">Table </w:t>
      </w:r>
      <w:r w:rsidR="00174399">
        <w:rPr>
          <w:lang w:eastAsia="en-US"/>
        </w:rPr>
        <w:t>10</w:t>
      </w:r>
      <w:r w:rsidR="00143436">
        <w:rPr>
          <w:lang w:eastAsia="en-US"/>
        </w:rPr>
        <w:t xml:space="preserve"> shows</w:t>
      </w:r>
      <w:r>
        <w:rPr>
          <w:lang w:eastAsia="en-US"/>
        </w:rPr>
        <w:t xml:space="preserve"> univariate tests of the impact of the SEC characteristics on the SEC review attributes. Regarding </w:t>
      </w:r>
      <w:r>
        <w:rPr>
          <w:i/>
          <w:lang w:eastAsia="en-US"/>
        </w:rPr>
        <w:t xml:space="preserve">Director/Chief, </w:t>
      </w:r>
      <w:r w:rsidR="00174399">
        <w:rPr>
          <w:lang w:eastAsia="en-US"/>
        </w:rPr>
        <w:t>Table 10</w:t>
      </w:r>
      <w:r w:rsidR="00A377C9">
        <w:rPr>
          <w:lang w:eastAsia="en-US"/>
        </w:rPr>
        <w:t xml:space="preserve">, Panel A reveals that </w:t>
      </w:r>
      <w:r>
        <w:rPr>
          <w:lang w:eastAsia="en-US"/>
        </w:rPr>
        <w:t xml:space="preserve">Wilcoxon signed-rank test of difference in median of </w:t>
      </w:r>
      <w:r>
        <w:rPr>
          <w:i/>
          <w:lang w:eastAsia="en-US"/>
        </w:rPr>
        <w:t xml:space="preserve">Duration </w:t>
      </w:r>
      <w:r>
        <w:rPr>
          <w:lang w:eastAsia="en-US"/>
        </w:rPr>
        <w:t xml:space="preserve">between the initial S-1 filings reviewed by reviewers who are directors or chiefs </w:t>
      </w:r>
      <w:r w:rsidR="00444855">
        <w:rPr>
          <w:lang w:eastAsia="en-US"/>
        </w:rPr>
        <w:t>(</w:t>
      </w:r>
      <w:r w:rsidR="00444855">
        <w:rPr>
          <w:i/>
          <w:lang w:eastAsia="en-US"/>
        </w:rPr>
        <w:t xml:space="preserve">Director/Chief = 1) </w:t>
      </w:r>
      <w:r>
        <w:rPr>
          <w:lang w:eastAsia="en-US"/>
        </w:rPr>
        <w:t xml:space="preserve">and the initial S-1 filings reviewed by the reviewers who are </w:t>
      </w:r>
      <w:r w:rsidR="00444855">
        <w:rPr>
          <w:lang w:eastAsia="en-US"/>
        </w:rPr>
        <w:t xml:space="preserve">not </w:t>
      </w:r>
      <w:r>
        <w:rPr>
          <w:lang w:eastAsia="en-US"/>
        </w:rPr>
        <w:t xml:space="preserve">directors or chiefs </w:t>
      </w:r>
      <w:r w:rsidR="00444855">
        <w:rPr>
          <w:lang w:eastAsia="en-US"/>
        </w:rPr>
        <w:t>(</w:t>
      </w:r>
      <w:r w:rsidR="00444855">
        <w:rPr>
          <w:i/>
          <w:lang w:eastAsia="en-US"/>
        </w:rPr>
        <w:t xml:space="preserve">Director/Chief = 0) </w:t>
      </w:r>
      <w:r>
        <w:rPr>
          <w:lang w:eastAsia="en-US"/>
        </w:rPr>
        <w:t xml:space="preserve">are significant at </w:t>
      </w:r>
      <w:r w:rsidR="00444855">
        <w:rPr>
          <w:lang w:eastAsia="en-US"/>
        </w:rPr>
        <w:t>5</w:t>
      </w:r>
      <w:r>
        <w:rPr>
          <w:lang w:eastAsia="en-US"/>
        </w:rPr>
        <w:t xml:space="preserve">%, meanwhile, t-test of difference in mean of </w:t>
      </w:r>
      <w:r>
        <w:rPr>
          <w:i/>
          <w:lang w:eastAsia="en-US"/>
        </w:rPr>
        <w:t>Duration</w:t>
      </w:r>
      <w:r>
        <w:rPr>
          <w:lang w:eastAsia="en-US"/>
        </w:rPr>
        <w:t xml:space="preserve"> is not significant. Particularly, the median of </w:t>
      </w:r>
      <w:r>
        <w:rPr>
          <w:i/>
          <w:lang w:eastAsia="en-US"/>
        </w:rPr>
        <w:t xml:space="preserve">Duration </w:t>
      </w:r>
      <w:r>
        <w:rPr>
          <w:lang w:eastAsia="en-US"/>
        </w:rPr>
        <w:t xml:space="preserve">in the group of </w:t>
      </w:r>
      <w:r w:rsidR="00444855">
        <w:rPr>
          <w:lang w:eastAsia="en-US"/>
        </w:rPr>
        <w:t>the initial S-1 filings reviewed by the reviewers who are directors or chiefs</w:t>
      </w:r>
      <w:r>
        <w:rPr>
          <w:lang w:eastAsia="en-US"/>
        </w:rPr>
        <w:t xml:space="preserve"> is</w:t>
      </w:r>
      <w:r w:rsidR="00444855">
        <w:rPr>
          <w:lang w:eastAsia="en-US"/>
        </w:rPr>
        <w:t xml:space="preserve"> lower</w:t>
      </w:r>
      <w:r>
        <w:rPr>
          <w:lang w:eastAsia="en-US"/>
        </w:rPr>
        <w:t xml:space="preserve"> than that in the group of </w:t>
      </w:r>
      <w:r w:rsidR="00444855">
        <w:rPr>
          <w:lang w:eastAsia="en-US"/>
        </w:rPr>
        <w:t xml:space="preserve">the initial S-1 filings reviewed by the reviewers who are not directors or chiefs. Overall, </w:t>
      </w:r>
      <w:r w:rsidR="005A46EE">
        <w:rPr>
          <w:lang w:eastAsia="en-US"/>
        </w:rPr>
        <w:t xml:space="preserve">the </w:t>
      </w:r>
      <w:r w:rsidR="00444855">
        <w:rPr>
          <w:lang w:eastAsia="en-US"/>
        </w:rPr>
        <w:t xml:space="preserve">non-parametric results indicate that reviewers who </w:t>
      </w:r>
      <w:r w:rsidR="005A46EE">
        <w:rPr>
          <w:lang w:eastAsia="en-US"/>
        </w:rPr>
        <w:t>hold</w:t>
      </w:r>
      <w:r w:rsidR="00444855">
        <w:rPr>
          <w:lang w:eastAsia="en-US"/>
        </w:rPr>
        <w:t xml:space="preserve"> the job position </w:t>
      </w:r>
      <w:r w:rsidR="005A46EE">
        <w:rPr>
          <w:lang w:eastAsia="en-US"/>
        </w:rPr>
        <w:t>of director</w:t>
      </w:r>
      <w:r w:rsidR="00444855">
        <w:rPr>
          <w:lang w:eastAsia="en-US"/>
        </w:rPr>
        <w:t xml:space="preserve"> or </w:t>
      </w:r>
      <w:r w:rsidR="005A46EE">
        <w:rPr>
          <w:lang w:eastAsia="en-US"/>
        </w:rPr>
        <w:t>chief</w:t>
      </w:r>
      <w:r w:rsidR="00444855">
        <w:rPr>
          <w:lang w:eastAsia="en-US"/>
        </w:rPr>
        <w:t xml:space="preserve"> spend less time for the review of S-1 filings.</w:t>
      </w:r>
      <w:r w:rsidR="002F4D47">
        <w:rPr>
          <w:lang w:eastAsia="en-US"/>
        </w:rPr>
        <w:t xml:space="preserve"> On the contrary, I observe no difference in </w:t>
      </w:r>
      <w:r w:rsidR="002F4D47">
        <w:rPr>
          <w:i/>
          <w:lang w:eastAsia="en-US"/>
        </w:rPr>
        <w:t xml:space="preserve">Letters </w:t>
      </w:r>
      <w:r w:rsidR="002F4D47">
        <w:rPr>
          <w:lang w:eastAsia="en-US"/>
        </w:rPr>
        <w:t xml:space="preserve">and </w:t>
      </w:r>
      <w:r w:rsidR="002F4D47">
        <w:rPr>
          <w:i/>
          <w:lang w:eastAsia="en-US"/>
        </w:rPr>
        <w:t xml:space="preserve">Comments </w:t>
      </w:r>
      <w:r w:rsidR="002F4D47">
        <w:rPr>
          <w:lang w:eastAsia="en-US"/>
        </w:rPr>
        <w:t>between the group of the reviewers who are directors or chiefs</w:t>
      </w:r>
      <w:r w:rsidR="005A46EE">
        <w:rPr>
          <w:lang w:eastAsia="en-US"/>
        </w:rPr>
        <w:t xml:space="preserve"> </w:t>
      </w:r>
      <w:r w:rsidR="002F4D47">
        <w:rPr>
          <w:lang w:eastAsia="en-US"/>
        </w:rPr>
        <w:t>and the group of the reviewers who are not directors or chiefs.</w:t>
      </w:r>
    </w:p>
    <w:p w14:paraId="56DEE355" w14:textId="4C13F11F" w:rsidR="00444855" w:rsidRDefault="00444855" w:rsidP="0030659B">
      <w:pPr>
        <w:spacing w:line="360" w:lineRule="auto"/>
        <w:jc w:val="both"/>
        <w:rPr>
          <w:lang w:eastAsia="en-US"/>
        </w:rPr>
      </w:pPr>
      <w:r>
        <w:rPr>
          <w:lang w:eastAsia="en-US"/>
        </w:rPr>
        <w:t xml:space="preserve">Regarding </w:t>
      </w:r>
      <w:r>
        <w:rPr>
          <w:i/>
          <w:lang w:eastAsia="en-US"/>
        </w:rPr>
        <w:t xml:space="preserve">Accountant, </w:t>
      </w:r>
      <w:r w:rsidR="00174399">
        <w:rPr>
          <w:lang w:eastAsia="en-US"/>
        </w:rPr>
        <w:t>Table 10</w:t>
      </w:r>
      <w:r w:rsidR="00A377C9">
        <w:rPr>
          <w:lang w:eastAsia="en-US"/>
        </w:rPr>
        <w:t>, Panel B shows that</w:t>
      </w:r>
      <w:r>
        <w:rPr>
          <w:i/>
          <w:lang w:eastAsia="en-US"/>
        </w:rPr>
        <w:t xml:space="preserve"> </w:t>
      </w:r>
      <w:r>
        <w:rPr>
          <w:lang w:eastAsia="en-US"/>
        </w:rPr>
        <w:t xml:space="preserve">t-test of difference in means of </w:t>
      </w:r>
      <w:r>
        <w:rPr>
          <w:i/>
          <w:lang w:eastAsia="en-US"/>
        </w:rPr>
        <w:t xml:space="preserve">Letters </w:t>
      </w:r>
      <w:r>
        <w:rPr>
          <w:lang w:eastAsia="en-US"/>
        </w:rPr>
        <w:t xml:space="preserve">and </w:t>
      </w:r>
      <w:r>
        <w:rPr>
          <w:i/>
          <w:lang w:eastAsia="en-US"/>
        </w:rPr>
        <w:t xml:space="preserve">Comments, </w:t>
      </w:r>
      <w:r>
        <w:rPr>
          <w:lang w:eastAsia="en-US"/>
        </w:rPr>
        <w:t>between the initial S-1 filings reviewed by the reviewers who are accountant</w:t>
      </w:r>
      <w:r w:rsidR="00347BA5">
        <w:rPr>
          <w:lang w:eastAsia="en-US"/>
        </w:rPr>
        <w:t>s</w:t>
      </w:r>
      <w:r>
        <w:rPr>
          <w:lang w:eastAsia="en-US"/>
        </w:rPr>
        <w:t xml:space="preserve"> (</w:t>
      </w:r>
      <w:r>
        <w:rPr>
          <w:i/>
          <w:lang w:eastAsia="en-US"/>
        </w:rPr>
        <w:t xml:space="preserve">Accountant= 1) </w:t>
      </w:r>
      <w:r>
        <w:rPr>
          <w:lang w:eastAsia="en-US"/>
        </w:rPr>
        <w:t>and the initial S-1 filings reviewed by the reviewers who are not accountant</w:t>
      </w:r>
      <w:r w:rsidR="00347BA5">
        <w:rPr>
          <w:lang w:eastAsia="en-US"/>
        </w:rPr>
        <w:t>s</w:t>
      </w:r>
      <w:r>
        <w:rPr>
          <w:lang w:eastAsia="en-US"/>
        </w:rPr>
        <w:t xml:space="preserve"> (</w:t>
      </w:r>
      <w:r>
        <w:rPr>
          <w:i/>
          <w:lang w:eastAsia="en-US"/>
        </w:rPr>
        <w:t xml:space="preserve">Accountant = 0) </w:t>
      </w:r>
      <w:r>
        <w:rPr>
          <w:lang w:eastAsia="en-US"/>
        </w:rPr>
        <w:t>are significant as the difference in median of all SEC review attributes</w:t>
      </w:r>
      <w:r>
        <w:rPr>
          <w:i/>
          <w:lang w:eastAsia="en-US"/>
        </w:rPr>
        <w:t xml:space="preserve"> </w:t>
      </w:r>
      <w:r>
        <w:rPr>
          <w:lang w:eastAsia="en-US"/>
        </w:rPr>
        <w:t xml:space="preserve">based on Wilcoxon signed-rank test. Particularly, the mean and median of </w:t>
      </w:r>
      <w:r>
        <w:rPr>
          <w:i/>
          <w:lang w:eastAsia="en-US"/>
        </w:rPr>
        <w:t xml:space="preserve">Comments </w:t>
      </w:r>
      <w:r>
        <w:rPr>
          <w:lang w:eastAsia="en-US"/>
        </w:rPr>
        <w:t xml:space="preserve">in the group of firms reviewed by the reviewers who are </w:t>
      </w:r>
      <w:r w:rsidR="00347BA5">
        <w:rPr>
          <w:lang w:eastAsia="en-US"/>
        </w:rPr>
        <w:t>accountants</w:t>
      </w:r>
      <w:r>
        <w:rPr>
          <w:lang w:eastAsia="en-US"/>
        </w:rPr>
        <w:t xml:space="preserve"> lower than those reviewed by the reviewers who are not accountant</w:t>
      </w:r>
      <w:r w:rsidR="00347BA5">
        <w:rPr>
          <w:lang w:eastAsia="en-US"/>
        </w:rPr>
        <w:t>s</w:t>
      </w:r>
      <w:r>
        <w:rPr>
          <w:lang w:eastAsia="en-US"/>
        </w:rPr>
        <w:t xml:space="preserve">. Only the mean of </w:t>
      </w:r>
      <w:r>
        <w:rPr>
          <w:i/>
          <w:lang w:eastAsia="en-US"/>
        </w:rPr>
        <w:t xml:space="preserve">Letters </w:t>
      </w:r>
      <w:r w:rsidR="00347BA5">
        <w:rPr>
          <w:lang w:eastAsia="en-US"/>
        </w:rPr>
        <w:t>is lower for</w:t>
      </w:r>
      <w:r>
        <w:rPr>
          <w:lang w:eastAsia="en-US"/>
        </w:rPr>
        <w:t xml:space="preserve"> firms reviewed by the reviewers who are accountant</w:t>
      </w:r>
      <w:r w:rsidR="00347BA5">
        <w:rPr>
          <w:lang w:eastAsia="en-US"/>
        </w:rPr>
        <w:t>s</w:t>
      </w:r>
      <w:r>
        <w:rPr>
          <w:lang w:eastAsia="en-US"/>
        </w:rPr>
        <w:t xml:space="preserve">. </w:t>
      </w:r>
      <w:r w:rsidR="002F4D47">
        <w:rPr>
          <w:lang w:eastAsia="en-US"/>
        </w:rPr>
        <w:t>Overall, both parametric and non-parametric results indicate that reviewer</w:t>
      </w:r>
      <w:r w:rsidR="00FE67B4">
        <w:rPr>
          <w:lang w:eastAsia="en-US"/>
        </w:rPr>
        <w:t xml:space="preserve">s who are </w:t>
      </w:r>
      <w:proofErr w:type="gramStart"/>
      <w:r w:rsidR="00FE67B4">
        <w:rPr>
          <w:lang w:eastAsia="en-US"/>
        </w:rPr>
        <w:t>accountant</w:t>
      </w:r>
      <w:r w:rsidR="00347BA5">
        <w:rPr>
          <w:lang w:eastAsia="en-US"/>
        </w:rPr>
        <w:t>s</w:t>
      </w:r>
      <w:proofErr w:type="gramEnd"/>
      <w:r w:rsidR="00FE67B4">
        <w:rPr>
          <w:lang w:eastAsia="en-US"/>
        </w:rPr>
        <w:t xml:space="preserve"> issue </w:t>
      </w:r>
      <w:r w:rsidR="00A02079">
        <w:rPr>
          <w:lang w:eastAsia="en-US"/>
        </w:rPr>
        <w:t>fewer</w:t>
      </w:r>
      <w:r w:rsidR="00FE67B4">
        <w:rPr>
          <w:lang w:eastAsia="en-US"/>
        </w:rPr>
        <w:t xml:space="preserve"> </w:t>
      </w:r>
      <w:r w:rsidR="002F4D47">
        <w:rPr>
          <w:lang w:eastAsia="en-US"/>
        </w:rPr>
        <w:t xml:space="preserve">comments on initial S-1 filings. Parametric result indicates that the reviewers who are accountant issue </w:t>
      </w:r>
      <w:r w:rsidR="00A02079">
        <w:rPr>
          <w:lang w:eastAsia="en-US"/>
        </w:rPr>
        <w:t>fewer</w:t>
      </w:r>
      <w:r w:rsidR="002F4D47">
        <w:rPr>
          <w:lang w:eastAsia="en-US"/>
        </w:rPr>
        <w:t xml:space="preserve"> comment letters on the S-1 filings. On the contrary, I observe no difference in </w:t>
      </w:r>
      <w:r w:rsidR="002F4D47">
        <w:rPr>
          <w:i/>
          <w:lang w:eastAsia="en-US"/>
        </w:rPr>
        <w:t>Duration</w:t>
      </w:r>
      <w:r w:rsidR="002F4D47">
        <w:rPr>
          <w:lang w:eastAsia="en-US"/>
        </w:rPr>
        <w:t xml:space="preserve"> between </w:t>
      </w:r>
      <w:r w:rsidR="00347BA5">
        <w:rPr>
          <w:lang w:eastAsia="en-US"/>
        </w:rPr>
        <w:t>firms</w:t>
      </w:r>
      <w:r w:rsidR="002F4D47">
        <w:rPr>
          <w:lang w:eastAsia="en-US"/>
        </w:rPr>
        <w:t xml:space="preserve"> reviewed by the reviewers who are accountant</w:t>
      </w:r>
      <w:r w:rsidR="00347BA5">
        <w:rPr>
          <w:lang w:eastAsia="en-US"/>
        </w:rPr>
        <w:t>s</w:t>
      </w:r>
      <w:r w:rsidR="002F4D47">
        <w:rPr>
          <w:lang w:eastAsia="en-US"/>
        </w:rPr>
        <w:t xml:space="preserve"> and </w:t>
      </w:r>
      <w:r w:rsidR="00347BA5">
        <w:rPr>
          <w:lang w:eastAsia="en-US"/>
        </w:rPr>
        <w:t>firms reviewed by</w:t>
      </w:r>
      <w:r w:rsidR="002F4D47">
        <w:rPr>
          <w:lang w:eastAsia="en-US"/>
        </w:rPr>
        <w:t xml:space="preserve"> the reviewers who are not accountant.</w:t>
      </w:r>
    </w:p>
    <w:p w14:paraId="6C3205BB" w14:textId="4EB27DE8" w:rsidR="00143436" w:rsidRPr="00143436" w:rsidRDefault="00143436" w:rsidP="00143436">
      <w:pPr>
        <w:spacing w:line="360" w:lineRule="auto"/>
        <w:jc w:val="center"/>
        <w:rPr>
          <w:b/>
          <w:lang w:eastAsia="en-US"/>
        </w:rPr>
      </w:pPr>
      <w:r>
        <w:rPr>
          <w:b/>
        </w:rPr>
        <w:t xml:space="preserve">[Insert Table </w:t>
      </w:r>
      <w:r w:rsidR="00174399">
        <w:rPr>
          <w:b/>
        </w:rPr>
        <w:t>10</w:t>
      </w:r>
      <w:r>
        <w:rPr>
          <w:b/>
        </w:rPr>
        <w:t xml:space="preserve"> about here]</w:t>
      </w:r>
    </w:p>
    <w:p w14:paraId="008F7777" w14:textId="4F2782AF" w:rsidR="00153963" w:rsidRDefault="003200CC" w:rsidP="003200CC">
      <w:pPr>
        <w:pStyle w:val="ListParagraph"/>
        <w:numPr>
          <w:ilvl w:val="0"/>
          <w:numId w:val="1"/>
        </w:numPr>
        <w:spacing w:line="360" w:lineRule="auto"/>
        <w:jc w:val="both"/>
        <w:outlineLvl w:val="0"/>
        <w:rPr>
          <w:b/>
          <w:lang w:eastAsia="en-US"/>
        </w:rPr>
      </w:pPr>
      <w:bookmarkStart w:id="40" w:name="_Toc9185808"/>
      <w:r>
        <w:rPr>
          <w:b/>
          <w:lang w:eastAsia="en-US"/>
        </w:rPr>
        <w:t>Multivariate analysis</w:t>
      </w:r>
      <w:bookmarkEnd w:id="40"/>
    </w:p>
    <w:p w14:paraId="7B7ED6A3" w14:textId="0EFDC49B" w:rsidR="00143436" w:rsidRDefault="00977465" w:rsidP="0030659B">
      <w:pPr>
        <w:spacing w:line="360" w:lineRule="auto"/>
        <w:jc w:val="both"/>
        <w:rPr>
          <w:i/>
          <w:lang w:eastAsia="en-US"/>
        </w:rPr>
      </w:pPr>
      <w:r>
        <w:rPr>
          <w:lang w:eastAsia="en-US"/>
        </w:rPr>
        <w:t>In order to provide further evidence supporting the results from the univariate analysis of the determinants of the SEC review as described in Section 8,</w:t>
      </w:r>
      <w:r w:rsidR="00143436">
        <w:rPr>
          <w:lang w:eastAsia="en-US"/>
        </w:rPr>
        <w:t xml:space="preserve"> I conduct </w:t>
      </w:r>
      <w:r w:rsidR="00767609">
        <w:rPr>
          <w:lang w:eastAsia="en-US"/>
        </w:rPr>
        <w:t>a</w:t>
      </w:r>
      <w:r w:rsidR="00143436">
        <w:rPr>
          <w:lang w:eastAsia="en-US"/>
        </w:rPr>
        <w:t xml:space="preserve"> multivariate analysis by estimating the negative binomial regression</w:t>
      </w:r>
      <w:r w:rsidR="00767609">
        <w:rPr>
          <w:lang w:eastAsia="en-US"/>
        </w:rPr>
        <w:t>s</w:t>
      </w:r>
      <w:r w:rsidR="00143436">
        <w:rPr>
          <w:lang w:eastAsia="en-US"/>
        </w:rPr>
        <w:t xml:space="preserve"> in which the dependent variable is one of three SEC review attributes </w:t>
      </w:r>
      <w:proofErr w:type="gramStart"/>
      <w:r w:rsidR="00143436">
        <w:rPr>
          <w:lang w:eastAsia="en-US"/>
        </w:rPr>
        <w:t>including;</w:t>
      </w:r>
      <w:proofErr w:type="gramEnd"/>
      <w:r w:rsidR="00143436">
        <w:rPr>
          <w:lang w:eastAsia="en-US"/>
        </w:rPr>
        <w:t xml:space="preserve"> </w:t>
      </w:r>
      <w:r w:rsidR="00143436">
        <w:rPr>
          <w:i/>
          <w:lang w:eastAsia="en-US"/>
        </w:rPr>
        <w:t xml:space="preserve">Duration, Letters </w:t>
      </w:r>
      <w:r w:rsidR="00143436">
        <w:rPr>
          <w:lang w:eastAsia="en-US"/>
        </w:rPr>
        <w:t xml:space="preserve">or </w:t>
      </w:r>
      <w:r w:rsidR="00143436">
        <w:rPr>
          <w:i/>
          <w:lang w:eastAsia="en-US"/>
        </w:rPr>
        <w:t xml:space="preserve">Comments, </w:t>
      </w:r>
      <w:r w:rsidR="00143436">
        <w:rPr>
          <w:lang w:eastAsia="en-US"/>
        </w:rPr>
        <w:t xml:space="preserve">and independent variables </w:t>
      </w:r>
      <w:r w:rsidR="0062240D">
        <w:rPr>
          <w:lang w:eastAsia="en-US"/>
        </w:rPr>
        <w:t xml:space="preserve">are more than one proxies of the determinants of the SEC review. Particularly, in Table </w:t>
      </w:r>
      <w:r w:rsidR="00174399">
        <w:rPr>
          <w:lang w:eastAsia="en-US"/>
        </w:rPr>
        <w:t>11</w:t>
      </w:r>
      <w:r w:rsidR="0062240D">
        <w:rPr>
          <w:lang w:eastAsia="en-US"/>
        </w:rPr>
        <w:t>, Panel</w:t>
      </w:r>
      <w:r w:rsidR="00767609">
        <w:rPr>
          <w:lang w:eastAsia="en-US"/>
        </w:rPr>
        <w:t>s</w:t>
      </w:r>
      <w:r w:rsidR="0062240D">
        <w:rPr>
          <w:lang w:eastAsia="en-US"/>
        </w:rPr>
        <w:t xml:space="preserve"> A, B, C </w:t>
      </w:r>
      <w:r w:rsidR="00767609">
        <w:rPr>
          <w:lang w:eastAsia="en-US"/>
        </w:rPr>
        <w:t>present</w:t>
      </w:r>
      <w:r w:rsidR="0062240D">
        <w:rPr>
          <w:lang w:eastAsia="en-US"/>
        </w:rPr>
        <w:t xml:space="preserve"> the results of the </w:t>
      </w:r>
      <w:r w:rsidR="00F85E41">
        <w:rPr>
          <w:lang w:eastAsia="en-US"/>
        </w:rPr>
        <w:t>regression on</w:t>
      </w:r>
      <w:r w:rsidR="0062240D">
        <w:rPr>
          <w:lang w:eastAsia="en-US"/>
        </w:rPr>
        <w:t xml:space="preserve"> </w:t>
      </w:r>
      <w:r w:rsidR="0062240D">
        <w:rPr>
          <w:i/>
          <w:lang w:eastAsia="en-US"/>
        </w:rPr>
        <w:t xml:space="preserve">Duration, Letters, Comments, </w:t>
      </w:r>
      <w:r w:rsidR="0062240D">
        <w:rPr>
          <w:lang w:eastAsia="en-US"/>
        </w:rPr>
        <w:t xml:space="preserve">respectively, and the proxies of IPO firm characteristics, </w:t>
      </w:r>
      <w:r w:rsidR="00D92D32">
        <w:rPr>
          <w:lang w:eastAsia="en-US"/>
        </w:rPr>
        <w:t>Incidences</w:t>
      </w:r>
      <w:r w:rsidR="0062240D">
        <w:rPr>
          <w:lang w:eastAsia="en-US"/>
        </w:rPr>
        <w:t>, Industry/market characteristics and the</w:t>
      </w:r>
      <w:r w:rsidR="00F85E41">
        <w:rPr>
          <w:lang w:eastAsia="en-US"/>
        </w:rPr>
        <w:t xml:space="preserve"> SEC </w:t>
      </w:r>
      <w:r w:rsidR="00F85E41">
        <w:rPr>
          <w:lang w:eastAsia="en-US"/>
        </w:rPr>
        <w:lastRenderedPageBreak/>
        <w:t xml:space="preserve">characteristics. In each panel, model (1) employs all IPOs characteristics </w:t>
      </w:r>
      <w:proofErr w:type="gramStart"/>
      <w:r w:rsidR="00F85E41">
        <w:rPr>
          <w:lang w:eastAsia="en-US"/>
        </w:rPr>
        <w:t>including;</w:t>
      </w:r>
      <w:proofErr w:type="gramEnd"/>
      <w:r w:rsidR="00F85E41">
        <w:rPr>
          <w:lang w:eastAsia="en-US"/>
        </w:rPr>
        <w:t xml:space="preserve"> </w:t>
      </w:r>
      <w:r w:rsidR="00F85E41">
        <w:rPr>
          <w:i/>
          <w:lang w:eastAsia="en-US"/>
        </w:rPr>
        <w:t xml:space="preserve">Size, </w:t>
      </w:r>
      <w:r w:rsidR="00296848">
        <w:rPr>
          <w:i/>
          <w:lang w:eastAsia="en-US"/>
        </w:rPr>
        <w:t>Sales</w:t>
      </w:r>
      <w:r w:rsidR="00F85E41">
        <w:rPr>
          <w:i/>
          <w:lang w:eastAsia="en-US"/>
        </w:rPr>
        <w:t xml:space="preserve"> growth, Leverage, BM, External financing, Firm age, Segments, </w:t>
      </w:r>
      <w:proofErr w:type="spellStart"/>
      <w:r w:rsidR="00B90319">
        <w:rPr>
          <w:i/>
          <w:lang w:eastAsia="en-US"/>
        </w:rPr>
        <w:t>Zscore</w:t>
      </w:r>
      <w:proofErr w:type="spellEnd"/>
      <w:r w:rsidR="00F85E41">
        <w:rPr>
          <w:i/>
          <w:lang w:eastAsia="en-US"/>
        </w:rPr>
        <w:t xml:space="preserve">, Big4, Restructuring, M&amp;A, Positive earnings </w:t>
      </w:r>
      <w:r w:rsidR="00F85E41">
        <w:rPr>
          <w:lang w:eastAsia="en-US"/>
        </w:rPr>
        <w:t xml:space="preserve">and </w:t>
      </w:r>
      <w:proofErr w:type="spellStart"/>
      <w:r w:rsidR="00B90319">
        <w:rPr>
          <w:i/>
          <w:lang w:eastAsia="en-US"/>
        </w:rPr>
        <w:t>CEOchairman</w:t>
      </w:r>
      <w:proofErr w:type="spellEnd"/>
      <w:r w:rsidR="00F85E41">
        <w:rPr>
          <w:lang w:eastAsia="en-US"/>
        </w:rPr>
        <w:t xml:space="preserve"> as independent variables. Model (2) – (10) employ a proxy of other determinants of the SEC review </w:t>
      </w:r>
      <w:proofErr w:type="gramStart"/>
      <w:r w:rsidR="00F85E41">
        <w:rPr>
          <w:lang w:eastAsia="en-US"/>
        </w:rPr>
        <w:t>including;</w:t>
      </w:r>
      <w:proofErr w:type="gramEnd"/>
      <w:r w:rsidR="00F85E41">
        <w:rPr>
          <w:lang w:eastAsia="en-US"/>
        </w:rPr>
        <w:t xml:space="preserve"> </w:t>
      </w:r>
      <w:r w:rsidR="00D92D32">
        <w:rPr>
          <w:lang w:eastAsia="en-US"/>
        </w:rPr>
        <w:t>incidences</w:t>
      </w:r>
      <w:r w:rsidR="00F85E41">
        <w:rPr>
          <w:lang w:eastAsia="en-US"/>
        </w:rPr>
        <w:t xml:space="preserve"> (</w:t>
      </w:r>
      <w:r w:rsidR="00F85E41">
        <w:rPr>
          <w:i/>
          <w:lang w:eastAsia="en-US"/>
        </w:rPr>
        <w:t xml:space="preserve">JOBs Act, Dodd-Frank, Financial crisis), </w:t>
      </w:r>
      <w:r w:rsidR="00F85E41">
        <w:rPr>
          <w:lang w:eastAsia="en-US"/>
        </w:rPr>
        <w:t>industry/market characteristics (</w:t>
      </w:r>
      <w:r w:rsidR="00F85E41">
        <w:rPr>
          <w:i/>
          <w:lang w:eastAsia="en-US"/>
        </w:rPr>
        <w:t>Regulated, Technology, IPOs by industry, Herfindahl index)</w:t>
      </w:r>
      <w:r w:rsidR="00F85E41">
        <w:rPr>
          <w:lang w:eastAsia="en-US"/>
        </w:rPr>
        <w:t xml:space="preserve">, the SEC characteristics </w:t>
      </w:r>
      <w:r w:rsidR="00F85E41">
        <w:rPr>
          <w:i/>
          <w:lang w:eastAsia="en-US"/>
        </w:rPr>
        <w:t xml:space="preserve">(Directors/Chiefs, Accountant), </w:t>
      </w:r>
      <w:r w:rsidR="00F85E41">
        <w:rPr>
          <w:lang w:eastAsia="en-US"/>
        </w:rPr>
        <w:t xml:space="preserve">as independent variable and all IPOs firms characteristics as control variables. </w:t>
      </w:r>
      <w:r w:rsidR="008F6FA2">
        <w:rPr>
          <w:lang w:eastAsia="en-US"/>
        </w:rPr>
        <w:t>My multivariate analysis, which controls for the variation in the IPOs firm characteristics</w:t>
      </w:r>
      <w:r w:rsidR="00D46990">
        <w:rPr>
          <w:lang w:eastAsia="en-US"/>
        </w:rPr>
        <w:t xml:space="preserve"> among the IPO firms</w:t>
      </w:r>
      <w:r w:rsidR="008F6FA2">
        <w:rPr>
          <w:lang w:eastAsia="en-US"/>
        </w:rPr>
        <w:t xml:space="preserve">, could resolve </w:t>
      </w:r>
      <w:r w:rsidR="00D46990">
        <w:rPr>
          <w:lang w:eastAsia="en-US"/>
        </w:rPr>
        <w:t xml:space="preserve">to some extent </w:t>
      </w:r>
      <w:r w:rsidR="009475F6">
        <w:rPr>
          <w:lang w:eastAsia="en-US"/>
        </w:rPr>
        <w:t xml:space="preserve">the problems of </w:t>
      </w:r>
      <w:r w:rsidR="008F6FA2">
        <w:rPr>
          <w:lang w:eastAsia="en-US"/>
        </w:rPr>
        <w:t xml:space="preserve">the </w:t>
      </w:r>
      <w:r w:rsidR="009475F6">
        <w:rPr>
          <w:lang w:eastAsia="en-US"/>
        </w:rPr>
        <w:t xml:space="preserve">omitted correlated variables that may </w:t>
      </w:r>
      <w:r w:rsidR="00767609">
        <w:rPr>
          <w:lang w:eastAsia="en-US"/>
        </w:rPr>
        <w:t xml:space="preserve">lead to </w:t>
      </w:r>
      <w:r w:rsidR="009475F6">
        <w:rPr>
          <w:lang w:eastAsia="en-US"/>
        </w:rPr>
        <w:t>mislead</w:t>
      </w:r>
      <w:r w:rsidR="008F6FA2">
        <w:rPr>
          <w:lang w:eastAsia="en-US"/>
        </w:rPr>
        <w:t xml:space="preserve"> results in the univariate </w:t>
      </w:r>
      <w:r w:rsidR="00A377C9">
        <w:rPr>
          <w:lang w:eastAsia="en-US"/>
        </w:rPr>
        <w:t>analys</w:t>
      </w:r>
      <w:r w:rsidR="00767609">
        <w:rPr>
          <w:lang w:eastAsia="en-US"/>
        </w:rPr>
        <w:t>es</w:t>
      </w:r>
      <w:r w:rsidR="00A377C9">
        <w:rPr>
          <w:lang w:eastAsia="en-US"/>
        </w:rPr>
        <w:t>. A</w:t>
      </w:r>
      <w:r w:rsidR="008F6FA2">
        <w:rPr>
          <w:lang w:eastAsia="en-US"/>
        </w:rPr>
        <w:t xml:space="preserve">ccording to the correlation matrix as stated in Table </w:t>
      </w:r>
      <w:r w:rsidR="00174399">
        <w:rPr>
          <w:lang w:eastAsia="en-US"/>
        </w:rPr>
        <w:t>6</w:t>
      </w:r>
      <w:r w:rsidR="008F6FA2">
        <w:rPr>
          <w:lang w:eastAsia="en-US"/>
        </w:rPr>
        <w:t xml:space="preserve">, I observe </w:t>
      </w:r>
      <w:r w:rsidR="00D46990">
        <w:rPr>
          <w:lang w:eastAsia="en-US"/>
        </w:rPr>
        <w:t xml:space="preserve">a considerable number of significant correlations between the proxies of IPO firm characteristics and proxies of other determinants of the SEC review. </w:t>
      </w:r>
    </w:p>
    <w:p w14:paraId="30540C73" w14:textId="4B93D398" w:rsidR="008F0BEC" w:rsidRDefault="00D46990" w:rsidP="0030659B">
      <w:pPr>
        <w:spacing w:line="360" w:lineRule="auto"/>
        <w:jc w:val="both"/>
        <w:rPr>
          <w:lang w:eastAsia="en-US"/>
        </w:rPr>
      </w:pPr>
      <w:r>
        <w:rPr>
          <w:lang w:eastAsia="en-US"/>
        </w:rPr>
        <w:t xml:space="preserve">Regarding the </w:t>
      </w:r>
      <w:r w:rsidR="00A43686">
        <w:rPr>
          <w:lang w:eastAsia="en-US"/>
        </w:rPr>
        <w:t xml:space="preserve">relationship </w:t>
      </w:r>
      <w:r w:rsidR="005B3AEA">
        <w:rPr>
          <w:lang w:eastAsia="en-US"/>
        </w:rPr>
        <w:t xml:space="preserve">between </w:t>
      </w:r>
      <w:r w:rsidR="00A43686">
        <w:rPr>
          <w:i/>
          <w:lang w:eastAsia="en-US"/>
        </w:rPr>
        <w:t xml:space="preserve">Duration </w:t>
      </w:r>
      <w:r w:rsidR="00A43686">
        <w:rPr>
          <w:lang w:eastAsia="en-US"/>
        </w:rPr>
        <w:t xml:space="preserve">and proxies of IPO firms characteristics, </w:t>
      </w:r>
      <w:r w:rsidR="00174399">
        <w:rPr>
          <w:lang w:eastAsia="en-US"/>
        </w:rPr>
        <w:t>Table 11</w:t>
      </w:r>
      <w:r w:rsidR="00A377C9">
        <w:rPr>
          <w:lang w:eastAsia="en-US"/>
        </w:rPr>
        <w:t>,</w:t>
      </w:r>
      <w:r w:rsidR="00A43686">
        <w:rPr>
          <w:lang w:eastAsia="en-US"/>
        </w:rPr>
        <w:t xml:space="preserve"> Panel A, </w:t>
      </w:r>
      <w:r w:rsidR="00A377C9">
        <w:rPr>
          <w:lang w:eastAsia="en-US"/>
        </w:rPr>
        <w:t>Model (1)</w:t>
      </w:r>
      <w:r w:rsidR="00A43686">
        <w:rPr>
          <w:lang w:eastAsia="en-US"/>
        </w:rPr>
        <w:t xml:space="preserve"> reveals that the estimated coefficient on </w:t>
      </w:r>
      <w:r w:rsidR="00A43686">
        <w:rPr>
          <w:i/>
          <w:lang w:eastAsia="en-US"/>
        </w:rPr>
        <w:t xml:space="preserve">Size </w:t>
      </w:r>
      <w:r w:rsidR="00A02079">
        <w:rPr>
          <w:lang w:eastAsia="en-US"/>
        </w:rPr>
        <w:t>is</w:t>
      </w:r>
      <w:r w:rsidR="00A43686">
        <w:rPr>
          <w:lang w:eastAsia="en-US"/>
        </w:rPr>
        <w:t xml:space="preserve"> negative</w:t>
      </w:r>
      <w:r w:rsidR="008F0BEC">
        <w:rPr>
          <w:lang w:eastAsia="en-US"/>
        </w:rPr>
        <w:t xml:space="preserve"> and slightly significant,</w:t>
      </w:r>
      <w:r w:rsidR="00A43686">
        <w:rPr>
          <w:lang w:eastAsia="en-US"/>
        </w:rPr>
        <w:t xml:space="preserve"> </w:t>
      </w:r>
      <w:r w:rsidR="005B3AEA">
        <w:rPr>
          <w:lang w:eastAsia="en-US"/>
        </w:rPr>
        <w:t xml:space="preserve">meanwhile, </w:t>
      </w:r>
      <w:r w:rsidR="00A43686">
        <w:rPr>
          <w:lang w:eastAsia="en-US"/>
        </w:rPr>
        <w:t xml:space="preserve">the estimated coefficients on </w:t>
      </w:r>
      <w:r w:rsidR="00A43686">
        <w:rPr>
          <w:i/>
          <w:lang w:eastAsia="en-US"/>
        </w:rPr>
        <w:t xml:space="preserve">M&amp;A, Positive earnings </w:t>
      </w:r>
      <w:r w:rsidR="00A43686">
        <w:rPr>
          <w:lang w:eastAsia="en-US"/>
        </w:rPr>
        <w:t xml:space="preserve">and </w:t>
      </w:r>
      <w:proofErr w:type="spellStart"/>
      <w:r w:rsidR="00B90319">
        <w:rPr>
          <w:i/>
          <w:lang w:eastAsia="en-US"/>
        </w:rPr>
        <w:t>CEOchairman</w:t>
      </w:r>
      <w:proofErr w:type="spellEnd"/>
      <w:r w:rsidR="00A43686">
        <w:rPr>
          <w:i/>
          <w:lang w:eastAsia="en-US"/>
        </w:rPr>
        <w:t xml:space="preserve"> </w:t>
      </w:r>
      <w:r w:rsidR="00A43686">
        <w:rPr>
          <w:lang w:eastAsia="en-US"/>
        </w:rPr>
        <w:t xml:space="preserve">are all </w:t>
      </w:r>
      <w:r w:rsidR="008F0BEC">
        <w:rPr>
          <w:lang w:eastAsia="en-US"/>
        </w:rPr>
        <w:t>positive. The results i</w:t>
      </w:r>
      <w:r w:rsidR="00A43686">
        <w:rPr>
          <w:lang w:eastAsia="en-US"/>
        </w:rPr>
        <w:t>ndicate that the SEC spend less tim</w:t>
      </w:r>
      <w:r w:rsidR="000735A1">
        <w:rPr>
          <w:lang w:eastAsia="en-US"/>
        </w:rPr>
        <w:t xml:space="preserve">e for </w:t>
      </w:r>
      <w:r w:rsidR="00767609">
        <w:rPr>
          <w:lang w:eastAsia="en-US"/>
        </w:rPr>
        <w:t>reviewing</w:t>
      </w:r>
      <w:r w:rsidR="000735A1">
        <w:rPr>
          <w:lang w:eastAsia="en-US"/>
        </w:rPr>
        <w:t xml:space="preserve"> the </w:t>
      </w:r>
      <w:r w:rsidR="00A43686">
        <w:rPr>
          <w:lang w:eastAsia="en-US"/>
        </w:rPr>
        <w:t xml:space="preserve">S-1 filings prepared by bigger firms and more time </w:t>
      </w:r>
      <w:r w:rsidR="00767609">
        <w:rPr>
          <w:lang w:eastAsia="en-US"/>
        </w:rPr>
        <w:t>reviewing</w:t>
      </w:r>
      <w:r w:rsidR="00A43686">
        <w:rPr>
          <w:lang w:eastAsia="en-US"/>
        </w:rPr>
        <w:t xml:space="preserve"> firm</w:t>
      </w:r>
      <w:r w:rsidR="008F0BEC">
        <w:rPr>
          <w:lang w:eastAsia="en-US"/>
        </w:rPr>
        <w:t>s</w:t>
      </w:r>
      <w:r w:rsidR="00A43686">
        <w:rPr>
          <w:lang w:eastAsia="en-US"/>
        </w:rPr>
        <w:t xml:space="preserve"> who conduct M&amp;A activities, have </w:t>
      </w:r>
      <w:proofErr w:type="gramStart"/>
      <w:r w:rsidR="00A43686">
        <w:rPr>
          <w:lang w:eastAsia="en-US"/>
        </w:rPr>
        <w:t>profits</w:t>
      </w:r>
      <w:proofErr w:type="gramEnd"/>
      <w:r w:rsidR="00A43686">
        <w:rPr>
          <w:lang w:eastAsia="en-US"/>
        </w:rPr>
        <w:t xml:space="preserve"> or have CEO who is also the chairman of board of dire</w:t>
      </w:r>
      <w:r w:rsidR="008F0BEC">
        <w:rPr>
          <w:lang w:eastAsia="en-US"/>
        </w:rPr>
        <w:t xml:space="preserve">ctors. </w:t>
      </w:r>
      <w:r w:rsidR="005B3AEA">
        <w:rPr>
          <w:lang w:eastAsia="en-US"/>
        </w:rPr>
        <w:t xml:space="preserve">Regarding the relationship between </w:t>
      </w:r>
      <w:r w:rsidR="005B3AEA">
        <w:rPr>
          <w:i/>
          <w:lang w:eastAsia="en-US"/>
        </w:rPr>
        <w:t xml:space="preserve">Duration </w:t>
      </w:r>
      <w:r w:rsidR="005B3AEA">
        <w:rPr>
          <w:lang w:eastAsia="en-US"/>
        </w:rPr>
        <w:t xml:space="preserve">and proxies of the </w:t>
      </w:r>
      <w:r w:rsidR="00D92D32">
        <w:rPr>
          <w:lang w:eastAsia="en-US"/>
        </w:rPr>
        <w:t>incidences</w:t>
      </w:r>
      <w:r w:rsidR="005B3AEA">
        <w:rPr>
          <w:lang w:eastAsia="en-US"/>
        </w:rPr>
        <w:t xml:space="preserve"> of regulatory c</w:t>
      </w:r>
      <w:r w:rsidR="008F0BEC">
        <w:rPr>
          <w:lang w:eastAsia="en-US"/>
        </w:rPr>
        <w:t xml:space="preserve">hanges and crisis, </w:t>
      </w:r>
      <w:r w:rsidR="00174399">
        <w:rPr>
          <w:lang w:eastAsia="en-US"/>
        </w:rPr>
        <w:t>Table 11</w:t>
      </w:r>
      <w:r w:rsidR="00A377C9">
        <w:rPr>
          <w:lang w:eastAsia="en-US"/>
        </w:rPr>
        <w:t>,</w:t>
      </w:r>
      <w:r w:rsidR="005B3AEA">
        <w:rPr>
          <w:lang w:eastAsia="en-US"/>
        </w:rPr>
        <w:t xml:space="preserve"> </w:t>
      </w:r>
      <w:r w:rsidR="00A377C9">
        <w:rPr>
          <w:lang w:eastAsia="en-US"/>
        </w:rPr>
        <w:t xml:space="preserve">Panel A, </w:t>
      </w:r>
      <w:r w:rsidR="008F0BEC">
        <w:rPr>
          <w:lang w:eastAsia="en-US"/>
        </w:rPr>
        <w:t>Model (2) – (4</w:t>
      </w:r>
      <w:r w:rsidR="00A377C9">
        <w:rPr>
          <w:lang w:eastAsia="en-US"/>
        </w:rPr>
        <w:t>)</w:t>
      </w:r>
      <w:r w:rsidR="005B3AEA">
        <w:rPr>
          <w:lang w:eastAsia="en-US"/>
        </w:rPr>
        <w:t xml:space="preserve"> show that the estimated coefficient on </w:t>
      </w:r>
      <w:r w:rsidR="005B3AEA">
        <w:rPr>
          <w:i/>
          <w:lang w:eastAsia="en-US"/>
        </w:rPr>
        <w:t xml:space="preserve">JOBs Act </w:t>
      </w:r>
      <w:r w:rsidR="005B3AEA">
        <w:rPr>
          <w:lang w:eastAsia="en-US"/>
        </w:rPr>
        <w:t xml:space="preserve">is negative and strongly significant, meanwhile, the estimated coefficient on </w:t>
      </w:r>
      <w:r w:rsidR="005B3AEA">
        <w:rPr>
          <w:i/>
          <w:lang w:eastAsia="en-US"/>
        </w:rPr>
        <w:t>Dodd</w:t>
      </w:r>
      <w:r w:rsidR="00A02079">
        <w:rPr>
          <w:i/>
          <w:lang w:eastAsia="en-US"/>
        </w:rPr>
        <w:t>-</w:t>
      </w:r>
      <w:r w:rsidR="005B3AEA">
        <w:rPr>
          <w:i/>
          <w:lang w:eastAsia="en-US"/>
        </w:rPr>
        <w:t xml:space="preserve">Frank </w:t>
      </w:r>
      <w:r w:rsidR="008F0BEC">
        <w:rPr>
          <w:lang w:eastAsia="en-US"/>
        </w:rPr>
        <w:t>is positive. The results i</w:t>
      </w:r>
      <w:r w:rsidR="005B3AEA">
        <w:rPr>
          <w:lang w:eastAsia="en-US"/>
        </w:rPr>
        <w:t xml:space="preserve">ndicate that the SEC spend less </w:t>
      </w:r>
      <w:r w:rsidR="00767609">
        <w:rPr>
          <w:lang w:eastAsia="en-US"/>
        </w:rPr>
        <w:t>time reviewing</w:t>
      </w:r>
      <w:r w:rsidR="005B3AEA">
        <w:rPr>
          <w:lang w:eastAsia="en-US"/>
        </w:rPr>
        <w:t xml:space="preserve"> IPO firm’s S-1 filing</w:t>
      </w:r>
      <w:r w:rsidR="00767609">
        <w:rPr>
          <w:lang w:eastAsia="en-US"/>
        </w:rPr>
        <w:t>s</w:t>
      </w:r>
      <w:r w:rsidR="005B3AEA">
        <w:rPr>
          <w:lang w:eastAsia="en-US"/>
        </w:rPr>
        <w:t xml:space="preserve"> after the enactment of JOBs Act, and more time</w:t>
      </w:r>
      <w:r w:rsidR="008F0BEC">
        <w:rPr>
          <w:lang w:eastAsia="en-US"/>
        </w:rPr>
        <w:t xml:space="preserve"> </w:t>
      </w:r>
      <w:r w:rsidR="005B3AEA">
        <w:rPr>
          <w:lang w:eastAsia="en-US"/>
        </w:rPr>
        <w:t xml:space="preserve">after the enactment of Dodd-Frank </w:t>
      </w:r>
      <w:r w:rsidR="008F0BEC">
        <w:rPr>
          <w:lang w:eastAsia="en-US"/>
        </w:rPr>
        <w:t xml:space="preserve">2010 (before JOBs Act). Regarding the relationship between </w:t>
      </w:r>
      <w:r w:rsidR="008F0BEC">
        <w:rPr>
          <w:i/>
          <w:lang w:eastAsia="en-US"/>
        </w:rPr>
        <w:t xml:space="preserve">Duration </w:t>
      </w:r>
      <w:r w:rsidR="008F0BEC">
        <w:rPr>
          <w:lang w:eastAsia="en-US"/>
        </w:rPr>
        <w:t xml:space="preserve">and industry characteristics, </w:t>
      </w:r>
      <w:r w:rsidR="00174399">
        <w:rPr>
          <w:lang w:eastAsia="en-US"/>
        </w:rPr>
        <w:t>Table 11</w:t>
      </w:r>
      <w:r w:rsidR="00A377C9">
        <w:rPr>
          <w:lang w:eastAsia="en-US"/>
        </w:rPr>
        <w:t>,</w:t>
      </w:r>
      <w:r w:rsidR="008F0BEC">
        <w:rPr>
          <w:lang w:eastAsia="en-US"/>
        </w:rPr>
        <w:t xml:space="preserve"> Panel A, </w:t>
      </w:r>
      <w:r w:rsidR="00A377C9">
        <w:rPr>
          <w:lang w:eastAsia="en-US"/>
        </w:rPr>
        <w:t>Model</w:t>
      </w:r>
      <w:r w:rsidR="00767609">
        <w:rPr>
          <w:lang w:eastAsia="en-US"/>
        </w:rPr>
        <w:t>s</w:t>
      </w:r>
      <w:r w:rsidR="00A377C9">
        <w:rPr>
          <w:lang w:eastAsia="en-US"/>
        </w:rPr>
        <w:t xml:space="preserve"> (5) – (8),</w:t>
      </w:r>
      <w:r w:rsidR="008F0BEC">
        <w:rPr>
          <w:lang w:eastAsia="en-US"/>
        </w:rPr>
        <w:t xml:space="preserve"> reveal that the estimated coefficients on </w:t>
      </w:r>
      <w:r w:rsidR="008F0BEC">
        <w:rPr>
          <w:i/>
          <w:lang w:eastAsia="en-US"/>
        </w:rPr>
        <w:t xml:space="preserve">Regulated </w:t>
      </w:r>
      <w:r w:rsidR="008F0BEC">
        <w:rPr>
          <w:lang w:eastAsia="en-US"/>
        </w:rPr>
        <w:t xml:space="preserve">and </w:t>
      </w:r>
      <w:r w:rsidR="008F0BEC">
        <w:rPr>
          <w:i/>
          <w:lang w:eastAsia="en-US"/>
        </w:rPr>
        <w:t xml:space="preserve">IPOs by industry </w:t>
      </w:r>
      <w:r w:rsidR="008F0BEC">
        <w:rPr>
          <w:lang w:eastAsia="en-US"/>
        </w:rPr>
        <w:t xml:space="preserve">are both negative, meanwhile, the estimated coefficient on </w:t>
      </w:r>
      <w:r w:rsidR="008F0BEC">
        <w:rPr>
          <w:i/>
          <w:lang w:eastAsia="en-US"/>
        </w:rPr>
        <w:t xml:space="preserve">Technology </w:t>
      </w:r>
      <w:r w:rsidR="008F0BEC">
        <w:rPr>
          <w:lang w:eastAsia="en-US"/>
        </w:rPr>
        <w:t xml:space="preserve">is positive. The results indicate that the SEC spend less time </w:t>
      </w:r>
      <w:proofErr w:type="spellStart"/>
      <w:r w:rsidR="00767609">
        <w:rPr>
          <w:lang w:eastAsia="en-US"/>
        </w:rPr>
        <w:t>revewing</w:t>
      </w:r>
      <w:proofErr w:type="spellEnd"/>
      <w:r w:rsidR="00E915E3">
        <w:rPr>
          <w:lang w:eastAsia="en-US"/>
        </w:rPr>
        <w:t xml:space="preserve"> firms who are operating in regulated industries or in markets with </w:t>
      </w:r>
      <w:r w:rsidR="00767609">
        <w:rPr>
          <w:lang w:eastAsia="en-US"/>
        </w:rPr>
        <w:t xml:space="preserve">a </w:t>
      </w:r>
      <w:r w:rsidR="00E915E3">
        <w:rPr>
          <w:lang w:eastAsia="en-US"/>
        </w:rPr>
        <w:t xml:space="preserve">higher volume of IPOs, and more time </w:t>
      </w:r>
      <w:r w:rsidR="00767609">
        <w:rPr>
          <w:lang w:eastAsia="en-US"/>
        </w:rPr>
        <w:t>reviewing</w:t>
      </w:r>
      <w:r w:rsidR="00E915E3">
        <w:rPr>
          <w:lang w:eastAsia="en-US"/>
        </w:rPr>
        <w:t xml:space="preserve"> in the technology industries. Regarding the relationship between </w:t>
      </w:r>
      <w:r w:rsidR="00E915E3">
        <w:rPr>
          <w:i/>
          <w:lang w:eastAsia="en-US"/>
        </w:rPr>
        <w:t xml:space="preserve">Duration </w:t>
      </w:r>
      <w:r w:rsidR="00E915E3">
        <w:rPr>
          <w:lang w:eastAsia="en-US"/>
        </w:rPr>
        <w:t xml:space="preserve">and the SEC characteristics, </w:t>
      </w:r>
      <w:r w:rsidR="00174399">
        <w:rPr>
          <w:lang w:eastAsia="en-US"/>
        </w:rPr>
        <w:t>Table 11</w:t>
      </w:r>
      <w:r w:rsidR="00A377C9">
        <w:rPr>
          <w:lang w:eastAsia="en-US"/>
        </w:rPr>
        <w:t>,</w:t>
      </w:r>
      <w:r w:rsidR="00E915E3">
        <w:rPr>
          <w:lang w:eastAsia="en-US"/>
        </w:rPr>
        <w:t xml:space="preserve"> </w:t>
      </w:r>
      <w:r w:rsidR="00A377C9">
        <w:rPr>
          <w:lang w:eastAsia="en-US"/>
        </w:rPr>
        <w:t>Panel A, Model</w:t>
      </w:r>
      <w:r w:rsidR="00767609">
        <w:rPr>
          <w:lang w:eastAsia="en-US"/>
        </w:rPr>
        <w:t>s</w:t>
      </w:r>
      <w:r w:rsidR="00E915E3">
        <w:rPr>
          <w:lang w:eastAsia="en-US"/>
        </w:rPr>
        <w:t xml:space="preserve"> (9) – (10</w:t>
      </w:r>
      <w:r w:rsidR="00A377C9">
        <w:rPr>
          <w:lang w:eastAsia="en-US"/>
        </w:rPr>
        <w:t>)</w:t>
      </w:r>
      <w:r w:rsidR="00E915E3">
        <w:rPr>
          <w:lang w:eastAsia="en-US"/>
        </w:rPr>
        <w:t xml:space="preserve"> reveal that the estimated coefficients on </w:t>
      </w:r>
      <w:r w:rsidR="00E915E3">
        <w:rPr>
          <w:i/>
          <w:lang w:eastAsia="en-US"/>
        </w:rPr>
        <w:t xml:space="preserve">Directors/Chiefs </w:t>
      </w:r>
      <w:r w:rsidR="00A02079">
        <w:rPr>
          <w:lang w:eastAsia="en-US"/>
        </w:rPr>
        <w:t>are</w:t>
      </w:r>
      <w:r w:rsidR="00E915E3">
        <w:rPr>
          <w:lang w:eastAsia="en-US"/>
        </w:rPr>
        <w:t xml:space="preserve"> positive, meanwhile, the estimated coefficient on </w:t>
      </w:r>
      <w:r w:rsidR="00E915E3">
        <w:rPr>
          <w:i/>
          <w:lang w:eastAsia="en-US"/>
        </w:rPr>
        <w:t xml:space="preserve">Accountant </w:t>
      </w:r>
      <w:r w:rsidR="00E915E3">
        <w:rPr>
          <w:lang w:eastAsia="en-US"/>
        </w:rPr>
        <w:t xml:space="preserve">is negative. The results indicate that the SEC reviewers, holding the position </w:t>
      </w:r>
      <w:r w:rsidR="00767609">
        <w:rPr>
          <w:lang w:eastAsia="en-US"/>
        </w:rPr>
        <w:t>of director</w:t>
      </w:r>
      <w:r w:rsidR="00E915E3">
        <w:rPr>
          <w:lang w:eastAsia="en-US"/>
        </w:rPr>
        <w:t xml:space="preserve"> or </w:t>
      </w:r>
      <w:r w:rsidR="00767609">
        <w:rPr>
          <w:lang w:eastAsia="en-US"/>
        </w:rPr>
        <w:t>chief</w:t>
      </w:r>
      <w:r w:rsidR="00E915E3">
        <w:rPr>
          <w:lang w:eastAsia="en-US"/>
        </w:rPr>
        <w:t>, spend more time for the review, meanwhile, the SEC reviewers who are accountants spend less time for the review.</w:t>
      </w:r>
    </w:p>
    <w:p w14:paraId="0EBCDD17" w14:textId="106529EE" w:rsidR="000735A1" w:rsidRDefault="000735A1" w:rsidP="0030659B">
      <w:pPr>
        <w:spacing w:line="360" w:lineRule="auto"/>
        <w:contextualSpacing/>
        <w:jc w:val="both"/>
        <w:rPr>
          <w:lang w:eastAsia="en-US"/>
        </w:rPr>
      </w:pPr>
      <w:r>
        <w:rPr>
          <w:lang w:eastAsia="en-US"/>
        </w:rPr>
        <w:lastRenderedPageBreak/>
        <w:t xml:space="preserve">Regarding the relationship between </w:t>
      </w:r>
      <w:r>
        <w:rPr>
          <w:i/>
          <w:lang w:eastAsia="en-US"/>
        </w:rPr>
        <w:t>Letters</w:t>
      </w:r>
      <w:r>
        <w:rPr>
          <w:lang w:eastAsia="en-US"/>
        </w:rPr>
        <w:t xml:space="preserve"> and IPO firm characteristics, </w:t>
      </w:r>
      <w:r w:rsidR="00174399">
        <w:rPr>
          <w:lang w:eastAsia="en-US"/>
        </w:rPr>
        <w:t>Table 11</w:t>
      </w:r>
      <w:r w:rsidR="00A377C9">
        <w:rPr>
          <w:lang w:eastAsia="en-US"/>
        </w:rPr>
        <w:t>,</w:t>
      </w:r>
      <w:r>
        <w:rPr>
          <w:lang w:eastAsia="en-US"/>
        </w:rPr>
        <w:t xml:space="preserve"> Panel B, </w:t>
      </w:r>
      <w:r w:rsidR="00A377C9">
        <w:rPr>
          <w:lang w:eastAsia="en-US"/>
        </w:rPr>
        <w:t>Model (1)</w:t>
      </w:r>
      <w:r>
        <w:rPr>
          <w:lang w:eastAsia="en-US"/>
        </w:rPr>
        <w:t xml:space="preserve"> reveals that the estimated coefficient on </w:t>
      </w:r>
      <w:r w:rsidR="00296848">
        <w:rPr>
          <w:i/>
          <w:lang w:eastAsia="en-US"/>
        </w:rPr>
        <w:t>Sales</w:t>
      </w:r>
      <w:r>
        <w:rPr>
          <w:i/>
          <w:lang w:eastAsia="en-US"/>
        </w:rPr>
        <w:t xml:space="preserve"> growth, Positive earnings, </w:t>
      </w:r>
      <w:proofErr w:type="spellStart"/>
      <w:r w:rsidR="00B90319">
        <w:rPr>
          <w:i/>
          <w:lang w:eastAsia="en-US"/>
        </w:rPr>
        <w:t>CEOchairman</w:t>
      </w:r>
      <w:proofErr w:type="spellEnd"/>
      <w:r>
        <w:rPr>
          <w:i/>
          <w:lang w:eastAsia="en-US"/>
        </w:rPr>
        <w:t xml:space="preserve"> </w:t>
      </w:r>
      <w:r>
        <w:rPr>
          <w:lang w:eastAsia="en-US"/>
        </w:rPr>
        <w:t xml:space="preserve">are all positive. The result </w:t>
      </w:r>
      <w:proofErr w:type="gramStart"/>
      <w:r w:rsidR="00767609">
        <w:rPr>
          <w:lang w:eastAsia="en-US"/>
        </w:rPr>
        <w:t>indicate</w:t>
      </w:r>
      <w:proofErr w:type="gramEnd"/>
      <w:r>
        <w:rPr>
          <w:lang w:eastAsia="en-US"/>
        </w:rPr>
        <w:t xml:space="preserve"> that the SEC issue more comment letters in the review of S-1 filings prepared by firms who have higher growth of sales, gain profits, and have CEO who is also a chairman of </w:t>
      </w:r>
      <w:r w:rsidR="00767609">
        <w:rPr>
          <w:lang w:eastAsia="en-US"/>
        </w:rPr>
        <w:t xml:space="preserve">the </w:t>
      </w:r>
      <w:r>
        <w:rPr>
          <w:lang w:eastAsia="en-US"/>
        </w:rPr>
        <w:t xml:space="preserve">board of directors. Regarding the relationship between </w:t>
      </w:r>
      <w:r>
        <w:rPr>
          <w:i/>
          <w:lang w:eastAsia="en-US"/>
        </w:rPr>
        <w:t xml:space="preserve">Letters </w:t>
      </w:r>
      <w:r>
        <w:rPr>
          <w:lang w:eastAsia="en-US"/>
        </w:rPr>
        <w:t xml:space="preserve">and </w:t>
      </w:r>
      <w:r w:rsidR="00D92D32">
        <w:rPr>
          <w:lang w:eastAsia="en-US"/>
        </w:rPr>
        <w:t>incidences</w:t>
      </w:r>
      <w:r>
        <w:rPr>
          <w:lang w:eastAsia="en-US"/>
        </w:rPr>
        <w:t xml:space="preserve"> of regulatory changes and crisis, </w:t>
      </w:r>
      <w:r w:rsidR="00174399">
        <w:rPr>
          <w:lang w:eastAsia="en-US"/>
        </w:rPr>
        <w:t>Table 11</w:t>
      </w:r>
      <w:r w:rsidR="00767609">
        <w:rPr>
          <w:lang w:eastAsia="en-US"/>
        </w:rPr>
        <w:t>,</w:t>
      </w:r>
      <w:r>
        <w:rPr>
          <w:lang w:eastAsia="en-US"/>
        </w:rPr>
        <w:t xml:space="preserve"> Panel B, </w:t>
      </w:r>
      <w:r w:rsidR="00767609">
        <w:rPr>
          <w:lang w:eastAsia="en-US"/>
        </w:rPr>
        <w:t xml:space="preserve">Models </w:t>
      </w:r>
      <w:r w:rsidR="00A377C9">
        <w:rPr>
          <w:lang w:eastAsia="en-US"/>
        </w:rPr>
        <w:t xml:space="preserve">(2) – (4) </w:t>
      </w:r>
      <w:r w:rsidR="00767609">
        <w:rPr>
          <w:lang w:eastAsia="en-US"/>
        </w:rPr>
        <w:t>show</w:t>
      </w:r>
      <w:r>
        <w:rPr>
          <w:lang w:eastAsia="en-US"/>
        </w:rPr>
        <w:t xml:space="preserve"> that the estimated coefficient on </w:t>
      </w:r>
      <w:r>
        <w:rPr>
          <w:i/>
          <w:lang w:eastAsia="en-US"/>
        </w:rPr>
        <w:t xml:space="preserve">JOBs Act </w:t>
      </w:r>
      <w:r>
        <w:rPr>
          <w:lang w:eastAsia="en-US"/>
        </w:rPr>
        <w:t xml:space="preserve">is negative and strongly significant, meanwhile, the estimated coefficient on </w:t>
      </w:r>
      <w:r>
        <w:rPr>
          <w:i/>
          <w:lang w:eastAsia="en-US"/>
        </w:rPr>
        <w:t xml:space="preserve">Dodd-Frank </w:t>
      </w:r>
      <w:r>
        <w:rPr>
          <w:lang w:eastAsia="en-US"/>
        </w:rPr>
        <w:t xml:space="preserve">is positive. The results indicate that the SEC issue </w:t>
      </w:r>
      <w:r w:rsidR="00A02079">
        <w:rPr>
          <w:lang w:eastAsia="en-US"/>
        </w:rPr>
        <w:t>fewer</w:t>
      </w:r>
      <w:r>
        <w:rPr>
          <w:lang w:eastAsia="en-US"/>
        </w:rPr>
        <w:t xml:space="preserve"> comment letters in the review of S-1 filings </w:t>
      </w:r>
      <w:r w:rsidR="003B1AD6">
        <w:rPr>
          <w:lang w:eastAsia="en-US"/>
        </w:rPr>
        <w:t xml:space="preserve">after the enactment of </w:t>
      </w:r>
      <w:r w:rsidR="00A31E88">
        <w:rPr>
          <w:lang w:eastAsia="en-US"/>
        </w:rPr>
        <w:t xml:space="preserve">the </w:t>
      </w:r>
      <w:r w:rsidR="003B1AD6">
        <w:rPr>
          <w:lang w:eastAsia="en-US"/>
        </w:rPr>
        <w:t>JOBs Act, and more comment letters in the review after the enactment of Dodd-Frank 2010</w:t>
      </w:r>
      <w:r w:rsidR="00A31E88">
        <w:rPr>
          <w:lang w:eastAsia="en-US"/>
        </w:rPr>
        <w:t>.</w:t>
      </w:r>
      <w:r w:rsidR="003B1AD6">
        <w:rPr>
          <w:lang w:eastAsia="en-US"/>
        </w:rPr>
        <w:t xml:space="preserve"> Regarding the relationship between </w:t>
      </w:r>
      <w:r w:rsidR="003B1AD6">
        <w:rPr>
          <w:i/>
          <w:lang w:eastAsia="en-US"/>
        </w:rPr>
        <w:t xml:space="preserve">Letters </w:t>
      </w:r>
      <w:r w:rsidR="003B1AD6">
        <w:rPr>
          <w:lang w:eastAsia="en-US"/>
        </w:rPr>
        <w:t xml:space="preserve">and industry/market characteristics, </w:t>
      </w:r>
      <w:r w:rsidR="00174399">
        <w:rPr>
          <w:lang w:eastAsia="en-US"/>
        </w:rPr>
        <w:t>Table 11</w:t>
      </w:r>
      <w:r w:rsidR="00131A2D">
        <w:rPr>
          <w:lang w:eastAsia="en-US"/>
        </w:rPr>
        <w:t>,</w:t>
      </w:r>
      <w:r w:rsidR="003B1AD6">
        <w:rPr>
          <w:lang w:eastAsia="en-US"/>
        </w:rPr>
        <w:t xml:space="preserve"> Panel B, </w:t>
      </w:r>
      <w:r w:rsidR="00A31E88">
        <w:rPr>
          <w:lang w:eastAsia="en-US"/>
        </w:rPr>
        <w:t xml:space="preserve">Models </w:t>
      </w:r>
      <w:r w:rsidR="00131A2D">
        <w:rPr>
          <w:lang w:eastAsia="en-US"/>
        </w:rPr>
        <w:t xml:space="preserve">(5) – (8) </w:t>
      </w:r>
      <w:r w:rsidR="00A31E88">
        <w:rPr>
          <w:lang w:eastAsia="en-US"/>
        </w:rPr>
        <w:t>reveal</w:t>
      </w:r>
      <w:r w:rsidR="003B1AD6">
        <w:rPr>
          <w:lang w:eastAsia="en-US"/>
        </w:rPr>
        <w:t xml:space="preserve"> that the estimated coefficient on </w:t>
      </w:r>
      <w:r w:rsidR="003B1AD6">
        <w:rPr>
          <w:i/>
          <w:lang w:eastAsia="en-US"/>
        </w:rPr>
        <w:t xml:space="preserve">IPOs by industry </w:t>
      </w:r>
      <w:r w:rsidR="003B1AD6">
        <w:rPr>
          <w:lang w:eastAsia="en-US"/>
        </w:rPr>
        <w:t xml:space="preserve">is negative, </w:t>
      </w:r>
      <w:r w:rsidR="00E53742">
        <w:rPr>
          <w:lang w:eastAsia="en-US"/>
        </w:rPr>
        <w:t xml:space="preserve">which </w:t>
      </w:r>
      <w:r w:rsidR="003B1AD6">
        <w:rPr>
          <w:lang w:eastAsia="en-US"/>
        </w:rPr>
        <w:t xml:space="preserve">indicates that the SEC issue less comment letters in the review of the S-1 filing prepared by the firms who are operating in the markets with </w:t>
      </w:r>
      <w:r w:rsidR="00A31E88">
        <w:rPr>
          <w:lang w:eastAsia="en-US"/>
        </w:rPr>
        <w:t xml:space="preserve">a </w:t>
      </w:r>
      <w:r w:rsidR="003B1AD6">
        <w:rPr>
          <w:lang w:eastAsia="en-US"/>
        </w:rPr>
        <w:t xml:space="preserve">higher volume of IPOs. Regarding the relationship between </w:t>
      </w:r>
      <w:r w:rsidR="003B1AD6">
        <w:rPr>
          <w:i/>
          <w:lang w:eastAsia="en-US"/>
        </w:rPr>
        <w:t xml:space="preserve">Letters </w:t>
      </w:r>
      <w:r w:rsidR="003B1AD6">
        <w:rPr>
          <w:lang w:eastAsia="en-US"/>
        </w:rPr>
        <w:t xml:space="preserve">and proxies of the SEC characteristics, </w:t>
      </w:r>
      <w:r w:rsidR="00174399">
        <w:rPr>
          <w:lang w:eastAsia="en-US"/>
        </w:rPr>
        <w:t>Table 11</w:t>
      </w:r>
      <w:r w:rsidR="00131A2D">
        <w:rPr>
          <w:lang w:eastAsia="en-US"/>
        </w:rPr>
        <w:t>,</w:t>
      </w:r>
      <w:r w:rsidR="003B1AD6">
        <w:rPr>
          <w:lang w:eastAsia="en-US"/>
        </w:rPr>
        <w:t xml:space="preserve"> </w:t>
      </w:r>
      <w:r w:rsidR="00131A2D">
        <w:rPr>
          <w:lang w:eastAsia="en-US"/>
        </w:rPr>
        <w:t>Panel B, Model</w:t>
      </w:r>
      <w:r w:rsidR="00A31E88">
        <w:rPr>
          <w:lang w:eastAsia="en-US"/>
        </w:rPr>
        <w:t>s</w:t>
      </w:r>
      <w:r w:rsidR="003B1AD6">
        <w:rPr>
          <w:lang w:eastAsia="en-US"/>
        </w:rPr>
        <w:t xml:space="preserve"> (9) – (10</w:t>
      </w:r>
      <w:r w:rsidR="00131A2D">
        <w:rPr>
          <w:lang w:eastAsia="en-US"/>
        </w:rPr>
        <w:t xml:space="preserve">) </w:t>
      </w:r>
      <w:r w:rsidR="00A31E88">
        <w:rPr>
          <w:lang w:eastAsia="en-US"/>
        </w:rPr>
        <w:t>show</w:t>
      </w:r>
      <w:r w:rsidR="003B1AD6">
        <w:rPr>
          <w:lang w:eastAsia="en-US"/>
        </w:rPr>
        <w:t xml:space="preserve"> that the estimated coefficient on </w:t>
      </w:r>
      <w:r w:rsidR="003B1AD6">
        <w:rPr>
          <w:i/>
          <w:lang w:eastAsia="en-US"/>
        </w:rPr>
        <w:t xml:space="preserve">Accountant </w:t>
      </w:r>
      <w:r w:rsidR="003B1AD6">
        <w:rPr>
          <w:lang w:eastAsia="en-US"/>
        </w:rPr>
        <w:t xml:space="preserve">is negative, </w:t>
      </w:r>
      <w:r w:rsidR="00E53742">
        <w:rPr>
          <w:lang w:eastAsia="en-US"/>
        </w:rPr>
        <w:t xml:space="preserve">which </w:t>
      </w:r>
      <w:r w:rsidR="003B1AD6">
        <w:rPr>
          <w:lang w:eastAsia="en-US"/>
        </w:rPr>
        <w:t>indicates that the SEC reviewers, who are accountant</w:t>
      </w:r>
      <w:r w:rsidR="00A31E88">
        <w:rPr>
          <w:lang w:eastAsia="en-US"/>
        </w:rPr>
        <w:t>s</w:t>
      </w:r>
      <w:r w:rsidR="003B1AD6">
        <w:rPr>
          <w:lang w:eastAsia="en-US"/>
        </w:rPr>
        <w:t xml:space="preserve">, issue </w:t>
      </w:r>
      <w:r w:rsidR="00A02079">
        <w:rPr>
          <w:lang w:eastAsia="en-US"/>
        </w:rPr>
        <w:t>fewer</w:t>
      </w:r>
      <w:r w:rsidR="003B1AD6">
        <w:rPr>
          <w:lang w:eastAsia="en-US"/>
        </w:rPr>
        <w:t xml:space="preserve"> comment letters.</w:t>
      </w:r>
    </w:p>
    <w:p w14:paraId="39CD5FFF" w14:textId="41ABD288" w:rsidR="00977465" w:rsidRPr="00977465" w:rsidRDefault="006200F4" w:rsidP="0030659B">
      <w:pPr>
        <w:spacing w:before="240" w:line="360" w:lineRule="auto"/>
        <w:contextualSpacing/>
        <w:jc w:val="both"/>
        <w:rPr>
          <w:lang w:eastAsia="en-US"/>
        </w:rPr>
      </w:pPr>
      <w:r>
        <w:rPr>
          <w:lang w:eastAsia="en-US"/>
        </w:rPr>
        <w:t xml:space="preserve">Regarding the relationship between </w:t>
      </w:r>
      <w:r>
        <w:rPr>
          <w:i/>
          <w:lang w:eastAsia="en-US"/>
        </w:rPr>
        <w:t xml:space="preserve">Comments </w:t>
      </w:r>
      <w:r>
        <w:rPr>
          <w:lang w:eastAsia="en-US"/>
        </w:rPr>
        <w:t xml:space="preserve">and proxies of IPO firm characteristics, </w:t>
      </w:r>
      <w:r w:rsidR="00174399">
        <w:rPr>
          <w:lang w:eastAsia="en-US"/>
        </w:rPr>
        <w:t>Table 11</w:t>
      </w:r>
      <w:r w:rsidR="00131A2D">
        <w:rPr>
          <w:lang w:eastAsia="en-US"/>
        </w:rPr>
        <w:t>,</w:t>
      </w:r>
      <w:r>
        <w:rPr>
          <w:lang w:eastAsia="en-US"/>
        </w:rPr>
        <w:t xml:space="preserve"> Panel C, </w:t>
      </w:r>
      <w:r w:rsidR="00131A2D">
        <w:rPr>
          <w:lang w:eastAsia="en-US"/>
        </w:rPr>
        <w:t>Model (1)</w:t>
      </w:r>
      <w:r>
        <w:rPr>
          <w:lang w:eastAsia="en-US"/>
        </w:rPr>
        <w:t xml:space="preserve"> reveals that the estimated coefficients on </w:t>
      </w:r>
      <w:r w:rsidR="00296848">
        <w:rPr>
          <w:i/>
          <w:lang w:eastAsia="en-US"/>
        </w:rPr>
        <w:t>Sales</w:t>
      </w:r>
      <w:r>
        <w:rPr>
          <w:i/>
          <w:lang w:eastAsia="en-US"/>
        </w:rPr>
        <w:t xml:space="preserve"> growth, Segments, Positive earnings, </w:t>
      </w:r>
      <w:proofErr w:type="spellStart"/>
      <w:r w:rsidR="00B90319">
        <w:rPr>
          <w:i/>
          <w:lang w:eastAsia="en-US"/>
        </w:rPr>
        <w:t>CEOchairman</w:t>
      </w:r>
      <w:proofErr w:type="spellEnd"/>
      <w:r>
        <w:rPr>
          <w:i/>
          <w:lang w:eastAsia="en-US"/>
        </w:rPr>
        <w:t xml:space="preserve"> </w:t>
      </w:r>
      <w:r>
        <w:rPr>
          <w:lang w:eastAsia="en-US"/>
        </w:rPr>
        <w:t xml:space="preserve">are all positive. The results indicate that the SEC issue more comments on the initial S-1 filings prepared by firms who have higher growth of sales, more segments, gain profits, and have </w:t>
      </w:r>
      <w:r w:rsidR="00A31E88">
        <w:rPr>
          <w:lang w:eastAsia="en-US"/>
        </w:rPr>
        <w:t xml:space="preserve">a </w:t>
      </w:r>
      <w:r>
        <w:rPr>
          <w:lang w:eastAsia="en-US"/>
        </w:rPr>
        <w:t xml:space="preserve">CEO who is also </w:t>
      </w:r>
      <w:r w:rsidR="00A31E88">
        <w:rPr>
          <w:lang w:eastAsia="en-US"/>
        </w:rPr>
        <w:t>the</w:t>
      </w:r>
      <w:r>
        <w:rPr>
          <w:lang w:eastAsia="en-US"/>
        </w:rPr>
        <w:t xml:space="preserve"> chairman of </w:t>
      </w:r>
      <w:r w:rsidR="00A31E88">
        <w:rPr>
          <w:lang w:eastAsia="en-US"/>
        </w:rPr>
        <w:t xml:space="preserve">the </w:t>
      </w:r>
      <w:r>
        <w:rPr>
          <w:lang w:eastAsia="en-US"/>
        </w:rPr>
        <w:t xml:space="preserve">board of directors. Regarding the relationship between </w:t>
      </w:r>
      <w:r>
        <w:rPr>
          <w:i/>
          <w:lang w:eastAsia="en-US"/>
        </w:rPr>
        <w:t xml:space="preserve">Comments </w:t>
      </w:r>
      <w:r>
        <w:rPr>
          <w:lang w:eastAsia="en-US"/>
        </w:rPr>
        <w:t xml:space="preserve">and proxies of the </w:t>
      </w:r>
      <w:r w:rsidR="00D92D32">
        <w:rPr>
          <w:lang w:eastAsia="en-US"/>
        </w:rPr>
        <w:t>incidences</w:t>
      </w:r>
      <w:r>
        <w:rPr>
          <w:lang w:eastAsia="en-US"/>
        </w:rPr>
        <w:t xml:space="preserve"> of regulatory changes and crisis, </w:t>
      </w:r>
      <w:r w:rsidR="00174399">
        <w:rPr>
          <w:lang w:eastAsia="en-US"/>
        </w:rPr>
        <w:t>Table 11</w:t>
      </w:r>
      <w:r w:rsidR="00131A2D">
        <w:rPr>
          <w:lang w:eastAsia="en-US"/>
        </w:rPr>
        <w:t>,</w:t>
      </w:r>
      <w:r>
        <w:rPr>
          <w:lang w:eastAsia="en-US"/>
        </w:rPr>
        <w:t xml:space="preserve"> Panel C, </w:t>
      </w:r>
      <w:r w:rsidR="00131A2D">
        <w:rPr>
          <w:lang w:eastAsia="en-US"/>
        </w:rPr>
        <w:t>Model</w:t>
      </w:r>
      <w:r w:rsidR="00A31E88">
        <w:rPr>
          <w:lang w:eastAsia="en-US"/>
        </w:rPr>
        <w:t>s</w:t>
      </w:r>
      <w:r w:rsidR="00131A2D">
        <w:rPr>
          <w:lang w:eastAsia="en-US"/>
        </w:rPr>
        <w:t xml:space="preserve"> (2) – (4) </w:t>
      </w:r>
      <w:r w:rsidR="00A31E88">
        <w:rPr>
          <w:lang w:eastAsia="en-US"/>
        </w:rPr>
        <w:t>show</w:t>
      </w:r>
      <w:r>
        <w:rPr>
          <w:lang w:eastAsia="en-US"/>
        </w:rPr>
        <w:t xml:space="preserve"> that the </w:t>
      </w:r>
      <w:proofErr w:type="gramStart"/>
      <w:r>
        <w:rPr>
          <w:lang w:eastAsia="en-US"/>
        </w:rPr>
        <w:t>estimated on</w:t>
      </w:r>
      <w:proofErr w:type="gramEnd"/>
      <w:r>
        <w:rPr>
          <w:lang w:eastAsia="en-US"/>
        </w:rPr>
        <w:t xml:space="preserve"> </w:t>
      </w:r>
      <w:r>
        <w:rPr>
          <w:i/>
          <w:lang w:eastAsia="en-US"/>
        </w:rPr>
        <w:t xml:space="preserve">JOBs Act </w:t>
      </w:r>
      <w:r w:rsidR="004847B9">
        <w:rPr>
          <w:lang w:eastAsia="en-US"/>
        </w:rPr>
        <w:t xml:space="preserve">is </w:t>
      </w:r>
      <w:r>
        <w:rPr>
          <w:lang w:eastAsia="en-US"/>
        </w:rPr>
        <w:t>negative and strongly significant</w:t>
      </w:r>
      <w:r w:rsidR="004847B9">
        <w:rPr>
          <w:lang w:eastAsia="en-US"/>
        </w:rPr>
        <w:t xml:space="preserve">, </w:t>
      </w:r>
      <w:r w:rsidR="00E53742">
        <w:rPr>
          <w:lang w:eastAsia="en-US"/>
        </w:rPr>
        <w:t xml:space="preserve">which </w:t>
      </w:r>
      <w:r w:rsidR="004847B9">
        <w:rPr>
          <w:lang w:eastAsia="en-US"/>
        </w:rPr>
        <w:t xml:space="preserve">indicates that the SEC issue less comments on the initial S-1 filings after the enactment of JOBs Act. Regarding the relationship between </w:t>
      </w:r>
      <w:r w:rsidR="004847B9">
        <w:rPr>
          <w:i/>
          <w:lang w:eastAsia="en-US"/>
        </w:rPr>
        <w:t xml:space="preserve">Comments </w:t>
      </w:r>
      <w:r w:rsidR="004847B9">
        <w:rPr>
          <w:lang w:eastAsia="en-US"/>
        </w:rPr>
        <w:t xml:space="preserve">and proxies of the industry characteristics, </w:t>
      </w:r>
      <w:r w:rsidR="00174399">
        <w:rPr>
          <w:lang w:eastAsia="en-US"/>
        </w:rPr>
        <w:t>Table 11</w:t>
      </w:r>
      <w:r w:rsidR="00131A2D">
        <w:rPr>
          <w:lang w:eastAsia="en-US"/>
        </w:rPr>
        <w:t xml:space="preserve">, Panel C, </w:t>
      </w:r>
      <w:r w:rsidR="00A31E88">
        <w:rPr>
          <w:lang w:eastAsia="en-US"/>
        </w:rPr>
        <w:t>Models</w:t>
      </w:r>
      <w:r w:rsidR="004847B9">
        <w:rPr>
          <w:lang w:eastAsia="en-US"/>
        </w:rPr>
        <w:t xml:space="preserve"> (5) – (8) </w:t>
      </w:r>
      <w:r w:rsidR="00A31E88">
        <w:rPr>
          <w:lang w:eastAsia="en-US"/>
        </w:rPr>
        <w:t>reveal</w:t>
      </w:r>
      <w:r w:rsidR="004847B9">
        <w:rPr>
          <w:lang w:eastAsia="en-US"/>
        </w:rPr>
        <w:t xml:space="preserve"> that the estimated coefficient on </w:t>
      </w:r>
      <w:r w:rsidR="004847B9">
        <w:rPr>
          <w:i/>
          <w:lang w:eastAsia="en-US"/>
        </w:rPr>
        <w:t xml:space="preserve">IPOs by industry </w:t>
      </w:r>
      <w:r w:rsidR="004847B9">
        <w:rPr>
          <w:lang w:eastAsia="en-US"/>
        </w:rPr>
        <w:t xml:space="preserve">is negative, </w:t>
      </w:r>
      <w:r w:rsidR="00E53742">
        <w:rPr>
          <w:lang w:eastAsia="en-US"/>
        </w:rPr>
        <w:t xml:space="preserve">which </w:t>
      </w:r>
      <w:r w:rsidR="004847B9">
        <w:rPr>
          <w:lang w:eastAsia="en-US"/>
        </w:rPr>
        <w:t xml:space="preserve">indicates that the SEC issue less comments on initial S-1 filings prepared by firms operating in markets with </w:t>
      </w:r>
      <w:r w:rsidR="00A31E88">
        <w:rPr>
          <w:lang w:eastAsia="en-US"/>
        </w:rPr>
        <w:t>a higher</w:t>
      </w:r>
      <w:r w:rsidR="004847B9">
        <w:rPr>
          <w:lang w:eastAsia="en-US"/>
        </w:rPr>
        <w:t xml:space="preserve"> volume of IPOs. Regarding the relationship between </w:t>
      </w:r>
      <w:r w:rsidR="004847B9">
        <w:rPr>
          <w:i/>
          <w:lang w:eastAsia="en-US"/>
        </w:rPr>
        <w:t xml:space="preserve">Comments </w:t>
      </w:r>
      <w:r w:rsidR="004847B9">
        <w:rPr>
          <w:lang w:eastAsia="en-US"/>
        </w:rPr>
        <w:t xml:space="preserve">and proxies of the SEC characteristics, </w:t>
      </w:r>
      <w:r w:rsidR="00174399">
        <w:rPr>
          <w:lang w:eastAsia="en-US"/>
        </w:rPr>
        <w:t>Table 11</w:t>
      </w:r>
      <w:r w:rsidR="00131A2D">
        <w:rPr>
          <w:lang w:eastAsia="en-US"/>
        </w:rPr>
        <w:t xml:space="preserve">, Panel C, </w:t>
      </w:r>
      <w:r w:rsidR="004847B9">
        <w:rPr>
          <w:lang w:eastAsia="en-US"/>
        </w:rPr>
        <w:t>Model</w:t>
      </w:r>
      <w:r w:rsidR="00A31E88">
        <w:rPr>
          <w:lang w:eastAsia="en-US"/>
        </w:rPr>
        <w:t>s</w:t>
      </w:r>
      <w:r w:rsidR="004847B9">
        <w:rPr>
          <w:lang w:eastAsia="en-US"/>
        </w:rPr>
        <w:t xml:space="preserve"> (9) – (10)</w:t>
      </w:r>
      <w:r w:rsidR="00131A2D">
        <w:rPr>
          <w:lang w:eastAsia="en-US"/>
        </w:rPr>
        <w:t xml:space="preserve"> </w:t>
      </w:r>
      <w:r w:rsidR="00A31E88">
        <w:rPr>
          <w:lang w:eastAsia="en-US"/>
        </w:rPr>
        <w:t>reveal</w:t>
      </w:r>
      <w:r w:rsidR="004847B9">
        <w:rPr>
          <w:lang w:eastAsia="en-US"/>
        </w:rPr>
        <w:t xml:space="preserve"> that the estimated coefficient on </w:t>
      </w:r>
      <w:r w:rsidR="004847B9">
        <w:rPr>
          <w:i/>
          <w:lang w:eastAsia="en-US"/>
        </w:rPr>
        <w:t xml:space="preserve">Accountant </w:t>
      </w:r>
      <w:r w:rsidR="004847B9">
        <w:rPr>
          <w:lang w:eastAsia="en-US"/>
        </w:rPr>
        <w:t xml:space="preserve">is negative, </w:t>
      </w:r>
      <w:r w:rsidR="00E53742">
        <w:rPr>
          <w:lang w:eastAsia="en-US"/>
        </w:rPr>
        <w:t>which indicates</w:t>
      </w:r>
      <w:r w:rsidR="004847B9">
        <w:rPr>
          <w:lang w:eastAsia="en-US"/>
        </w:rPr>
        <w:t xml:space="preserve"> that SEC reviewers, who are accountant</w:t>
      </w:r>
      <w:r w:rsidR="00A31E88">
        <w:rPr>
          <w:lang w:eastAsia="en-US"/>
        </w:rPr>
        <w:t>s</w:t>
      </w:r>
      <w:r w:rsidR="004847B9">
        <w:rPr>
          <w:lang w:eastAsia="en-US"/>
        </w:rPr>
        <w:t xml:space="preserve">, issue </w:t>
      </w:r>
      <w:r w:rsidR="00A02079">
        <w:rPr>
          <w:lang w:eastAsia="en-US"/>
        </w:rPr>
        <w:t>fewer</w:t>
      </w:r>
      <w:r w:rsidR="004847B9">
        <w:rPr>
          <w:lang w:eastAsia="en-US"/>
        </w:rPr>
        <w:t xml:space="preserve"> comments on the initial S-1 filings.</w:t>
      </w:r>
      <w:r w:rsidR="00864C8E">
        <w:rPr>
          <w:lang w:eastAsia="en-US"/>
        </w:rPr>
        <w:t xml:space="preserve">                                                                                                                                                                                                                                                                                                                </w:t>
      </w:r>
      <w:r w:rsidR="004847B9">
        <w:rPr>
          <w:lang w:eastAsia="en-US"/>
        </w:rPr>
        <w:t xml:space="preserve"> </w:t>
      </w:r>
      <w:r>
        <w:rPr>
          <w:lang w:eastAsia="en-US"/>
        </w:rPr>
        <w:t xml:space="preserve">                                                                                                    </w:t>
      </w:r>
    </w:p>
    <w:p w14:paraId="196DD330" w14:textId="7A3ED1B0" w:rsidR="00D46990" w:rsidRPr="00D46990" w:rsidRDefault="00E915E3" w:rsidP="00D46990">
      <w:pPr>
        <w:pStyle w:val="ListParagraph"/>
        <w:ind w:left="360"/>
        <w:jc w:val="center"/>
        <w:rPr>
          <w:b/>
          <w:lang w:eastAsia="en-US"/>
        </w:rPr>
      </w:pPr>
      <w:r w:rsidRPr="00D46990">
        <w:rPr>
          <w:b/>
          <w:lang w:eastAsia="en-US"/>
        </w:rPr>
        <w:t xml:space="preserve"> </w:t>
      </w:r>
      <w:r w:rsidR="00D46990" w:rsidRPr="00D46990">
        <w:rPr>
          <w:b/>
          <w:lang w:eastAsia="en-US"/>
        </w:rPr>
        <w:t xml:space="preserve">[Insert Table </w:t>
      </w:r>
      <w:r w:rsidR="00174399">
        <w:rPr>
          <w:b/>
          <w:lang w:eastAsia="en-US"/>
        </w:rPr>
        <w:t>11</w:t>
      </w:r>
      <w:r w:rsidR="00D46990" w:rsidRPr="00D46990">
        <w:rPr>
          <w:b/>
          <w:lang w:eastAsia="en-US"/>
        </w:rPr>
        <w:t xml:space="preserve"> about here]</w:t>
      </w:r>
    </w:p>
    <w:p w14:paraId="14259979" w14:textId="7B00D23D" w:rsidR="009F7296" w:rsidRDefault="009F7296" w:rsidP="005D6593">
      <w:pPr>
        <w:pStyle w:val="ListParagraph"/>
        <w:numPr>
          <w:ilvl w:val="0"/>
          <w:numId w:val="1"/>
        </w:numPr>
        <w:spacing w:line="360" w:lineRule="auto"/>
        <w:jc w:val="both"/>
        <w:outlineLvl w:val="0"/>
        <w:rPr>
          <w:b/>
          <w:lang w:eastAsia="en-US"/>
        </w:rPr>
      </w:pPr>
      <w:bookmarkStart w:id="41" w:name="_Toc9185809"/>
      <w:r w:rsidRPr="005D6593">
        <w:rPr>
          <w:b/>
          <w:lang w:eastAsia="en-US"/>
        </w:rPr>
        <w:t xml:space="preserve">Discussion of </w:t>
      </w:r>
      <w:r w:rsidR="00183403">
        <w:rPr>
          <w:b/>
          <w:lang w:eastAsia="en-US"/>
        </w:rPr>
        <w:t xml:space="preserve">main </w:t>
      </w:r>
      <w:r w:rsidRPr="005D6593">
        <w:rPr>
          <w:b/>
          <w:lang w:eastAsia="en-US"/>
        </w:rPr>
        <w:t>results</w:t>
      </w:r>
      <w:bookmarkEnd w:id="41"/>
    </w:p>
    <w:p w14:paraId="698E70AF" w14:textId="3F7E7007" w:rsidR="00E84F82" w:rsidRPr="0099178A" w:rsidRDefault="0099178A" w:rsidP="001E756A">
      <w:pPr>
        <w:spacing w:line="360" w:lineRule="auto"/>
        <w:jc w:val="both"/>
        <w:rPr>
          <w:b/>
          <w:lang w:eastAsia="en-US"/>
        </w:rPr>
      </w:pPr>
      <w:r>
        <w:rPr>
          <w:lang w:eastAsia="en-US"/>
        </w:rPr>
        <w:lastRenderedPageBreak/>
        <w:t xml:space="preserve">When conducting examination of determinants of SEC review on S-1 filings, </w:t>
      </w:r>
      <w:r>
        <w:t>differences in the results obtained from univariate analysis and multivariate analysis sometimes occur due to high correlations between independent variables of interest</w:t>
      </w:r>
      <w:r w:rsidRPr="00C17F90">
        <w:rPr>
          <w:i/>
        </w:rPr>
        <w:t xml:space="preserve"> </w:t>
      </w:r>
      <w:r>
        <w:t>and other variables. In that case, I will draw my conclusion by basing on the results obtained from the multivariate analysis which includes the control for other firm characteristics and has higher value of R</w:t>
      </w:r>
      <w:r>
        <w:rPr>
          <w:vertAlign w:val="superscript"/>
        </w:rPr>
        <w:t>2</w:t>
      </w:r>
      <w:r>
        <w:t>.</w:t>
      </w:r>
    </w:p>
    <w:p w14:paraId="7EB31329" w14:textId="25CDF491" w:rsidR="00C17F90" w:rsidRDefault="002E566B" w:rsidP="00C17F90">
      <w:pPr>
        <w:pStyle w:val="ListParagraph"/>
        <w:numPr>
          <w:ilvl w:val="1"/>
          <w:numId w:val="1"/>
        </w:numPr>
        <w:spacing w:line="360" w:lineRule="auto"/>
        <w:jc w:val="both"/>
        <w:outlineLvl w:val="1"/>
        <w:rPr>
          <w:b/>
          <w:lang w:eastAsia="en-US"/>
        </w:rPr>
      </w:pPr>
      <w:bookmarkStart w:id="42" w:name="_Toc9185810"/>
      <w:r>
        <w:rPr>
          <w:b/>
          <w:lang w:eastAsia="en-US"/>
        </w:rPr>
        <w:t>I</w:t>
      </w:r>
      <w:r w:rsidR="00C17F90">
        <w:rPr>
          <w:b/>
          <w:lang w:eastAsia="en-US"/>
        </w:rPr>
        <w:t>mpact of IPO firms’ characteristics on the SEC review</w:t>
      </w:r>
      <w:bookmarkEnd w:id="42"/>
    </w:p>
    <w:p w14:paraId="6C17B463" w14:textId="7FF6902B" w:rsidR="00C17F90" w:rsidRDefault="00C17F90" w:rsidP="0030659B">
      <w:pPr>
        <w:spacing w:line="360" w:lineRule="auto"/>
        <w:jc w:val="both"/>
      </w:pPr>
      <w:r>
        <w:t xml:space="preserve">Regarding impact of </w:t>
      </w:r>
      <w:r w:rsidRPr="00C17F90">
        <w:rPr>
          <w:i/>
        </w:rPr>
        <w:t xml:space="preserve">Size </w:t>
      </w:r>
      <w:r>
        <w:t xml:space="preserve">on SEC review, multivariate analysis shows a negative effect of </w:t>
      </w:r>
      <w:r w:rsidRPr="00C17F90">
        <w:rPr>
          <w:i/>
        </w:rPr>
        <w:t xml:space="preserve">Size </w:t>
      </w:r>
      <w:r>
        <w:t xml:space="preserve">on </w:t>
      </w:r>
      <w:r w:rsidRPr="00C17F90">
        <w:rPr>
          <w:i/>
        </w:rPr>
        <w:t>Duration</w:t>
      </w:r>
      <w:r w:rsidR="006D21E0">
        <w:rPr>
          <w:i/>
        </w:rPr>
        <w:t xml:space="preserve">, </w:t>
      </w:r>
      <w:r w:rsidR="006D21E0">
        <w:t xml:space="preserve">and </w:t>
      </w:r>
      <w:r>
        <w:t xml:space="preserve">no effect of </w:t>
      </w:r>
      <w:r w:rsidRPr="00C17F90">
        <w:rPr>
          <w:i/>
        </w:rPr>
        <w:t xml:space="preserve">Size </w:t>
      </w:r>
      <w:r>
        <w:t xml:space="preserve">on </w:t>
      </w:r>
      <w:r w:rsidRPr="00C17F90">
        <w:rPr>
          <w:i/>
        </w:rPr>
        <w:t xml:space="preserve">Letters </w:t>
      </w:r>
      <w:r>
        <w:t xml:space="preserve">and </w:t>
      </w:r>
      <w:r w:rsidRPr="00C17F90">
        <w:rPr>
          <w:i/>
        </w:rPr>
        <w:t xml:space="preserve">Comments. </w:t>
      </w:r>
      <w:r w:rsidR="00651C16">
        <w:t xml:space="preserve">This indicates that the </w:t>
      </w:r>
      <w:r w:rsidR="006D21E0">
        <w:t xml:space="preserve">SEC spend more </w:t>
      </w:r>
      <w:r w:rsidRPr="00164F53">
        <w:t>time review</w:t>
      </w:r>
      <w:r w:rsidR="00651C16">
        <w:t>ing</w:t>
      </w:r>
      <w:r w:rsidRPr="00164F53">
        <w:t xml:space="preserve"> </w:t>
      </w:r>
      <w:r w:rsidR="006D21E0">
        <w:t>smaller</w:t>
      </w:r>
      <w:r w:rsidRPr="00164F53">
        <w:t xml:space="preserve"> firms</w:t>
      </w:r>
      <w:r>
        <w:t xml:space="preserve">. </w:t>
      </w:r>
      <w:r>
        <w:rPr>
          <w:lang w:eastAsia="en-US"/>
        </w:rPr>
        <w:t>This result support</w:t>
      </w:r>
      <w:r w:rsidR="006D21E0">
        <w:rPr>
          <w:lang w:eastAsia="en-US"/>
        </w:rPr>
        <w:t>s</w:t>
      </w:r>
      <w:r>
        <w:rPr>
          <w:lang w:eastAsia="en-US"/>
        </w:rPr>
        <w:t xml:space="preserve"> the arguments that </w:t>
      </w:r>
      <w:r w:rsidRPr="00164F53">
        <w:rPr>
          <w:lang w:eastAsia="en-US"/>
        </w:rPr>
        <w:t xml:space="preserve">financial reporting quality is </w:t>
      </w:r>
      <w:r w:rsidR="006D21E0">
        <w:rPr>
          <w:lang w:eastAsia="en-US"/>
        </w:rPr>
        <w:t>lower</w:t>
      </w:r>
      <w:r w:rsidRPr="00164F53">
        <w:rPr>
          <w:lang w:eastAsia="en-US"/>
        </w:rPr>
        <w:t xml:space="preserve"> for </w:t>
      </w:r>
      <w:r w:rsidR="006D21E0">
        <w:rPr>
          <w:lang w:eastAsia="en-US"/>
        </w:rPr>
        <w:t>smaller</w:t>
      </w:r>
      <w:r w:rsidRPr="00164F53">
        <w:rPr>
          <w:lang w:eastAsia="en-US"/>
        </w:rPr>
        <w:t xml:space="preserve"> firms</w:t>
      </w:r>
      <w:r>
        <w:rPr>
          <w:lang w:eastAsia="en-US"/>
        </w:rPr>
        <w:t xml:space="preserve"> (</w:t>
      </w:r>
      <w:r>
        <w:rPr>
          <w:lang w:eastAsia="en-US"/>
        </w:rPr>
        <w:fldChar w:fldCharType="begin" w:fldLock="1"/>
      </w:r>
      <w:r w:rsidR="006F229B">
        <w:rPr>
          <w:lang w:eastAsia="en-US"/>
        </w:rPr>
        <w:instrText>ADDIN CSL_CITATION {"citationItems":[{"id":"ITEM-1","itemData":{"abstract":"This article examines the cross-sectional variation in analysts' published evaluations of firms' disclosure practices. The authors also show that the analysts' ratings are increasing in firm size and in firm performance, and decreasing within the relationship between earings and returns. The Financial Analysts Federation issues an annual report evaluating the disclosure of firms in a variety of industries. The results of their research are generally consistent with existing data on voluntary disclosure.","author":[{"dropping-particle":"","family":"Lang","given":"M.","non-dropping-particle":"","parse-names":false,"suffix":""},{"dropping-particle":"","family":"Lundholm","given":"R.","non-dropping-particle":"","parse-names":false,"suffix":""}],"container-title":"Journal of Accounting Research","id":"ITEM-1","issue":"2","issued":{"date-parts":[["1993"]]},"page":"246-271","title":"Cross-Sectional Determinants of Analyst Ratings of Corporate Disclosures","type":"article-journal","volume":"31"},"uris":["http://www.mendeley.com/documents/?uuid=42f44ade-f51a-4e89-a05e-daec31c5a104"]},{"id":"ITEM-2","itemData":{"author":[{"dropping-particle":"","family":"Singhvi","given":"S.S.","non-dropping-particle":"","parse-names":false,"suffix":""},{"dropping-particle":"","family":"Desai","given":"H.B.","non-dropping-particle":"","parse-names":false,"suffix":""}],"container-title":"The Accounting Review","id":"ITEM-2","issue":"1","issued":{"date-parts":[["1971"]]},"page":"129-138","title":"An Empirical Analysis of the Quality of Corporate Financial Disclosure","type":"article-journal","volume":"46"},"uris":["http://www.mendeley.com/documents/?uuid=51db53d1-8e51-496d-8047-bde0e357c65c"]},{"id":"ITEM-3","itemData":{"ISBN":"0165-4101","ISSN":"01654101","abstract":"We examine determinants of weaknesses in internal control for 779 firms disclosing material weaknesses from August 2002 to 2005. We find that these firms tend to be smaller, younger, financially weaker, more complex, growing rapidly, or undergoing restructuring. Firms with more serious entity-wide control problems are smaller, younger and weaker financially, while firms with less severe, account-specific problems are healthy financially but have complex, diversified, and rapidly changing operations. Finally, we find that the determinants also vary based on the specific reason for the material weakness, consistent with each firm facing their own unique set of internal control challenges. © 2006 Elsevier B.V. All rights reserved.","author":[{"dropping-particle":"","family":"Doyle","given":"J.","non-dropping-particle":"","parse-names":false,"suffix":""},{"dropping-particle":"","family":"Ge","given":"W.","non-dropping-particle":"","parse-names":false,"suffix":""},{"dropping-particle":"","family":"McVay","given":"S.","non-dropping-particle":"","parse-names":false,"suffix":""}],"container-title":"Journal of Accounting and Economics","id":"ITEM-3","issue":"1-2","issued":{"date-parts":[["2007"]]},"page":"193-223","title":"Determinants of weaknesses in internal control over financial reporting","type":"article-journal","volume":"44"},"uris":["http://www.mendeley.com/documents/?uuid=02127812-9abe-4b8c-bec5-5b2e37361d7e"]}],"mendeley":{"formattedCitation":"(Doyle et al., 2007; Lang &amp; Lundholm, 1993; Singhvi &amp; Desai, 1971)","manualFormatting":" Singhvi &amp; Desai, 1971; Lang &amp; Lundholm, 1993; Doyle et al., 2007)","plainTextFormattedCitation":"(Doyle et al., 2007; Lang &amp; Lundholm, 1993; Singhvi &amp; Desai, 1971)","previouslyFormattedCitation":"(Doyle et al., 2007; Lang &amp; Lundholm, 1993; Singhvi &amp; Desai, 1971)"},"properties":{"noteIndex":0},"schema":"https://github.com/citation-style-language/schema/raw/master/csl-citation.json"}</w:instrText>
      </w:r>
      <w:r>
        <w:rPr>
          <w:lang w:eastAsia="en-US"/>
        </w:rPr>
        <w:fldChar w:fldCharType="separate"/>
      </w:r>
      <w:r w:rsidRPr="00FF2469">
        <w:rPr>
          <w:noProof/>
          <w:lang w:eastAsia="en-US"/>
        </w:rPr>
        <w:t xml:space="preserve"> Singhvi &amp; Desai, 1971</w:t>
      </w:r>
      <w:r>
        <w:rPr>
          <w:noProof/>
          <w:lang w:eastAsia="en-US"/>
        </w:rPr>
        <w:t xml:space="preserve">; </w:t>
      </w:r>
      <w:r w:rsidRPr="00FF2469">
        <w:rPr>
          <w:noProof/>
          <w:lang w:eastAsia="en-US"/>
        </w:rPr>
        <w:t>Lang &amp; Lundholm, 1993;</w:t>
      </w:r>
      <w:r>
        <w:rPr>
          <w:noProof/>
          <w:lang w:eastAsia="en-US"/>
        </w:rPr>
        <w:t xml:space="preserve"> </w:t>
      </w:r>
      <w:r w:rsidRPr="00FF2469">
        <w:rPr>
          <w:noProof/>
          <w:lang w:eastAsia="en-US"/>
        </w:rPr>
        <w:t>Doyle</w:t>
      </w:r>
      <w:r>
        <w:rPr>
          <w:noProof/>
          <w:lang w:eastAsia="en-US"/>
        </w:rPr>
        <w:t xml:space="preserve"> et al., 2007</w:t>
      </w:r>
      <w:r w:rsidRPr="00FF2469">
        <w:rPr>
          <w:noProof/>
          <w:lang w:eastAsia="en-US"/>
        </w:rPr>
        <w:t>)</w:t>
      </w:r>
      <w:r>
        <w:rPr>
          <w:lang w:eastAsia="en-US"/>
        </w:rPr>
        <w:fldChar w:fldCharType="end"/>
      </w:r>
      <w:r w:rsidRPr="00164F53">
        <w:rPr>
          <w:lang w:eastAsia="en-US"/>
        </w:rPr>
        <w:t xml:space="preserve">, suggesting a </w:t>
      </w:r>
      <w:r w:rsidR="006D21E0">
        <w:rPr>
          <w:lang w:eastAsia="en-US"/>
        </w:rPr>
        <w:t>higher</w:t>
      </w:r>
      <w:r w:rsidRPr="00164F53">
        <w:rPr>
          <w:lang w:eastAsia="en-US"/>
        </w:rPr>
        <w:t xml:space="preserve"> degree of the SEC review</w:t>
      </w:r>
      <w:r w:rsidR="006D21E0">
        <w:rPr>
          <w:lang w:eastAsia="en-US"/>
        </w:rPr>
        <w:t xml:space="preserve"> as consistent with the assumption of public interest theory</w:t>
      </w:r>
      <w:r w:rsidRPr="00164F53">
        <w:rPr>
          <w:lang w:eastAsia="en-US"/>
        </w:rPr>
        <w:t>.</w:t>
      </w:r>
      <w:r w:rsidR="006D21E0">
        <w:rPr>
          <w:lang w:eastAsia="en-US"/>
        </w:rPr>
        <w:t xml:space="preserve"> </w:t>
      </w:r>
    </w:p>
    <w:p w14:paraId="7E6CE6F2" w14:textId="4308C4D7" w:rsidR="00C17F90" w:rsidRDefault="003279C4" w:rsidP="0030659B">
      <w:pPr>
        <w:spacing w:line="360" w:lineRule="auto"/>
        <w:jc w:val="both"/>
      </w:pPr>
      <w:r>
        <w:rPr>
          <w:lang w:eastAsia="en-US"/>
        </w:rPr>
        <w:t xml:space="preserve">As for </w:t>
      </w:r>
      <w:r w:rsidR="00C17F90">
        <w:rPr>
          <w:lang w:eastAsia="en-US"/>
        </w:rPr>
        <w:t xml:space="preserve">impact of </w:t>
      </w:r>
      <w:r w:rsidR="00C17F90" w:rsidRPr="00C17F90">
        <w:rPr>
          <w:i/>
          <w:lang w:eastAsia="en-US"/>
        </w:rPr>
        <w:t xml:space="preserve">Sales growth </w:t>
      </w:r>
      <w:r w:rsidR="00C17F90">
        <w:rPr>
          <w:lang w:eastAsia="en-US"/>
        </w:rPr>
        <w:t>on SEC review</w:t>
      </w:r>
      <w:r w:rsidR="00C17F90" w:rsidRPr="00C17F90">
        <w:rPr>
          <w:i/>
          <w:lang w:eastAsia="en-US"/>
        </w:rPr>
        <w:t xml:space="preserve">, </w:t>
      </w:r>
      <w:r w:rsidR="00C17F90">
        <w:rPr>
          <w:lang w:eastAsia="en-US"/>
        </w:rPr>
        <w:t xml:space="preserve">positive effects of </w:t>
      </w:r>
      <w:r w:rsidR="00C17F90" w:rsidRPr="00C17F90">
        <w:rPr>
          <w:i/>
          <w:lang w:eastAsia="en-US"/>
        </w:rPr>
        <w:t xml:space="preserve">Sales growth </w:t>
      </w:r>
      <w:r w:rsidR="00C17F90">
        <w:rPr>
          <w:lang w:eastAsia="en-US"/>
        </w:rPr>
        <w:t xml:space="preserve">on </w:t>
      </w:r>
      <w:r w:rsidR="0061403C">
        <w:rPr>
          <w:i/>
          <w:lang w:eastAsia="en-US"/>
        </w:rPr>
        <w:t xml:space="preserve">Duration, </w:t>
      </w:r>
      <w:r w:rsidR="00C17F90" w:rsidRPr="00C17F90">
        <w:rPr>
          <w:i/>
          <w:lang w:eastAsia="en-US"/>
        </w:rPr>
        <w:t xml:space="preserve">Letters </w:t>
      </w:r>
      <w:r w:rsidR="00C17F90">
        <w:rPr>
          <w:lang w:eastAsia="en-US"/>
        </w:rPr>
        <w:t xml:space="preserve">and </w:t>
      </w:r>
      <w:r w:rsidR="008E584A">
        <w:rPr>
          <w:i/>
          <w:lang w:eastAsia="en-US"/>
        </w:rPr>
        <w:t>Comments</w:t>
      </w:r>
      <w:r w:rsidR="000A68DF">
        <w:rPr>
          <w:i/>
          <w:lang w:eastAsia="en-US"/>
        </w:rPr>
        <w:t xml:space="preserve"> </w:t>
      </w:r>
      <w:r w:rsidR="000A68DF">
        <w:rPr>
          <w:lang w:eastAsia="en-US"/>
        </w:rPr>
        <w:t>are identified in multivariate analysis</w:t>
      </w:r>
      <w:r w:rsidR="0018145B">
        <w:rPr>
          <w:i/>
          <w:lang w:eastAsia="en-US"/>
        </w:rPr>
        <w:t xml:space="preserve">. </w:t>
      </w:r>
      <w:r w:rsidR="0018145B">
        <w:rPr>
          <w:lang w:eastAsia="en-US"/>
        </w:rPr>
        <w:t xml:space="preserve">Univariate analysis also reveals positive effects of </w:t>
      </w:r>
      <w:r w:rsidR="0018145B">
        <w:rPr>
          <w:i/>
          <w:lang w:eastAsia="en-US"/>
        </w:rPr>
        <w:t xml:space="preserve">Sales growth </w:t>
      </w:r>
      <w:r w:rsidR="0018145B">
        <w:rPr>
          <w:lang w:eastAsia="en-US"/>
        </w:rPr>
        <w:t xml:space="preserve">on </w:t>
      </w:r>
      <w:r w:rsidR="0018145B">
        <w:rPr>
          <w:i/>
          <w:lang w:eastAsia="en-US"/>
        </w:rPr>
        <w:t xml:space="preserve">Duration </w:t>
      </w:r>
      <w:r w:rsidR="0018145B">
        <w:rPr>
          <w:lang w:eastAsia="en-US"/>
        </w:rPr>
        <w:t xml:space="preserve">and </w:t>
      </w:r>
      <w:r w:rsidR="0018145B">
        <w:rPr>
          <w:i/>
          <w:lang w:eastAsia="en-US"/>
        </w:rPr>
        <w:t xml:space="preserve">Letters. </w:t>
      </w:r>
      <w:r w:rsidR="0018145B">
        <w:rPr>
          <w:lang w:eastAsia="en-US"/>
        </w:rPr>
        <w:t xml:space="preserve">These results </w:t>
      </w:r>
      <w:r w:rsidR="0018145B">
        <w:t>indicate</w:t>
      </w:r>
      <w:r w:rsidR="00C17F90">
        <w:t xml:space="preserve"> that </w:t>
      </w:r>
      <w:r w:rsidR="00C17F90" w:rsidRPr="007F35B6">
        <w:t xml:space="preserve">the SEC </w:t>
      </w:r>
      <w:r w:rsidR="0061403C">
        <w:t xml:space="preserve">spend more time </w:t>
      </w:r>
      <w:r>
        <w:t>reviewing S-1 filings</w:t>
      </w:r>
      <w:r w:rsidR="0061403C">
        <w:t xml:space="preserve">, </w:t>
      </w:r>
      <w:r w:rsidR="00C17F90" w:rsidRPr="007F35B6">
        <w:t xml:space="preserve">issue more comment letters in the review </w:t>
      </w:r>
      <w:r w:rsidR="00C17F90">
        <w:t xml:space="preserve">and </w:t>
      </w:r>
      <w:r w:rsidR="00C17F90">
        <w:rPr>
          <w:lang w:eastAsia="en-US"/>
        </w:rPr>
        <w:t xml:space="preserve">more comments on initial S-1 filings </w:t>
      </w:r>
      <w:r w:rsidR="00C17F90" w:rsidRPr="007F35B6">
        <w:t>prepared by firms who have higher growth of sales</w:t>
      </w:r>
      <w:r w:rsidR="00C17F90">
        <w:t xml:space="preserve">. </w:t>
      </w:r>
      <w:r w:rsidR="002F3AAB">
        <w:t xml:space="preserve">This </w:t>
      </w:r>
      <w:r w:rsidR="0018145B">
        <w:t xml:space="preserve">finding </w:t>
      </w:r>
      <w:r w:rsidR="002F3AAB">
        <w:t xml:space="preserve">is in line with information uncertainty hypothesis, which assumes that </w:t>
      </w:r>
      <w:r w:rsidR="002F3AAB">
        <w:rPr>
          <w:lang w:eastAsia="en-US"/>
        </w:rPr>
        <w:t>firms with greater expected growth are likely to be operating in higher information uncertainty environment</w:t>
      </w:r>
      <w:r w:rsidR="002F3AAB">
        <w:t xml:space="preserve"> (</w:t>
      </w:r>
      <w:r w:rsidR="002F3AAB">
        <w:rPr>
          <w:lang w:eastAsia="en-US"/>
        </w:rPr>
        <w:fldChar w:fldCharType="begin" w:fldLock="1"/>
      </w:r>
      <w:r w:rsidR="00A611DF">
        <w:rPr>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rsidR="002F3AAB">
        <w:rPr>
          <w:lang w:eastAsia="en-US"/>
        </w:rPr>
        <w:fldChar w:fldCharType="separate"/>
      </w:r>
      <w:r w:rsidR="002F3AAB">
        <w:rPr>
          <w:noProof/>
          <w:lang w:eastAsia="en-US"/>
        </w:rPr>
        <w:t xml:space="preserve">Jiang et al., </w:t>
      </w:r>
      <w:r w:rsidR="002F3AAB" w:rsidRPr="00386BE4">
        <w:rPr>
          <w:noProof/>
          <w:lang w:eastAsia="en-US"/>
        </w:rPr>
        <w:t>2005)</w:t>
      </w:r>
      <w:r w:rsidR="002F3AAB">
        <w:rPr>
          <w:lang w:eastAsia="en-US"/>
        </w:rPr>
        <w:fldChar w:fldCharType="end"/>
      </w:r>
      <w:r w:rsidR="002F3AAB">
        <w:rPr>
          <w:lang w:eastAsia="en-US"/>
        </w:rPr>
        <w:t xml:space="preserve">, who could attract more SEC scrutiny </w:t>
      </w:r>
      <w:r w:rsidR="002F3AAB">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 Heese et al., 2017)","plainTextFormattedCitation":"(R.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rsidR="002F3AAB">
        <w:rPr>
          <w:lang w:eastAsia="en-US"/>
        </w:rPr>
        <w:fldChar w:fldCharType="separate"/>
      </w:r>
      <w:r w:rsidR="002F3AAB">
        <w:rPr>
          <w:noProof/>
          <w:lang w:eastAsia="en-US"/>
        </w:rPr>
        <w:t>(</w:t>
      </w:r>
      <w:r w:rsidR="002F3AAB" w:rsidRPr="002D7189">
        <w:rPr>
          <w:noProof/>
          <w:lang w:eastAsia="en-US"/>
        </w:rPr>
        <w:t xml:space="preserve"> Ertimur &amp; Nondorf, 2006</w:t>
      </w:r>
      <w:r w:rsidR="002F3AAB">
        <w:rPr>
          <w:noProof/>
          <w:lang w:eastAsia="en-US"/>
        </w:rPr>
        <w:t xml:space="preserve">; </w:t>
      </w:r>
      <w:r w:rsidR="002F3AAB" w:rsidRPr="002D7189">
        <w:rPr>
          <w:noProof/>
          <w:lang w:eastAsia="en-US"/>
        </w:rPr>
        <w:t>Chen &amp; John</w:t>
      </w:r>
      <w:r w:rsidR="00F57010">
        <w:rPr>
          <w:noProof/>
          <w:lang w:eastAsia="en-US"/>
        </w:rPr>
        <w:t>ston, 2010; Colaco et al., 2018</w:t>
      </w:r>
      <w:r w:rsidR="002F3AAB">
        <w:rPr>
          <w:noProof/>
          <w:lang w:eastAsia="en-US"/>
        </w:rPr>
        <w:t xml:space="preserve">; </w:t>
      </w:r>
      <w:r w:rsidR="002F3AAB" w:rsidRPr="000837A7">
        <w:rPr>
          <w:noProof/>
        </w:rPr>
        <w:t>Heese et al., 2017</w:t>
      </w:r>
      <w:r w:rsidR="002F3AAB" w:rsidRPr="002D7189">
        <w:rPr>
          <w:noProof/>
          <w:lang w:eastAsia="en-US"/>
        </w:rPr>
        <w:t>)</w:t>
      </w:r>
      <w:r w:rsidR="002F3AAB">
        <w:rPr>
          <w:lang w:eastAsia="en-US"/>
        </w:rPr>
        <w:fldChar w:fldCharType="end"/>
      </w:r>
      <w:r>
        <w:rPr>
          <w:lang w:eastAsia="en-US"/>
        </w:rPr>
        <w:t>.</w:t>
      </w:r>
    </w:p>
    <w:p w14:paraId="033BD532" w14:textId="6A4CF384" w:rsidR="00C17F90" w:rsidRDefault="003279C4" w:rsidP="0030659B">
      <w:pPr>
        <w:spacing w:line="360" w:lineRule="auto"/>
        <w:jc w:val="both"/>
      </w:pPr>
      <w:r>
        <w:t>Concerning</w:t>
      </w:r>
      <w:r w:rsidR="00C17F90">
        <w:t xml:space="preserve"> impact of </w:t>
      </w:r>
      <w:r w:rsidR="00C17F90" w:rsidRPr="00C17F90">
        <w:rPr>
          <w:i/>
        </w:rPr>
        <w:t xml:space="preserve">Leverage </w:t>
      </w:r>
      <w:r w:rsidR="00C17F90">
        <w:t xml:space="preserve">on SEC review, both the univariate analysis and multivariate analysis reveal no effect of </w:t>
      </w:r>
      <w:r w:rsidR="00C17F90" w:rsidRPr="00C17F90">
        <w:rPr>
          <w:i/>
        </w:rPr>
        <w:t xml:space="preserve">Leverage </w:t>
      </w:r>
      <w:r w:rsidR="00C17F90">
        <w:t xml:space="preserve">on </w:t>
      </w:r>
      <w:r w:rsidR="00C17F90" w:rsidRPr="00C17F90">
        <w:rPr>
          <w:i/>
        </w:rPr>
        <w:t xml:space="preserve">Duration, Letters </w:t>
      </w:r>
      <w:r w:rsidR="00C17F90">
        <w:t xml:space="preserve">and </w:t>
      </w:r>
      <w:r w:rsidR="00C17F90" w:rsidRPr="00C17F90">
        <w:rPr>
          <w:i/>
        </w:rPr>
        <w:t>Comments</w:t>
      </w:r>
      <w:r w:rsidR="00C17F90">
        <w:t xml:space="preserve">, </w:t>
      </w:r>
      <w:r w:rsidR="00E53742">
        <w:t xml:space="preserve">which </w:t>
      </w:r>
      <w:r w:rsidR="00C17F90">
        <w:t xml:space="preserve">indicates that the SEC review is not </w:t>
      </w:r>
      <w:r w:rsidR="00AE7E28">
        <w:t>sensitive to</w:t>
      </w:r>
      <w:r w:rsidR="00C17F90">
        <w:t xml:space="preserve"> IPO firms’ </w:t>
      </w:r>
      <w:r w:rsidR="007C41A3">
        <w:t xml:space="preserve">leverage ratios or their </w:t>
      </w:r>
      <w:r w:rsidR="00C17F90">
        <w:t xml:space="preserve">debt </w:t>
      </w:r>
      <w:r w:rsidR="781474D5">
        <w:t>level</w:t>
      </w:r>
      <w:r w:rsidR="007C41A3">
        <w:t>s</w:t>
      </w:r>
      <w:r w:rsidR="781474D5">
        <w:t xml:space="preserve">. </w:t>
      </w:r>
    </w:p>
    <w:p w14:paraId="6E17AA2A" w14:textId="6FFC8192" w:rsidR="00C17F90" w:rsidRDefault="002F1ACA" w:rsidP="0030659B">
      <w:pPr>
        <w:spacing w:line="360" w:lineRule="auto"/>
        <w:jc w:val="both"/>
      </w:pPr>
      <w:r>
        <w:rPr>
          <w:lang w:eastAsia="en-US"/>
        </w:rPr>
        <w:t>In terms of</w:t>
      </w:r>
      <w:r w:rsidR="00C17F90">
        <w:rPr>
          <w:lang w:eastAsia="en-US"/>
        </w:rPr>
        <w:t xml:space="preserve"> impact of </w:t>
      </w:r>
      <w:r w:rsidR="00C17F90" w:rsidRPr="00C17F90">
        <w:rPr>
          <w:i/>
          <w:lang w:eastAsia="en-US"/>
        </w:rPr>
        <w:t xml:space="preserve">BM </w:t>
      </w:r>
      <w:r w:rsidR="00C17F90">
        <w:rPr>
          <w:lang w:eastAsia="en-US"/>
        </w:rPr>
        <w:t xml:space="preserve">on SEC review, both the univariate analysis and multivariate analysis reveal no effect of </w:t>
      </w:r>
      <w:r w:rsidR="00C17F90" w:rsidRPr="00C17F90">
        <w:rPr>
          <w:i/>
          <w:lang w:eastAsia="en-US"/>
        </w:rPr>
        <w:t>BM</w:t>
      </w:r>
      <w:r w:rsidR="00C17F90">
        <w:rPr>
          <w:lang w:eastAsia="en-US"/>
        </w:rPr>
        <w:t xml:space="preserve"> on </w:t>
      </w:r>
      <w:r w:rsidR="00C17F90" w:rsidRPr="00C17F90">
        <w:rPr>
          <w:i/>
          <w:lang w:eastAsia="en-US"/>
        </w:rPr>
        <w:t xml:space="preserve">Duration, Letters </w:t>
      </w:r>
      <w:r w:rsidR="00C17F90">
        <w:rPr>
          <w:lang w:eastAsia="en-US"/>
        </w:rPr>
        <w:t xml:space="preserve">and </w:t>
      </w:r>
      <w:r w:rsidR="00C17F90" w:rsidRPr="00C17F90">
        <w:rPr>
          <w:i/>
          <w:lang w:eastAsia="en-US"/>
        </w:rPr>
        <w:t>Comments</w:t>
      </w:r>
      <w:r w:rsidR="00E53742">
        <w:rPr>
          <w:lang w:eastAsia="en-US"/>
        </w:rPr>
        <w:t>, which indicates</w:t>
      </w:r>
      <w:r w:rsidR="00C17F90">
        <w:rPr>
          <w:lang w:eastAsia="en-US"/>
        </w:rPr>
        <w:t xml:space="preserve"> that the SEC review is not </w:t>
      </w:r>
      <w:r w:rsidR="00AE7E28">
        <w:rPr>
          <w:lang w:eastAsia="en-US"/>
        </w:rPr>
        <w:t>affected by</w:t>
      </w:r>
      <w:r w:rsidR="00C17F90">
        <w:rPr>
          <w:lang w:eastAsia="en-US"/>
        </w:rPr>
        <w:t xml:space="preserve"> IPO firms’ book-to-market ratio</w:t>
      </w:r>
      <w:r w:rsidR="007C41A3">
        <w:rPr>
          <w:lang w:eastAsia="en-US"/>
        </w:rPr>
        <w:t>s</w:t>
      </w:r>
      <w:r w:rsidR="00025202">
        <w:rPr>
          <w:lang w:eastAsia="en-US"/>
        </w:rPr>
        <w:t>.</w:t>
      </w:r>
    </w:p>
    <w:p w14:paraId="65627D2E" w14:textId="37DAA589" w:rsidR="00C17F90" w:rsidRDefault="002F1ACA" w:rsidP="0030659B">
      <w:pPr>
        <w:spacing w:line="360" w:lineRule="auto"/>
        <w:jc w:val="both"/>
      </w:pPr>
      <w:proofErr w:type="gramStart"/>
      <w:r>
        <w:t>With regard to</w:t>
      </w:r>
      <w:proofErr w:type="gramEnd"/>
      <w:r>
        <w:t xml:space="preserve"> impact of </w:t>
      </w:r>
      <w:r>
        <w:rPr>
          <w:i/>
        </w:rPr>
        <w:t xml:space="preserve">External financing </w:t>
      </w:r>
      <w:r>
        <w:t>on SEC review, m</w:t>
      </w:r>
      <w:r w:rsidR="00C17F90">
        <w:t>ultivariate analysis reveal</w:t>
      </w:r>
      <w:r w:rsidR="00A02079">
        <w:t>s</w:t>
      </w:r>
      <w:r w:rsidR="00C17F90">
        <w:t xml:space="preserve"> no effect of </w:t>
      </w:r>
      <w:r w:rsidR="00C17F90" w:rsidRPr="00C17F90">
        <w:rPr>
          <w:i/>
        </w:rPr>
        <w:t xml:space="preserve">External financing </w:t>
      </w:r>
      <w:r w:rsidR="00C17F90">
        <w:t>on a</w:t>
      </w:r>
      <w:r w:rsidR="0099178A">
        <w:t xml:space="preserve">ll three SEC review attributes, </w:t>
      </w:r>
      <w:r w:rsidR="00E53742" w:rsidRPr="007C41A3">
        <w:t>which indicates</w:t>
      </w:r>
      <w:r w:rsidR="00C17F90">
        <w:t xml:space="preserve"> that the SEC review is not impacted by </w:t>
      </w:r>
      <w:r w:rsidR="00C17F90" w:rsidRPr="00E75E94">
        <w:t>the IPO firm’s funding activities via new borrowing</w:t>
      </w:r>
      <w:r w:rsidR="007C41A3">
        <w:t>s</w:t>
      </w:r>
      <w:r w:rsidR="00C17F90" w:rsidRPr="00E75E94">
        <w:t xml:space="preserve"> and stock issue</w:t>
      </w:r>
      <w:r w:rsidR="007C41A3">
        <w:t>s</w:t>
      </w:r>
      <w:r w:rsidR="00C17F90">
        <w:t>.</w:t>
      </w:r>
      <w:r>
        <w:rPr>
          <w:rStyle w:val="FootnoteReference"/>
        </w:rPr>
        <w:footnoteReference w:id="17"/>
      </w:r>
      <w:r w:rsidR="00C17F90">
        <w:t xml:space="preserve"> </w:t>
      </w:r>
    </w:p>
    <w:p w14:paraId="56A7DF9A" w14:textId="5C39D6C5" w:rsidR="00C17F90" w:rsidRDefault="00C17F90" w:rsidP="0030659B">
      <w:pPr>
        <w:spacing w:line="360" w:lineRule="auto"/>
        <w:jc w:val="both"/>
      </w:pPr>
      <w:r>
        <w:lastRenderedPageBreak/>
        <w:t xml:space="preserve">Regarding impact of </w:t>
      </w:r>
      <w:r w:rsidRPr="00C17F90">
        <w:rPr>
          <w:i/>
        </w:rPr>
        <w:t xml:space="preserve">Firm age </w:t>
      </w:r>
      <w:r>
        <w:t>on SEC review, multivariate analysis reveal</w:t>
      </w:r>
      <w:r w:rsidR="00A02079">
        <w:t>s</w:t>
      </w:r>
      <w:r>
        <w:t xml:space="preserve"> no effect of </w:t>
      </w:r>
      <w:r w:rsidRPr="00C17F90">
        <w:rPr>
          <w:i/>
        </w:rPr>
        <w:t xml:space="preserve">Firm age </w:t>
      </w:r>
      <w:r>
        <w:t>on a</w:t>
      </w:r>
      <w:r w:rsidR="0099178A">
        <w:t xml:space="preserve">ll three SEC review attributes, </w:t>
      </w:r>
      <w:r w:rsidR="00E53742" w:rsidRPr="002F1ACA">
        <w:t>which indicates</w:t>
      </w:r>
      <w:r>
        <w:t xml:space="preserve"> that the SEC review is not </w:t>
      </w:r>
      <w:r w:rsidR="002F1ACA">
        <w:t>sensitive to</w:t>
      </w:r>
      <w:r>
        <w:t xml:space="preserve"> the </w:t>
      </w:r>
      <w:r w:rsidR="002F1ACA">
        <w:t xml:space="preserve">IPO </w:t>
      </w:r>
      <w:r>
        <w:t>firm</w:t>
      </w:r>
      <w:r w:rsidR="002F1ACA">
        <w:t>’s</w:t>
      </w:r>
      <w:r>
        <w:t xml:space="preserve"> age.</w:t>
      </w:r>
      <w:r w:rsidR="002F1ACA">
        <w:rPr>
          <w:rStyle w:val="FootnoteReference"/>
        </w:rPr>
        <w:footnoteReference w:id="18"/>
      </w:r>
      <w:r>
        <w:t xml:space="preserve"> </w:t>
      </w:r>
    </w:p>
    <w:p w14:paraId="59BEB449" w14:textId="5F7B3A2B" w:rsidR="00C17F90" w:rsidRDefault="0065409D" w:rsidP="0030659B">
      <w:pPr>
        <w:spacing w:line="360" w:lineRule="auto"/>
        <w:jc w:val="both"/>
      </w:pPr>
      <w:r>
        <w:t>As for</w:t>
      </w:r>
      <w:r w:rsidR="00C17F90">
        <w:t xml:space="preserve"> impact of </w:t>
      </w:r>
      <w:r w:rsidR="00C17F90" w:rsidRPr="00C17F90">
        <w:rPr>
          <w:i/>
        </w:rPr>
        <w:t xml:space="preserve">Segments </w:t>
      </w:r>
      <w:r w:rsidR="00C17F90">
        <w:t>on SEC review, multivariate analysis reveal</w:t>
      </w:r>
      <w:r w:rsidR="00A02079">
        <w:t>s</w:t>
      </w:r>
      <w:r w:rsidR="00C17F90">
        <w:t xml:space="preserve"> positive effect of </w:t>
      </w:r>
      <w:r w:rsidR="00C17F90" w:rsidRPr="00C17F90">
        <w:rPr>
          <w:i/>
        </w:rPr>
        <w:t xml:space="preserve">Segments </w:t>
      </w:r>
      <w:r w:rsidR="00C17F90">
        <w:t xml:space="preserve">on </w:t>
      </w:r>
      <w:r w:rsidR="00C17F90" w:rsidRPr="00C17F90">
        <w:rPr>
          <w:i/>
        </w:rPr>
        <w:t xml:space="preserve">Comments, </w:t>
      </w:r>
      <w:r w:rsidR="00C17F90">
        <w:t xml:space="preserve">and no effect of </w:t>
      </w:r>
      <w:r w:rsidR="00C17F90" w:rsidRPr="00C17F90">
        <w:rPr>
          <w:i/>
        </w:rPr>
        <w:t xml:space="preserve">Segments </w:t>
      </w:r>
      <w:r w:rsidR="00C17F90">
        <w:t xml:space="preserve">on </w:t>
      </w:r>
      <w:r w:rsidR="00C17F90" w:rsidRPr="00C17F90">
        <w:rPr>
          <w:i/>
        </w:rPr>
        <w:t xml:space="preserve">Duration </w:t>
      </w:r>
      <w:r w:rsidR="00C17F90">
        <w:t xml:space="preserve">and </w:t>
      </w:r>
      <w:r>
        <w:rPr>
          <w:i/>
        </w:rPr>
        <w:t xml:space="preserve">Letters. </w:t>
      </w:r>
      <w:r>
        <w:t xml:space="preserve">Positive effects of </w:t>
      </w:r>
      <w:r w:rsidRPr="00C17F90">
        <w:rPr>
          <w:i/>
        </w:rPr>
        <w:t xml:space="preserve">Segments </w:t>
      </w:r>
      <w:r>
        <w:t xml:space="preserve">on </w:t>
      </w:r>
      <w:r w:rsidRPr="00C17F90">
        <w:rPr>
          <w:i/>
        </w:rPr>
        <w:t xml:space="preserve">Duration, Letters </w:t>
      </w:r>
      <w:r>
        <w:t xml:space="preserve">and </w:t>
      </w:r>
      <w:r w:rsidRPr="00C17F90">
        <w:rPr>
          <w:i/>
        </w:rPr>
        <w:t>Comments</w:t>
      </w:r>
      <w:r>
        <w:rPr>
          <w:i/>
        </w:rPr>
        <w:t xml:space="preserve"> </w:t>
      </w:r>
      <w:r>
        <w:t>are also identified in the univariate regressions</w:t>
      </w:r>
      <w:r>
        <w:rPr>
          <w:i/>
        </w:rPr>
        <w:t xml:space="preserve">. </w:t>
      </w:r>
      <w:r>
        <w:t>These results indicate</w:t>
      </w:r>
      <w:r w:rsidR="00C17F90">
        <w:t xml:space="preserve"> </w:t>
      </w:r>
      <w:r w:rsidR="00C17F90" w:rsidRPr="00156417">
        <w:t xml:space="preserve">that the SEC </w:t>
      </w:r>
      <w:r>
        <w:t>review is more intense for</w:t>
      </w:r>
      <w:r w:rsidR="00C17F90" w:rsidRPr="00156417">
        <w:t xml:space="preserve"> firms who have more segments</w:t>
      </w:r>
      <w:r w:rsidR="00C17F90">
        <w:t xml:space="preserve"> in their business. This </w:t>
      </w:r>
      <w:r>
        <w:t>finding is</w:t>
      </w:r>
      <w:r w:rsidR="00C17F90">
        <w:t xml:space="preserve"> in line with the argument that </w:t>
      </w:r>
      <w:r w:rsidR="00C17F90" w:rsidRPr="00156417">
        <w:t>the firm having more segments could have more complexity in their business and hence attract more SEC scrutiny (Cassell et al., 2013).</w:t>
      </w:r>
      <w:r w:rsidR="00C17F90">
        <w:t xml:space="preserve"> </w:t>
      </w:r>
    </w:p>
    <w:p w14:paraId="02BCCF44" w14:textId="7E70F06B" w:rsidR="00C17F90" w:rsidRDefault="000504DB" w:rsidP="0030659B">
      <w:pPr>
        <w:spacing w:line="360" w:lineRule="auto"/>
        <w:jc w:val="both"/>
      </w:pPr>
      <w:r>
        <w:t>Concerning</w:t>
      </w:r>
      <w:r w:rsidR="00C17F90">
        <w:t xml:space="preserve"> impact of </w:t>
      </w:r>
      <w:proofErr w:type="spellStart"/>
      <w:r w:rsidR="00B90319">
        <w:rPr>
          <w:i/>
        </w:rPr>
        <w:t>Zscore</w:t>
      </w:r>
      <w:proofErr w:type="spellEnd"/>
      <w:r w:rsidR="00C17F90">
        <w:t xml:space="preserve"> on SEC review, multivariate analysis shows no effect of </w:t>
      </w:r>
      <w:proofErr w:type="spellStart"/>
      <w:r w:rsidR="00B90319">
        <w:rPr>
          <w:i/>
        </w:rPr>
        <w:t>Zscore</w:t>
      </w:r>
      <w:proofErr w:type="spellEnd"/>
      <w:r w:rsidR="00C17F90" w:rsidRPr="00C17F90">
        <w:rPr>
          <w:i/>
        </w:rPr>
        <w:t xml:space="preserve"> </w:t>
      </w:r>
      <w:r w:rsidR="00C17F90">
        <w:t>on</w:t>
      </w:r>
      <w:r w:rsidR="00C17F90" w:rsidRPr="00C17F90">
        <w:rPr>
          <w:i/>
        </w:rPr>
        <w:t xml:space="preserve"> </w:t>
      </w:r>
      <w:r w:rsidR="00C17F90">
        <w:t>all SEC review attributes</w:t>
      </w:r>
      <w:r w:rsidR="0099178A">
        <w:t xml:space="preserve">, </w:t>
      </w:r>
      <w:r w:rsidR="00E53742">
        <w:t>which</w:t>
      </w:r>
      <w:r w:rsidR="00C17F90">
        <w:t xml:space="preserve"> indicates that the SEC review is not impacted by the IPO firms’ financial distress.</w:t>
      </w:r>
      <w:r>
        <w:rPr>
          <w:rStyle w:val="FootnoteReference"/>
        </w:rPr>
        <w:footnoteReference w:id="19"/>
      </w:r>
      <w:r w:rsidR="00C17F90">
        <w:t xml:space="preserve"> </w:t>
      </w:r>
    </w:p>
    <w:p w14:paraId="1D3567B3" w14:textId="783847AD" w:rsidR="000504DB" w:rsidRDefault="000504DB" w:rsidP="0030659B">
      <w:pPr>
        <w:spacing w:line="360" w:lineRule="auto"/>
        <w:jc w:val="both"/>
      </w:pPr>
      <w:r>
        <w:t>In terms of</w:t>
      </w:r>
      <w:r w:rsidR="306D8DDD">
        <w:t xml:space="preserve"> impact of </w:t>
      </w:r>
      <w:r w:rsidR="306D8DDD" w:rsidRPr="306D8DDD">
        <w:rPr>
          <w:i/>
          <w:iCs/>
        </w:rPr>
        <w:t xml:space="preserve">Big 4 </w:t>
      </w:r>
      <w:r w:rsidR="306D8DDD">
        <w:t>on SEC review,</w:t>
      </w:r>
      <w:r>
        <w:t xml:space="preserve"> </w:t>
      </w:r>
      <w:r w:rsidR="0078517E">
        <w:t xml:space="preserve">parametric univariate analysis and </w:t>
      </w:r>
      <w:r w:rsidR="306D8DDD">
        <w:t>multivariate analysis reveal no effect of</w:t>
      </w:r>
      <w:r w:rsidR="306D8DDD" w:rsidRPr="306D8DDD">
        <w:rPr>
          <w:i/>
          <w:iCs/>
        </w:rPr>
        <w:t xml:space="preserve"> Big 4 </w:t>
      </w:r>
      <w:r w:rsidR="306D8DDD">
        <w:t>on all t</w:t>
      </w:r>
      <w:r w:rsidR="0078517E">
        <w:t>hree SEC review characteristics</w:t>
      </w:r>
      <w:r w:rsidR="0099178A">
        <w:t xml:space="preserve">, </w:t>
      </w:r>
      <w:r w:rsidR="00E53742">
        <w:t>which indicates</w:t>
      </w:r>
      <w:r w:rsidR="306D8DDD">
        <w:t xml:space="preserve"> that SEC review is </w:t>
      </w:r>
      <w:r>
        <w:t>not sensitive to</w:t>
      </w:r>
      <w:r w:rsidR="306D8DDD">
        <w:t xml:space="preserve"> reputation of the </w:t>
      </w:r>
      <w:r>
        <w:t xml:space="preserve">IPO </w:t>
      </w:r>
      <w:r w:rsidR="306D8DDD">
        <w:t>firms’ auditor.</w:t>
      </w:r>
      <w:r>
        <w:rPr>
          <w:rStyle w:val="FootnoteReference"/>
        </w:rPr>
        <w:footnoteReference w:id="20"/>
      </w:r>
      <w:r w:rsidR="306D8DDD">
        <w:t xml:space="preserve"> </w:t>
      </w:r>
    </w:p>
    <w:p w14:paraId="3E3EE668" w14:textId="6BFE9156" w:rsidR="00C17F90" w:rsidRDefault="000504DB" w:rsidP="0030659B">
      <w:pPr>
        <w:spacing w:line="360" w:lineRule="auto"/>
        <w:jc w:val="both"/>
      </w:pPr>
      <w:r>
        <w:t>In respect of</w:t>
      </w:r>
      <w:r w:rsidR="00C17F90">
        <w:t xml:space="preserve"> impact of </w:t>
      </w:r>
      <w:r w:rsidR="00C17F90" w:rsidRPr="00C17F90">
        <w:rPr>
          <w:i/>
        </w:rPr>
        <w:t xml:space="preserve">Restructuring </w:t>
      </w:r>
      <w:r w:rsidR="00C17F90">
        <w:t xml:space="preserve">on the SEC review, </w:t>
      </w:r>
      <w:r w:rsidR="0078517E">
        <w:t xml:space="preserve">non-parametric univariate analysis and </w:t>
      </w:r>
      <w:r w:rsidR="00C17F90">
        <w:t xml:space="preserve">multivariate analysis shows no effect of </w:t>
      </w:r>
      <w:r w:rsidR="00C17F90" w:rsidRPr="00C17F90">
        <w:rPr>
          <w:i/>
        </w:rPr>
        <w:t xml:space="preserve">Restructuring </w:t>
      </w:r>
      <w:r w:rsidR="0099178A">
        <w:t xml:space="preserve">on all SEC review attributes, </w:t>
      </w:r>
      <w:r w:rsidR="00E53742" w:rsidRPr="000504DB">
        <w:t>which indicates</w:t>
      </w:r>
      <w:r w:rsidR="00C17F90">
        <w:t xml:space="preserve"> that the SEC review is not </w:t>
      </w:r>
      <w:r w:rsidR="004B7A43">
        <w:t>affected</w:t>
      </w:r>
      <w:r w:rsidR="00C17F90">
        <w:t xml:space="preserve"> by the IPO firms’ restructuring activities.</w:t>
      </w:r>
      <w:r w:rsidR="004B7A43">
        <w:rPr>
          <w:rStyle w:val="FootnoteReference"/>
        </w:rPr>
        <w:footnoteReference w:id="21"/>
      </w:r>
      <w:r w:rsidR="00C17F90">
        <w:t xml:space="preserve"> </w:t>
      </w:r>
      <w:r>
        <w:t xml:space="preserve"> </w:t>
      </w:r>
    </w:p>
    <w:p w14:paraId="29C1A471" w14:textId="66E55FB5" w:rsidR="00C17F90" w:rsidRDefault="00C17F90" w:rsidP="0030659B">
      <w:pPr>
        <w:spacing w:line="360" w:lineRule="auto"/>
        <w:jc w:val="both"/>
      </w:pPr>
      <w:r>
        <w:t xml:space="preserve">Regarding impact of </w:t>
      </w:r>
      <w:r w:rsidRPr="00C17F90">
        <w:rPr>
          <w:i/>
        </w:rPr>
        <w:t xml:space="preserve">M&amp;A </w:t>
      </w:r>
      <w:r>
        <w:t>on the SEC review, multivariate analysis show</w:t>
      </w:r>
      <w:r w:rsidR="00A02079">
        <w:t>s</w:t>
      </w:r>
      <w:r>
        <w:t xml:space="preserve"> positive effect of </w:t>
      </w:r>
      <w:r w:rsidRPr="00C17F90">
        <w:rPr>
          <w:i/>
        </w:rPr>
        <w:t xml:space="preserve">M&amp;A </w:t>
      </w:r>
      <w:r>
        <w:t xml:space="preserve">on </w:t>
      </w:r>
      <w:r w:rsidRPr="00C17F90">
        <w:rPr>
          <w:i/>
        </w:rPr>
        <w:t xml:space="preserve">Duration </w:t>
      </w:r>
      <w:r>
        <w:t xml:space="preserve">and no effect of </w:t>
      </w:r>
      <w:r w:rsidRPr="00C17F90">
        <w:rPr>
          <w:i/>
        </w:rPr>
        <w:t xml:space="preserve">M&amp;A </w:t>
      </w:r>
      <w:r>
        <w:t xml:space="preserve">on </w:t>
      </w:r>
      <w:r w:rsidRPr="00C17F90">
        <w:rPr>
          <w:i/>
        </w:rPr>
        <w:t xml:space="preserve">Letters </w:t>
      </w:r>
      <w:r>
        <w:t xml:space="preserve">and </w:t>
      </w:r>
      <w:r w:rsidRPr="00C17F90">
        <w:rPr>
          <w:i/>
        </w:rPr>
        <w:t>Comments</w:t>
      </w:r>
      <w:r w:rsidR="00907EA0">
        <w:rPr>
          <w:i/>
        </w:rPr>
        <w:t xml:space="preserve">, </w:t>
      </w:r>
      <w:r w:rsidR="00E53742" w:rsidRPr="004B7A43">
        <w:t>which</w:t>
      </w:r>
      <w:r w:rsidRPr="004B7A43">
        <w:t xml:space="preserve"> </w:t>
      </w:r>
      <w:r>
        <w:t xml:space="preserve">indicates that the SEC spend more time </w:t>
      </w:r>
      <w:r w:rsidRPr="00A71E73">
        <w:t>for the review on the firms who conduct M&amp;A activities</w:t>
      </w:r>
      <w:r>
        <w:t>. This result is consistent with the arguments that t</w:t>
      </w:r>
      <w:r w:rsidRPr="00A71E73">
        <w:t>he firm conducting M&amp;A activities could have more complexity in the business</w:t>
      </w:r>
      <w:r w:rsidR="00426C04">
        <w:t>,</w:t>
      </w:r>
      <w:r w:rsidRPr="00A71E73">
        <w:t xml:space="preserve"> </w:t>
      </w:r>
      <w:r>
        <w:t>and hence</w:t>
      </w:r>
      <w:r w:rsidR="00426C04">
        <w:t>,</w:t>
      </w:r>
      <w:r>
        <w:t xml:space="preserve"> </w:t>
      </w:r>
      <w:r w:rsidRPr="000912EF">
        <w:rPr>
          <w:lang w:eastAsia="en-US"/>
        </w:rPr>
        <w:t xml:space="preserve">increases </w:t>
      </w:r>
      <w:r w:rsidR="004B7A43">
        <w:rPr>
          <w:lang w:eastAsia="en-US"/>
        </w:rPr>
        <w:t>extensiveness of</w:t>
      </w:r>
      <w:r>
        <w:rPr>
          <w:lang w:eastAsia="en-US"/>
        </w:rPr>
        <w:t xml:space="preserve"> SEC</w:t>
      </w:r>
      <w:r w:rsidRPr="000912EF">
        <w:rPr>
          <w:lang w:eastAsia="en-US"/>
        </w:rPr>
        <w:t xml:space="preserve"> review</w:t>
      </w:r>
      <w:r w:rsidRPr="00A71E73">
        <w:t xml:space="preserve"> (Cassell et al., 2013; Hesse et al., 2017).</w:t>
      </w:r>
      <w:r>
        <w:t xml:space="preserve"> </w:t>
      </w:r>
    </w:p>
    <w:p w14:paraId="440C3EB5" w14:textId="1B2B30BA" w:rsidR="00C17F90" w:rsidRDefault="00C17F90" w:rsidP="0030659B">
      <w:pPr>
        <w:spacing w:line="360" w:lineRule="auto"/>
        <w:jc w:val="both"/>
      </w:pPr>
      <w:r>
        <w:lastRenderedPageBreak/>
        <w:t xml:space="preserve">Regarding impact of </w:t>
      </w:r>
      <w:r w:rsidRPr="00C17F90">
        <w:rPr>
          <w:i/>
        </w:rPr>
        <w:t xml:space="preserve">Positive earnings </w:t>
      </w:r>
      <w:r>
        <w:t xml:space="preserve">on SEC review, both univariate </w:t>
      </w:r>
      <w:r w:rsidR="004B7A43">
        <w:t xml:space="preserve">and multivariate </w:t>
      </w:r>
      <w:r>
        <w:t xml:space="preserve">analysis reveal positive effects of </w:t>
      </w:r>
      <w:r w:rsidRPr="00C17F90">
        <w:rPr>
          <w:i/>
        </w:rPr>
        <w:t xml:space="preserve">Positive earnings </w:t>
      </w:r>
      <w:r>
        <w:t xml:space="preserve">on </w:t>
      </w:r>
      <w:r w:rsidRPr="00C17F90">
        <w:rPr>
          <w:i/>
        </w:rPr>
        <w:t xml:space="preserve">Duration, Letters </w:t>
      </w:r>
      <w:r>
        <w:t xml:space="preserve">and </w:t>
      </w:r>
      <w:r w:rsidRPr="00C17F90">
        <w:rPr>
          <w:i/>
        </w:rPr>
        <w:t>Comments</w:t>
      </w:r>
      <w:r w:rsidR="004B7A43">
        <w:t xml:space="preserve">, </w:t>
      </w:r>
      <w:r>
        <w:t xml:space="preserve">which indicates that </w:t>
      </w:r>
      <w:r w:rsidRPr="00BF6460">
        <w:t>for the firm having profits, the SEC spend more time, issue more comment letters in the review of the firms’ S-1 filings and issue more comments for their initial S-1 filings.</w:t>
      </w:r>
      <w:r>
        <w:t xml:space="preserve"> This result is in line</w:t>
      </w:r>
      <w:r w:rsidR="00426C04">
        <w:t xml:space="preserve"> with</w:t>
      </w:r>
      <w:r>
        <w:t xml:space="preserve"> the arguments that IPO </w:t>
      </w:r>
      <w:r w:rsidRPr="00BF6460">
        <w:t xml:space="preserve">firm may mislead accounting information </w:t>
      </w:r>
      <w:r>
        <w:t xml:space="preserve">in the year of IPO </w:t>
      </w:r>
      <w:r w:rsidRPr="00BF6460">
        <w:t>by reporting positive earnings to attract investors</w:t>
      </w:r>
      <w:r>
        <w:t xml:space="preserve"> </w:t>
      </w:r>
      <w:r>
        <w:fldChar w:fldCharType="begin" w:fldLock="1"/>
      </w:r>
      <w:r w:rsidR="00A611DF">
        <w:instrText>ADDIN CSL_CITATION {"citationItems":[{"id":"ITEM-1","itemData":{"ISBN":"1540-6261","ISSN":"00221082","PMID":"1311802","abstract":"Issuers of initial public offerings (IPOs) can report earnings in excess of cash flows by taking positive accruals. This paper provides evidence that issuers with unusu- ally high accruals in the IPO year experience poor stock return performance in the three years thereafter. IPO issuers in the most “aggressive” quartile of earnings managers have a three-year aftermarket stock return of approximately 20 percent less than IPO issuers in the most “conservative” quartile. They also issue about 20 percent fewer seasoned equity offerings. These differences are statistically and economically significant in a variety of specifications.","author":[{"dropping-particle":"","family":"Teoh","given":"Siew Hong","non-dropping-particle":"","parse-names":false,"suffix":""},{"dropping-particle":"","family":"Welch","given":"Ivo","non-dropping-particle":"","parse-names":false,"suffix":""},{"dropping-particle":"","family":"Wong","given":"T.J.","non-dropping-particle":"","parse-names":false,"suffix":""}],"container-title":"The Journal of Finance","id":"ITEM-1","issue":"6","issued":{"date-parts":[["1998"]]},"note":"4*","page":"1935-1974","title":"Earnings Management and the Long-Run Market Performance of Initial Public Offerings","type":"article-journal","volume":"53"},"uris":["http://www.mendeley.com/documents/?uuid=df119c60-80fa-4e3c-9236-cb84a3060fd4"]}],"mendeley":{"formattedCitation":"(Teoh et al., 1998)","manualFormatting":"(Teoh et al., 1998)","plainTextFormattedCitation":"(Teoh et al., 1998)","previouslyFormattedCitation":"(Teoh et al., 1998)"},"properties":{"noteIndex":0},"schema":"https://github.com/citation-style-language/schema/raw/master/csl-citation.json"}</w:instrText>
      </w:r>
      <w:r>
        <w:fldChar w:fldCharType="separate"/>
      </w:r>
      <w:r>
        <w:rPr>
          <w:noProof/>
        </w:rPr>
        <w:t>(Teoh et al.</w:t>
      </w:r>
      <w:r w:rsidRPr="00BF6460">
        <w:rPr>
          <w:noProof/>
        </w:rPr>
        <w:t>, 1998)</w:t>
      </w:r>
      <w:r>
        <w:fldChar w:fldCharType="end"/>
      </w:r>
      <w:r w:rsidRPr="00BF6460">
        <w:t>,</w:t>
      </w:r>
      <w:r>
        <w:t xml:space="preserve"> therefore,</w:t>
      </w:r>
      <w:r w:rsidRPr="00BF6460">
        <w:t xml:space="preserve"> the degree of SEC review may be more intense for these firm</w:t>
      </w:r>
      <w:r w:rsidR="00933315">
        <w:t>s</w:t>
      </w:r>
      <w:r w:rsidR="004B7A43">
        <w:t>.</w:t>
      </w:r>
    </w:p>
    <w:p w14:paraId="015C44D4" w14:textId="0DBAB4FF" w:rsidR="00C17F90" w:rsidRDefault="00C17F90" w:rsidP="0030659B">
      <w:pPr>
        <w:spacing w:line="360" w:lineRule="auto"/>
        <w:jc w:val="both"/>
      </w:pPr>
      <w:r>
        <w:t xml:space="preserve">Regarding impact of </w:t>
      </w:r>
      <w:proofErr w:type="spellStart"/>
      <w:r w:rsidR="00B90319">
        <w:rPr>
          <w:i/>
        </w:rPr>
        <w:t>CEOchairman</w:t>
      </w:r>
      <w:proofErr w:type="spellEnd"/>
      <w:r w:rsidRPr="00C17F90">
        <w:rPr>
          <w:i/>
        </w:rPr>
        <w:t xml:space="preserve"> </w:t>
      </w:r>
      <w:r>
        <w:t xml:space="preserve">on SEC review, </w:t>
      </w:r>
      <w:r w:rsidR="00727BFD">
        <w:t xml:space="preserve">the multivariate test is the most robust to the comparable univariate test since </w:t>
      </w:r>
      <w:r>
        <w:t xml:space="preserve">both univariate </w:t>
      </w:r>
      <w:r w:rsidR="004B7A43">
        <w:t xml:space="preserve">and multivariate </w:t>
      </w:r>
      <w:r>
        <w:t xml:space="preserve">analysis </w:t>
      </w:r>
      <w:r w:rsidR="004B7A43">
        <w:t>show</w:t>
      </w:r>
      <w:r>
        <w:t xml:space="preserve"> positive effects of </w:t>
      </w:r>
      <w:proofErr w:type="spellStart"/>
      <w:r w:rsidR="00B90319">
        <w:rPr>
          <w:i/>
        </w:rPr>
        <w:t>CEOchairman</w:t>
      </w:r>
      <w:proofErr w:type="spellEnd"/>
      <w:r w:rsidRPr="00C17F90">
        <w:rPr>
          <w:i/>
        </w:rPr>
        <w:t xml:space="preserve"> </w:t>
      </w:r>
      <w:r>
        <w:t xml:space="preserve">on </w:t>
      </w:r>
      <w:r w:rsidR="00727BFD">
        <w:t>all SEC review attributes</w:t>
      </w:r>
      <w:r w:rsidR="0047508A" w:rsidRPr="0047508A">
        <w:t xml:space="preserve"> </w:t>
      </w:r>
      <w:r w:rsidR="0047508A">
        <w:t>at the s</w:t>
      </w:r>
      <w:r w:rsidR="00727BFD">
        <w:t>ame level of significance (1%). These results indicate</w:t>
      </w:r>
      <w:r>
        <w:t xml:space="preserve"> that </w:t>
      </w:r>
      <w:r w:rsidRPr="00BF6460">
        <w:t xml:space="preserve">for </w:t>
      </w:r>
      <w:r>
        <w:rPr>
          <w:lang w:eastAsia="en-US"/>
        </w:rPr>
        <w:t xml:space="preserve">the firm having CEO who is also a chairman of board of directors, the SEC spend more time, issue more comment letters in the review of the firms’ S-1 filings and issue more comments for their initial S-1 filings. </w:t>
      </w:r>
      <w:r>
        <w:t xml:space="preserve">This </w:t>
      </w:r>
      <w:r w:rsidR="00727BFD">
        <w:t>finding</w:t>
      </w:r>
      <w:r>
        <w:t xml:space="preserve"> is in line with the arguments that when </w:t>
      </w:r>
      <w:r w:rsidRPr="00BF6460">
        <w:t xml:space="preserve">the </w:t>
      </w:r>
      <w:r>
        <w:t xml:space="preserve">IPO </w:t>
      </w:r>
      <w:r w:rsidRPr="00BF6460">
        <w:t>firm</w:t>
      </w:r>
      <w:r>
        <w:t xml:space="preserve"> </w:t>
      </w:r>
      <w:r w:rsidRPr="000576A7">
        <w:t>board is led by a member of management, the board’s monitor</w:t>
      </w:r>
      <w:r w:rsidR="002C29A8">
        <w:t>ing effectiveness may be weaker</w:t>
      </w:r>
      <w:r w:rsidRPr="000576A7">
        <w:t xml:space="preserve"> </w:t>
      </w:r>
      <w:r w:rsidR="002C29A8" w:rsidRPr="000576A7">
        <w:t>(</w:t>
      </w:r>
      <w:proofErr w:type="spellStart"/>
      <w:r w:rsidR="002C29A8" w:rsidRPr="000576A7">
        <w:t>Ertimur</w:t>
      </w:r>
      <w:proofErr w:type="spellEnd"/>
      <w:r w:rsidR="002C29A8" w:rsidRPr="000576A7">
        <w:t xml:space="preserve"> &amp; </w:t>
      </w:r>
      <w:proofErr w:type="spellStart"/>
      <w:r w:rsidR="002C29A8" w:rsidRPr="000576A7">
        <w:t>Nondorf</w:t>
      </w:r>
      <w:proofErr w:type="spellEnd"/>
      <w:r w:rsidR="002C29A8" w:rsidRPr="000576A7">
        <w:t>, 2006</w:t>
      </w:r>
      <w:r w:rsidR="002C29A8">
        <w:t xml:space="preserve">), </w:t>
      </w:r>
      <w:r w:rsidRPr="000576A7">
        <w:t>and hence, the degree of SEC review may be more intense for these firm</w:t>
      </w:r>
      <w:r>
        <w:t xml:space="preserve"> </w:t>
      </w:r>
      <w:r w:rsidR="002C29A8">
        <w:fldChar w:fldCharType="begin" w:fldLock="1"/>
      </w:r>
      <w:r w:rsidR="00A611DF">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Process","type":"report"},"uris":["http://www.mendeley.com/documents/?uuid=01b61a32-44a8-4cff-b503-d4d5cb89a0fb"]},{"id":"ITEM-2","itemData":{"DOI":"10.1007/s11142-011-9153-8","ISSN":"13806653","abstract":"Motivated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Studies","id":"ITEM-2","issue":"4","issued":{"date-parts":[["2011"]]},"page":"866-889","title":"The effects of firm size, corporate governance quality, and bad news on disclosure compliance","type":"article-journal","volume":"16"},"uris":["http://www.mendeley.com/documents/?uuid=2c677795-dcd8-4506-87da-1a5ecc2c0b18"]},{"id":"ITEM-3","itemData":{"DOI":"10.2308/accr-10033","ISSN":"00014826","abstract":"We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Review","id":"ITEM-3","issue":"4","issued":{"date-parts":[["2011"]]},"page":"1415-1444","title":"Determinants of disclosure noncompliance and the effect of the SEC review: Evidence from the 2006 mandated compensation disclosure regulations","type":"article-journal","volume":"86"},"uris":["http://www.mendeley.com/documents/?uuid=e8971756-f262-4b89-b55d-978e24fc4f8c"]},{"id":"ITEM-4","itemData":{"author":[{"dropping-particle":"","family":"Cassell","given":"C.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Review","id":"ITEM-4","issue":"6","issued":{"date-parts":[["2013"]]},"page":"1875-1908","title":"Reviewing the SEC's review process: 10-K comment letters and the cost of remediation","type":"article-journal","volume":"88"},"uris":["http://www.mendeley.com/documents/?uuid=dea718b9-c36f-49a6-a8c7-49415620a7b4"]}],"mendeley":{"formattedCitation":"(Cassell et al., 2013; Ertimur &amp; Nondorf, 2006; Ettredge et al., 2011; Robinson et al., 2011)","manualFormatting":"( Ertimur &amp; Nondorf, 2006; Ettredge et al., 2011; Robinson et al., 2011; Cassell et al., 2013)","plainTextFormattedCitation":"(Cassell et al., 2013; Ertimur &amp; Nondorf, 2006; Ettredge et al., 2011; Robinson et al., 2011)","previouslyFormattedCitation":"(Cassell et al., 2013; Ertimur &amp; Nondorf, 2006; Ettredge et al., 2011; Robinson et al., 2011)"},"properties":{"noteIndex":0},"schema":"https://github.com/citation-style-language/schema/raw/master/csl-citation.json"}</w:instrText>
      </w:r>
      <w:r w:rsidR="002C29A8">
        <w:fldChar w:fldCharType="separate"/>
      </w:r>
      <w:r w:rsidR="002C29A8" w:rsidRPr="002C29A8">
        <w:rPr>
          <w:noProof/>
        </w:rPr>
        <w:t>( Ertimur &amp; Nondorf, 2006; Ettredge et al., 2011; Robinson et al., 2011</w:t>
      </w:r>
      <w:r w:rsidR="002C29A8">
        <w:rPr>
          <w:noProof/>
        </w:rPr>
        <w:t>; Cassell et al., 2013</w:t>
      </w:r>
      <w:r w:rsidR="002C29A8" w:rsidRPr="002C29A8">
        <w:rPr>
          <w:noProof/>
        </w:rPr>
        <w:t>)</w:t>
      </w:r>
      <w:r w:rsidR="002C29A8">
        <w:fldChar w:fldCharType="end"/>
      </w:r>
      <w:r w:rsidR="002C29A8">
        <w:t xml:space="preserve">. </w:t>
      </w:r>
      <w:r>
        <w:t xml:space="preserve">However, this </w:t>
      </w:r>
      <w:r w:rsidR="00727BFD">
        <w:t>finding</w:t>
      </w:r>
      <w:r>
        <w:t xml:space="preserve"> is not in agreement with the finding of </w:t>
      </w:r>
      <w:proofErr w:type="spellStart"/>
      <w:r>
        <w:t>Ertimur</w:t>
      </w:r>
      <w:proofErr w:type="spellEnd"/>
      <w:r>
        <w:t xml:space="preserve"> &amp; </w:t>
      </w:r>
      <w:proofErr w:type="spellStart"/>
      <w:r>
        <w:t>Nondorf</w:t>
      </w:r>
      <w:proofErr w:type="spellEnd"/>
      <w:r>
        <w:t xml:space="preserve"> (</w:t>
      </w:r>
      <w:r w:rsidRPr="000576A7">
        <w:t>2006</w:t>
      </w:r>
      <w:r>
        <w:t xml:space="preserve">) because the sample period that they employ is different </w:t>
      </w:r>
      <w:r w:rsidR="00A02079">
        <w:t>from</w:t>
      </w:r>
      <w:r>
        <w:t xml:space="preserve"> my study.</w:t>
      </w:r>
      <w:r w:rsidR="004B7A43">
        <w:t xml:space="preserve"> </w:t>
      </w:r>
      <w:r w:rsidR="00025202">
        <w:t xml:space="preserve">Furthermore, </w:t>
      </w:r>
      <w:proofErr w:type="spellStart"/>
      <w:r w:rsidR="00025202">
        <w:t>Ertimur</w:t>
      </w:r>
      <w:proofErr w:type="spellEnd"/>
      <w:r w:rsidR="00025202">
        <w:t xml:space="preserve"> &amp; </w:t>
      </w:r>
      <w:proofErr w:type="spellStart"/>
      <w:r w:rsidR="00025202">
        <w:t>Nondorf</w:t>
      </w:r>
      <w:proofErr w:type="spellEnd"/>
      <w:r w:rsidR="00025202">
        <w:t xml:space="preserve"> (</w:t>
      </w:r>
      <w:r w:rsidR="00025202" w:rsidRPr="000576A7">
        <w:t>2006</w:t>
      </w:r>
      <w:r w:rsidR="00025202">
        <w:t>) do not employ control variables of other IPO firms’ characteristics which may also have potential correlation with variables of corporate governance and potential impact on SEC review</w:t>
      </w:r>
      <w:r w:rsidR="00797470">
        <w:t xml:space="preserve"> on registration statements</w:t>
      </w:r>
      <w:r w:rsidR="00025202">
        <w:t xml:space="preserve">, </w:t>
      </w:r>
      <w:proofErr w:type="gramStart"/>
      <w:r w:rsidR="00025202">
        <w:t>e.g.</w:t>
      </w:r>
      <w:proofErr w:type="gramEnd"/>
      <w:r w:rsidR="00025202">
        <w:t xml:space="preserve"> IPO firms’ sales growth, profitability.</w:t>
      </w:r>
    </w:p>
    <w:p w14:paraId="0D8E7373" w14:textId="2B104912" w:rsidR="00DF7D68" w:rsidRPr="00DF7D68" w:rsidRDefault="002E566B" w:rsidP="00DF7D68">
      <w:pPr>
        <w:pStyle w:val="ListParagraph"/>
        <w:numPr>
          <w:ilvl w:val="1"/>
          <w:numId w:val="1"/>
        </w:numPr>
        <w:spacing w:line="360" w:lineRule="auto"/>
        <w:ind w:left="567"/>
        <w:jc w:val="both"/>
        <w:outlineLvl w:val="1"/>
        <w:rPr>
          <w:b/>
        </w:rPr>
      </w:pPr>
      <w:bookmarkStart w:id="43" w:name="_Toc9185811"/>
      <w:r>
        <w:rPr>
          <w:b/>
        </w:rPr>
        <w:t>I</w:t>
      </w:r>
      <w:r w:rsidR="00DF7D68" w:rsidRPr="00DF7D68">
        <w:rPr>
          <w:b/>
        </w:rPr>
        <w:t xml:space="preserve">mpact of </w:t>
      </w:r>
      <w:r w:rsidR="00D92D32">
        <w:rPr>
          <w:b/>
        </w:rPr>
        <w:t>incidences</w:t>
      </w:r>
      <w:r w:rsidR="00DF7D68" w:rsidRPr="00DF7D68">
        <w:rPr>
          <w:b/>
        </w:rPr>
        <w:t xml:space="preserve"> of regulatory changes and crises on the SEC review</w:t>
      </w:r>
      <w:bookmarkEnd w:id="43"/>
    </w:p>
    <w:p w14:paraId="0D328DB3" w14:textId="4A970CF2" w:rsidR="00DF7D68" w:rsidRDefault="00DF7D68" w:rsidP="0030659B">
      <w:pPr>
        <w:spacing w:line="360" w:lineRule="auto"/>
        <w:jc w:val="both"/>
        <w:rPr>
          <w:lang w:eastAsia="en-US"/>
        </w:rPr>
      </w:pPr>
      <w:r>
        <w:t xml:space="preserve">Regarding the impact of </w:t>
      </w:r>
      <w:r w:rsidRPr="00DF7D68">
        <w:rPr>
          <w:i/>
        </w:rPr>
        <w:t xml:space="preserve">JOBs Act </w:t>
      </w:r>
      <w:r>
        <w:t xml:space="preserve">on the SEC review, </w:t>
      </w:r>
      <w:r w:rsidR="00727BFD">
        <w:t xml:space="preserve">the multivariate test is the most robust to the comparable univariate test since </w:t>
      </w:r>
      <w:r>
        <w:t xml:space="preserve">both univariate </w:t>
      </w:r>
      <w:r w:rsidR="000A192A">
        <w:t xml:space="preserve">and multivariate </w:t>
      </w:r>
      <w:r>
        <w:t xml:space="preserve">analysis reveal negative effects of </w:t>
      </w:r>
      <w:r w:rsidRPr="00DF7D68">
        <w:rPr>
          <w:i/>
        </w:rPr>
        <w:t xml:space="preserve">JOBs Act </w:t>
      </w:r>
      <w:r>
        <w:t xml:space="preserve">on </w:t>
      </w:r>
      <w:r w:rsidRPr="00DF7D68">
        <w:rPr>
          <w:i/>
        </w:rPr>
        <w:t xml:space="preserve">Duration, Letters </w:t>
      </w:r>
      <w:r>
        <w:t xml:space="preserve">and </w:t>
      </w:r>
      <w:r w:rsidRPr="00DF7D68">
        <w:rPr>
          <w:i/>
        </w:rPr>
        <w:t>Comments</w:t>
      </w:r>
      <w:r w:rsidR="00727BFD">
        <w:rPr>
          <w:i/>
        </w:rPr>
        <w:t xml:space="preserve"> </w:t>
      </w:r>
      <w:r w:rsidR="00727BFD">
        <w:t>at the same significance level of 1%</w:t>
      </w:r>
      <w:r w:rsidRPr="00DF7D68">
        <w:rPr>
          <w:i/>
        </w:rPr>
        <w:t>.</w:t>
      </w:r>
      <w:r w:rsidR="00B57CFC" w:rsidRPr="0039468F">
        <w:rPr>
          <w:rStyle w:val="FootnoteReference"/>
        </w:rPr>
        <w:footnoteReference w:id="22"/>
      </w:r>
      <w:r w:rsidRPr="00DF7D68">
        <w:rPr>
          <w:i/>
        </w:rPr>
        <w:t xml:space="preserve"> </w:t>
      </w:r>
      <w:r w:rsidR="000A192A">
        <w:t>These results indicate</w:t>
      </w:r>
      <w:r>
        <w:t xml:space="preserve"> that </w:t>
      </w:r>
      <w:r>
        <w:rPr>
          <w:lang w:eastAsia="en-US"/>
        </w:rPr>
        <w:t xml:space="preserve">the SEC spend less time, issue </w:t>
      </w:r>
      <w:r w:rsidR="00A02079">
        <w:rPr>
          <w:lang w:eastAsia="en-US"/>
        </w:rPr>
        <w:t>fewer</w:t>
      </w:r>
      <w:r>
        <w:rPr>
          <w:lang w:eastAsia="en-US"/>
        </w:rPr>
        <w:t xml:space="preserve"> comment letters in the review of the firms’ S-1 filings and issue </w:t>
      </w:r>
      <w:r w:rsidR="00A02079">
        <w:rPr>
          <w:lang w:eastAsia="en-US"/>
        </w:rPr>
        <w:t>fewer</w:t>
      </w:r>
      <w:r>
        <w:rPr>
          <w:lang w:eastAsia="en-US"/>
        </w:rPr>
        <w:t xml:space="preserve"> comments for their initial S-1 filings in the period after the enactments of </w:t>
      </w:r>
      <w:r w:rsidR="004F5BE6">
        <w:rPr>
          <w:lang w:eastAsia="en-US"/>
        </w:rPr>
        <w:t>JOBs Act</w:t>
      </w:r>
      <w:r>
        <w:rPr>
          <w:lang w:eastAsia="en-US"/>
        </w:rPr>
        <w:t xml:space="preserve">. This </w:t>
      </w:r>
      <w:r w:rsidR="000C7BDB">
        <w:rPr>
          <w:lang w:eastAsia="en-US"/>
        </w:rPr>
        <w:t>finding</w:t>
      </w:r>
      <w:r>
        <w:rPr>
          <w:lang w:eastAsia="en-US"/>
        </w:rPr>
        <w:t xml:space="preserve"> </w:t>
      </w:r>
      <w:r w:rsidR="000C7BDB">
        <w:rPr>
          <w:lang w:eastAsia="en-US"/>
        </w:rPr>
        <w:t>supports</w:t>
      </w:r>
      <w:r>
        <w:rPr>
          <w:lang w:eastAsia="en-US"/>
        </w:rPr>
        <w:t xml:space="preserve"> key target of </w:t>
      </w:r>
      <w:r w:rsidR="004F5BE6">
        <w:rPr>
          <w:lang w:eastAsia="en-US"/>
        </w:rPr>
        <w:t>JOBs Act</w:t>
      </w:r>
      <w:r>
        <w:rPr>
          <w:lang w:eastAsia="en-US"/>
        </w:rPr>
        <w:t xml:space="preserve">, which is relieving some SEC regulation on the emerging growth companies to revitalize the IPO market </w:t>
      </w:r>
      <w:r w:rsidR="00C41C90">
        <w:rPr>
          <w:color w:val="000000" w:themeColor="text1"/>
        </w:rPr>
        <w:t>(SEC, 2012</w:t>
      </w:r>
      <w:r w:rsidR="00B57CFC">
        <w:rPr>
          <w:lang w:eastAsia="en-US"/>
        </w:rPr>
        <w:fldChar w:fldCharType="begin" w:fldLock="1"/>
      </w:r>
      <w:r w:rsidR="00A611DF">
        <w:rPr>
          <w:lang w:eastAsia="en-US"/>
        </w:rPr>
        <w:instrText>ADDIN CSL_CITATION {"citationItems":[{"id":"ITEM-1","itemData":{"DOI":"10.1017/S0022109014000015","ISSN":"17566916","abstract":"During 1980-2000, an average of 310 companies per year went public in the U.S. Since the technology bubble burst in 2000, the average has been only 99 initial public offerings (IPOs) per year, with the drop especially precipitous among small firms. Many have blamed the Sarbanes-Oxley Act of 2002 and the 2003 Global Settlement’s effects on analyst coverage for the decline in U.S. IPO activity. Our alternative explanation posits that the advantages of selling out to a larger organization, which can speed a product to market and realize economies of scope, have increased relative to the benefits of remaining as an independent firm. Consistent with this hypothesis, we document that small company IPOs have had declining profitability and an increasing probability of being involved in acquisitions.","author":[{"dropping-particle":"","family":"Gao","given":"X.","non-dropping-particle":"","parse-names":false,"suffix":""},{"dropping-particle":"","family":"Ritter","given":"J.R.","non-dropping-particle":"","parse-names":false,"suffix":""},{"dropping-particle":"","family":"Zhu","given":"Z.","non-dropping-particle":"","parse-names":false,"suffix":""}],"container-title":"Journal of Financial and Quantitative Analysis","id":"ITEM-1","issue":"6","issued":{"date-parts":[["2013"]]},"page":"1663-1692","title":"Where have all the IPOs gone?","type":"article-journal","volume":"48"},"uris":["http://www.mendeley.com/documents/?uuid=4f061877-1ba6-46b7-b68c-cd02d844858c"]}],"mendeley":{"formattedCitation":"(Gao et al., 2013)","manualFormatting":"; Gao et al. 2013)","plainTextFormattedCitation":"(Gao et al., 2013)","previouslyFormattedCitation":"(Gao et al., 2013)"},"properties":{"noteIndex":0},"schema":"https://github.com/citation-style-language/schema/raw/master/csl-citation.json"}</w:instrText>
      </w:r>
      <w:r w:rsidR="00B57CFC">
        <w:rPr>
          <w:lang w:eastAsia="en-US"/>
        </w:rPr>
        <w:fldChar w:fldCharType="separate"/>
      </w:r>
      <w:r w:rsidR="00B57CFC">
        <w:rPr>
          <w:noProof/>
          <w:lang w:eastAsia="en-US"/>
        </w:rPr>
        <w:t xml:space="preserve">; </w:t>
      </w:r>
      <w:r w:rsidR="00B57CFC" w:rsidRPr="00F817FE">
        <w:rPr>
          <w:noProof/>
          <w:lang w:eastAsia="en-US"/>
        </w:rPr>
        <w:lastRenderedPageBreak/>
        <w:t>Gao</w:t>
      </w:r>
      <w:r w:rsidR="00B57CFC">
        <w:rPr>
          <w:noProof/>
          <w:lang w:eastAsia="en-US"/>
        </w:rPr>
        <w:t xml:space="preserve"> et al.</w:t>
      </w:r>
      <w:r w:rsidR="00B57CFC" w:rsidRPr="00F817FE">
        <w:rPr>
          <w:noProof/>
          <w:lang w:eastAsia="en-US"/>
        </w:rPr>
        <w:t xml:space="preserve"> 2013)</w:t>
      </w:r>
      <w:r w:rsidR="00B57CFC">
        <w:rPr>
          <w:lang w:eastAsia="en-US"/>
        </w:rPr>
        <w:fldChar w:fldCharType="end"/>
      </w:r>
      <w:r>
        <w:rPr>
          <w:lang w:eastAsia="en-US"/>
        </w:rPr>
        <w:t>.</w:t>
      </w:r>
      <w:r w:rsidR="000C7BDB">
        <w:rPr>
          <w:lang w:eastAsia="en-US"/>
        </w:rPr>
        <w:t xml:space="preserve"> This finding is also in agreement with arguments that SEC adjust their styles in reviewing IPO prospectuses prepared by of ECGs after the enactment of JOBs Act (</w:t>
      </w:r>
      <w:r w:rsidR="000C7BDB">
        <w:rPr>
          <w:lang w:eastAsia="en-US"/>
        </w:rPr>
        <w:fldChar w:fldCharType="begin" w:fldLock="1"/>
      </w:r>
      <w:r w:rsidR="000C7BDB">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Gupta, &amp; Israelsen, 2017)","manualFormatting":"Agarwal et al., 2017)","plainTextFormattedCitation":"(Agarwal, Gupta, &amp; Israelsen, 2017)","previouslyFormattedCitation":"(Agarwal, Gupta, &amp; Israelsen, 2017)"},"properties":{"noteIndex":0},"schema":"https://github.com/citation-style-language/schema/raw/master/csl-citation.json"}</w:instrText>
      </w:r>
      <w:r w:rsidR="000C7BDB">
        <w:rPr>
          <w:lang w:eastAsia="en-US"/>
        </w:rPr>
        <w:fldChar w:fldCharType="separate"/>
      </w:r>
      <w:r w:rsidR="000C7BDB">
        <w:rPr>
          <w:noProof/>
          <w:lang w:eastAsia="en-US"/>
        </w:rPr>
        <w:t>Agarwal et al., 2017)</w:t>
      </w:r>
      <w:r w:rsidR="000C7BDB">
        <w:rPr>
          <w:lang w:eastAsia="en-US"/>
        </w:rPr>
        <w:fldChar w:fldCharType="end"/>
      </w:r>
      <w:r w:rsidR="000C7BDB">
        <w:rPr>
          <w:lang w:eastAsia="en-US"/>
        </w:rPr>
        <w:t xml:space="preserve"> and Title I of JOBs Act decreases ability of regulators to address and prosecute fraud (</w:t>
      </w:r>
      <w:r w:rsidR="000C7BDB">
        <w:rPr>
          <w:lang w:eastAsia="en-US"/>
        </w:rPr>
        <w:fldChar w:fldCharType="begin" w:fldLock="1"/>
      </w:r>
      <w:r w:rsidR="000C7BDB">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Hanley, &amp; Moon, 2017)","manualFormatting":"Chaplinsky et al., 2017)","plainTextFormattedCitation":"(Chaplinsky, Hanley, &amp; Moon, 2017)","previouslyFormattedCitation":"(Chaplinsky, Hanley, &amp; Moon, 2017)"},"properties":{"noteIndex":0},"schema":"https://github.com/citation-style-language/schema/raw/master/csl-citation.json"}</w:instrText>
      </w:r>
      <w:r w:rsidR="000C7BDB">
        <w:rPr>
          <w:lang w:eastAsia="en-US"/>
        </w:rPr>
        <w:fldChar w:fldCharType="separate"/>
      </w:r>
      <w:r w:rsidR="000C7BDB">
        <w:rPr>
          <w:noProof/>
          <w:lang w:eastAsia="en-US"/>
        </w:rPr>
        <w:t>Chaplinsky et al., 2017)</w:t>
      </w:r>
      <w:r w:rsidR="000C7BDB">
        <w:rPr>
          <w:lang w:eastAsia="en-US"/>
        </w:rPr>
        <w:fldChar w:fldCharType="end"/>
      </w:r>
      <w:r w:rsidR="000C7BDB">
        <w:rPr>
          <w:lang w:eastAsia="en-US"/>
        </w:rPr>
        <w:t>.</w:t>
      </w:r>
    </w:p>
    <w:p w14:paraId="328CEA7B" w14:textId="2BDCB9FD" w:rsidR="00DF7D68" w:rsidRDefault="000C7BDB" w:rsidP="0030659B">
      <w:pPr>
        <w:spacing w:line="360" w:lineRule="auto"/>
        <w:jc w:val="both"/>
        <w:rPr>
          <w:lang w:eastAsia="en-US"/>
        </w:rPr>
      </w:pPr>
      <w:r>
        <w:rPr>
          <w:lang w:eastAsia="en-US"/>
        </w:rPr>
        <w:t>In terms of</w:t>
      </w:r>
      <w:r w:rsidR="00DF7D68">
        <w:rPr>
          <w:lang w:eastAsia="en-US"/>
        </w:rPr>
        <w:t xml:space="preserve"> impact of </w:t>
      </w:r>
      <w:r w:rsidR="00DF7D68" w:rsidRPr="00DF7D68">
        <w:rPr>
          <w:i/>
          <w:lang w:eastAsia="en-US"/>
        </w:rPr>
        <w:t xml:space="preserve">Dodd-Frank </w:t>
      </w:r>
      <w:r w:rsidR="00DF7D68">
        <w:rPr>
          <w:lang w:eastAsia="en-US"/>
        </w:rPr>
        <w:t xml:space="preserve">on SEC review, </w:t>
      </w:r>
      <w:r w:rsidR="00DF7D68">
        <w:t xml:space="preserve">both univariate </w:t>
      </w:r>
      <w:r>
        <w:t xml:space="preserve">and multivariate </w:t>
      </w:r>
      <w:r w:rsidR="00DF7D68">
        <w:t xml:space="preserve">analysis </w:t>
      </w:r>
      <w:r>
        <w:t>show</w:t>
      </w:r>
      <w:r w:rsidR="00DF7D68">
        <w:t xml:space="preserve"> positive effects of </w:t>
      </w:r>
      <w:r w:rsidR="00DF7D68" w:rsidRPr="00DF7D68">
        <w:rPr>
          <w:i/>
        </w:rPr>
        <w:t xml:space="preserve">Dodd-Frank </w:t>
      </w:r>
      <w:r w:rsidR="00DF7D68">
        <w:t xml:space="preserve">on </w:t>
      </w:r>
      <w:r w:rsidR="00DF7D68" w:rsidRPr="00DF7D68">
        <w:rPr>
          <w:i/>
        </w:rPr>
        <w:t xml:space="preserve">Duration </w:t>
      </w:r>
      <w:r w:rsidR="00DF7D68">
        <w:t xml:space="preserve">and </w:t>
      </w:r>
      <w:r w:rsidR="00DF7D68" w:rsidRPr="00DF7D68">
        <w:rPr>
          <w:i/>
        </w:rPr>
        <w:t xml:space="preserve">Letters </w:t>
      </w:r>
      <w:r w:rsidR="00DF7D68">
        <w:t xml:space="preserve">as well as no effect of </w:t>
      </w:r>
      <w:r w:rsidR="00DF7D68" w:rsidRPr="00DF7D68">
        <w:rPr>
          <w:i/>
        </w:rPr>
        <w:t xml:space="preserve">Dodd-Frank </w:t>
      </w:r>
      <w:r w:rsidR="00DF7D68">
        <w:t xml:space="preserve">on </w:t>
      </w:r>
      <w:r w:rsidR="00DF7D68" w:rsidRPr="00DF7D68">
        <w:rPr>
          <w:i/>
        </w:rPr>
        <w:t>Comments</w:t>
      </w:r>
      <w:r w:rsidR="00DF7D68">
        <w:t xml:space="preserve">, which indicates </w:t>
      </w:r>
      <w:r w:rsidR="00DF7D68" w:rsidRPr="00DD3501">
        <w:t xml:space="preserve">that the SEC spend more time in their review and issue more comment letters in the period after the enactments of Dodd-Frank </w:t>
      </w:r>
      <w:r>
        <w:t>Act</w:t>
      </w:r>
      <w:r w:rsidR="00DF7D68">
        <w:t xml:space="preserve">. This </w:t>
      </w:r>
      <w:r>
        <w:t>finding support</w:t>
      </w:r>
      <w:r w:rsidR="00DF7D68">
        <w:t xml:space="preserve"> the key target of Dodd-Frank </w:t>
      </w:r>
      <w:r>
        <w:t>Act</w:t>
      </w:r>
      <w:r w:rsidR="00DF7D68">
        <w:t xml:space="preserve">, which is </w:t>
      </w:r>
      <w:r w:rsidR="00DF7D68" w:rsidRPr="000912EF">
        <w:rPr>
          <w:lang w:eastAsia="en-US"/>
        </w:rPr>
        <w:t>strengthen</w:t>
      </w:r>
      <w:r w:rsidR="00A02079">
        <w:rPr>
          <w:lang w:eastAsia="en-US"/>
        </w:rPr>
        <w:t>ing</w:t>
      </w:r>
      <w:r w:rsidR="00DF7D68" w:rsidRPr="000912EF">
        <w:rPr>
          <w:lang w:eastAsia="en-US"/>
        </w:rPr>
        <w:t xml:space="preserve"> oversight of particular organizations, offer</w:t>
      </w:r>
      <w:r>
        <w:rPr>
          <w:lang w:eastAsia="en-US"/>
        </w:rPr>
        <w:t>ing</w:t>
      </w:r>
      <w:r w:rsidR="00DF7D68" w:rsidRPr="000912EF">
        <w:rPr>
          <w:lang w:eastAsia="en-US"/>
        </w:rPr>
        <w:t xml:space="preserve"> severe criterions and management to provide protection for the economy and American consumers, investors and businesses </w:t>
      </w:r>
      <w:r w:rsidR="00DF7D68" w:rsidRPr="000912EF">
        <w:rPr>
          <w:lang w:eastAsia="en-US"/>
        </w:rPr>
        <w:fldChar w:fldCharType="begin" w:fldLock="1"/>
      </w:r>
      <w:r w:rsidR="00DF7D68">
        <w:rPr>
          <w:lang w:eastAsia="en-US"/>
        </w:rPr>
        <w:instrText>ADDIN CSL_CITATION {"citationItems":[{"id":"ITEM-1","itemData":{"author":[{"dropping-particle":"","family":"WilmerHale","given":"","non-dropping-particle":"","parse-names":false,"suffix":""}],"container-title":"Wilmer Cutler Pickering Hale And Dorr LLP","id":"ITEM-1","issued":{"date-parts":[["2011"]]},"title":"2011 IPO Report","type":"article-journal"},"uris":["http://www.mendeley.com/documents/?uuid=61ce636d-2fea-498c-998c-ca90a508b676"]}],"mendeley":{"formattedCitation":"(WilmerHale, 2011)","plainTextFormattedCitation":"(WilmerHale, 2011)","previouslyFormattedCitation":"(WilmerHale, 2011)"},"properties":{"noteIndex":0},"schema":"https://github.com/citation-style-language/schema/raw/master/csl-citation.json"}</w:instrText>
      </w:r>
      <w:r w:rsidR="00DF7D68" w:rsidRPr="000912EF">
        <w:rPr>
          <w:lang w:eastAsia="en-US"/>
        </w:rPr>
        <w:fldChar w:fldCharType="separate"/>
      </w:r>
      <w:r w:rsidR="00DF7D68" w:rsidRPr="000912EF">
        <w:rPr>
          <w:noProof/>
          <w:lang w:eastAsia="en-US"/>
        </w:rPr>
        <w:t>(WilmerHale, 2011)</w:t>
      </w:r>
      <w:r w:rsidR="00DF7D68" w:rsidRPr="000912EF">
        <w:rPr>
          <w:lang w:eastAsia="en-US"/>
        </w:rPr>
        <w:fldChar w:fldCharType="end"/>
      </w:r>
      <w:r w:rsidR="00DF7D68">
        <w:rPr>
          <w:lang w:eastAsia="en-US"/>
        </w:rPr>
        <w:t>.</w:t>
      </w:r>
      <w:r>
        <w:rPr>
          <w:lang w:eastAsia="en-US"/>
        </w:rPr>
        <w:t xml:space="preserve"> This finding also support arguments that due to government intervention, market discipline is improved after the enactment of Dodd-Frank Act (</w:t>
      </w:r>
      <w:proofErr w:type="spellStart"/>
      <w:r>
        <w:rPr>
          <w:lang w:eastAsia="en-US"/>
        </w:rPr>
        <w:fldChar w:fldCharType="begin" w:fldLock="1"/>
      </w:r>
      <w:r>
        <w:rPr>
          <w:lang w:eastAsia="en-US"/>
        </w:rPr>
        <w:instrText>ADDIN CSL_CITATION {"citationItems":[{"id":"ITEM-1","itemData":{"DOI":"10.1016/j.jbankfin.2014.01.021","ISSN":"03784266","abstract":"We investigate whether or not market discipline on banking firms changed after the Dodd-Frank Wall Street Reform and Consumer Protection Act (DFA) of 2010. If market discipline is improved, we should see a lower discount for size on yield spreads, particularly for banks identified as too-big-to-fail (TBTF) or systemically important (SIFI). Using secondary market subordinated debt transactions we find that the size discount is reduced by 47% and TBTF discount is reduced by 94% after the DFA. The DFA has been effective in reducing, but not in eliminating the size and TBTF discounts on yield spreads. Market discipline of banks appears to have improved further after the rating criteria changes by Moody's. © 2014.","author":[{"dropping-particle":"","family":"Balasubramnian","given":"B.","non-dropping-particle":"","parse-names":false,"suffix":""},{"dropping-particle":"","family":"Cyree","given":"K.B.","non-dropping-particle":"","parse-names":false,"suffix":""}],"container-title":"Journal of Banking and Finance","id":"ITEM-1","issue":"1","issued":{"date-parts":[["2014"]]},"page":"155-166","publisher":"Elsevier B.V.","title":"Has market discipline on banks improved after the Dodd-Frank Act?","type":"article-journal","volume":"41"},"uris":["http://www.mendeley.com/documents/?uuid=75077377-866e-4864-aa49-595f9ad0afa6"]}],"mendeley":{"formattedCitation":"(Balasubramnian &amp; Cyree, 2014)","manualFormatting":"Balasubramnian &amp; Cyree, 2014)","plainTextFormattedCitation":"(Balasubramnian &amp; Cyree, 2014)"},"properties":{"noteIndex":0},"schema":"https://github.com/citation-style-language/schema/raw/master/csl-citation.json"}</w:instrText>
      </w:r>
      <w:r>
        <w:rPr>
          <w:lang w:eastAsia="en-US"/>
        </w:rPr>
        <w:fldChar w:fldCharType="separate"/>
      </w:r>
      <w:r>
        <w:rPr>
          <w:noProof/>
          <w:lang w:eastAsia="en-US"/>
        </w:rPr>
        <w:t>Balasubramnian</w:t>
      </w:r>
      <w:proofErr w:type="spellEnd"/>
      <w:r>
        <w:rPr>
          <w:noProof/>
          <w:lang w:eastAsia="en-US"/>
        </w:rPr>
        <w:t xml:space="preserve"> &amp; Cyree, </w:t>
      </w:r>
      <w:r w:rsidRPr="00900BF8">
        <w:rPr>
          <w:noProof/>
          <w:lang w:eastAsia="en-US"/>
        </w:rPr>
        <w:t>2014)</w:t>
      </w:r>
      <w:r>
        <w:rPr>
          <w:lang w:eastAsia="en-US"/>
        </w:rPr>
        <w:fldChar w:fldCharType="end"/>
      </w:r>
    </w:p>
    <w:p w14:paraId="5C988278" w14:textId="7CA22EA2" w:rsidR="00DF7D68" w:rsidRDefault="000C7BDB" w:rsidP="0030659B">
      <w:pPr>
        <w:spacing w:line="360" w:lineRule="auto"/>
        <w:jc w:val="both"/>
      </w:pPr>
      <w:r>
        <w:rPr>
          <w:lang w:eastAsia="en-US"/>
        </w:rPr>
        <w:t>With regard to</w:t>
      </w:r>
      <w:r w:rsidR="00DF7D68">
        <w:rPr>
          <w:lang w:eastAsia="en-US"/>
        </w:rPr>
        <w:t xml:space="preserve"> impact of </w:t>
      </w:r>
      <w:r w:rsidR="00DF7D68" w:rsidRPr="00DF7D68">
        <w:rPr>
          <w:i/>
          <w:lang w:eastAsia="en-US"/>
        </w:rPr>
        <w:t xml:space="preserve">Financial crisis </w:t>
      </w:r>
      <w:r w:rsidR="00DF7D68">
        <w:rPr>
          <w:lang w:eastAsia="en-US"/>
        </w:rPr>
        <w:t xml:space="preserve">on </w:t>
      </w:r>
      <w:r>
        <w:rPr>
          <w:lang w:eastAsia="en-US"/>
        </w:rPr>
        <w:t>SEC review, m</w:t>
      </w:r>
      <w:r w:rsidR="00DF7D68">
        <w:rPr>
          <w:lang w:eastAsia="en-US"/>
        </w:rPr>
        <w:t>ultivariate analysis show</w:t>
      </w:r>
      <w:r w:rsidR="00A02079">
        <w:rPr>
          <w:lang w:eastAsia="en-US"/>
        </w:rPr>
        <w:t>s</w:t>
      </w:r>
      <w:r w:rsidR="00DF7D68">
        <w:rPr>
          <w:lang w:eastAsia="en-US"/>
        </w:rPr>
        <w:t xml:space="preserve"> no effect of </w:t>
      </w:r>
      <w:r w:rsidR="00DF7D68" w:rsidRPr="00DF7D68">
        <w:rPr>
          <w:i/>
          <w:lang w:eastAsia="en-US"/>
        </w:rPr>
        <w:t xml:space="preserve">Financial crisis </w:t>
      </w:r>
      <w:r w:rsidR="00907EA0">
        <w:rPr>
          <w:lang w:eastAsia="en-US"/>
        </w:rPr>
        <w:t xml:space="preserve">on all SEC review attributes, </w:t>
      </w:r>
      <w:r w:rsidR="00E53742">
        <w:t>which indicates</w:t>
      </w:r>
      <w:r w:rsidR="00DF7D68">
        <w:t xml:space="preserve"> SEC review is not sensitive to financial crisis 2008-2009.</w:t>
      </w:r>
      <w:r w:rsidR="00797470">
        <w:rPr>
          <w:rStyle w:val="FootnoteReference"/>
        </w:rPr>
        <w:footnoteReference w:id="23"/>
      </w:r>
      <w:r w:rsidR="00CC20CD">
        <w:t xml:space="preserve"> </w:t>
      </w:r>
      <w:r>
        <w:t xml:space="preserve">This result is not consistent with findings of </w:t>
      </w:r>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id":"ITEM-2","itemData":{"author":[{"dropping-particle":"","family":"Blackburne","given":"Terrence","non-dropping-particle":"","parse-names":false,"suffix":""}],"container-title":"Working paper","id":"ITEM-2","issued":{"date-parts":[["2014"]]},"title":"Regulatory Oversight and Reporting Incentives: Evidence from SEC Budget Allocations Terrence","type":"article-journal"},"uris":["http://www.mendeley.com/documents/?uuid=9a5e3877-0197-49fd-9514-481934d4138a"]}],"mendeley":{"formattedCitation":"(Blackburne, 2014; Colaco et al., 2018)","manualFormatting":" Colaco et al. (2018)","plainTextFormattedCitation":"(Blackburne, 2014; Colaco et al., 2018)","previouslyFormattedCitation":"(Blackburne, 2014; Colaco et al., 2018)"},"properties":{"noteIndex":0},"schema":"https://github.com/citation-style-language/schema/raw/master/csl-citation.json"}</w:instrText>
      </w:r>
      <w:r>
        <w:fldChar w:fldCharType="separate"/>
      </w:r>
      <w:r>
        <w:rPr>
          <w:noProof/>
        </w:rPr>
        <w:t xml:space="preserve"> Colaco et al. (2018</w:t>
      </w:r>
      <w:r w:rsidRPr="00CC20CD">
        <w:rPr>
          <w:noProof/>
        </w:rPr>
        <w:t>)</w:t>
      </w:r>
      <w:r>
        <w:fldChar w:fldCharType="end"/>
      </w:r>
      <w:r w:rsidR="00797470">
        <w:t xml:space="preserve"> because the authors focus on different sample period to my study. In addition, </w:t>
      </w:r>
      <w:r w:rsidR="00797470">
        <w:fldChar w:fldCharType="begin" w:fldLock="1"/>
      </w:r>
      <w:r w:rsidR="00797470">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id":"ITEM-2","itemData":{"author":[{"dropping-particle":"","family":"Blackburne","given":"Terrence","non-dropping-particle":"","parse-names":false,"suffix":""}],"container-title":"Working paper","id":"ITEM-2","issued":{"date-parts":[["2014"]]},"title":"Regulatory Oversight and Reporting Incentives: Evidence from SEC Budget Allocations Terrence","type":"article-journal"},"uris":["http://www.mendeley.com/documents/?uuid=9a5e3877-0197-49fd-9514-481934d4138a"]}],"mendeley":{"formattedCitation":"(Blackburne, 2014; Colaco et al., 2018)","manualFormatting":" Colaco et al. (2018)","plainTextFormattedCitation":"(Blackburne, 2014; Colaco et al., 2018)","previouslyFormattedCitation":"(Blackburne, 2014; Colaco et al., 2018)"},"properties":{"noteIndex":0},"schema":"https://github.com/citation-style-language/schema/raw/master/csl-citation.json"}</w:instrText>
      </w:r>
      <w:r w:rsidR="00797470">
        <w:fldChar w:fldCharType="separate"/>
      </w:r>
      <w:r w:rsidR="00797470">
        <w:rPr>
          <w:noProof/>
        </w:rPr>
        <w:t xml:space="preserve"> Colaco et al. (2018</w:t>
      </w:r>
      <w:r w:rsidR="00797470" w:rsidRPr="00CC20CD">
        <w:rPr>
          <w:noProof/>
        </w:rPr>
        <w:t>)</w:t>
      </w:r>
      <w:r w:rsidR="00797470">
        <w:fldChar w:fldCharType="end"/>
      </w:r>
      <w:r w:rsidR="00797470">
        <w:t xml:space="preserve"> do not employ any control variable of IPO firms’ characteristics which could have potential correlation with dummy variable of financial crisis and potential impact on SEC review, e.g. IPO firms’ profitability, corporate governance.</w:t>
      </w:r>
    </w:p>
    <w:p w14:paraId="4C340572" w14:textId="3EDAE810" w:rsidR="00DF7D68" w:rsidRDefault="002E566B" w:rsidP="00314E80">
      <w:pPr>
        <w:pStyle w:val="ListParagraph"/>
        <w:numPr>
          <w:ilvl w:val="1"/>
          <w:numId w:val="1"/>
        </w:numPr>
        <w:spacing w:line="360" w:lineRule="auto"/>
        <w:jc w:val="both"/>
        <w:outlineLvl w:val="1"/>
        <w:rPr>
          <w:b/>
          <w:lang w:eastAsia="en-US"/>
        </w:rPr>
      </w:pPr>
      <w:bookmarkStart w:id="44" w:name="_Toc9185812"/>
      <w:r>
        <w:rPr>
          <w:b/>
          <w:lang w:eastAsia="en-US"/>
        </w:rPr>
        <w:t>I</w:t>
      </w:r>
      <w:r w:rsidR="00DF7D68" w:rsidRPr="00DF7D68">
        <w:rPr>
          <w:b/>
          <w:lang w:eastAsia="en-US"/>
        </w:rPr>
        <w:t>mpact of industry/market characteristics on the SEC review</w:t>
      </w:r>
      <w:bookmarkEnd w:id="44"/>
      <w:r w:rsidR="00DF7D68" w:rsidRPr="00DF7D68">
        <w:rPr>
          <w:b/>
          <w:lang w:eastAsia="en-US"/>
        </w:rPr>
        <w:t xml:space="preserve"> </w:t>
      </w:r>
    </w:p>
    <w:p w14:paraId="527A02B8" w14:textId="1F606FAD" w:rsidR="00DF7D68" w:rsidRPr="005337B5" w:rsidRDefault="00C00F70" w:rsidP="0030659B">
      <w:pPr>
        <w:spacing w:line="360" w:lineRule="auto"/>
        <w:jc w:val="both"/>
      </w:pPr>
      <w:r>
        <w:t>In terms of</w:t>
      </w:r>
      <w:r w:rsidR="00DF7D68">
        <w:t xml:space="preserve"> impact of </w:t>
      </w:r>
      <w:r w:rsidR="00DF7D68" w:rsidRPr="00DF7D68">
        <w:rPr>
          <w:i/>
        </w:rPr>
        <w:t xml:space="preserve">Regulated </w:t>
      </w:r>
      <w:r w:rsidR="00DF7D68">
        <w:t>on SEC review, multivariate analysis show</w:t>
      </w:r>
      <w:r w:rsidR="00A02079">
        <w:t>s</w:t>
      </w:r>
      <w:r w:rsidR="00DF7D68">
        <w:t xml:space="preserve"> negative effect of </w:t>
      </w:r>
      <w:r w:rsidR="00DF7D68" w:rsidRPr="00DF7D68">
        <w:rPr>
          <w:i/>
        </w:rPr>
        <w:t xml:space="preserve">Regulated </w:t>
      </w:r>
      <w:r w:rsidR="00DF7D68">
        <w:t xml:space="preserve">on </w:t>
      </w:r>
      <w:r w:rsidR="00DF7D68" w:rsidRPr="00DF7D68">
        <w:rPr>
          <w:i/>
        </w:rPr>
        <w:t xml:space="preserve">Duration </w:t>
      </w:r>
      <w:r w:rsidR="00DF7D68">
        <w:t xml:space="preserve">as well as no effect of </w:t>
      </w:r>
      <w:r w:rsidR="00DF7D68" w:rsidRPr="00DF7D68">
        <w:rPr>
          <w:i/>
        </w:rPr>
        <w:t xml:space="preserve">Regulated </w:t>
      </w:r>
      <w:r w:rsidR="00DF7D68">
        <w:t xml:space="preserve">on </w:t>
      </w:r>
      <w:r w:rsidR="00DF7D68" w:rsidRPr="00DF7D68">
        <w:rPr>
          <w:i/>
        </w:rPr>
        <w:t xml:space="preserve">Letters </w:t>
      </w:r>
      <w:r w:rsidR="00DF7D68">
        <w:t xml:space="preserve">and </w:t>
      </w:r>
      <w:r w:rsidR="00DF7D68" w:rsidRPr="00DF7D68">
        <w:rPr>
          <w:i/>
        </w:rPr>
        <w:t>Comments</w:t>
      </w:r>
      <w:r w:rsidR="00DF7D68">
        <w:rPr>
          <w:i/>
        </w:rPr>
        <w:t xml:space="preserve">, </w:t>
      </w:r>
      <w:r w:rsidR="00DF7D68" w:rsidRPr="00C00F70">
        <w:rPr>
          <w:lang w:eastAsia="en-US"/>
        </w:rPr>
        <w:t xml:space="preserve">which </w:t>
      </w:r>
      <w:r w:rsidR="00DF7D68">
        <w:rPr>
          <w:lang w:eastAsia="en-US"/>
        </w:rPr>
        <w:t xml:space="preserve">indicates that </w:t>
      </w:r>
      <w:r w:rsidR="00DF7D68" w:rsidRPr="00EE49FB">
        <w:rPr>
          <w:lang w:eastAsia="en-US"/>
        </w:rPr>
        <w:t xml:space="preserve">the SEC spend less time </w:t>
      </w:r>
      <w:r>
        <w:rPr>
          <w:lang w:eastAsia="en-US"/>
        </w:rPr>
        <w:t>reviewing</w:t>
      </w:r>
      <w:r w:rsidR="00DF7D68" w:rsidRPr="00EE49FB">
        <w:rPr>
          <w:lang w:eastAsia="en-US"/>
        </w:rPr>
        <w:t xml:space="preserve"> firms who are operating in regulated industries</w:t>
      </w:r>
      <w:r w:rsidR="00DF7D68">
        <w:rPr>
          <w:lang w:eastAsia="en-US"/>
        </w:rPr>
        <w:t xml:space="preserve">. </w:t>
      </w:r>
      <w:r w:rsidR="00DF7D68">
        <w:t xml:space="preserve">This result is </w:t>
      </w:r>
      <w:r w:rsidR="005337B5">
        <w:t>consistent</w:t>
      </w:r>
      <w:r w:rsidR="00DF7D68">
        <w:t xml:space="preserve"> with the </w:t>
      </w:r>
      <w:r w:rsidR="005337B5">
        <w:t xml:space="preserve">argument that </w:t>
      </w:r>
      <w:r w:rsidR="00DF7D68" w:rsidRPr="000912EF">
        <w:rPr>
          <w:lang w:eastAsia="en-US"/>
        </w:rPr>
        <w:t xml:space="preserve">regulated firms have existing obvious external reporting duties </w:t>
      </w:r>
      <w:r w:rsidR="00DF7D68">
        <w:rPr>
          <w:lang w:eastAsia="en-US"/>
        </w:rPr>
        <w:t xml:space="preserve">therefore, </w:t>
      </w:r>
      <w:r w:rsidR="00DF7D68" w:rsidRPr="000912EF">
        <w:rPr>
          <w:lang w:eastAsia="en-US"/>
        </w:rPr>
        <w:t xml:space="preserve">the quality of the regulated firms' S-1 filings could be more standard rather than that of non-regulated firms </w:t>
      </w:r>
      <w:r w:rsidR="00DF7D68" w:rsidRPr="000912EF">
        <w:rPr>
          <w:lang w:eastAsia="en-US"/>
        </w:rPr>
        <w:fldChar w:fldCharType="begin" w:fldLock="1"/>
      </w:r>
      <w:r w:rsidR="00DF7D68">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rsidR="00DF7D68" w:rsidRPr="000912EF">
        <w:rPr>
          <w:lang w:eastAsia="en-US"/>
        </w:rPr>
        <w:fldChar w:fldCharType="separate"/>
      </w:r>
      <w:r w:rsidR="00DF7D68" w:rsidRPr="000912EF">
        <w:rPr>
          <w:noProof/>
          <w:lang w:eastAsia="en-US"/>
        </w:rPr>
        <w:t>(Ertimur &amp; Nondorf, 2006)</w:t>
      </w:r>
      <w:r w:rsidR="00DF7D68" w:rsidRPr="000912EF">
        <w:rPr>
          <w:lang w:eastAsia="en-US"/>
        </w:rPr>
        <w:fldChar w:fldCharType="end"/>
      </w:r>
      <w:r w:rsidR="00DF7D68" w:rsidRPr="000912EF">
        <w:rPr>
          <w:lang w:eastAsia="en-US"/>
        </w:rPr>
        <w:t xml:space="preserve">, </w:t>
      </w:r>
      <w:r w:rsidR="005337B5">
        <w:rPr>
          <w:lang w:eastAsia="en-US"/>
        </w:rPr>
        <w:t xml:space="preserve">suggesting less SEC </w:t>
      </w:r>
      <w:r w:rsidR="00933315">
        <w:rPr>
          <w:lang w:eastAsia="en-US"/>
        </w:rPr>
        <w:t>scrutiny on the regulated firms.</w:t>
      </w:r>
    </w:p>
    <w:p w14:paraId="41AB126F" w14:textId="54E3D178" w:rsidR="00DF7D68" w:rsidRDefault="00C00F70" w:rsidP="0030659B">
      <w:pPr>
        <w:spacing w:line="360" w:lineRule="auto"/>
        <w:jc w:val="both"/>
        <w:rPr>
          <w:b/>
          <w:lang w:eastAsia="en-US"/>
        </w:rPr>
      </w:pPr>
      <w:r>
        <w:rPr>
          <w:lang w:eastAsia="en-US"/>
        </w:rPr>
        <w:t xml:space="preserve">Concerning </w:t>
      </w:r>
      <w:r w:rsidR="00DF7D68">
        <w:rPr>
          <w:lang w:eastAsia="en-US"/>
        </w:rPr>
        <w:t xml:space="preserve">impact of </w:t>
      </w:r>
      <w:r w:rsidR="00DF7D68" w:rsidRPr="00DF7D68">
        <w:rPr>
          <w:i/>
          <w:lang w:eastAsia="en-US"/>
        </w:rPr>
        <w:t xml:space="preserve">Technology </w:t>
      </w:r>
      <w:r>
        <w:rPr>
          <w:lang w:eastAsia="en-US"/>
        </w:rPr>
        <w:t xml:space="preserve">on </w:t>
      </w:r>
      <w:r w:rsidR="00DF7D68">
        <w:rPr>
          <w:lang w:eastAsia="en-US"/>
        </w:rPr>
        <w:t>SEC review, multivariate analysis reveal</w:t>
      </w:r>
      <w:r w:rsidR="0081685F">
        <w:rPr>
          <w:lang w:eastAsia="en-US"/>
        </w:rPr>
        <w:t>s</w:t>
      </w:r>
      <w:r w:rsidR="00DF7D68">
        <w:rPr>
          <w:lang w:eastAsia="en-US"/>
        </w:rPr>
        <w:t xml:space="preserve"> positive effects of </w:t>
      </w:r>
      <w:r w:rsidR="00DF7D68" w:rsidRPr="00DF7D68">
        <w:rPr>
          <w:i/>
          <w:lang w:eastAsia="en-US"/>
        </w:rPr>
        <w:t xml:space="preserve">Technology </w:t>
      </w:r>
      <w:r w:rsidR="00DF7D68">
        <w:rPr>
          <w:lang w:eastAsia="en-US"/>
        </w:rPr>
        <w:t xml:space="preserve">on </w:t>
      </w:r>
      <w:r w:rsidR="00DF7D68" w:rsidRPr="00DF7D68">
        <w:rPr>
          <w:i/>
          <w:lang w:eastAsia="en-US"/>
        </w:rPr>
        <w:t xml:space="preserve">Duration </w:t>
      </w:r>
      <w:r w:rsidR="00DF7D68">
        <w:rPr>
          <w:lang w:eastAsia="en-US"/>
        </w:rPr>
        <w:t xml:space="preserve">and no effect of </w:t>
      </w:r>
      <w:r w:rsidR="00DF7D68" w:rsidRPr="00DF7D68">
        <w:rPr>
          <w:i/>
          <w:lang w:eastAsia="en-US"/>
        </w:rPr>
        <w:t xml:space="preserve">Technology </w:t>
      </w:r>
      <w:r w:rsidR="00DF7D68">
        <w:rPr>
          <w:lang w:eastAsia="en-US"/>
        </w:rPr>
        <w:t xml:space="preserve">on </w:t>
      </w:r>
      <w:r w:rsidR="00DF7D68" w:rsidRPr="00DF7D68">
        <w:rPr>
          <w:i/>
          <w:lang w:eastAsia="en-US"/>
        </w:rPr>
        <w:t xml:space="preserve">Letters </w:t>
      </w:r>
      <w:r w:rsidR="00DF7D68">
        <w:rPr>
          <w:lang w:eastAsia="en-US"/>
        </w:rPr>
        <w:t xml:space="preserve">and </w:t>
      </w:r>
      <w:r>
        <w:rPr>
          <w:i/>
          <w:lang w:eastAsia="en-US"/>
        </w:rPr>
        <w:t xml:space="preserve">Comments. </w:t>
      </w:r>
      <w:r>
        <w:rPr>
          <w:lang w:eastAsia="en-US"/>
        </w:rPr>
        <w:t xml:space="preserve">Univariate </w:t>
      </w:r>
      <w:r>
        <w:rPr>
          <w:lang w:eastAsia="en-US"/>
        </w:rPr>
        <w:lastRenderedPageBreak/>
        <w:t xml:space="preserve">analysis reveals positive effects of </w:t>
      </w:r>
      <w:r w:rsidRPr="00DF7D68">
        <w:rPr>
          <w:i/>
          <w:lang w:eastAsia="en-US"/>
        </w:rPr>
        <w:t xml:space="preserve">Technology </w:t>
      </w:r>
      <w:r>
        <w:rPr>
          <w:lang w:eastAsia="en-US"/>
        </w:rPr>
        <w:t>on all SEC review attributes</w:t>
      </w:r>
      <w:r w:rsidRPr="00DF7D68">
        <w:rPr>
          <w:i/>
          <w:lang w:eastAsia="en-US"/>
        </w:rPr>
        <w:t xml:space="preserve">. </w:t>
      </w:r>
      <w:r>
        <w:t>These results indicate</w:t>
      </w:r>
      <w:r w:rsidR="00DF7D68">
        <w:t xml:space="preserve"> </w:t>
      </w:r>
      <w:r>
        <w:t xml:space="preserve">that </w:t>
      </w:r>
      <w:r w:rsidR="00DF7D68">
        <w:rPr>
          <w:lang w:eastAsia="en-US"/>
        </w:rPr>
        <w:t xml:space="preserve">SEC spend more time </w:t>
      </w:r>
      <w:r>
        <w:rPr>
          <w:lang w:eastAsia="en-US"/>
        </w:rPr>
        <w:t>reviewing firms operating in</w:t>
      </w:r>
      <w:r w:rsidR="00DF7D68">
        <w:rPr>
          <w:lang w:eastAsia="en-US"/>
        </w:rPr>
        <w:t xml:space="preserve"> technology industries. This </w:t>
      </w:r>
      <w:r>
        <w:rPr>
          <w:lang w:eastAsia="en-US"/>
        </w:rPr>
        <w:t>finding</w:t>
      </w:r>
      <w:r w:rsidR="00DF7D68">
        <w:rPr>
          <w:lang w:eastAsia="en-US"/>
        </w:rPr>
        <w:t xml:space="preserve"> is in li</w:t>
      </w:r>
      <w:r w:rsidR="00732014">
        <w:rPr>
          <w:lang w:eastAsia="en-US"/>
        </w:rPr>
        <w:t xml:space="preserve">ne with </w:t>
      </w:r>
      <w:r w:rsidR="00DF7D68">
        <w:rPr>
          <w:lang w:eastAsia="en-US"/>
        </w:rPr>
        <w:t xml:space="preserve">arguments that </w:t>
      </w:r>
      <w:r w:rsidR="005A46EE">
        <w:rPr>
          <w:lang w:eastAsia="en-US"/>
        </w:rPr>
        <w:t>technology industries</w:t>
      </w:r>
      <w:r w:rsidR="00732014">
        <w:rPr>
          <w:lang w:eastAsia="en-US"/>
        </w:rPr>
        <w:t xml:space="preserve"> may have more information uncertainty </w:t>
      </w:r>
      <w:r w:rsidR="00732014">
        <w:rPr>
          <w:lang w:eastAsia="en-US"/>
        </w:rPr>
        <w:fldChar w:fldCharType="begin" w:fldLock="1"/>
      </w:r>
      <w:r w:rsidR="00A611DF">
        <w:rPr>
          <w:lang w:eastAsia="en-US"/>
        </w:rP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2006)","manualFormatting":"(Chahine et al., 2015; Colaco et al.; 2018)","plainTextFormattedCitation":"(Barry &amp; Brown, 1985; Zhang, 2006)","previouslyFormattedCitation":"(Barry &amp; Brown, 1985; Zhang, 2006)"},"properties":{"noteIndex":0},"schema":"https://github.com/citation-style-language/schema/raw/master/csl-citation.json"}</w:instrText>
      </w:r>
      <w:r w:rsidR="00732014">
        <w:rPr>
          <w:lang w:eastAsia="en-US"/>
        </w:rPr>
        <w:fldChar w:fldCharType="separate"/>
      </w:r>
      <w:r w:rsidR="00732014" w:rsidRPr="00D727AF">
        <w:rPr>
          <w:noProof/>
          <w:lang w:eastAsia="en-US"/>
        </w:rPr>
        <w:t>(</w:t>
      </w:r>
      <w:r w:rsidR="00732014">
        <w:rPr>
          <w:noProof/>
          <w:lang w:eastAsia="en-US"/>
        </w:rPr>
        <w:t xml:space="preserve">Chahine et al., </w:t>
      </w:r>
      <w:r w:rsidR="00732014" w:rsidRPr="00FD5570">
        <w:rPr>
          <w:noProof/>
          <w:lang w:eastAsia="en-US"/>
        </w:rPr>
        <w:t>2015</w:t>
      </w:r>
      <w:r w:rsidR="00732014">
        <w:rPr>
          <w:noProof/>
          <w:lang w:eastAsia="en-US"/>
        </w:rPr>
        <w:t xml:space="preserve">; </w:t>
      </w:r>
      <w:r w:rsidR="00732014">
        <w:rPr>
          <w:noProof/>
        </w:rPr>
        <w:t xml:space="preserve">Colaco et al.; </w:t>
      </w:r>
      <w:r w:rsidR="00F57010">
        <w:rPr>
          <w:noProof/>
        </w:rPr>
        <w:t>2018</w:t>
      </w:r>
      <w:r w:rsidR="00732014" w:rsidRPr="00D727AF">
        <w:rPr>
          <w:noProof/>
          <w:lang w:eastAsia="en-US"/>
        </w:rPr>
        <w:t>)</w:t>
      </w:r>
      <w:r w:rsidR="00732014">
        <w:rPr>
          <w:lang w:eastAsia="en-US"/>
        </w:rPr>
        <w:fldChar w:fldCharType="end"/>
      </w:r>
      <w:r w:rsidR="00732014">
        <w:rPr>
          <w:lang w:eastAsia="en-US"/>
        </w:rPr>
        <w:t xml:space="preserve">, who could attract more SEC scrutiny </w:t>
      </w:r>
      <w:r w:rsidR="00732014">
        <w:rPr>
          <w:lang w:eastAsia="en-US"/>
        </w:rPr>
        <w:fldChar w:fldCharType="begin" w:fldLock="1"/>
      </w:r>
      <w:r w:rsidR="00A611DF">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rsidR="00732014">
        <w:rPr>
          <w:lang w:eastAsia="en-US"/>
        </w:rPr>
        <w:fldChar w:fldCharType="separate"/>
      </w:r>
      <w:r w:rsidR="00732014">
        <w:rPr>
          <w:noProof/>
          <w:lang w:eastAsia="en-US"/>
        </w:rPr>
        <w:t>(</w:t>
      </w:r>
      <w:r w:rsidR="00732014" w:rsidRPr="002D7189">
        <w:rPr>
          <w:noProof/>
          <w:lang w:eastAsia="en-US"/>
        </w:rPr>
        <w:t xml:space="preserve"> Ertimur &amp; Nondorf, 2006</w:t>
      </w:r>
      <w:r w:rsidR="00732014">
        <w:rPr>
          <w:noProof/>
          <w:lang w:eastAsia="en-US"/>
        </w:rPr>
        <w:t xml:space="preserve">; </w:t>
      </w:r>
      <w:r w:rsidR="00732014" w:rsidRPr="002D7189">
        <w:rPr>
          <w:noProof/>
          <w:lang w:eastAsia="en-US"/>
        </w:rPr>
        <w:t>Chen &amp; John</w:t>
      </w:r>
      <w:r w:rsidR="00F57010">
        <w:rPr>
          <w:noProof/>
          <w:lang w:eastAsia="en-US"/>
        </w:rPr>
        <w:t>ston, 2010; Colaco et al., 2018</w:t>
      </w:r>
      <w:r w:rsidR="00732014" w:rsidRPr="002D7189">
        <w:rPr>
          <w:noProof/>
          <w:lang w:eastAsia="en-US"/>
        </w:rPr>
        <w:t>)</w:t>
      </w:r>
      <w:r w:rsidR="00732014">
        <w:rPr>
          <w:lang w:eastAsia="en-US"/>
        </w:rPr>
        <w:fldChar w:fldCharType="end"/>
      </w:r>
      <w:r w:rsidR="00DF7D68">
        <w:rPr>
          <w:lang w:eastAsia="en-US"/>
        </w:rPr>
        <w:t xml:space="preserve">. This result is also in agreement with the findings of </w:t>
      </w:r>
      <w:r w:rsidR="00DF7D68">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DF7D68">
        <w:rPr>
          <w:lang w:eastAsia="en-US"/>
        </w:rPr>
        <w:fldChar w:fldCharType="separate"/>
      </w:r>
      <w:r w:rsidR="00DF7D68">
        <w:rPr>
          <w:noProof/>
          <w:lang w:eastAsia="en-US"/>
        </w:rPr>
        <w:t>Colaco et al. (</w:t>
      </w:r>
      <w:r w:rsidR="00F57010">
        <w:rPr>
          <w:noProof/>
          <w:lang w:eastAsia="en-US"/>
        </w:rPr>
        <w:t>2018</w:t>
      </w:r>
      <w:r w:rsidR="00DF7D68" w:rsidRPr="007E3D3E">
        <w:rPr>
          <w:noProof/>
          <w:lang w:eastAsia="en-US"/>
        </w:rPr>
        <w:t>)</w:t>
      </w:r>
      <w:r w:rsidR="00DF7D68">
        <w:rPr>
          <w:lang w:eastAsia="en-US"/>
        </w:rPr>
        <w:fldChar w:fldCharType="end"/>
      </w:r>
      <w:r>
        <w:rPr>
          <w:lang w:eastAsia="en-US"/>
        </w:rPr>
        <w:t xml:space="preserve"> who identify that waiting periods of IPO firms operating in technology industries are longer than those of other firms</w:t>
      </w:r>
      <w:r w:rsidR="0081685F">
        <w:rPr>
          <w:lang w:eastAsia="en-US"/>
        </w:rPr>
        <w:t>.</w:t>
      </w:r>
    </w:p>
    <w:p w14:paraId="569A3E8B" w14:textId="77B588D8" w:rsidR="00DF7D68" w:rsidRDefault="00C00F70" w:rsidP="0030659B">
      <w:pPr>
        <w:spacing w:line="360" w:lineRule="auto"/>
        <w:jc w:val="both"/>
        <w:rPr>
          <w:b/>
          <w:lang w:eastAsia="en-US"/>
        </w:rPr>
      </w:pPr>
      <w:r>
        <w:rPr>
          <w:lang w:eastAsia="en-US"/>
        </w:rPr>
        <w:t>As for</w:t>
      </w:r>
      <w:r w:rsidR="00DF7D68">
        <w:rPr>
          <w:lang w:eastAsia="en-US"/>
        </w:rPr>
        <w:t xml:space="preserve"> impact of </w:t>
      </w:r>
      <w:r w:rsidR="00DF7D68" w:rsidRPr="00DF7D68">
        <w:rPr>
          <w:i/>
          <w:lang w:eastAsia="en-US"/>
        </w:rPr>
        <w:t xml:space="preserve">IPOs by industry </w:t>
      </w:r>
      <w:r w:rsidR="00DF7D68">
        <w:rPr>
          <w:lang w:eastAsia="en-US"/>
        </w:rPr>
        <w:t>on SEC review</w:t>
      </w:r>
      <w:r w:rsidR="00DF7D68" w:rsidRPr="00DF7D68">
        <w:rPr>
          <w:i/>
          <w:lang w:eastAsia="en-US"/>
        </w:rPr>
        <w:t xml:space="preserve">, </w:t>
      </w:r>
      <w:r>
        <w:rPr>
          <w:lang w:eastAsia="en-US"/>
        </w:rPr>
        <w:t>both</w:t>
      </w:r>
      <w:r w:rsidR="00DF7D68">
        <w:rPr>
          <w:lang w:eastAsia="en-US"/>
        </w:rPr>
        <w:t xml:space="preserve"> univariate </w:t>
      </w:r>
      <w:r>
        <w:rPr>
          <w:lang w:eastAsia="en-US"/>
        </w:rPr>
        <w:t>and multivariate analysis</w:t>
      </w:r>
      <w:r w:rsidR="00DF7D68">
        <w:rPr>
          <w:lang w:eastAsia="en-US"/>
        </w:rPr>
        <w:t xml:space="preserve"> reveal negative effects of </w:t>
      </w:r>
      <w:r w:rsidR="00DF7D68" w:rsidRPr="00DF7D68">
        <w:rPr>
          <w:i/>
          <w:lang w:eastAsia="en-US"/>
        </w:rPr>
        <w:t xml:space="preserve">IPOs by industry </w:t>
      </w:r>
      <w:r w:rsidR="00DF7D68">
        <w:rPr>
          <w:lang w:eastAsia="en-US"/>
        </w:rPr>
        <w:t xml:space="preserve">on </w:t>
      </w:r>
      <w:r w:rsidR="00DF7D68" w:rsidRPr="00DF7D68">
        <w:rPr>
          <w:i/>
          <w:lang w:eastAsia="en-US"/>
        </w:rPr>
        <w:t xml:space="preserve">Duration, Letters </w:t>
      </w:r>
      <w:r w:rsidR="00DF7D68">
        <w:rPr>
          <w:lang w:eastAsia="en-US"/>
        </w:rPr>
        <w:t xml:space="preserve">and </w:t>
      </w:r>
      <w:r w:rsidR="00DF7D68" w:rsidRPr="00DF7D68">
        <w:rPr>
          <w:i/>
          <w:lang w:eastAsia="en-US"/>
        </w:rPr>
        <w:t>Comments</w:t>
      </w:r>
      <w:r>
        <w:rPr>
          <w:i/>
          <w:lang w:eastAsia="en-US"/>
        </w:rPr>
        <w:t xml:space="preserve">, </w:t>
      </w:r>
      <w:r w:rsidR="00E53742">
        <w:t>which</w:t>
      </w:r>
      <w:r w:rsidR="00DF7D68">
        <w:t xml:space="preserve"> indicates that </w:t>
      </w:r>
      <w:r w:rsidR="00DF7D68" w:rsidRPr="007E3D3E">
        <w:t xml:space="preserve">in industries having more IPO firms, the SEC spend less time, issue </w:t>
      </w:r>
      <w:r w:rsidR="00A02079">
        <w:t>fewer</w:t>
      </w:r>
      <w:r w:rsidR="00DF7D68" w:rsidRPr="007E3D3E">
        <w:t xml:space="preserve"> comment letters in the review of the firms’ S-1 filings and issue </w:t>
      </w:r>
      <w:r w:rsidR="00A02079">
        <w:t>fewer</w:t>
      </w:r>
      <w:r w:rsidR="00DF7D68" w:rsidRPr="007E3D3E">
        <w:t xml:space="preserve"> comments for their initial S-1 filings.</w:t>
      </w:r>
      <w:r w:rsidR="00DF7D68">
        <w:t xml:space="preserve"> This result is in line with arguments about the behavioural effects of excessively high workload </w:t>
      </w:r>
      <w:r w:rsidR="00DF7D68">
        <w:fldChar w:fldCharType="begin" w:fldLock="1"/>
      </w:r>
      <w:r w:rsidR="00DF7D68">
        <w:instrText>ADDIN CSL_CITATION {"citationItems":[{"id":"ITEM-1","itemData":{"DOI":"10.1287/mnsc.2014.1950","ISSN":"0025-1909","abstract":"We analyze a large, detailed operational data set from a restaurant chain to shed new light on how workload (defined as the hourly average number of diners assigned to a server) affects servers' performance (measured as hourly sales). We use an exogenous shock - implementation of a labor scheduling software - to disentangle the endogeneity between demand and supply in this setting. We find that when the overall workload is low, an increase in workload leads to higher server performance. However, there is a saturation point after which any further increase in the workload leads to a decline in performance. In the focal restaurant chain we find that this saturation point is generally not reached and, counter-intuitively, the chain can reduce the staffing level and achieve both signi cantly higher sales (an estimated 35% increase) and lower labor costs (an estimated 20% decrease).","author":[{"dropping-particle":"","family":"Tan","given":"T.","non-dropping-particle":"","parse-names":false,"suffix":""},{"dropping-particle":"","family":"Netessine","given":"S.","non-dropping-particle":"","parse-names":false,"suffix":""}],"container-title":"Management Science","id":"ITEM-1","issue":"6","issued":{"date-parts":[["2014"]]},"page":"1574-1593","title":"When Does the Devil Make Work? An Empirical Study of the Impact of Workload on Worker Productivity","type":"article-journal","volume":"60"},"uris":["http://www.mendeley.com/documents/?uuid=35c40de5-a4da-4299-ae05-ce61e8318e8f"]}],"mendeley":{"formattedCitation":"(Tan &amp; Netessine, 2014)","plainTextFormattedCitation":"(Tan &amp; Netessine, 2014)","previouslyFormattedCitation":"(Tan &amp; Netessine, 2014)"},"properties":{"noteIndex":0},"schema":"https://github.com/citation-style-language/schema/raw/master/csl-citation.json"}</w:instrText>
      </w:r>
      <w:r w:rsidR="00DF7D68">
        <w:fldChar w:fldCharType="separate"/>
      </w:r>
      <w:r w:rsidR="00DF7D68" w:rsidRPr="007169CB">
        <w:rPr>
          <w:noProof/>
        </w:rPr>
        <w:t>(Tan &amp; Netessine, 2014)</w:t>
      </w:r>
      <w:r w:rsidR="00DF7D68">
        <w:fldChar w:fldCharType="end"/>
      </w:r>
      <w:r w:rsidR="00732014">
        <w:t xml:space="preserve"> which suggests that </w:t>
      </w:r>
      <w:r w:rsidR="00732014">
        <w:rPr>
          <w:lang w:eastAsia="en-US"/>
        </w:rPr>
        <w:t>when workload is too enormous, it may which obstructs workers from fulfilling their targets and reduce the workers’ motivation and commitment</w:t>
      </w:r>
      <w:r w:rsidR="00DF7D68">
        <w:t xml:space="preserve">. </w:t>
      </w:r>
      <w:r w:rsidR="00732014">
        <w:t xml:space="preserve">This finding is also consistent with the findings of </w:t>
      </w:r>
      <w:r w:rsidR="00732014">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732014">
        <w:rPr>
          <w:lang w:eastAsia="en-US"/>
        </w:rPr>
        <w:fldChar w:fldCharType="separate"/>
      </w:r>
      <w:r w:rsidR="00732014">
        <w:rPr>
          <w:noProof/>
          <w:lang w:eastAsia="en-US"/>
        </w:rPr>
        <w:t>Colaco et al. (</w:t>
      </w:r>
      <w:r w:rsidR="00F57010">
        <w:rPr>
          <w:noProof/>
          <w:lang w:eastAsia="en-US"/>
        </w:rPr>
        <w:t>2018</w:t>
      </w:r>
      <w:r w:rsidR="00732014" w:rsidRPr="007E3D3E">
        <w:rPr>
          <w:noProof/>
          <w:lang w:eastAsia="en-US"/>
        </w:rPr>
        <w:t>)</w:t>
      </w:r>
      <w:r w:rsidR="00732014">
        <w:rPr>
          <w:lang w:eastAsia="en-US"/>
        </w:rPr>
        <w:fldChar w:fldCharType="end"/>
      </w:r>
      <w:r w:rsidR="00746809">
        <w:rPr>
          <w:lang w:eastAsia="en-US"/>
        </w:rPr>
        <w:t xml:space="preserve"> who provide evidence of decrease in waiting periods in hot IPO markets where moving average of the volume of IPOs in each quarter is 50% higher than the historical average</w:t>
      </w:r>
      <w:r w:rsidR="00732014">
        <w:rPr>
          <w:lang w:eastAsia="en-US"/>
        </w:rPr>
        <w:t>.</w:t>
      </w:r>
    </w:p>
    <w:p w14:paraId="774CAA39" w14:textId="45FCADC7" w:rsidR="008E0E64" w:rsidRDefault="008E0E64" w:rsidP="781474D5">
      <w:pPr>
        <w:spacing w:line="360" w:lineRule="auto"/>
        <w:jc w:val="both"/>
      </w:pPr>
      <w:r>
        <w:t xml:space="preserve">With regard to </w:t>
      </w:r>
      <w:r w:rsidR="00DF7D68">
        <w:t xml:space="preserve">impact of </w:t>
      </w:r>
      <w:r w:rsidR="00DF7D68" w:rsidRPr="781474D5">
        <w:rPr>
          <w:i/>
          <w:iCs/>
        </w:rPr>
        <w:t xml:space="preserve">Herfindahl index </w:t>
      </w:r>
      <w:r w:rsidR="00DF7D68">
        <w:t>on SEC review</w:t>
      </w:r>
      <w:r>
        <w:rPr>
          <w:i/>
          <w:iCs/>
        </w:rPr>
        <w:t>,</w:t>
      </w:r>
      <w:r w:rsidR="00DF7D68">
        <w:t xml:space="preserve"> multivariate analysis reveal</w:t>
      </w:r>
      <w:r w:rsidR="00A02079">
        <w:t>s</w:t>
      </w:r>
      <w:r w:rsidR="00DF7D68">
        <w:t xml:space="preserve"> no effect of </w:t>
      </w:r>
      <w:r w:rsidR="00DF7D68" w:rsidRPr="781474D5">
        <w:rPr>
          <w:i/>
          <w:iCs/>
        </w:rPr>
        <w:t xml:space="preserve">Herfindahl index </w:t>
      </w:r>
      <w:r w:rsidR="00DF7D68">
        <w:t>on a</w:t>
      </w:r>
      <w:r w:rsidR="00907EA0">
        <w:t xml:space="preserve">ll three SEC review attributes, </w:t>
      </w:r>
      <w:r w:rsidR="00E53742">
        <w:t>which indicates</w:t>
      </w:r>
      <w:r w:rsidR="781474D5" w:rsidRPr="781474D5">
        <w:rPr>
          <w:rFonts w:eastAsia="Times New Roman"/>
        </w:rPr>
        <w:t xml:space="preserve"> that the SEC review is not sensitive to the market competition</w:t>
      </w:r>
      <w:r w:rsidR="00DF7D68">
        <w:t>.</w:t>
      </w:r>
      <w:r w:rsidR="00EC766C">
        <w:rPr>
          <w:rStyle w:val="FootnoteReference"/>
        </w:rPr>
        <w:footnoteReference w:id="24"/>
      </w:r>
      <w:r w:rsidR="00DF7D68">
        <w:t xml:space="preserve"> </w:t>
      </w:r>
      <w:r w:rsidR="0020360D">
        <w:t xml:space="preserve">This finding is not consistent with findings of </w:t>
      </w:r>
      <w:r w:rsidR="0020360D" w:rsidRPr="781474D5">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sidR="0020360D" w:rsidRPr="781474D5">
        <w:rPr>
          <w:lang w:eastAsia="en-US"/>
        </w:rPr>
        <w:fldChar w:fldCharType="separate"/>
      </w:r>
      <w:r w:rsidR="0020360D">
        <w:rPr>
          <w:noProof/>
          <w:lang w:eastAsia="en-US"/>
        </w:rPr>
        <w:t>Colaco et al. (</w:t>
      </w:r>
      <w:r w:rsidR="00F57010">
        <w:rPr>
          <w:noProof/>
          <w:lang w:eastAsia="en-US"/>
        </w:rPr>
        <w:t>2018</w:t>
      </w:r>
      <w:r w:rsidR="0020360D" w:rsidRPr="007E3D3E">
        <w:rPr>
          <w:noProof/>
          <w:lang w:eastAsia="en-US"/>
        </w:rPr>
        <w:t>)</w:t>
      </w:r>
      <w:r w:rsidR="0020360D" w:rsidRPr="781474D5">
        <w:fldChar w:fldCharType="end"/>
      </w:r>
      <w:r w:rsidR="0020360D">
        <w:rPr>
          <w:lang w:eastAsia="en-US"/>
        </w:rPr>
        <w:t xml:space="preserve"> </w:t>
      </w:r>
      <w:r>
        <w:rPr>
          <w:lang w:eastAsia="en-US"/>
        </w:rPr>
        <w:t>because I</w:t>
      </w:r>
      <w:r w:rsidR="0020360D">
        <w:rPr>
          <w:lang w:eastAsia="en-US"/>
        </w:rPr>
        <w:t xml:space="preserve"> employ different proxies of the market concentration as well as different sample period </w:t>
      </w:r>
      <w:r>
        <w:rPr>
          <w:lang w:eastAsia="en-US"/>
        </w:rPr>
        <w:t>in</w:t>
      </w:r>
      <w:r w:rsidR="0020360D">
        <w:rPr>
          <w:lang w:eastAsia="en-US"/>
        </w:rPr>
        <w:t xml:space="preserve"> my study.</w:t>
      </w:r>
      <w:r w:rsidRPr="008E0E64">
        <w:t xml:space="preserve"> </w:t>
      </w:r>
      <w:r>
        <w:t xml:space="preserve">Furthermore, </w:t>
      </w:r>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id":"ITEM-2","itemData":{"author":[{"dropping-particle":"","family":"Blackburne","given":"Terrence","non-dropping-particle":"","parse-names":false,"suffix":""}],"container-title":"Working paper","id":"ITEM-2","issued":{"date-parts":[["2014"]]},"title":"Regulatory Oversight and Reporting Incentives: Evidence from SEC Budget Allocations Terrence","type":"article-journal"},"uris":["http://www.mendeley.com/documents/?uuid=9a5e3877-0197-49fd-9514-481934d4138a"]}],"mendeley":{"formattedCitation":"(Blackburne, 2014; Colaco et al., 2018)","manualFormatting":" Colaco et al. (2018)","plainTextFormattedCitation":"(Blackburne, 2014; Colaco et al., 2018)","previouslyFormattedCitation":"(Blackburne, 2014; Colaco et al., 2018)"},"properties":{"noteIndex":0},"schema":"https://github.com/citation-style-language/schema/raw/master/csl-citation.json"}</w:instrText>
      </w:r>
      <w:r>
        <w:fldChar w:fldCharType="separate"/>
      </w:r>
      <w:r>
        <w:rPr>
          <w:noProof/>
        </w:rPr>
        <w:t xml:space="preserve"> Colaco et al. (2018</w:t>
      </w:r>
      <w:r w:rsidRPr="00CC20CD">
        <w:rPr>
          <w:noProof/>
        </w:rPr>
        <w:t>)</w:t>
      </w:r>
      <w:r>
        <w:fldChar w:fldCharType="end"/>
      </w:r>
      <w:r>
        <w:t xml:space="preserve"> do not employ any control variable of IPO firms’ characteristics which could have potential correlation with variable of market competition and potential impact on SEC review, e.g. IPO firms’ size, profitability.</w:t>
      </w:r>
    </w:p>
    <w:p w14:paraId="3EA17DA1" w14:textId="6F615FD8" w:rsidR="00DF7D68" w:rsidRDefault="002E566B" w:rsidP="00314E80">
      <w:pPr>
        <w:pStyle w:val="ListParagraph"/>
        <w:numPr>
          <w:ilvl w:val="1"/>
          <w:numId w:val="1"/>
        </w:numPr>
        <w:spacing w:line="360" w:lineRule="auto"/>
        <w:jc w:val="both"/>
        <w:outlineLvl w:val="1"/>
        <w:rPr>
          <w:b/>
          <w:lang w:eastAsia="en-US"/>
        </w:rPr>
      </w:pPr>
      <w:bookmarkStart w:id="45" w:name="_Toc9185813"/>
      <w:r>
        <w:rPr>
          <w:b/>
          <w:lang w:eastAsia="en-US"/>
        </w:rPr>
        <w:t>I</w:t>
      </w:r>
      <w:r w:rsidR="00DF7D68">
        <w:rPr>
          <w:b/>
          <w:lang w:eastAsia="en-US"/>
        </w:rPr>
        <w:t>mpact of the SEC characteristics on the SEC review</w:t>
      </w:r>
      <w:bookmarkEnd w:id="45"/>
      <w:r w:rsidR="00DF7D68">
        <w:rPr>
          <w:b/>
          <w:lang w:eastAsia="en-US"/>
        </w:rPr>
        <w:t xml:space="preserve"> </w:t>
      </w:r>
    </w:p>
    <w:p w14:paraId="5E95D941" w14:textId="0A5B8934" w:rsidR="00DF7D68" w:rsidRDefault="00EC766C" w:rsidP="0030659B">
      <w:pPr>
        <w:spacing w:line="360" w:lineRule="auto"/>
        <w:jc w:val="both"/>
      </w:pPr>
      <w:r>
        <w:t>In terms of</w:t>
      </w:r>
      <w:r w:rsidR="00DF7D68">
        <w:t xml:space="preserve"> impact </w:t>
      </w:r>
      <w:r>
        <w:t>of</w:t>
      </w:r>
      <w:r w:rsidR="00DF7D68">
        <w:t xml:space="preserve"> </w:t>
      </w:r>
      <w:r w:rsidR="00DF7D68" w:rsidRPr="00DF7D68">
        <w:rPr>
          <w:i/>
        </w:rPr>
        <w:t xml:space="preserve">Directors/Chief </w:t>
      </w:r>
      <w:r w:rsidR="00DF7D68">
        <w:t>on SEC review</w:t>
      </w:r>
      <w:r w:rsidR="00DF7D68" w:rsidRPr="00DF7D68">
        <w:rPr>
          <w:i/>
        </w:rPr>
        <w:t xml:space="preserve">, </w:t>
      </w:r>
      <w:r>
        <w:t>both</w:t>
      </w:r>
      <w:r w:rsidR="00DF7D68">
        <w:t xml:space="preserve"> univariate </w:t>
      </w:r>
      <w:r>
        <w:t>and multivariate analysis show</w:t>
      </w:r>
      <w:r w:rsidR="00DF7D68">
        <w:t xml:space="preserve"> negative effect</w:t>
      </w:r>
      <w:r>
        <w:t>s</w:t>
      </w:r>
      <w:r w:rsidR="00DF7D68">
        <w:t xml:space="preserve"> of </w:t>
      </w:r>
      <w:r w:rsidR="00DF7D68" w:rsidRPr="00DF7D68">
        <w:rPr>
          <w:i/>
        </w:rPr>
        <w:t xml:space="preserve">Directors/Chiefs </w:t>
      </w:r>
      <w:r w:rsidR="00DF7D68">
        <w:t xml:space="preserve">on </w:t>
      </w:r>
      <w:r w:rsidR="00DF7D68" w:rsidRPr="00DF7D68">
        <w:rPr>
          <w:i/>
        </w:rPr>
        <w:t xml:space="preserve">Duration </w:t>
      </w:r>
      <w:r w:rsidR="00DF7D68">
        <w:t>as well as no effect</w:t>
      </w:r>
      <w:r>
        <w:t>s</w:t>
      </w:r>
      <w:r w:rsidR="00DF7D68">
        <w:t xml:space="preserve"> of </w:t>
      </w:r>
      <w:r w:rsidR="00DF7D68" w:rsidRPr="00DF7D68">
        <w:rPr>
          <w:i/>
        </w:rPr>
        <w:t xml:space="preserve">Directors/Chiefs </w:t>
      </w:r>
      <w:r w:rsidR="00DF7D68">
        <w:t xml:space="preserve">on </w:t>
      </w:r>
      <w:r w:rsidR="00DF7D68" w:rsidRPr="00DF7D68">
        <w:rPr>
          <w:i/>
        </w:rPr>
        <w:t xml:space="preserve">Letters </w:t>
      </w:r>
      <w:r w:rsidR="00DF7D68">
        <w:t xml:space="preserve">and </w:t>
      </w:r>
      <w:r w:rsidR="00DF7D68" w:rsidRPr="00DF7D68">
        <w:rPr>
          <w:i/>
        </w:rPr>
        <w:t>Comments</w:t>
      </w:r>
      <w:r>
        <w:t xml:space="preserve">, </w:t>
      </w:r>
      <w:r w:rsidR="00E53742">
        <w:t>which indicates</w:t>
      </w:r>
      <w:r w:rsidR="00DF7D68">
        <w:t xml:space="preserve"> that </w:t>
      </w:r>
      <w:r w:rsidR="00DF7D68">
        <w:rPr>
          <w:lang w:eastAsia="en-US"/>
        </w:rPr>
        <w:t xml:space="preserve">reviewers who </w:t>
      </w:r>
      <w:r w:rsidR="009E0E60">
        <w:rPr>
          <w:lang w:eastAsia="en-US"/>
        </w:rPr>
        <w:t>hold</w:t>
      </w:r>
      <w:r w:rsidR="00DF7D68">
        <w:rPr>
          <w:lang w:eastAsia="en-US"/>
        </w:rPr>
        <w:t xml:space="preserve"> job position </w:t>
      </w:r>
      <w:r w:rsidR="005A46EE">
        <w:rPr>
          <w:lang w:eastAsia="en-US"/>
        </w:rPr>
        <w:t xml:space="preserve">of </w:t>
      </w:r>
      <w:r w:rsidR="009E0E60">
        <w:rPr>
          <w:lang w:eastAsia="en-US"/>
        </w:rPr>
        <w:t>director</w:t>
      </w:r>
      <w:r w:rsidR="00DF7D68">
        <w:rPr>
          <w:lang w:eastAsia="en-US"/>
        </w:rPr>
        <w:t xml:space="preserve"> or </w:t>
      </w:r>
      <w:r w:rsidR="009E0E60">
        <w:rPr>
          <w:lang w:eastAsia="en-US"/>
        </w:rPr>
        <w:t>chief</w:t>
      </w:r>
      <w:r w:rsidR="00DF7D68">
        <w:rPr>
          <w:lang w:eastAsia="en-US"/>
        </w:rPr>
        <w:t xml:space="preserve"> spend less time </w:t>
      </w:r>
      <w:r>
        <w:rPr>
          <w:lang w:eastAsia="en-US"/>
        </w:rPr>
        <w:t>reviewing</w:t>
      </w:r>
      <w:r w:rsidR="00DF7D68">
        <w:rPr>
          <w:lang w:eastAsia="en-US"/>
        </w:rPr>
        <w:t xml:space="preserve"> S-1 filings. This result </w:t>
      </w:r>
      <w:r w:rsidR="00E60C92">
        <w:rPr>
          <w:lang w:eastAsia="en-US"/>
        </w:rPr>
        <w:t xml:space="preserve">supports </w:t>
      </w:r>
      <w:r w:rsidR="008F436F">
        <w:rPr>
          <w:lang w:eastAsia="en-US"/>
        </w:rPr>
        <w:t xml:space="preserve">arguments of Baugh et al. (2017) who suggest that reviewer with higher job position could have more experience, and hence, could </w:t>
      </w:r>
      <w:r w:rsidR="008F436F">
        <w:rPr>
          <w:lang w:eastAsia="en-US"/>
        </w:rPr>
        <w:lastRenderedPageBreak/>
        <w:t>spend less time to conduct the review</w:t>
      </w:r>
      <w:r w:rsidR="00DF7D68">
        <w:rPr>
          <w:lang w:eastAsia="en-US"/>
        </w:rPr>
        <w:t xml:space="preserve">. Appendix 3 reveals that </w:t>
      </w:r>
      <w:r w:rsidR="002C5A1C">
        <w:rPr>
          <w:lang w:eastAsia="en-US"/>
        </w:rPr>
        <w:t xml:space="preserve">Directors/Chiefs have higher annual salary than Professionals, which indicates that Directors/Chiefs could have more experience that Professionals. </w:t>
      </w:r>
    </w:p>
    <w:p w14:paraId="54AE5A9A" w14:textId="7E277BEB" w:rsidR="0081116F" w:rsidRDefault="00DF7D68" w:rsidP="0030659B">
      <w:pPr>
        <w:spacing w:line="360" w:lineRule="auto"/>
        <w:jc w:val="both"/>
        <w:rPr>
          <w:lang w:eastAsia="en-US"/>
        </w:rPr>
      </w:pPr>
      <w:r>
        <w:t xml:space="preserve">Regarding impact of </w:t>
      </w:r>
      <w:r w:rsidRPr="00DF7D68">
        <w:rPr>
          <w:i/>
        </w:rPr>
        <w:t xml:space="preserve">Accountant </w:t>
      </w:r>
      <w:r>
        <w:t xml:space="preserve">on SEC review, </w:t>
      </w:r>
      <w:r w:rsidR="00E60C92">
        <w:t>m</w:t>
      </w:r>
      <w:r>
        <w:t>ultivariate analysis shows negative effect</w:t>
      </w:r>
      <w:r w:rsidR="00E60C92">
        <w:t>s</w:t>
      </w:r>
      <w:r>
        <w:t xml:space="preserve"> of </w:t>
      </w:r>
      <w:r w:rsidRPr="00DF7D68">
        <w:rPr>
          <w:i/>
        </w:rPr>
        <w:t xml:space="preserve">Accountant </w:t>
      </w:r>
      <w:r>
        <w:t>on a</w:t>
      </w:r>
      <w:r w:rsidR="00907EA0">
        <w:t>ll three SEC re</w:t>
      </w:r>
      <w:r w:rsidR="00E60C92">
        <w:t xml:space="preserve">view attributes. Univariate analysis also shows negative effects of </w:t>
      </w:r>
      <w:r w:rsidR="00E60C92" w:rsidRPr="00DF7D68">
        <w:rPr>
          <w:i/>
        </w:rPr>
        <w:t xml:space="preserve">Accountant </w:t>
      </w:r>
      <w:r w:rsidR="00E60C92">
        <w:t xml:space="preserve">on </w:t>
      </w:r>
      <w:r w:rsidR="00E60C92" w:rsidRPr="00DF7D68">
        <w:rPr>
          <w:i/>
        </w:rPr>
        <w:t xml:space="preserve">Letters </w:t>
      </w:r>
      <w:r w:rsidR="00E60C92">
        <w:t xml:space="preserve">and </w:t>
      </w:r>
      <w:r w:rsidR="00E60C92" w:rsidRPr="00DF7D68">
        <w:rPr>
          <w:i/>
        </w:rPr>
        <w:t>Comments</w:t>
      </w:r>
      <w:r w:rsidR="00E60C92">
        <w:rPr>
          <w:i/>
        </w:rPr>
        <w:t xml:space="preserve">. </w:t>
      </w:r>
      <w:r w:rsidR="00E60C92">
        <w:t xml:space="preserve">These results </w:t>
      </w:r>
      <w:r w:rsidR="00E53742" w:rsidRPr="00E60C92">
        <w:t>indicate</w:t>
      </w:r>
      <w:r w:rsidRPr="0063218E">
        <w:t xml:space="preserve"> that SEC reviewers, who are accountant,</w:t>
      </w:r>
      <w:r>
        <w:t xml:space="preserve"> </w:t>
      </w:r>
      <w:r>
        <w:rPr>
          <w:lang w:eastAsia="en-US"/>
        </w:rPr>
        <w:t>spend less time for the review,</w:t>
      </w:r>
      <w:r w:rsidRPr="0063218E">
        <w:t xml:space="preserve"> issue </w:t>
      </w:r>
      <w:r w:rsidR="00A02079">
        <w:t>fewer</w:t>
      </w:r>
      <w:r>
        <w:t xml:space="preserve"> letters and </w:t>
      </w:r>
      <w:r w:rsidR="00A02079">
        <w:t>fewer</w:t>
      </w:r>
      <w:r w:rsidRPr="0063218E">
        <w:t xml:space="preserve"> comments on the initial S-1 filings.</w:t>
      </w:r>
      <w:r w:rsidRPr="00DF7D68">
        <w:rPr>
          <w:i/>
        </w:rPr>
        <w:t xml:space="preserve"> </w:t>
      </w:r>
      <w:r>
        <w:t xml:space="preserve">This result is in line with </w:t>
      </w:r>
      <w:r w:rsidR="00E60C92">
        <w:t>arguments that accountant reviewers</w:t>
      </w:r>
      <w:r w:rsidR="0081116F">
        <w:t xml:space="preserve"> are more likely to focus on accounting information </w:t>
      </w:r>
      <w:r w:rsidR="00E60C92">
        <w:t>(</w:t>
      </w:r>
      <w:r w:rsidR="0081116F" w:rsidRPr="000912EF">
        <w:rPr>
          <w:lang w:eastAsia="en-US"/>
        </w:rPr>
        <w:fldChar w:fldCharType="begin" w:fldLock="1"/>
      </w:r>
      <w:r w:rsidR="00E60C92">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81116F" w:rsidRPr="000912EF">
        <w:rPr>
          <w:lang w:eastAsia="en-US"/>
        </w:rPr>
        <w:fldChar w:fldCharType="separate"/>
      </w:r>
      <w:r w:rsidR="0081116F" w:rsidRPr="000912EF">
        <w:rPr>
          <w:noProof/>
          <w:lang w:eastAsia="en-US"/>
        </w:rPr>
        <w:t xml:space="preserve">Baugh et </w:t>
      </w:r>
      <w:r w:rsidR="00E60C92">
        <w:rPr>
          <w:noProof/>
          <w:lang w:eastAsia="en-US"/>
        </w:rPr>
        <w:t xml:space="preserve">al., </w:t>
      </w:r>
      <w:r w:rsidR="0081116F" w:rsidRPr="000912EF">
        <w:rPr>
          <w:noProof/>
          <w:lang w:eastAsia="en-US"/>
        </w:rPr>
        <w:t>2017)</w:t>
      </w:r>
      <w:r w:rsidR="0081116F" w:rsidRPr="000912EF">
        <w:rPr>
          <w:lang w:eastAsia="en-US"/>
        </w:rPr>
        <w:fldChar w:fldCharType="end"/>
      </w:r>
      <w:r w:rsidR="00E60C92">
        <w:t xml:space="preserve">. Therefore, the SEC review conducted by accountant reviewers may be </w:t>
      </w:r>
      <w:r w:rsidR="00F45580">
        <w:t xml:space="preserve">less intense since the proportion of accounting issues is less than that of other issues in S-1 filings according to the results obtained from the coding of types of issues as presented in </w:t>
      </w:r>
      <w:r w:rsidR="00F45580" w:rsidRPr="00F45580">
        <w:t>Appendix</w:t>
      </w:r>
      <w:r w:rsidR="00F45580">
        <w:t xml:space="preserve"> 2. My finding is contrary to the finding of </w:t>
      </w:r>
      <w:r w:rsidR="00F45580" w:rsidRPr="000912EF">
        <w:rPr>
          <w:lang w:eastAsia="en-US"/>
        </w:rPr>
        <w:fldChar w:fldCharType="begin" w:fldLock="1"/>
      </w:r>
      <w:r w:rsidR="00A611DF">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00F45580" w:rsidRPr="000912EF">
        <w:rPr>
          <w:lang w:eastAsia="en-US"/>
        </w:rPr>
        <w:fldChar w:fldCharType="separate"/>
      </w:r>
      <w:r w:rsidR="00F45580" w:rsidRPr="000912EF">
        <w:rPr>
          <w:noProof/>
          <w:lang w:eastAsia="en-US"/>
        </w:rPr>
        <w:t>Baugh et al. (2017)</w:t>
      </w:r>
      <w:r w:rsidR="00F45580" w:rsidRPr="000912EF">
        <w:rPr>
          <w:lang w:eastAsia="en-US"/>
        </w:rPr>
        <w:fldChar w:fldCharType="end"/>
      </w:r>
      <w:r w:rsidR="00F45580">
        <w:rPr>
          <w:lang w:eastAsia="en-US"/>
        </w:rPr>
        <w:t xml:space="preserve"> who examine the annual filings with the dominance of accounting information. </w:t>
      </w:r>
    </w:p>
    <w:p w14:paraId="4BC9DDE2" w14:textId="40746B0C" w:rsidR="00833807" w:rsidRDefault="00833807" w:rsidP="0030659B">
      <w:pPr>
        <w:spacing w:line="360" w:lineRule="auto"/>
        <w:jc w:val="both"/>
      </w:pPr>
      <w:r>
        <w:t xml:space="preserve">Overall, </w:t>
      </w:r>
      <w:r w:rsidR="00A321D4">
        <w:t>my</w:t>
      </w:r>
      <w:r w:rsidR="003C7B36">
        <w:t xml:space="preserve"> study is the first to identify the sensitivity of SEC review on S-1 filings to </w:t>
      </w:r>
      <w:r w:rsidR="00933315">
        <w:t xml:space="preserve">(1) </w:t>
      </w:r>
      <w:r w:rsidR="003C7B36">
        <w:t>IPO</w:t>
      </w:r>
      <w:r w:rsidR="00933315">
        <w:t xml:space="preserve"> characteristics including;</w:t>
      </w:r>
      <w:r w:rsidR="003C7B36">
        <w:t xml:space="preserve"> firms’ size, growth of sales, number of segments, M&amp;A activities, earnings number</w:t>
      </w:r>
      <w:r w:rsidR="00933315">
        <w:t>, dual of CEO and chairman of board of directors; (2) JOBs Act in 2012 and Dodd-Frank Act in 2010; (3) regulated industries; and (4) SEC reviewers’ job positions and job classifications.</w:t>
      </w:r>
      <w:r w:rsidR="00E63CCE">
        <w:t xml:space="preserve">. </w:t>
      </w:r>
      <w:r w:rsidR="00933315">
        <w:t xml:space="preserve">Otherwise, </w:t>
      </w:r>
      <w:r w:rsidR="00500758">
        <w:t xml:space="preserve">my study also identify the sensitivity of SEC review on S-1 filings to technology industry and industry size, </w:t>
      </w:r>
      <w:proofErr w:type="gramStart"/>
      <w:r w:rsidR="00500758">
        <w:t xml:space="preserve">which </w:t>
      </w:r>
      <w:r w:rsidR="00933315">
        <w:t xml:space="preserve"> </w:t>
      </w:r>
      <w:r w:rsidR="00500758">
        <w:t>is</w:t>
      </w:r>
      <w:proofErr w:type="gramEnd"/>
      <w:r w:rsidR="00500758">
        <w:t xml:space="preserve"> consistent with findings of </w:t>
      </w:r>
      <w:proofErr w:type="spellStart"/>
      <w:r w:rsidR="00500758">
        <w:t>Colaco</w:t>
      </w:r>
      <w:proofErr w:type="spellEnd"/>
      <w:r w:rsidR="00500758">
        <w:t xml:space="preserve"> et al. (2018) and validate their findings in more recent period which include important incidences of regulatory change under JOBs Act in 2012. </w:t>
      </w:r>
      <w:r w:rsidR="007B60ED">
        <w:t>Notably, the sensitivities of SEC S-1 review to (1) dual of CEO and chairman of board of directors and (2) JOBs Act in 2012 are the most robust since both univariate te</w:t>
      </w:r>
      <w:r w:rsidR="0047508A">
        <w:t>sts and multivariate tests show</w:t>
      </w:r>
      <w:r w:rsidR="007B60ED">
        <w:t xml:space="preserve"> the same positive/negative impacts of </w:t>
      </w:r>
      <w:proofErr w:type="spellStart"/>
      <w:r w:rsidR="007B60ED">
        <w:rPr>
          <w:i/>
        </w:rPr>
        <w:t>CEOchairman</w:t>
      </w:r>
      <w:proofErr w:type="spellEnd"/>
      <w:r w:rsidR="007B60ED">
        <w:rPr>
          <w:i/>
        </w:rPr>
        <w:t>/JOBs Act</w:t>
      </w:r>
      <w:r w:rsidR="007B60ED">
        <w:t xml:space="preserve"> on all SEC review attributes at the same level of significance (1%). </w:t>
      </w:r>
      <w:r w:rsidR="00500758">
        <w:t>It als</w:t>
      </w:r>
      <w:r w:rsidR="00A321D4">
        <w:t xml:space="preserve">o worth nothing among the factors affecting SEC S-1 review as identified in my study, the JOBs Act in 2012 have the most powerful impact on all three SEC review attributes as indicated by the largest </w:t>
      </w:r>
      <w:r w:rsidR="00625067">
        <w:t xml:space="preserve">value of </w:t>
      </w:r>
      <w:r w:rsidR="00A321D4">
        <w:t xml:space="preserve">coefficients in </w:t>
      </w:r>
      <w:r w:rsidR="00142348">
        <w:t xml:space="preserve">the multivariate regressions on </w:t>
      </w:r>
      <w:r w:rsidR="00142348">
        <w:rPr>
          <w:i/>
        </w:rPr>
        <w:t xml:space="preserve">JOBs Act </w:t>
      </w:r>
      <w:r w:rsidR="00142348">
        <w:t xml:space="preserve">and </w:t>
      </w:r>
      <w:r w:rsidR="00142348">
        <w:rPr>
          <w:i/>
        </w:rPr>
        <w:t xml:space="preserve">Duration, Letters </w:t>
      </w:r>
      <w:r w:rsidR="00142348">
        <w:t xml:space="preserve">and </w:t>
      </w:r>
      <w:r w:rsidR="00142348">
        <w:rPr>
          <w:i/>
        </w:rPr>
        <w:t xml:space="preserve">Comments </w:t>
      </w:r>
      <w:r w:rsidR="00142348">
        <w:t xml:space="preserve">(Table 11, Models 2). </w:t>
      </w:r>
    </w:p>
    <w:p w14:paraId="3260F13B" w14:textId="4B0B8A48" w:rsidR="009F7296" w:rsidRDefault="009F7296" w:rsidP="00937519">
      <w:pPr>
        <w:pStyle w:val="ListParagraph"/>
        <w:numPr>
          <w:ilvl w:val="0"/>
          <w:numId w:val="1"/>
        </w:numPr>
        <w:spacing w:line="360" w:lineRule="auto"/>
        <w:jc w:val="both"/>
        <w:outlineLvl w:val="0"/>
        <w:rPr>
          <w:b/>
          <w:lang w:eastAsia="en-US"/>
        </w:rPr>
      </w:pPr>
      <w:bookmarkStart w:id="46" w:name="_Toc9185814"/>
      <w:r>
        <w:rPr>
          <w:b/>
          <w:lang w:eastAsia="en-US"/>
        </w:rPr>
        <w:t>Additional tests</w:t>
      </w:r>
      <w:bookmarkEnd w:id="46"/>
    </w:p>
    <w:p w14:paraId="14C4BEA8" w14:textId="1900530E" w:rsidR="00183403" w:rsidRDefault="00183403" w:rsidP="0030659B">
      <w:pPr>
        <w:spacing w:line="360" w:lineRule="auto"/>
        <w:jc w:val="both"/>
        <w:rPr>
          <w:lang w:eastAsia="en-US"/>
        </w:rPr>
      </w:pPr>
      <w:r>
        <w:rPr>
          <w:lang w:eastAsia="en-US"/>
        </w:rPr>
        <w:t xml:space="preserve">In this section, I conduct two additional examinations </w:t>
      </w:r>
      <w:proofErr w:type="gramStart"/>
      <w:r w:rsidR="00A06CB5">
        <w:rPr>
          <w:lang w:eastAsia="en-US"/>
        </w:rPr>
        <w:t xml:space="preserve">in order </w:t>
      </w:r>
      <w:r>
        <w:rPr>
          <w:lang w:eastAsia="en-US"/>
        </w:rPr>
        <w:t>to</w:t>
      </w:r>
      <w:proofErr w:type="gramEnd"/>
      <w:r>
        <w:rPr>
          <w:lang w:eastAsia="en-US"/>
        </w:rPr>
        <w:t xml:space="preserve"> further </w:t>
      </w:r>
      <w:r w:rsidR="00EE3111">
        <w:rPr>
          <w:lang w:eastAsia="en-US"/>
        </w:rPr>
        <w:t>explore</w:t>
      </w:r>
      <w:r>
        <w:rPr>
          <w:lang w:eastAsia="en-US"/>
        </w:rPr>
        <w:t xml:space="preserve"> the </w:t>
      </w:r>
      <w:r w:rsidR="00833807">
        <w:rPr>
          <w:lang w:eastAsia="en-US"/>
        </w:rPr>
        <w:t xml:space="preserve">significantly </w:t>
      </w:r>
      <w:r>
        <w:rPr>
          <w:lang w:eastAsia="en-US"/>
        </w:rPr>
        <w:t>negative impact of the enactment of JOBs Act</w:t>
      </w:r>
      <w:r w:rsidR="0072517C">
        <w:rPr>
          <w:lang w:eastAsia="en-US"/>
        </w:rPr>
        <w:t xml:space="preserve"> </w:t>
      </w:r>
      <w:r>
        <w:rPr>
          <w:lang w:eastAsia="en-US"/>
        </w:rPr>
        <w:t>on the degree of the SEC review. Particularly, the first examination investigate</w:t>
      </w:r>
      <w:r w:rsidR="00A02079">
        <w:rPr>
          <w:lang w:eastAsia="en-US"/>
        </w:rPr>
        <w:t>s</w:t>
      </w:r>
      <w:r>
        <w:rPr>
          <w:lang w:eastAsia="en-US"/>
        </w:rPr>
        <w:t xml:space="preserve"> whether the number of </w:t>
      </w:r>
      <w:r w:rsidR="00EE3111">
        <w:rPr>
          <w:lang w:eastAsia="en-US"/>
        </w:rPr>
        <w:t>specific</w:t>
      </w:r>
      <w:r>
        <w:rPr>
          <w:lang w:eastAsia="en-US"/>
        </w:rPr>
        <w:t xml:space="preserve"> types of issues and the number of comments </w:t>
      </w:r>
      <w:r w:rsidR="00EE3111">
        <w:rPr>
          <w:lang w:eastAsia="en-US"/>
        </w:rPr>
        <w:t>of</w:t>
      </w:r>
      <w:r>
        <w:rPr>
          <w:lang w:eastAsia="en-US"/>
        </w:rPr>
        <w:t xml:space="preserve"> each type mentioned in the SEC comments letters </w:t>
      </w:r>
      <w:r w:rsidR="00EE3111">
        <w:rPr>
          <w:lang w:eastAsia="en-US"/>
        </w:rPr>
        <w:t>on</w:t>
      </w:r>
      <w:r>
        <w:rPr>
          <w:lang w:eastAsia="en-US"/>
        </w:rPr>
        <w:t xml:space="preserve"> initial S-1 filings decreased </w:t>
      </w:r>
      <w:r w:rsidR="0072517C">
        <w:rPr>
          <w:lang w:eastAsia="en-US"/>
        </w:rPr>
        <w:t>after the enactment of JOBs Act. The second examination investigate</w:t>
      </w:r>
      <w:r w:rsidR="0030659B">
        <w:rPr>
          <w:lang w:eastAsia="en-US"/>
        </w:rPr>
        <w:t>s</w:t>
      </w:r>
      <w:r w:rsidR="0072517C">
        <w:rPr>
          <w:lang w:eastAsia="en-US"/>
        </w:rPr>
        <w:t xml:space="preserve"> whether the negative </w:t>
      </w:r>
      <w:r w:rsidR="0072517C">
        <w:rPr>
          <w:lang w:eastAsia="en-US"/>
        </w:rPr>
        <w:lastRenderedPageBreak/>
        <w:t xml:space="preserve">impact of the enactment of JOBs Act on the degree of the SEC </w:t>
      </w:r>
      <w:r w:rsidR="0030659B">
        <w:rPr>
          <w:lang w:eastAsia="en-US"/>
        </w:rPr>
        <w:t xml:space="preserve">S-1 </w:t>
      </w:r>
      <w:r w:rsidR="0072517C">
        <w:rPr>
          <w:lang w:eastAsia="en-US"/>
        </w:rPr>
        <w:t xml:space="preserve">review </w:t>
      </w:r>
      <w:r w:rsidR="00A02079">
        <w:rPr>
          <w:lang w:eastAsia="en-US"/>
        </w:rPr>
        <w:t>is</w:t>
      </w:r>
      <w:r w:rsidR="0072517C">
        <w:rPr>
          <w:lang w:eastAsia="en-US"/>
        </w:rPr>
        <w:t xml:space="preserve"> less intense by the moderating effect of information uncertainty </w:t>
      </w:r>
      <w:r w:rsidR="00CE064D">
        <w:rPr>
          <w:lang w:eastAsia="en-US"/>
        </w:rPr>
        <w:t>and adoption of disclosure exemption under</w:t>
      </w:r>
      <w:r w:rsidR="0072517C">
        <w:rPr>
          <w:lang w:eastAsia="en-US"/>
        </w:rPr>
        <w:t xml:space="preserve"> the Act. </w:t>
      </w:r>
    </w:p>
    <w:p w14:paraId="6C5AFAF5" w14:textId="35C468D0" w:rsidR="003F1894" w:rsidRDefault="00D53228" w:rsidP="00D53228">
      <w:pPr>
        <w:pStyle w:val="ListParagraph"/>
        <w:numPr>
          <w:ilvl w:val="1"/>
          <w:numId w:val="1"/>
        </w:numPr>
        <w:spacing w:line="360" w:lineRule="auto"/>
        <w:ind w:left="567"/>
        <w:jc w:val="both"/>
        <w:outlineLvl w:val="1"/>
        <w:rPr>
          <w:b/>
          <w:lang w:eastAsia="en-US"/>
        </w:rPr>
      </w:pPr>
      <w:bookmarkStart w:id="47" w:name="_Toc9185815"/>
      <w:r w:rsidRPr="00D53228">
        <w:rPr>
          <w:b/>
          <w:lang w:eastAsia="en-US"/>
        </w:rPr>
        <w:t>Impact of JOBs Act on types of issues mentioned in SEC comment letters</w:t>
      </w:r>
      <w:bookmarkEnd w:id="47"/>
    </w:p>
    <w:p w14:paraId="1A655F4F" w14:textId="58C84E1F" w:rsidR="00451E3E" w:rsidRPr="002671FB" w:rsidRDefault="00451E3E" w:rsidP="0030659B">
      <w:pPr>
        <w:spacing w:line="360" w:lineRule="auto"/>
        <w:jc w:val="both"/>
        <w:rPr>
          <w:i/>
          <w:lang w:eastAsia="en-US"/>
        </w:rPr>
      </w:pPr>
      <w:r>
        <w:rPr>
          <w:lang w:eastAsia="en-US"/>
        </w:rPr>
        <w:t xml:space="preserve">I conduct </w:t>
      </w:r>
      <w:r w:rsidR="00EE3111">
        <w:rPr>
          <w:lang w:eastAsia="en-US"/>
        </w:rPr>
        <w:t>a</w:t>
      </w:r>
      <w:r>
        <w:rPr>
          <w:lang w:eastAsia="en-US"/>
        </w:rPr>
        <w:t xml:space="preserve"> univariate analysis in order to examine whether significant differences in the types of issues </w:t>
      </w:r>
      <w:r>
        <w:rPr>
          <w:i/>
          <w:lang w:eastAsia="en-US"/>
        </w:rPr>
        <w:t>(Issues)</w:t>
      </w:r>
      <w:r>
        <w:rPr>
          <w:lang w:eastAsia="en-US"/>
        </w:rPr>
        <w:t xml:space="preserve"> and the number of comments in each type of issues (</w:t>
      </w:r>
      <w:r>
        <w:rPr>
          <w:i/>
          <w:lang w:eastAsia="en-US"/>
        </w:rPr>
        <w:t xml:space="preserve">Accounting comments, </w:t>
      </w:r>
      <w:proofErr w:type="gramStart"/>
      <w:r>
        <w:rPr>
          <w:i/>
          <w:lang w:eastAsia="en-US"/>
        </w:rPr>
        <w:t>Offering</w:t>
      </w:r>
      <w:proofErr w:type="gramEnd"/>
      <w:r>
        <w:rPr>
          <w:i/>
          <w:lang w:eastAsia="en-US"/>
        </w:rPr>
        <w:t xml:space="preserve"> comments, Business comments, Governance corporate comments, Disclosure comments)</w:t>
      </w:r>
      <w:r>
        <w:rPr>
          <w:lang w:eastAsia="en-US"/>
        </w:rPr>
        <w:t xml:space="preserve"> mentioned in the SEC comments letters for the initial S-1 filings </w:t>
      </w:r>
      <w:r w:rsidR="0030659B">
        <w:rPr>
          <w:lang w:eastAsia="en-US"/>
        </w:rPr>
        <w:t>exist</w:t>
      </w:r>
      <w:r>
        <w:rPr>
          <w:lang w:eastAsia="en-US"/>
        </w:rPr>
        <w:t xml:space="preserve"> between pre- and post-JOBs Act </w:t>
      </w:r>
      <w:r w:rsidR="00EE3111">
        <w:rPr>
          <w:lang w:eastAsia="en-US"/>
        </w:rPr>
        <w:t>period</w:t>
      </w:r>
      <w:r>
        <w:rPr>
          <w:lang w:eastAsia="en-US"/>
        </w:rPr>
        <w:t xml:space="preserve"> by applying both parametric t-test and nonparametric Wilcoxon signed-rank test</w:t>
      </w:r>
      <w:r w:rsidR="00EE3111">
        <w:rPr>
          <w:lang w:eastAsia="en-US"/>
        </w:rPr>
        <w:t>s</w:t>
      </w:r>
      <w:r>
        <w:rPr>
          <w:lang w:eastAsia="en-US"/>
        </w:rPr>
        <w:t xml:space="preserve">. </w:t>
      </w:r>
      <w:r w:rsidR="002671FB">
        <w:rPr>
          <w:lang w:eastAsia="en-US"/>
        </w:rPr>
        <w:t xml:space="preserve">The data used in this analysis are obtained from my coding on 259 SEC initial comment letters. My coding shows that there are totally five types of issues addressed by the SEC in their comment letters for the initial S-1 filings </w:t>
      </w:r>
      <w:proofErr w:type="gramStart"/>
      <w:r w:rsidR="002671FB">
        <w:rPr>
          <w:lang w:eastAsia="en-US"/>
        </w:rPr>
        <w:t>including;</w:t>
      </w:r>
      <w:proofErr w:type="gramEnd"/>
      <w:r w:rsidR="002671FB">
        <w:rPr>
          <w:lang w:eastAsia="en-US"/>
        </w:rPr>
        <w:t xml:space="preserve"> accounting issues, offering issues, business issues, governance corporate issues and disclosure issues.</w:t>
      </w:r>
    </w:p>
    <w:p w14:paraId="79B080A5" w14:textId="6D9973D5" w:rsidR="00D53228" w:rsidRDefault="00451E3E" w:rsidP="00D608D6">
      <w:pPr>
        <w:spacing w:line="360" w:lineRule="auto"/>
        <w:jc w:val="both"/>
        <w:rPr>
          <w:lang w:eastAsia="en-US"/>
        </w:rPr>
      </w:pPr>
      <w:r>
        <w:rPr>
          <w:lang w:eastAsia="en-US"/>
        </w:rPr>
        <w:t xml:space="preserve">Table </w:t>
      </w:r>
      <w:r w:rsidR="00174399">
        <w:rPr>
          <w:lang w:eastAsia="en-US"/>
        </w:rPr>
        <w:t>12</w:t>
      </w:r>
      <w:r w:rsidR="00D53228">
        <w:rPr>
          <w:lang w:eastAsia="en-US"/>
        </w:rPr>
        <w:t xml:space="preserve"> reveals that </w:t>
      </w:r>
      <w:r w:rsidR="00D53228" w:rsidRPr="00B72A95">
        <w:rPr>
          <w:lang w:eastAsia="en-US"/>
        </w:rPr>
        <w:t xml:space="preserve">t-test of difference in </w:t>
      </w:r>
      <w:r w:rsidR="00EE3111">
        <w:rPr>
          <w:lang w:eastAsia="en-US"/>
        </w:rPr>
        <w:t>mean value</w:t>
      </w:r>
      <w:r w:rsidR="00D53228" w:rsidRPr="00B72A95">
        <w:rPr>
          <w:lang w:eastAsia="en-US"/>
        </w:rPr>
        <w:t xml:space="preserve"> of</w:t>
      </w:r>
      <w:r>
        <w:rPr>
          <w:lang w:eastAsia="en-US"/>
        </w:rPr>
        <w:t xml:space="preserve"> </w:t>
      </w:r>
      <w:r>
        <w:rPr>
          <w:i/>
          <w:lang w:eastAsia="en-US"/>
        </w:rPr>
        <w:t xml:space="preserve">Issues, </w:t>
      </w:r>
      <w:proofErr w:type="gramStart"/>
      <w:r>
        <w:rPr>
          <w:i/>
          <w:lang w:eastAsia="en-US"/>
        </w:rPr>
        <w:t>Accounting</w:t>
      </w:r>
      <w:proofErr w:type="gramEnd"/>
      <w:r>
        <w:rPr>
          <w:i/>
          <w:lang w:eastAsia="en-US"/>
        </w:rPr>
        <w:t xml:space="preserve"> comments, Offering comments, Business comments, Governance corporate comments, Disclosure comments </w:t>
      </w:r>
      <w:r>
        <w:rPr>
          <w:lang w:eastAsia="en-US"/>
        </w:rPr>
        <w:t xml:space="preserve">between the period of pre- and post-JOBs Act </w:t>
      </w:r>
      <w:r w:rsidR="00D53228">
        <w:rPr>
          <w:lang w:eastAsia="en-US"/>
        </w:rPr>
        <w:t>are all strongly significant at 1</w:t>
      </w:r>
      <w:r w:rsidR="00D53228" w:rsidRPr="00B72A95">
        <w:rPr>
          <w:lang w:eastAsia="en-US"/>
        </w:rPr>
        <w:t xml:space="preserve">% as the difference in median </w:t>
      </w:r>
      <w:r w:rsidR="00EE3111">
        <w:rPr>
          <w:lang w:eastAsia="en-US"/>
        </w:rPr>
        <w:t xml:space="preserve">value </w:t>
      </w:r>
      <w:r w:rsidR="00D53228" w:rsidRPr="00B72A95">
        <w:rPr>
          <w:lang w:eastAsia="en-US"/>
        </w:rPr>
        <w:t xml:space="preserve">of </w:t>
      </w:r>
      <w:r>
        <w:rPr>
          <w:lang w:eastAsia="en-US"/>
        </w:rPr>
        <w:t>these variables</w:t>
      </w:r>
      <w:r w:rsidR="00D53228" w:rsidRPr="00B72A95">
        <w:rPr>
          <w:lang w:eastAsia="en-US"/>
        </w:rPr>
        <w:t xml:space="preserve"> based on Wilcoxon signed-rank test.</w:t>
      </w:r>
      <w:r w:rsidR="00D53228">
        <w:rPr>
          <w:lang w:eastAsia="en-US"/>
        </w:rPr>
        <w:t xml:space="preserve"> Particularly, </w:t>
      </w:r>
      <w:r w:rsidR="00EE3111">
        <w:rPr>
          <w:lang w:eastAsia="en-US"/>
        </w:rPr>
        <w:t xml:space="preserve">the </w:t>
      </w:r>
      <w:r w:rsidR="00D53228">
        <w:rPr>
          <w:lang w:eastAsia="en-US"/>
        </w:rPr>
        <w:t xml:space="preserve">mean and median of </w:t>
      </w:r>
      <w:r w:rsidR="002671FB">
        <w:rPr>
          <w:lang w:eastAsia="en-US"/>
        </w:rPr>
        <w:t>these variables</w:t>
      </w:r>
      <w:r w:rsidR="00D53228" w:rsidRPr="00D53228">
        <w:rPr>
          <w:i/>
          <w:lang w:eastAsia="en-US"/>
        </w:rPr>
        <w:t xml:space="preserve"> </w:t>
      </w:r>
      <w:r w:rsidR="002671FB">
        <w:rPr>
          <w:lang w:eastAsia="en-US"/>
        </w:rPr>
        <w:t xml:space="preserve">in the post-JOBs Act </w:t>
      </w:r>
      <w:r w:rsidR="00EE3111">
        <w:rPr>
          <w:lang w:eastAsia="en-US"/>
        </w:rPr>
        <w:t xml:space="preserve">period </w:t>
      </w:r>
      <w:r w:rsidR="002671FB">
        <w:rPr>
          <w:lang w:eastAsia="en-US"/>
        </w:rPr>
        <w:t>are lower than those in pre-JOBs Act</w:t>
      </w:r>
      <w:r w:rsidR="00EE3111">
        <w:rPr>
          <w:lang w:eastAsia="en-US"/>
        </w:rPr>
        <w:t xml:space="preserve"> period</w:t>
      </w:r>
      <w:r w:rsidR="00D53228">
        <w:rPr>
          <w:lang w:eastAsia="en-US"/>
        </w:rPr>
        <w:t>. Overall, both parametric and non-parametric results indicate that</w:t>
      </w:r>
      <w:r w:rsidR="002671FB">
        <w:rPr>
          <w:lang w:eastAsia="en-US"/>
        </w:rPr>
        <w:t xml:space="preserve"> after the enactment of JOBs Act</w:t>
      </w:r>
      <w:r w:rsidR="00D53228">
        <w:rPr>
          <w:lang w:eastAsia="en-US"/>
        </w:rPr>
        <w:t xml:space="preserve">, the SEC </w:t>
      </w:r>
      <w:r w:rsidR="002671FB">
        <w:rPr>
          <w:lang w:eastAsia="en-US"/>
        </w:rPr>
        <w:t xml:space="preserve">address </w:t>
      </w:r>
      <w:r w:rsidR="00A02079">
        <w:rPr>
          <w:lang w:eastAsia="en-US"/>
        </w:rPr>
        <w:t>fewer</w:t>
      </w:r>
      <w:r w:rsidR="002671FB">
        <w:rPr>
          <w:lang w:eastAsia="en-US"/>
        </w:rPr>
        <w:t xml:space="preserve"> types of issues as well as </w:t>
      </w:r>
      <w:r w:rsidR="00A02079">
        <w:rPr>
          <w:lang w:eastAsia="en-US"/>
        </w:rPr>
        <w:t>fewer</w:t>
      </w:r>
      <w:r w:rsidR="002671FB">
        <w:rPr>
          <w:lang w:eastAsia="en-US"/>
        </w:rPr>
        <w:t xml:space="preserve"> comments in each type of issues </w:t>
      </w:r>
      <w:proofErr w:type="gramStart"/>
      <w:r w:rsidR="002671FB">
        <w:rPr>
          <w:lang w:eastAsia="en-US"/>
        </w:rPr>
        <w:t>including;</w:t>
      </w:r>
      <w:proofErr w:type="gramEnd"/>
      <w:r w:rsidR="002671FB">
        <w:rPr>
          <w:lang w:eastAsia="en-US"/>
        </w:rPr>
        <w:t xml:space="preserve"> accounting issues, offering issues, business issues, governance corporate issues and disclosure issues, in their comment letters for the initial S-1 filings.</w:t>
      </w:r>
      <w:r w:rsidR="009624A6">
        <w:rPr>
          <w:lang w:eastAsia="en-US"/>
        </w:rPr>
        <w:t xml:space="preserve"> This result supports the main finding of my study as discussed in Section 10.2, which reveal </w:t>
      </w:r>
      <w:r w:rsidR="009624A6">
        <w:t xml:space="preserve">that </w:t>
      </w:r>
      <w:r w:rsidR="009624A6">
        <w:rPr>
          <w:lang w:eastAsia="en-US"/>
        </w:rPr>
        <w:t xml:space="preserve">the SEC s issue </w:t>
      </w:r>
      <w:r w:rsidR="00A02079">
        <w:rPr>
          <w:lang w:eastAsia="en-US"/>
        </w:rPr>
        <w:t>fewer</w:t>
      </w:r>
      <w:r w:rsidR="009624A6">
        <w:rPr>
          <w:lang w:eastAsia="en-US"/>
        </w:rPr>
        <w:t xml:space="preserve"> comments on the initial S-1 filings in the period after the enactments of JOBs Act. This result is </w:t>
      </w:r>
      <w:r w:rsidR="00D608D6">
        <w:rPr>
          <w:lang w:eastAsia="en-US"/>
        </w:rPr>
        <w:t xml:space="preserve">in line with the key target of </w:t>
      </w:r>
      <w:r w:rsidR="004F5BE6">
        <w:rPr>
          <w:lang w:eastAsia="en-US"/>
        </w:rPr>
        <w:t>JOBs Act</w:t>
      </w:r>
      <w:r w:rsidR="00D608D6">
        <w:rPr>
          <w:lang w:eastAsia="en-US"/>
        </w:rPr>
        <w:t xml:space="preserve">, which is relieving some SEC regulation on the emerging growth companies to revitalize the IPO market </w:t>
      </w:r>
      <w:r w:rsidR="00C41C90">
        <w:rPr>
          <w:color w:val="000000" w:themeColor="text1"/>
        </w:rPr>
        <w:t>(SEC, 2012</w:t>
      </w:r>
      <w:r w:rsidR="00D608D6">
        <w:rPr>
          <w:lang w:eastAsia="en-US"/>
        </w:rPr>
        <w:fldChar w:fldCharType="begin" w:fldLock="1"/>
      </w:r>
      <w:r w:rsidR="00A611DF">
        <w:rPr>
          <w:lang w:eastAsia="en-US"/>
        </w:rPr>
        <w:instrText>ADDIN CSL_CITATION {"citationItems":[{"id":"ITEM-1","itemData":{"DOI":"10.1017/S0022109014000015","ISSN":"17566916","abstract":"During 1980-2000, an average of 310 companies per year went public in the U.S. Since the technology bubble burst in 2000, the average has been only 99 initial public offerings (IPOs) per year, with the drop especially precipitous among small firms. Many have blamed the Sarbanes-Oxley Act of 2002 and the 2003 Global Settlement’s effects on analyst coverage for the decline in U.S. IPO activity. Our alternative explanation posits that the advantages of selling out to a larger organization, which can speed a product to market and realize economies of scope, have increased relative to the benefits of remaining as an independent firm. Consistent with this hypothesis, we document that small company IPOs have had declining profitability and an increasing probability of being involved in acquisitions.","author":[{"dropping-particle":"","family":"Gao","given":"X.","non-dropping-particle":"","parse-names":false,"suffix":""},{"dropping-particle":"","family":"Ritter","given":"J.R.","non-dropping-particle":"","parse-names":false,"suffix":""},{"dropping-particle":"","family":"Zhu","given":"Z.","non-dropping-particle":"","parse-names":false,"suffix":""}],"container-title":"Journal of Financial and Quantitative Analysis","id":"ITEM-1","issue":"6","issued":{"date-parts":[["2013"]]},"page":"1663-1692","title":"Where have all the IPOs gone?","type":"article-journal","volume":"48"},"uris":["http://www.mendeley.com/documents/?uuid=4f061877-1ba6-46b7-b68c-cd02d844858c"]}],"mendeley":{"formattedCitation":"(Gao et al., 2013)","manualFormatting":"; Gao et al. 2013)","plainTextFormattedCitation":"(Gao et al., 2013)","previouslyFormattedCitation":"(Gao et al., 2013)"},"properties":{"noteIndex":0},"schema":"https://github.com/citation-style-language/schema/raw/master/csl-citation.json"}</w:instrText>
      </w:r>
      <w:r w:rsidR="00D608D6">
        <w:rPr>
          <w:lang w:eastAsia="en-US"/>
        </w:rPr>
        <w:fldChar w:fldCharType="separate"/>
      </w:r>
      <w:r w:rsidR="00D608D6">
        <w:rPr>
          <w:noProof/>
          <w:lang w:eastAsia="en-US"/>
        </w:rPr>
        <w:t xml:space="preserve">; </w:t>
      </w:r>
      <w:r w:rsidR="00D608D6" w:rsidRPr="00F817FE">
        <w:rPr>
          <w:noProof/>
          <w:lang w:eastAsia="en-US"/>
        </w:rPr>
        <w:t>Gao</w:t>
      </w:r>
      <w:r w:rsidR="00D608D6">
        <w:rPr>
          <w:noProof/>
          <w:lang w:eastAsia="en-US"/>
        </w:rPr>
        <w:t xml:space="preserve"> et al.</w:t>
      </w:r>
      <w:r w:rsidR="00D608D6" w:rsidRPr="00F817FE">
        <w:rPr>
          <w:noProof/>
          <w:lang w:eastAsia="en-US"/>
        </w:rPr>
        <w:t xml:space="preserve"> 2013)</w:t>
      </w:r>
      <w:r w:rsidR="00D608D6">
        <w:rPr>
          <w:lang w:eastAsia="en-US"/>
        </w:rPr>
        <w:fldChar w:fldCharType="end"/>
      </w:r>
      <w:r w:rsidR="00D608D6">
        <w:rPr>
          <w:lang w:eastAsia="en-US"/>
        </w:rPr>
        <w:t>.</w:t>
      </w:r>
      <w:r w:rsidR="00D608D6">
        <w:rPr>
          <w:i/>
          <w:lang w:eastAsia="en-US"/>
        </w:rPr>
        <w:t xml:space="preserve"> </w:t>
      </w:r>
    </w:p>
    <w:p w14:paraId="27F2CE21" w14:textId="469F7392" w:rsidR="00626DC3" w:rsidRPr="00626DC3" w:rsidRDefault="00626DC3" w:rsidP="00626DC3">
      <w:pPr>
        <w:spacing w:line="360" w:lineRule="auto"/>
        <w:jc w:val="center"/>
        <w:rPr>
          <w:lang w:eastAsia="en-US"/>
        </w:rPr>
      </w:pPr>
      <w:r>
        <w:rPr>
          <w:b/>
          <w:lang w:eastAsia="en-US"/>
        </w:rPr>
        <w:t xml:space="preserve">[Insert </w:t>
      </w:r>
      <w:r w:rsidR="00174399">
        <w:rPr>
          <w:b/>
          <w:lang w:eastAsia="en-US"/>
        </w:rPr>
        <w:t>Table 12</w:t>
      </w:r>
      <w:r>
        <w:rPr>
          <w:b/>
          <w:lang w:eastAsia="en-US"/>
        </w:rPr>
        <w:t xml:space="preserve"> about here]</w:t>
      </w:r>
    </w:p>
    <w:p w14:paraId="66C1955B" w14:textId="13DFD7D6" w:rsidR="00D53228" w:rsidRDefault="002671FB" w:rsidP="004F5BE6">
      <w:pPr>
        <w:pStyle w:val="ListParagraph"/>
        <w:numPr>
          <w:ilvl w:val="1"/>
          <w:numId w:val="1"/>
        </w:numPr>
        <w:spacing w:line="360" w:lineRule="auto"/>
        <w:ind w:left="426"/>
        <w:jc w:val="both"/>
        <w:outlineLvl w:val="1"/>
        <w:rPr>
          <w:b/>
          <w:lang w:eastAsia="en-US"/>
        </w:rPr>
      </w:pPr>
      <w:bookmarkStart w:id="48" w:name="_Toc9185816"/>
      <w:r w:rsidRPr="002671FB">
        <w:rPr>
          <w:b/>
          <w:lang w:eastAsia="en-US"/>
        </w:rPr>
        <w:t xml:space="preserve">Moderating effect of information uncertainty </w:t>
      </w:r>
      <w:r w:rsidR="00CE064D">
        <w:rPr>
          <w:b/>
          <w:lang w:eastAsia="en-US"/>
        </w:rPr>
        <w:t xml:space="preserve">and adoption of disclosure exemptions </w:t>
      </w:r>
      <w:r w:rsidRPr="002671FB">
        <w:rPr>
          <w:b/>
          <w:lang w:eastAsia="en-US"/>
        </w:rPr>
        <w:t xml:space="preserve">on impact of JOBs </w:t>
      </w:r>
      <w:proofErr w:type="gramStart"/>
      <w:r w:rsidRPr="002671FB">
        <w:rPr>
          <w:b/>
          <w:lang w:eastAsia="en-US"/>
        </w:rPr>
        <w:t>Act  on</w:t>
      </w:r>
      <w:proofErr w:type="gramEnd"/>
      <w:r w:rsidRPr="002671FB">
        <w:rPr>
          <w:b/>
          <w:lang w:eastAsia="en-US"/>
        </w:rPr>
        <w:t xml:space="preserve"> SEC review</w:t>
      </w:r>
      <w:bookmarkEnd w:id="48"/>
    </w:p>
    <w:p w14:paraId="14AAC615" w14:textId="12016F61" w:rsidR="00E95380" w:rsidRDefault="004F5BE6" w:rsidP="0030659B">
      <w:pPr>
        <w:spacing w:line="360" w:lineRule="auto"/>
        <w:jc w:val="both"/>
        <w:rPr>
          <w:lang w:eastAsia="en-US"/>
        </w:rPr>
      </w:pPr>
      <w:r>
        <w:rPr>
          <w:lang w:eastAsia="en-US"/>
        </w:rPr>
        <w:t>The JOBs Act</w:t>
      </w:r>
      <w:r w:rsidR="003354FE" w:rsidRPr="003354FE">
        <w:rPr>
          <w:lang w:eastAsia="en-US"/>
        </w:rPr>
        <w:t xml:space="preserve"> </w:t>
      </w:r>
      <w:r w:rsidR="00CA5C8A">
        <w:rPr>
          <w:lang w:eastAsia="en-US"/>
        </w:rPr>
        <w:t>aims to</w:t>
      </w:r>
      <w:r w:rsidR="003354FE" w:rsidRPr="003354FE">
        <w:rPr>
          <w:lang w:eastAsia="en-US"/>
        </w:rPr>
        <w:t xml:space="preserve"> </w:t>
      </w:r>
      <w:r w:rsidR="00530FF7">
        <w:rPr>
          <w:lang w:eastAsia="en-US"/>
        </w:rPr>
        <w:t>revitalize the IPO market</w:t>
      </w:r>
      <w:r w:rsidR="00CA5C8A">
        <w:rPr>
          <w:lang w:eastAsia="en-US"/>
        </w:rPr>
        <w:t xml:space="preserve"> by lessening</w:t>
      </w:r>
      <w:r w:rsidR="003354FE" w:rsidRPr="003354FE">
        <w:rPr>
          <w:lang w:eastAsia="en-US"/>
        </w:rPr>
        <w:t xml:space="preserve"> the </w:t>
      </w:r>
      <w:r w:rsidR="00CA5C8A">
        <w:rPr>
          <w:lang w:eastAsia="en-US"/>
        </w:rPr>
        <w:t>mandatory</w:t>
      </w:r>
      <w:r w:rsidR="003354FE" w:rsidRPr="003354FE">
        <w:rPr>
          <w:lang w:eastAsia="en-US"/>
        </w:rPr>
        <w:t xml:space="preserve"> </w:t>
      </w:r>
      <w:r w:rsidR="00CA5C8A">
        <w:rPr>
          <w:lang w:eastAsia="en-US"/>
        </w:rPr>
        <w:t>reports</w:t>
      </w:r>
      <w:r w:rsidR="003354FE" w:rsidRPr="003354FE">
        <w:rPr>
          <w:lang w:eastAsia="en-US"/>
        </w:rPr>
        <w:t xml:space="preserve"> and compliance </w:t>
      </w:r>
      <w:r w:rsidR="00CA5C8A">
        <w:rPr>
          <w:lang w:eastAsia="en-US"/>
        </w:rPr>
        <w:t>dutie</w:t>
      </w:r>
      <w:r w:rsidR="003354FE" w:rsidRPr="003354FE">
        <w:rPr>
          <w:lang w:eastAsia="en-US"/>
        </w:rPr>
        <w:t xml:space="preserve">s during the IPO process </w:t>
      </w:r>
      <w:r w:rsidR="00CA5C8A">
        <w:rPr>
          <w:lang w:eastAsia="en-US"/>
        </w:rPr>
        <w:fldChar w:fldCharType="begin" w:fldLock="1"/>
      </w:r>
      <w:r w:rsidR="00A611DF">
        <w:rPr>
          <w:lang w:eastAsia="en-US"/>
        </w:rPr>
        <w:instrText>ADDIN CSL_CITATION {"citationItems":[{"id":"ITEM-1","itemData":{"abstract":"Update on emerging growth companies and the JOBS Act | 1 In the four years since the Jumpstart Our Business Startups Act (JOBS Act or Act) 1 created a new class of issuer called an emerging growth company (EGC), hundreds of private companies have gone public using the relief provided by the law. EGCs now dominate the initial public offering (IPO) market, accounting for 87% of IPOs that have gone effective since the JOBS Act was enacted in April 2012. The vast majority of EGCs have used some of the accommodations afforded by the JOBS Act including allowing them to submit registration statements confidentially to the Securities and Exchange Commission (SEC), providing reduced executive compensation disclosures and audited financial statements for two years rather than three years. Private companies are also using other rules mandated by the JOBS Act and adopted by the SEC to gain access to the capital markets. Regulation A+ increased the annual limit on exempt public offerings, and Regulation Crowdfunding allows startups and other private businesses to raise small amounts of equity capital from potentially large pools of investors. The Fixing America's Surface Transportation Act (FAST Act), which amended the JOBS Act last year, further streamlined IPOs by EGCs by allowing them to publicly file registration statements 15 days before the start of their IPO roadshow, down from 21 days. The FAST Act also allows an EGC's initial IPO submission to omit the earlier year of audited financial statements provided a subsequent audited year will be added by amendment prior to distributing a preliminary prospectus to prospective investors. ________________________________","author":[{"dropping-particle":"","family":"Ernst and Young","given":"","non-dropping-particle":"","parse-names":false,"suffix":""}],"id":"ITEM-1","issue":"November","issued":{"date-parts":[["2016"]]},"title":"Update on emerging growth companies and the JOBS Act, November 2016","type":"report"},"uris":["http://www.mendeley.com/documents/?uuid=b17089e3-bfe1-4cba-8bb9-2c9dd53ea4b4"]}],"mendeley":{"formattedCitation":"(Ernst and Young, 2016)","manualFormatting":" (Gao et al., 2013)","plainTextFormattedCitation":"(Ernst and Young, 2016)","previouslyFormattedCitation":"(Ernst and Young, 2016)"},"properties":{"noteIndex":0},"schema":"https://github.com/citation-style-language/schema/raw/master/csl-citation.json"}</w:instrText>
      </w:r>
      <w:r w:rsidR="00CA5C8A">
        <w:rPr>
          <w:lang w:eastAsia="en-US"/>
        </w:rPr>
        <w:fldChar w:fldCharType="separate"/>
      </w:r>
      <w:r w:rsidR="00530FF7" w:rsidRPr="00530FF7">
        <w:rPr>
          <w:noProof/>
          <w:lang w:eastAsia="en-US"/>
        </w:rPr>
        <w:t xml:space="preserve"> </w:t>
      </w:r>
      <w:r w:rsidR="00530FF7">
        <w:rPr>
          <w:noProof/>
          <w:lang w:eastAsia="en-US"/>
        </w:rPr>
        <w:t>(</w:t>
      </w:r>
      <w:r w:rsidR="00530FF7" w:rsidRPr="00F817FE">
        <w:rPr>
          <w:noProof/>
          <w:lang w:eastAsia="en-US"/>
        </w:rPr>
        <w:t>Gao</w:t>
      </w:r>
      <w:r w:rsidR="00530FF7">
        <w:rPr>
          <w:noProof/>
          <w:lang w:eastAsia="en-US"/>
        </w:rPr>
        <w:t xml:space="preserve"> et al.</w:t>
      </w:r>
      <w:r w:rsidR="00530FF7" w:rsidRPr="00F817FE">
        <w:rPr>
          <w:noProof/>
          <w:lang w:eastAsia="en-US"/>
        </w:rPr>
        <w:t>, 2013</w:t>
      </w:r>
      <w:r w:rsidR="00CA5C8A" w:rsidRPr="00CA5C8A">
        <w:rPr>
          <w:noProof/>
          <w:lang w:eastAsia="en-US"/>
        </w:rPr>
        <w:t>)</w:t>
      </w:r>
      <w:r w:rsidR="00CA5C8A">
        <w:rPr>
          <w:lang w:eastAsia="en-US"/>
        </w:rPr>
        <w:fldChar w:fldCharType="end"/>
      </w:r>
      <w:r w:rsidR="003354FE" w:rsidRPr="003354FE">
        <w:rPr>
          <w:lang w:eastAsia="en-US"/>
        </w:rPr>
        <w:t>.</w:t>
      </w:r>
      <w:r w:rsidR="003354FE">
        <w:rPr>
          <w:lang w:eastAsia="en-US"/>
        </w:rPr>
        <w:t xml:space="preserve"> </w:t>
      </w:r>
      <w:r w:rsidR="00CA5C8A">
        <w:rPr>
          <w:lang w:eastAsia="en-US"/>
        </w:rPr>
        <w:t xml:space="preserve">However, a disadvantage of </w:t>
      </w:r>
      <w:r>
        <w:rPr>
          <w:lang w:eastAsia="en-US"/>
        </w:rPr>
        <w:t>the JOBs Act</w:t>
      </w:r>
      <w:r w:rsidR="00CA5C8A">
        <w:rPr>
          <w:lang w:eastAsia="en-US"/>
        </w:rPr>
        <w:t xml:space="preserve"> to investors is that </w:t>
      </w:r>
      <w:r w:rsidR="002D69C6">
        <w:rPr>
          <w:lang w:eastAsia="en-US"/>
        </w:rPr>
        <w:t>cutting down the</w:t>
      </w:r>
      <w:r w:rsidR="00366F41">
        <w:rPr>
          <w:lang w:eastAsia="en-US"/>
        </w:rPr>
        <w:t xml:space="preserve"> </w:t>
      </w:r>
      <w:r w:rsidR="002D69C6">
        <w:rPr>
          <w:lang w:eastAsia="en-US"/>
        </w:rPr>
        <w:t>required reports could potentially</w:t>
      </w:r>
      <w:r w:rsidR="00366F41">
        <w:rPr>
          <w:lang w:eastAsia="en-US"/>
        </w:rPr>
        <w:t xml:space="preserve"> c</w:t>
      </w:r>
      <w:r w:rsidR="002D69C6">
        <w:rPr>
          <w:lang w:eastAsia="en-US"/>
        </w:rPr>
        <w:t>ause</w:t>
      </w:r>
      <w:r w:rsidR="00366F41">
        <w:rPr>
          <w:lang w:eastAsia="en-US"/>
        </w:rPr>
        <w:t xml:space="preserve"> less transparency or </w:t>
      </w:r>
      <w:r w:rsidR="002D69C6">
        <w:rPr>
          <w:lang w:eastAsia="en-US"/>
        </w:rPr>
        <w:t>higher degree of</w:t>
      </w:r>
      <w:r w:rsidR="00366F41">
        <w:rPr>
          <w:lang w:eastAsia="en-US"/>
        </w:rPr>
        <w:t xml:space="preserve"> </w:t>
      </w:r>
      <w:r w:rsidR="002D69C6">
        <w:rPr>
          <w:lang w:eastAsia="en-US"/>
        </w:rPr>
        <w:t>information</w:t>
      </w:r>
      <w:r w:rsidR="00366F41">
        <w:rPr>
          <w:lang w:eastAsia="en-US"/>
        </w:rPr>
        <w:t xml:space="preserve"> uncertainty</w:t>
      </w:r>
      <w:r w:rsidR="002D69C6">
        <w:rPr>
          <w:lang w:eastAsia="en-US"/>
        </w:rPr>
        <w:t xml:space="preserve"> </w:t>
      </w:r>
      <w:r w:rsidR="002D69C6">
        <w:rPr>
          <w:lang w:eastAsia="en-US"/>
        </w:rPr>
        <w:fldChar w:fldCharType="begin" w:fldLock="1"/>
      </w:r>
      <w:r w:rsidR="00A611DF">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2D69C6">
        <w:rPr>
          <w:lang w:eastAsia="en-US"/>
        </w:rPr>
        <w:fldChar w:fldCharType="separate"/>
      </w:r>
      <w:r w:rsidR="002D69C6">
        <w:rPr>
          <w:noProof/>
          <w:lang w:eastAsia="en-US"/>
        </w:rPr>
        <w:t>(Chaplinsky et al.,</w:t>
      </w:r>
      <w:r w:rsidR="002D69C6" w:rsidRPr="002D69C6">
        <w:rPr>
          <w:noProof/>
          <w:lang w:eastAsia="en-US"/>
        </w:rPr>
        <w:t xml:space="preserve"> 2017)</w:t>
      </w:r>
      <w:r w:rsidR="002D69C6">
        <w:rPr>
          <w:lang w:eastAsia="en-US"/>
        </w:rPr>
        <w:fldChar w:fldCharType="end"/>
      </w:r>
      <w:r w:rsidR="00366F41">
        <w:rPr>
          <w:lang w:eastAsia="en-US"/>
        </w:rPr>
        <w:t xml:space="preserve">. </w:t>
      </w:r>
      <w:r w:rsidR="002D69C6">
        <w:rPr>
          <w:lang w:eastAsia="en-US"/>
        </w:rPr>
        <w:t xml:space="preserve">Supporting </w:t>
      </w:r>
      <w:r w:rsidR="002D69C6">
        <w:rPr>
          <w:lang w:eastAsia="en-US"/>
        </w:rPr>
        <w:fldChar w:fldCharType="begin" w:fldLock="1"/>
      </w:r>
      <w:r w:rsidR="00B70B3B">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2D69C6">
        <w:rPr>
          <w:lang w:eastAsia="en-US"/>
        </w:rPr>
        <w:fldChar w:fldCharType="separate"/>
      </w:r>
      <w:r w:rsidR="002D69C6">
        <w:rPr>
          <w:noProof/>
          <w:lang w:eastAsia="en-US"/>
        </w:rPr>
        <w:t>Chaplinsky et al. (</w:t>
      </w:r>
      <w:r w:rsidR="002D69C6" w:rsidRPr="002D69C6">
        <w:rPr>
          <w:noProof/>
          <w:lang w:eastAsia="en-US"/>
        </w:rPr>
        <w:t>2017)</w:t>
      </w:r>
      <w:r w:rsidR="002D69C6">
        <w:rPr>
          <w:lang w:eastAsia="en-US"/>
        </w:rPr>
        <w:fldChar w:fldCharType="end"/>
      </w:r>
      <w:r w:rsidR="002D69C6">
        <w:rPr>
          <w:lang w:eastAsia="en-US"/>
        </w:rPr>
        <w:t xml:space="preserve">’s conjecture, </w:t>
      </w:r>
      <w:r w:rsidR="00B70B3B">
        <w:rPr>
          <w:lang w:eastAsia="en-US"/>
        </w:rPr>
        <w:fldChar w:fldCharType="begin" w:fldLock="1"/>
      </w:r>
      <w:r w:rsidR="00B70B3B">
        <w:rPr>
          <w:lang w:eastAsia="en-US"/>
        </w:rPr>
        <w:instrText>ADDIN CSL_CITATION {"citationItems":[{"id":"ITEM-1","itemData":{"author":[{"dropping-particle":"","family":"Barth","given":"M. E.","non-dropping-particle":"","parse-names":false,"suffix":""},{"dropping-particle":"","family":"Landsman","given":"W. R.","non-dropping-particle":"","parse-names":false,"suffix":""},{"dropping-particle":"","family":"Taylor","given":"D.J.","non-dropping-particle":"","parse-names":false,"suffix":""}],"container-title":"The Accounting Review","id":"ITEM-1","issue":"6","issued":{"date-parts":[["2017"]]},"page":"25-47","title":"The JOBS Act and Information Uncertainty in IPO Firms","type":"article-journal","volume":"92"},"uris":["http://www.mendeley.com/documents/?uuid=6e1b582f-a318-44b3-9c2a-52274233fd46"]}],"mendeley":{"formattedCitation":"(Barth, Landsman, &amp; Taylor, 2017)","manualFormatting":"Barth et al., (2017)","plainTextFormattedCitation":"(Barth, Landsman, &amp; Taylor, 2017)","previouslyFormattedCitation":"(Barth, Landsman, &amp; Taylor, 2017)"},"properties":{"noteIndex":0},"schema":"https://github.com/citation-style-language/schema/raw/master/csl-citation.json"}</w:instrText>
      </w:r>
      <w:r w:rsidR="00B70B3B">
        <w:rPr>
          <w:lang w:eastAsia="en-US"/>
        </w:rPr>
        <w:fldChar w:fldCharType="separate"/>
      </w:r>
      <w:r w:rsidR="00B70B3B">
        <w:rPr>
          <w:noProof/>
          <w:lang w:eastAsia="en-US"/>
        </w:rPr>
        <w:t>Barth et al.</w:t>
      </w:r>
      <w:r w:rsidR="00B70B3B" w:rsidRPr="00B70B3B">
        <w:rPr>
          <w:noProof/>
          <w:lang w:eastAsia="en-US"/>
        </w:rPr>
        <w:t xml:space="preserve">, </w:t>
      </w:r>
      <w:r w:rsidR="00B70B3B">
        <w:rPr>
          <w:noProof/>
          <w:lang w:eastAsia="en-US"/>
        </w:rPr>
        <w:t>(</w:t>
      </w:r>
      <w:r w:rsidR="00B70B3B" w:rsidRPr="00B70B3B">
        <w:rPr>
          <w:noProof/>
          <w:lang w:eastAsia="en-US"/>
        </w:rPr>
        <w:t>2017)</w:t>
      </w:r>
      <w:r w:rsidR="00B70B3B">
        <w:rPr>
          <w:lang w:eastAsia="en-US"/>
        </w:rPr>
        <w:fldChar w:fldCharType="end"/>
      </w:r>
      <w:r w:rsidR="00B70B3B">
        <w:rPr>
          <w:lang w:eastAsia="en-US"/>
        </w:rPr>
        <w:t xml:space="preserve"> </w:t>
      </w:r>
      <w:r w:rsidR="002D69C6">
        <w:rPr>
          <w:lang w:eastAsia="en-US"/>
        </w:rPr>
        <w:t>identify that</w:t>
      </w:r>
      <w:r w:rsidR="00366F41" w:rsidRPr="00366F41">
        <w:rPr>
          <w:lang w:eastAsia="en-US"/>
        </w:rPr>
        <w:t xml:space="preserve"> </w:t>
      </w:r>
      <w:r>
        <w:rPr>
          <w:lang w:eastAsia="en-US"/>
        </w:rPr>
        <w:t>increase</w:t>
      </w:r>
      <w:r w:rsidR="00366F41" w:rsidRPr="00366F41">
        <w:rPr>
          <w:lang w:eastAsia="en-US"/>
        </w:rPr>
        <w:t xml:space="preserve"> in post-IPO </w:t>
      </w:r>
      <w:r w:rsidR="00366F41" w:rsidRPr="00366F41">
        <w:rPr>
          <w:lang w:eastAsia="en-US"/>
        </w:rPr>
        <w:lastRenderedPageBreak/>
        <w:t xml:space="preserve">volatility and bid-ask spreads </w:t>
      </w:r>
      <w:r w:rsidR="009F7DB7">
        <w:rPr>
          <w:lang w:eastAsia="en-US"/>
        </w:rPr>
        <w:t>are related to</w:t>
      </w:r>
      <w:r w:rsidR="00366F41" w:rsidRPr="00366F41">
        <w:rPr>
          <w:lang w:eastAsia="en-US"/>
        </w:rPr>
        <w:t xml:space="preserve"> greater information uncertainty after the Act. </w:t>
      </w:r>
      <w:r w:rsidR="00B70B3B">
        <w:rPr>
          <w:lang w:eastAsia="en-US"/>
        </w:rPr>
        <w:fldChar w:fldCharType="begin" w:fldLock="1"/>
      </w:r>
      <w:r w:rsidR="00A611DF">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et al., 2017)","manualFormatting":"Agarwal et al. (2017)","plainTextFormattedCitation":"(Agarwal et al., 2017)","previouslyFormattedCitation":"(Agarwal et al., 2017)"},"properties":{"noteIndex":0},"schema":"https://github.com/citation-style-language/schema/raw/master/csl-citation.json"}</w:instrText>
      </w:r>
      <w:r w:rsidR="00B70B3B">
        <w:rPr>
          <w:lang w:eastAsia="en-US"/>
        </w:rPr>
        <w:fldChar w:fldCharType="separate"/>
      </w:r>
      <w:r>
        <w:rPr>
          <w:noProof/>
          <w:lang w:eastAsia="en-US"/>
        </w:rPr>
        <w:t xml:space="preserve">Agarwal et al. </w:t>
      </w:r>
      <w:r w:rsidR="00B70B3B">
        <w:rPr>
          <w:noProof/>
          <w:lang w:eastAsia="en-US"/>
        </w:rPr>
        <w:t>(2</w:t>
      </w:r>
      <w:r w:rsidR="00B70B3B" w:rsidRPr="00B70B3B">
        <w:rPr>
          <w:noProof/>
          <w:lang w:eastAsia="en-US"/>
        </w:rPr>
        <w:t>017)</w:t>
      </w:r>
      <w:r w:rsidR="00B70B3B">
        <w:rPr>
          <w:lang w:eastAsia="en-US"/>
        </w:rPr>
        <w:fldChar w:fldCharType="end"/>
      </w:r>
      <w:r w:rsidR="00B70B3B">
        <w:rPr>
          <w:lang w:eastAsia="en-US"/>
        </w:rPr>
        <w:t xml:space="preserve"> </w:t>
      </w:r>
      <w:r w:rsidR="00530FF7">
        <w:rPr>
          <w:lang w:eastAsia="en-US"/>
        </w:rPr>
        <w:t xml:space="preserve">also </w:t>
      </w:r>
      <w:r w:rsidR="009F7DB7">
        <w:rPr>
          <w:lang w:eastAsia="en-US"/>
        </w:rPr>
        <w:t xml:space="preserve">provide evidence </w:t>
      </w:r>
      <w:r>
        <w:rPr>
          <w:lang w:eastAsia="en-US"/>
        </w:rPr>
        <w:t>of</w:t>
      </w:r>
      <w:r w:rsidR="009F7DB7">
        <w:rPr>
          <w:lang w:eastAsia="en-US"/>
        </w:rPr>
        <w:t xml:space="preserve"> </w:t>
      </w:r>
      <w:r w:rsidR="00366F41" w:rsidRPr="00366F41">
        <w:rPr>
          <w:lang w:eastAsia="en-US"/>
        </w:rPr>
        <w:t xml:space="preserve">higher </w:t>
      </w:r>
      <w:proofErr w:type="spellStart"/>
      <w:r w:rsidR="00366F41" w:rsidRPr="00366F41">
        <w:rPr>
          <w:lang w:eastAsia="en-US"/>
        </w:rPr>
        <w:t>underpricing</w:t>
      </w:r>
      <w:proofErr w:type="spellEnd"/>
      <w:r w:rsidR="00366F41" w:rsidRPr="00366F41">
        <w:rPr>
          <w:lang w:eastAsia="en-US"/>
        </w:rPr>
        <w:t xml:space="preserve"> </w:t>
      </w:r>
      <w:r>
        <w:rPr>
          <w:lang w:eastAsia="en-US"/>
        </w:rPr>
        <w:t>for</w:t>
      </w:r>
      <w:r w:rsidR="00366F41" w:rsidRPr="00366F41">
        <w:rPr>
          <w:lang w:eastAsia="en-US"/>
        </w:rPr>
        <w:t xml:space="preserve"> </w:t>
      </w:r>
      <w:r w:rsidR="009F7DB7">
        <w:rPr>
          <w:lang w:eastAsia="en-US"/>
        </w:rPr>
        <w:t>emerging growth companies</w:t>
      </w:r>
      <w:r w:rsidR="00366F41" w:rsidRPr="00366F41">
        <w:rPr>
          <w:lang w:eastAsia="en-US"/>
        </w:rPr>
        <w:t xml:space="preserve"> </w:t>
      </w:r>
      <w:r w:rsidR="009F7DB7">
        <w:rPr>
          <w:lang w:eastAsia="en-US"/>
        </w:rPr>
        <w:t>after the Act</w:t>
      </w:r>
      <w:r w:rsidR="00366F41">
        <w:rPr>
          <w:lang w:eastAsia="en-US"/>
        </w:rPr>
        <w:t>.</w:t>
      </w:r>
      <w:r w:rsidR="00366F41" w:rsidRPr="00366F41">
        <w:t xml:space="preserve"> </w:t>
      </w:r>
      <w:r w:rsidR="00366F41">
        <w:fldChar w:fldCharType="begin" w:fldLock="1"/>
      </w:r>
      <w:r w:rsidR="00A611DF">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366F41">
        <w:fldChar w:fldCharType="separate"/>
      </w:r>
      <w:r w:rsidR="00530FF7">
        <w:rPr>
          <w:noProof/>
        </w:rPr>
        <w:t>Chaplinsky et al.</w:t>
      </w:r>
      <w:r w:rsidR="00366F41">
        <w:rPr>
          <w:noProof/>
        </w:rPr>
        <w:t xml:space="preserve"> (2</w:t>
      </w:r>
      <w:r w:rsidR="00366F41" w:rsidRPr="00366F41">
        <w:rPr>
          <w:noProof/>
        </w:rPr>
        <w:t>017)</w:t>
      </w:r>
      <w:r w:rsidR="00366F41">
        <w:fldChar w:fldCharType="end"/>
      </w:r>
      <w:r w:rsidR="009F7DB7">
        <w:rPr>
          <w:lang w:eastAsia="en-US"/>
        </w:rPr>
        <w:t xml:space="preserve"> also observe that</w:t>
      </w:r>
      <w:r w:rsidR="00366F41" w:rsidRPr="00366F41">
        <w:rPr>
          <w:lang w:eastAsia="en-US"/>
        </w:rPr>
        <w:t xml:space="preserve"> </w:t>
      </w:r>
      <w:proofErr w:type="spellStart"/>
      <w:r w:rsidR="00366F41" w:rsidRPr="00366F41">
        <w:rPr>
          <w:lang w:eastAsia="en-US"/>
        </w:rPr>
        <w:t>und</w:t>
      </w:r>
      <w:r w:rsidR="009F7DB7">
        <w:rPr>
          <w:lang w:eastAsia="en-US"/>
        </w:rPr>
        <w:t>erpricing</w:t>
      </w:r>
      <w:proofErr w:type="spellEnd"/>
      <w:r w:rsidR="009F7DB7">
        <w:rPr>
          <w:lang w:eastAsia="en-US"/>
        </w:rPr>
        <w:t xml:space="preserve"> is greater for non-smaller-reporting-companies</w:t>
      </w:r>
      <w:r w:rsidR="00366F41" w:rsidRPr="00366F41">
        <w:rPr>
          <w:lang w:eastAsia="en-US"/>
        </w:rPr>
        <w:t xml:space="preserve"> EGCs </w:t>
      </w:r>
      <w:r>
        <w:rPr>
          <w:lang w:eastAsia="en-US"/>
        </w:rPr>
        <w:t>compared with</w:t>
      </w:r>
      <w:r w:rsidR="00366F41" w:rsidRPr="00366F41">
        <w:rPr>
          <w:lang w:eastAsia="en-US"/>
        </w:rPr>
        <w:t xml:space="preserve"> other IPO </w:t>
      </w:r>
      <w:r w:rsidR="009F7DB7">
        <w:rPr>
          <w:lang w:eastAsia="en-US"/>
        </w:rPr>
        <w:t>companies</w:t>
      </w:r>
      <w:r w:rsidR="00530FF7">
        <w:rPr>
          <w:lang w:eastAsia="en-US"/>
        </w:rPr>
        <w:t xml:space="preserve"> after the enactment of </w:t>
      </w:r>
      <w:r>
        <w:rPr>
          <w:lang w:eastAsia="en-US"/>
        </w:rPr>
        <w:t xml:space="preserve">the </w:t>
      </w:r>
      <w:r w:rsidR="00530FF7">
        <w:rPr>
          <w:lang w:eastAsia="en-US"/>
        </w:rPr>
        <w:t>JOBs Act</w:t>
      </w:r>
      <w:r w:rsidR="009F7DB7">
        <w:rPr>
          <w:lang w:eastAsia="en-US"/>
        </w:rPr>
        <w:t xml:space="preserve">. </w:t>
      </w:r>
    </w:p>
    <w:p w14:paraId="376A0682" w14:textId="05DE38A9" w:rsidR="00D1160E" w:rsidRDefault="00D1160E" w:rsidP="0030659B">
      <w:pPr>
        <w:spacing w:line="360" w:lineRule="auto"/>
        <w:jc w:val="both"/>
        <w:rPr>
          <w:lang w:eastAsia="en-US"/>
        </w:rPr>
      </w:pPr>
      <w:r>
        <w:rPr>
          <w:lang w:eastAsia="en-US"/>
        </w:rPr>
        <w:t xml:space="preserve">However, </w:t>
      </w:r>
      <w:proofErr w:type="gramStart"/>
      <w:r>
        <w:rPr>
          <w:lang w:eastAsia="en-US"/>
        </w:rPr>
        <w:t>despite the fact that</w:t>
      </w:r>
      <w:proofErr w:type="gramEnd"/>
      <w:r>
        <w:rPr>
          <w:lang w:eastAsia="en-US"/>
        </w:rPr>
        <w:t xml:space="preserve"> </w:t>
      </w:r>
      <w:r w:rsidR="004F5BE6">
        <w:rPr>
          <w:lang w:eastAsia="en-US"/>
        </w:rPr>
        <w:t xml:space="preserve">the </w:t>
      </w:r>
      <w:r>
        <w:rPr>
          <w:lang w:eastAsia="en-US"/>
        </w:rPr>
        <w:t>JOBs Act</w:t>
      </w:r>
      <w:r w:rsidRPr="00E95380">
        <w:rPr>
          <w:lang w:eastAsia="en-US"/>
        </w:rPr>
        <w:t xml:space="preserve"> allows regulatory </w:t>
      </w:r>
      <w:r w:rsidR="004F5BE6">
        <w:rPr>
          <w:lang w:eastAsia="en-US"/>
        </w:rPr>
        <w:t>relief</w:t>
      </w:r>
      <w:r w:rsidRPr="00E95380">
        <w:rPr>
          <w:lang w:eastAsia="en-US"/>
        </w:rPr>
        <w:t xml:space="preserve">, </w:t>
      </w:r>
      <w:r>
        <w:rPr>
          <w:lang w:eastAsia="en-US"/>
        </w:rPr>
        <w:t xml:space="preserve">the IPO firms have rights to decide which </w:t>
      </w:r>
      <w:r w:rsidRPr="00E95380">
        <w:rPr>
          <w:lang w:eastAsia="en-US"/>
        </w:rPr>
        <w:t>disclosure exemptions</w:t>
      </w:r>
      <w:r>
        <w:rPr>
          <w:lang w:eastAsia="en-US"/>
        </w:rPr>
        <w:t xml:space="preserve"> under the Act they would adopt.</w:t>
      </w:r>
      <w:r w:rsidRPr="00D1160E">
        <w:rPr>
          <w:lang w:eastAsia="en-US"/>
        </w:rPr>
        <w:t xml:space="preserve"> </w:t>
      </w:r>
      <w:r>
        <w:rPr>
          <w:lang w:eastAsia="en-US"/>
        </w:rPr>
        <w:t xml:space="preserve">As a result, </w:t>
      </w:r>
      <w:r w:rsidR="00CE0118">
        <w:rPr>
          <w:lang w:eastAsia="en-US"/>
        </w:rPr>
        <w:t xml:space="preserve">when adopting more disclosure exemptions, </w:t>
      </w:r>
      <w:r>
        <w:rPr>
          <w:lang w:eastAsia="en-US"/>
        </w:rPr>
        <w:t>IPO firms always confront</w:t>
      </w:r>
      <w:r w:rsidRPr="00E95380">
        <w:rPr>
          <w:lang w:eastAsia="en-US"/>
        </w:rPr>
        <w:t xml:space="preserve"> a difficult trade-off between </w:t>
      </w:r>
      <w:r w:rsidR="00CE0118">
        <w:rPr>
          <w:lang w:eastAsia="en-US"/>
        </w:rPr>
        <w:t xml:space="preserve">enhancing the confidentiality of important information </w:t>
      </w:r>
      <w:r w:rsidRPr="00E95380">
        <w:rPr>
          <w:lang w:eastAsia="en-US"/>
        </w:rPr>
        <w:t xml:space="preserve">and </w:t>
      </w:r>
      <w:r w:rsidR="004F5BE6">
        <w:rPr>
          <w:lang w:eastAsia="en-US"/>
        </w:rPr>
        <w:t>increasing</w:t>
      </w:r>
      <w:r w:rsidR="00CE0118">
        <w:rPr>
          <w:lang w:eastAsia="en-US"/>
        </w:rPr>
        <w:t xml:space="preserve"> in </w:t>
      </w:r>
      <w:proofErr w:type="spellStart"/>
      <w:r w:rsidR="00CE0118">
        <w:rPr>
          <w:lang w:eastAsia="en-US"/>
        </w:rPr>
        <w:t>underpricing</w:t>
      </w:r>
      <w:proofErr w:type="spellEnd"/>
      <w:r w:rsidR="00CE0118">
        <w:rPr>
          <w:lang w:eastAsia="en-US"/>
        </w:rPr>
        <w:t xml:space="preserve"> </w:t>
      </w:r>
      <w:r w:rsidR="00530FF7">
        <w:rPr>
          <w:lang w:eastAsia="en-US"/>
        </w:rPr>
        <w:t>(</w:t>
      </w:r>
      <w:r w:rsidR="00CE0118">
        <w:rPr>
          <w:lang w:eastAsia="en-US"/>
        </w:rPr>
        <w:fldChar w:fldCharType="begin" w:fldLock="1"/>
      </w:r>
      <w:r w:rsidR="00A611DF">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CE0118">
        <w:rPr>
          <w:lang w:eastAsia="en-US"/>
        </w:rPr>
        <w:fldChar w:fldCharType="separate"/>
      </w:r>
      <w:r w:rsidR="00CE0118">
        <w:rPr>
          <w:noProof/>
          <w:lang w:eastAsia="en-US"/>
        </w:rPr>
        <w:t>Chaplinsk</w:t>
      </w:r>
      <w:r w:rsidR="00530FF7">
        <w:rPr>
          <w:noProof/>
          <w:lang w:eastAsia="en-US"/>
        </w:rPr>
        <w:t xml:space="preserve">y et al., </w:t>
      </w:r>
      <w:r w:rsidR="00CE0118" w:rsidRPr="002D69C6">
        <w:rPr>
          <w:noProof/>
          <w:lang w:eastAsia="en-US"/>
        </w:rPr>
        <w:t>2017)</w:t>
      </w:r>
      <w:r w:rsidR="00CE0118">
        <w:rPr>
          <w:lang w:eastAsia="en-US"/>
        </w:rPr>
        <w:fldChar w:fldCharType="end"/>
      </w:r>
      <w:r w:rsidRPr="00E95380">
        <w:rPr>
          <w:lang w:eastAsia="en-US"/>
        </w:rPr>
        <w:t>.</w:t>
      </w:r>
      <w:r w:rsidR="00CE0118">
        <w:rPr>
          <w:lang w:eastAsia="en-US"/>
        </w:rPr>
        <w:t xml:space="preserve"> IPO firms, who pay attention to the problem of </w:t>
      </w:r>
      <w:proofErr w:type="spellStart"/>
      <w:r w:rsidR="00CE0118">
        <w:rPr>
          <w:lang w:eastAsia="en-US"/>
        </w:rPr>
        <w:t>underpricing</w:t>
      </w:r>
      <w:proofErr w:type="spellEnd"/>
      <w:r w:rsidR="00CE0118">
        <w:rPr>
          <w:lang w:eastAsia="en-US"/>
        </w:rPr>
        <w:t xml:space="preserve">, may decline the exemptions and provide more disclosure than is sanctioned by the Act. </w:t>
      </w:r>
      <w:r w:rsidR="00CE0118">
        <w:rPr>
          <w:lang w:eastAsia="en-US"/>
        </w:rPr>
        <w:fldChar w:fldCharType="begin" w:fldLock="1"/>
      </w:r>
      <w:r w:rsidR="00386BE4">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CE0118">
        <w:rPr>
          <w:lang w:eastAsia="en-US"/>
        </w:rPr>
        <w:fldChar w:fldCharType="separate"/>
      </w:r>
      <w:r w:rsidR="00CE0118">
        <w:rPr>
          <w:noProof/>
          <w:lang w:eastAsia="en-US"/>
        </w:rPr>
        <w:t>Chaplinsky et al. (</w:t>
      </w:r>
      <w:r w:rsidR="00CE0118" w:rsidRPr="002D69C6">
        <w:rPr>
          <w:noProof/>
          <w:lang w:eastAsia="en-US"/>
        </w:rPr>
        <w:t>2017)</w:t>
      </w:r>
      <w:r w:rsidR="00CE0118">
        <w:rPr>
          <w:lang w:eastAsia="en-US"/>
        </w:rPr>
        <w:fldChar w:fldCharType="end"/>
      </w:r>
      <w:r w:rsidR="00CE0118">
        <w:rPr>
          <w:lang w:eastAsia="en-US"/>
        </w:rPr>
        <w:t xml:space="preserve"> suggest that </w:t>
      </w:r>
      <w:r w:rsidR="00CE0118" w:rsidRPr="00E95380">
        <w:rPr>
          <w:lang w:eastAsia="en-US"/>
        </w:rPr>
        <w:t>biotech and pharmaceutical EGCs</w:t>
      </w:r>
      <w:r w:rsidR="00CE0118">
        <w:rPr>
          <w:lang w:eastAsia="en-US"/>
        </w:rPr>
        <w:t xml:space="preserve"> could experience less level of </w:t>
      </w:r>
      <w:proofErr w:type="spellStart"/>
      <w:r w:rsidR="00CE0118">
        <w:rPr>
          <w:lang w:eastAsia="en-US"/>
        </w:rPr>
        <w:t>underpricing</w:t>
      </w:r>
      <w:proofErr w:type="spellEnd"/>
      <w:r w:rsidR="00CE0118">
        <w:rPr>
          <w:lang w:eastAsia="en-US"/>
        </w:rPr>
        <w:t xml:space="preserve"> when they take less disclosure exemption</w:t>
      </w:r>
      <w:r w:rsidR="00530FF7">
        <w:rPr>
          <w:lang w:eastAsia="en-US"/>
        </w:rPr>
        <w:t>.</w:t>
      </w:r>
    </w:p>
    <w:p w14:paraId="0F59F9C3" w14:textId="4905FD61" w:rsidR="00223EC2" w:rsidRDefault="00E504C3" w:rsidP="0030659B">
      <w:pPr>
        <w:spacing w:line="360" w:lineRule="auto"/>
        <w:jc w:val="both"/>
        <w:rPr>
          <w:lang w:eastAsia="en-US"/>
        </w:rPr>
      </w:pPr>
      <w:r>
        <w:rPr>
          <w:lang w:eastAsia="en-US"/>
        </w:rPr>
        <w:t xml:space="preserve">In addition, </w:t>
      </w:r>
      <w:r w:rsidR="00530FF7">
        <w:rPr>
          <w:lang w:eastAsia="en-US"/>
        </w:rPr>
        <w:t xml:space="preserve">as stated in section 4, </w:t>
      </w:r>
      <w:r>
        <w:rPr>
          <w:lang w:eastAsia="en-US"/>
        </w:rPr>
        <w:t>p</w:t>
      </w:r>
      <w:r w:rsidR="00B96145">
        <w:rPr>
          <w:lang w:eastAsia="en-US"/>
        </w:rPr>
        <w:t>revious literature identif</w:t>
      </w:r>
      <w:r w:rsidR="00A02079">
        <w:rPr>
          <w:lang w:eastAsia="en-US"/>
        </w:rPr>
        <w:t>ies</w:t>
      </w:r>
      <w:r w:rsidR="00B96145">
        <w:rPr>
          <w:lang w:eastAsia="en-US"/>
        </w:rPr>
        <w:t xml:space="preserve"> that </w:t>
      </w:r>
      <w:r w:rsidR="00530FF7">
        <w:rPr>
          <w:lang w:eastAsia="en-US"/>
        </w:rPr>
        <w:t xml:space="preserve">when </w:t>
      </w:r>
      <w:r w:rsidR="00B96145">
        <w:rPr>
          <w:lang w:eastAsia="en-US"/>
        </w:rPr>
        <w:t>information uncertainty increase</w:t>
      </w:r>
      <w:r w:rsidR="004F5BE6">
        <w:rPr>
          <w:lang w:eastAsia="en-US"/>
        </w:rPr>
        <w:t>s</w:t>
      </w:r>
      <w:r w:rsidR="00B96145">
        <w:rPr>
          <w:lang w:eastAsia="en-US"/>
        </w:rPr>
        <w:t xml:space="preserve">, the SEC could conduct their review in more conservative way </w:t>
      </w:r>
      <w:proofErr w:type="gramStart"/>
      <w:r w:rsidR="00B96145">
        <w:rPr>
          <w:lang w:eastAsia="en-US"/>
        </w:rPr>
        <w:t>in order to</w:t>
      </w:r>
      <w:proofErr w:type="gramEnd"/>
      <w:r w:rsidR="00B96145">
        <w:rPr>
          <w:lang w:eastAsia="en-US"/>
        </w:rPr>
        <w:t xml:space="preserve"> protect investors from possible </w:t>
      </w:r>
      <w:r w:rsidR="00A23417">
        <w:rPr>
          <w:lang w:eastAsia="en-US"/>
        </w:rPr>
        <w:t>misstatements</w:t>
      </w:r>
      <w:r w:rsidR="00B96145">
        <w:rPr>
          <w:lang w:eastAsia="en-US"/>
        </w:rPr>
        <w:t xml:space="preserve"> in </w:t>
      </w:r>
      <w:r w:rsidR="00A23417">
        <w:rPr>
          <w:lang w:eastAsia="en-US"/>
        </w:rPr>
        <w:t>IPO firms’ disclosure.</w:t>
      </w:r>
      <w:r w:rsidR="00B96145">
        <w:rPr>
          <w:lang w:eastAsia="en-US"/>
        </w:rPr>
        <w:t xml:space="preserve"> </w:t>
      </w:r>
      <w:proofErr w:type="spellStart"/>
      <w:r w:rsidR="007B4652" w:rsidRPr="007B4652">
        <w:rPr>
          <w:lang w:eastAsia="en-US"/>
        </w:rPr>
        <w:t>Ertimur</w:t>
      </w:r>
      <w:proofErr w:type="spellEnd"/>
      <w:r w:rsidR="007B4652" w:rsidRPr="007B4652">
        <w:rPr>
          <w:lang w:eastAsia="en-US"/>
        </w:rPr>
        <w:t xml:space="preserve"> &amp; </w:t>
      </w:r>
      <w:proofErr w:type="spellStart"/>
      <w:r w:rsidR="007B4652" w:rsidRPr="007B4652">
        <w:rPr>
          <w:lang w:eastAsia="en-US"/>
        </w:rPr>
        <w:t>Nondorf</w:t>
      </w:r>
      <w:proofErr w:type="spellEnd"/>
      <w:r w:rsidR="007B4652" w:rsidRPr="007B4652">
        <w:rPr>
          <w:lang w:eastAsia="en-US"/>
        </w:rPr>
        <w:t xml:space="preserve"> (2006)</w:t>
      </w:r>
      <w:r w:rsidR="007B4652">
        <w:rPr>
          <w:lang w:eastAsia="en-US"/>
        </w:rPr>
        <w:t>,</w:t>
      </w:r>
      <w:r w:rsidR="00B96145">
        <w:rPr>
          <w:lang w:eastAsia="en-US"/>
        </w:rPr>
        <w:t xml:space="preserve"> </w:t>
      </w:r>
      <w:r w:rsidR="00223EC2">
        <w:rPr>
          <w:lang w:eastAsia="en-US"/>
        </w:rPr>
        <w:fldChar w:fldCharType="begin" w:fldLock="1"/>
      </w:r>
      <w:r w:rsidR="00F817FE">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letters","type":"article-journal"},"uris":["http://www.mendeley.com/documents/?uuid=31cb3f38-3b03-4c18-80a9-efacdd595b49"]}],"mendeley":{"formattedCitation":"(R. Chen &amp; Johnston, 2010)","manualFormatting":"Chen &amp; Johnston, (2010)","plainTextFormattedCitation":"(R. Chen &amp; Johnston, 2010)","previouslyFormattedCitation":"(R. Chen &amp; Johnston, 2010)"},"properties":{"noteIndex":0},"schema":"https://github.com/citation-style-language/schema/raw/master/csl-citation.json"}</w:instrText>
      </w:r>
      <w:r w:rsidR="00223EC2">
        <w:rPr>
          <w:lang w:eastAsia="en-US"/>
        </w:rPr>
        <w:fldChar w:fldCharType="separate"/>
      </w:r>
      <w:r w:rsidR="00223EC2" w:rsidRPr="003C1724">
        <w:rPr>
          <w:noProof/>
          <w:lang w:eastAsia="en-US"/>
        </w:rPr>
        <w:t xml:space="preserve">Chen &amp; Johnston, </w:t>
      </w:r>
      <w:r w:rsidR="00223EC2">
        <w:rPr>
          <w:noProof/>
          <w:lang w:eastAsia="en-US"/>
        </w:rPr>
        <w:t>(</w:t>
      </w:r>
      <w:r w:rsidR="00223EC2" w:rsidRPr="003C1724">
        <w:rPr>
          <w:noProof/>
          <w:lang w:eastAsia="en-US"/>
        </w:rPr>
        <w:t>2010)</w:t>
      </w:r>
      <w:r w:rsidR="00223EC2">
        <w:rPr>
          <w:lang w:eastAsia="en-US"/>
        </w:rPr>
        <w:fldChar w:fldCharType="end"/>
      </w:r>
      <w:r w:rsidR="00223EC2">
        <w:rPr>
          <w:lang w:eastAsia="en-US"/>
        </w:rPr>
        <w:t xml:space="preserve"> </w:t>
      </w:r>
      <w:r w:rsidR="007B4652">
        <w:rPr>
          <w:lang w:eastAsia="en-US"/>
        </w:rPr>
        <w:t xml:space="preserve">and </w:t>
      </w:r>
      <w:r w:rsidR="00223EC2">
        <w:rPr>
          <w:lang w:eastAsia="en-US"/>
        </w:rPr>
        <w:t xml:space="preserve"> </w:t>
      </w:r>
      <w:proofErr w:type="spellStart"/>
      <w:r w:rsidR="007B4652" w:rsidRPr="007B4652">
        <w:rPr>
          <w:lang w:eastAsia="en-US"/>
        </w:rPr>
        <w:t>Colaco</w:t>
      </w:r>
      <w:proofErr w:type="spellEnd"/>
      <w:r w:rsidR="007B4652" w:rsidRPr="007B4652">
        <w:rPr>
          <w:lang w:eastAsia="en-US"/>
        </w:rPr>
        <w:t xml:space="preserve"> et al.</w:t>
      </w:r>
      <w:r w:rsidR="00F57010">
        <w:rPr>
          <w:lang w:eastAsia="en-US"/>
        </w:rPr>
        <w:t xml:space="preserve"> (2018</w:t>
      </w:r>
      <w:r w:rsidR="007B4652" w:rsidRPr="007B4652">
        <w:rPr>
          <w:lang w:eastAsia="en-US"/>
        </w:rPr>
        <w:t>)</w:t>
      </w:r>
      <w:r w:rsidR="007B4652">
        <w:rPr>
          <w:lang w:eastAsia="en-US"/>
        </w:rPr>
        <w:t xml:space="preserve"> support the evidence that the SEC scrutiny could be more intense when the level of information uncertainty is high.</w:t>
      </w:r>
    </w:p>
    <w:p w14:paraId="677FA94C" w14:textId="1B5BEE89" w:rsidR="00F43A09" w:rsidRDefault="00DE6787" w:rsidP="0030659B">
      <w:pPr>
        <w:spacing w:line="360" w:lineRule="auto"/>
        <w:jc w:val="both"/>
        <w:rPr>
          <w:lang w:eastAsia="en-US"/>
        </w:rPr>
      </w:pPr>
      <w:r>
        <w:rPr>
          <w:lang w:eastAsia="en-US"/>
        </w:rPr>
        <w:t xml:space="preserve">Basing </w:t>
      </w:r>
      <w:r w:rsidR="00CE064D">
        <w:rPr>
          <w:lang w:eastAsia="en-US"/>
        </w:rPr>
        <w:t xml:space="preserve">on </w:t>
      </w:r>
      <w:r>
        <w:rPr>
          <w:lang w:eastAsia="en-US"/>
        </w:rPr>
        <w:t xml:space="preserve">the arguments about information uncertainty under JOBs Act which could lead to more IPO’s attention to the </w:t>
      </w:r>
      <w:proofErr w:type="spellStart"/>
      <w:r>
        <w:rPr>
          <w:lang w:eastAsia="en-US"/>
        </w:rPr>
        <w:t>underpricing</w:t>
      </w:r>
      <w:proofErr w:type="spellEnd"/>
      <w:r>
        <w:rPr>
          <w:lang w:eastAsia="en-US"/>
        </w:rPr>
        <w:t xml:space="preserve"> problem </w:t>
      </w:r>
      <w:r w:rsidR="00CE064D">
        <w:rPr>
          <w:lang w:eastAsia="en-US"/>
        </w:rPr>
        <w:t xml:space="preserve">by using less disclosure exemptions </w:t>
      </w:r>
      <w:r>
        <w:rPr>
          <w:lang w:eastAsia="en-US"/>
        </w:rPr>
        <w:t>as well as more conservative review conducted by the SEC to protect the investors</w:t>
      </w:r>
      <w:r w:rsidR="00CE064D">
        <w:rPr>
          <w:lang w:eastAsia="en-US"/>
        </w:rPr>
        <w:t xml:space="preserve"> as mentioned above</w:t>
      </w:r>
      <w:r>
        <w:rPr>
          <w:lang w:eastAsia="en-US"/>
        </w:rPr>
        <w:t xml:space="preserve">, I conjecture that information uncertainty could weaken the </w:t>
      </w:r>
      <w:r w:rsidR="007B4652">
        <w:rPr>
          <w:lang w:eastAsia="en-US"/>
        </w:rPr>
        <w:t xml:space="preserve">negative </w:t>
      </w:r>
      <w:r>
        <w:rPr>
          <w:lang w:eastAsia="en-US"/>
        </w:rPr>
        <w:t xml:space="preserve">link between </w:t>
      </w:r>
      <w:r>
        <w:rPr>
          <w:i/>
          <w:lang w:eastAsia="en-US"/>
        </w:rPr>
        <w:t xml:space="preserve">JOBs Act </w:t>
      </w:r>
      <w:r>
        <w:rPr>
          <w:lang w:eastAsia="en-US"/>
        </w:rPr>
        <w:t xml:space="preserve">and the SEC review attribute </w:t>
      </w:r>
      <w:proofErr w:type="gramStart"/>
      <w:r>
        <w:rPr>
          <w:lang w:eastAsia="en-US"/>
        </w:rPr>
        <w:t>including;</w:t>
      </w:r>
      <w:proofErr w:type="gramEnd"/>
      <w:r>
        <w:rPr>
          <w:lang w:eastAsia="en-US"/>
        </w:rPr>
        <w:t xml:space="preserve"> </w:t>
      </w:r>
      <w:r>
        <w:rPr>
          <w:i/>
          <w:lang w:eastAsia="en-US"/>
        </w:rPr>
        <w:t xml:space="preserve">Duration, Letters, Comments. </w:t>
      </w:r>
      <w:r w:rsidR="007E7B9F">
        <w:rPr>
          <w:lang w:eastAsia="en-US"/>
        </w:rPr>
        <w:t xml:space="preserve">I employ </w:t>
      </w:r>
      <w:r w:rsidR="00386BE4">
        <w:rPr>
          <w:i/>
          <w:lang w:eastAsia="en-US"/>
        </w:rPr>
        <w:t xml:space="preserve">Firm age, </w:t>
      </w:r>
      <w:r w:rsidR="00296848">
        <w:rPr>
          <w:i/>
          <w:lang w:eastAsia="en-US"/>
        </w:rPr>
        <w:t>Sales</w:t>
      </w:r>
      <w:r w:rsidR="00386BE4">
        <w:rPr>
          <w:i/>
          <w:lang w:eastAsia="en-US"/>
        </w:rPr>
        <w:t xml:space="preserve"> growth</w:t>
      </w:r>
      <w:r w:rsidR="006E3506">
        <w:rPr>
          <w:i/>
          <w:lang w:eastAsia="en-US"/>
        </w:rPr>
        <w:t xml:space="preserve">, </w:t>
      </w:r>
      <w:r w:rsidR="00963112">
        <w:rPr>
          <w:lang w:eastAsia="en-US"/>
        </w:rPr>
        <w:t xml:space="preserve">and </w:t>
      </w:r>
      <w:r w:rsidR="00963112">
        <w:rPr>
          <w:i/>
          <w:lang w:eastAsia="en-US"/>
        </w:rPr>
        <w:t xml:space="preserve">Herfindahl Index </w:t>
      </w:r>
      <w:r w:rsidR="00963112">
        <w:rPr>
          <w:lang w:eastAsia="en-US"/>
        </w:rPr>
        <w:t>as three proxies of the information uncertainty</w:t>
      </w:r>
      <w:r w:rsidR="00386BE4">
        <w:rPr>
          <w:lang w:eastAsia="en-US"/>
        </w:rPr>
        <w:t xml:space="preserve"> by basing on the arguments in previous literature</w:t>
      </w:r>
      <w:r w:rsidR="00963112">
        <w:rPr>
          <w:lang w:eastAsia="en-US"/>
        </w:rPr>
        <w:t xml:space="preserve">. </w:t>
      </w:r>
      <w:r w:rsidR="00386BE4">
        <w:rPr>
          <w:lang w:eastAsia="en-US"/>
        </w:rPr>
        <w:t xml:space="preserve">Particularly, </w:t>
      </w:r>
      <w:r w:rsidR="007B4652">
        <w:rPr>
          <w:lang w:eastAsia="en-US"/>
        </w:rPr>
        <w:t>f</w:t>
      </w:r>
      <w:r w:rsidR="00D727AF">
        <w:rPr>
          <w:lang w:eastAsia="en-US"/>
        </w:rPr>
        <w:t xml:space="preserve">irms with a long </w:t>
      </w:r>
      <w:r w:rsidR="00386BE4">
        <w:rPr>
          <w:lang w:eastAsia="en-US"/>
        </w:rPr>
        <w:t xml:space="preserve">operating </w:t>
      </w:r>
      <w:r w:rsidR="00D727AF">
        <w:rPr>
          <w:lang w:eastAsia="en-US"/>
        </w:rPr>
        <w:t xml:space="preserve">history </w:t>
      </w:r>
      <w:r w:rsidR="00386BE4">
        <w:rPr>
          <w:lang w:eastAsia="en-US"/>
        </w:rPr>
        <w:t xml:space="preserve">are claimed to </w:t>
      </w:r>
      <w:r w:rsidR="00D727AF">
        <w:rPr>
          <w:lang w:eastAsia="en-US"/>
        </w:rPr>
        <w:t xml:space="preserve">have more information available to the market </w:t>
      </w:r>
      <w:r w:rsidR="00D727AF">
        <w:rPr>
          <w:lang w:eastAsia="en-US"/>
        </w:rPr>
        <w:fldChar w:fldCharType="begin" w:fldLock="1"/>
      </w:r>
      <w:r w:rsidR="00386BE4">
        <w:rPr>
          <w:lang w:eastAsia="en-US"/>
        </w:rP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2006)","plainTextFormattedCitation":"(Barry &amp; Brown, 1985; Zhang, 2006)","previouslyFormattedCitation":"(Barry &amp; Brown, 1985; Zhang, 2006)"},"properties":{"noteIndex":0},"schema":"https://github.com/citation-style-language/schema/raw/master/csl-citation.json"}</w:instrText>
      </w:r>
      <w:r w:rsidR="00D727AF">
        <w:rPr>
          <w:lang w:eastAsia="en-US"/>
        </w:rPr>
        <w:fldChar w:fldCharType="separate"/>
      </w:r>
      <w:r w:rsidR="00D727AF" w:rsidRPr="00D727AF">
        <w:rPr>
          <w:noProof/>
          <w:lang w:eastAsia="en-US"/>
        </w:rPr>
        <w:t>(Barry &amp; Brown, 1985; Zhang, 2006)</w:t>
      </w:r>
      <w:r w:rsidR="00D727AF">
        <w:rPr>
          <w:lang w:eastAsia="en-US"/>
        </w:rPr>
        <w:fldChar w:fldCharType="end"/>
      </w:r>
      <w:r w:rsidR="00195D52">
        <w:rPr>
          <w:lang w:eastAsia="en-US"/>
        </w:rPr>
        <w:t xml:space="preserve">. </w:t>
      </w:r>
      <w:r w:rsidR="00386BE4">
        <w:rPr>
          <w:lang w:eastAsia="en-US"/>
        </w:rPr>
        <w:t xml:space="preserve">According to </w:t>
      </w:r>
      <w:r w:rsidR="00386BE4">
        <w:rPr>
          <w:lang w:eastAsia="en-US"/>
        </w:rPr>
        <w:fldChar w:fldCharType="begin" w:fldLock="1"/>
      </w:r>
      <w:r w:rsidR="00A611DF">
        <w:rPr>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rsidR="00386BE4">
        <w:rPr>
          <w:lang w:eastAsia="en-US"/>
        </w:rPr>
        <w:fldChar w:fldCharType="separate"/>
      </w:r>
      <w:r w:rsidR="00386BE4">
        <w:rPr>
          <w:noProof/>
          <w:lang w:eastAsia="en-US"/>
        </w:rPr>
        <w:t>Jiang et al.</w:t>
      </w:r>
      <w:r w:rsidR="00386BE4" w:rsidRPr="00386BE4">
        <w:rPr>
          <w:noProof/>
          <w:lang w:eastAsia="en-US"/>
        </w:rPr>
        <w:t xml:space="preserve"> </w:t>
      </w:r>
      <w:r w:rsidR="00386BE4">
        <w:rPr>
          <w:noProof/>
          <w:lang w:eastAsia="en-US"/>
        </w:rPr>
        <w:t>(</w:t>
      </w:r>
      <w:r w:rsidR="00386BE4" w:rsidRPr="00386BE4">
        <w:rPr>
          <w:noProof/>
          <w:lang w:eastAsia="en-US"/>
        </w:rPr>
        <w:t>2005)</w:t>
      </w:r>
      <w:r w:rsidR="00386BE4">
        <w:rPr>
          <w:lang w:eastAsia="en-US"/>
        </w:rPr>
        <w:fldChar w:fldCharType="end"/>
      </w:r>
      <w:r w:rsidR="00386BE4">
        <w:rPr>
          <w:lang w:eastAsia="en-US"/>
        </w:rPr>
        <w:t xml:space="preserve">, </w:t>
      </w:r>
      <w:r w:rsidR="00CE064D">
        <w:rPr>
          <w:lang w:eastAsia="en-US"/>
        </w:rPr>
        <w:t>a</w:t>
      </w:r>
      <w:r w:rsidR="00386BE4">
        <w:rPr>
          <w:lang w:eastAsia="en-US"/>
        </w:rPr>
        <w:t xml:space="preserve"> possible explanation for the phenomena that firms with greater expected growth would earn lower future returns is that they are operating in </w:t>
      </w:r>
      <w:r w:rsidR="00CE064D">
        <w:rPr>
          <w:lang w:eastAsia="en-US"/>
        </w:rPr>
        <w:t xml:space="preserve">a </w:t>
      </w:r>
      <w:r w:rsidR="00386BE4">
        <w:rPr>
          <w:lang w:eastAsia="en-US"/>
        </w:rPr>
        <w:t>higher information uncertainty environment</w:t>
      </w:r>
      <w:r w:rsidR="00191392">
        <w:rPr>
          <w:lang w:eastAsia="en-US"/>
        </w:rPr>
        <w:t xml:space="preserve">. </w:t>
      </w:r>
      <w:r w:rsidR="00A611DF">
        <w:rPr>
          <w:lang w:eastAsia="en-US"/>
        </w:rPr>
        <w:fldChar w:fldCharType="begin" w:fldLock="1"/>
      </w:r>
      <w:r w:rsidR="006B077B">
        <w:rPr>
          <w:lang w:eastAsia="en-US"/>
        </w:rPr>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et al., 2014)","manualFormatting":"Ali et al. (2014)","plainTextFormattedCitation":"(Ali et al., 2014)","previouslyFormattedCitation":"(Ali et al., 2014)"},"properties":{"noteIndex":0},"schema":"https://github.com/citation-style-language/schema/raw/master/csl-citation.json"}</w:instrText>
      </w:r>
      <w:r w:rsidR="00A611DF">
        <w:rPr>
          <w:lang w:eastAsia="en-US"/>
        </w:rPr>
        <w:fldChar w:fldCharType="separate"/>
      </w:r>
      <w:r w:rsidR="00A611DF">
        <w:rPr>
          <w:noProof/>
          <w:lang w:eastAsia="en-US"/>
        </w:rPr>
        <w:t>Ali et al. (</w:t>
      </w:r>
      <w:r w:rsidR="00A611DF" w:rsidRPr="00A611DF">
        <w:rPr>
          <w:noProof/>
          <w:lang w:eastAsia="en-US"/>
        </w:rPr>
        <w:t>2014)</w:t>
      </w:r>
      <w:r w:rsidR="00A611DF">
        <w:rPr>
          <w:lang w:eastAsia="en-US"/>
        </w:rPr>
        <w:fldChar w:fldCharType="end"/>
      </w:r>
      <w:r w:rsidR="00195D52" w:rsidRPr="00195D52">
        <w:rPr>
          <w:lang w:eastAsia="en-US"/>
        </w:rPr>
        <w:t xml:space="preserve"> demonstrate that </w:t>
      </w:r>
      <w:r w:rsidR="00A611DF">
        <w:rPr>
          <w:lang w:eastAsia="en-US"/>
        </w:rPr>
        <w:t xml:space="preserve">due to proprietary costs of disclosure, </w:t>
      </w:r>
      <w:r w:rsidR="00195D52" w:rsidRPr="00195D52">
        <w:rPr>
          <w:lang w:eastAsia="en-US"/>
        </w:rPr>
        <w:t>firms operat</w:t>
      </w:r>
      <w:r w:rsidR="00386BE4">
        <w:rPr>
          <w:lang w:eastAsia="en-US"/>
        </w:rPr>
        <w:t xml:space="preserve">ing in </w:t>
      </w:r>
      <w:proofErr w:type="gramStart"/>
      <w:r w:rsidR="00600B99">
        <w:rPr>
          <w:lang w:eastAsia="en-US"/>
        </w:rPr>
        <w:t>high</w:t>
      </w:r>
      <w:r w:rsidR="00CE064D">
        <w:rPr>
          <w:lang w:eastAsia="en-US"/>
        </w:rPr>
        <w:t>ly</w:t>
      </w:r>
      <w:r w:rsidR="00386BE4">
        <w:rPr>
          <w:lang w:eastAsia="en-US"/>
        </w:rPr>
        <w:t>-concentrated</w:t>
      </w:r>
      <w:proofErr w:type="gramEnd"/>
      <w:r w:rsidR="00386BE4">
        <w:rPr>
          <w:lang w:eastAsia="en-US"/>
        </w:rPr>
        <w:t xml:space="preserve"> markets </w:t>
      </w:r>
      <w:r w:rsidR="00A611DF">
        <w:rPr>
          <w:lang w:eastAsia="en-US"/>
        </w:rPr>
        <w:t>exhibit</w:t>
      </w:r>
      <w:r w:rsidR="00195D52" w:rsidRPr="00195D52">
        <w:rPr>
          <w:lang w:eastAsia="en-US"/>
        </w:rPr>
        <w:t xml:space="preserve"> greater </w:t>
      </w:r>
      <w:r w:rsidR="00A611DF">
        <w:rPr>
          <w:lang w:eastAsia="en-US"/>
        </w:rPr>
        <w:t>dispersion in analysts’ earnings forecasts</w:t>
      </w:r>
      <w:r w:rsidR="00195D52" w:rsidRPr="00195D52">
        <w:rPr>
          <w:lang w:eastAsia="en-US"/>
        </w:rPr>
        <w:t xml:space="preserve"> caused by </w:t>
      </w:r>
      <w:r w:rsidR="00195D52">
        <w:rPr>
          <w:lang w:eastAsia="en-US"/>
        </w:rPr>
        <w:t>higher information uncertainty</w:t>
      </w:r>
      <w:r w:rsidR="00191392">
        <w:rPr>
          <w:lang w:eastAsia="en-US"/>
        </w:rPr>
        <w:t xml:space="preserve">. </w:t>
      </w:r>
      <w:r w:rsidR="0048095B">
        <w:rPr>
          <w:lang w:eastAsia="en-US"/>
        </w:rPr>
        <w:t xml:space="preserve">Particularly, </w:t>
      </w:r>
      <w:r w:rsidR="006E3506">
        <w:rPr>
          <w:lang w:eastAsia="en-US"/>
        </w:rPr>
        <w:t xml:space="preserve">I </w:t>
      </w:r>
      <w:r w:rsidR="007B4652">
        <w:rPr>
          <w:lang w:eastAsia="en-US"/>
        </w:rPr>
        <w:t xml:space="preserve">employ the negative binomial regressions on the SEC review attributes </w:t>
      </w:r>
      <w:proofErr w:type="gramStart"/>
      <w:r w:rsidR="007B4652">
        <w:rPr>
          <w:lang w:eastAsia="en-US"/>
        </w:rPr>
        <w:t>including;</w:t>
      </w:r>
      <w:proofErr w:type="gramEnd"/>
      <w:r w:rsidR="007B4652">
        <w:rPr>
          <w:lang w:eastAsia="en-US"/>
        </w:rPr>
        <w:t xml:space="preserve"> </w:t>
      </w:r>
      <w:r w:rsidR="007B4652">
        <w:rPr>
          <w:i/>
          <w:lang w:eastAsia="en-US"/>
        </w:rPr>
        <w:t xml:space="preserve">Duration, Letters, Comments, </w:t>
      </w:r>
      <w:r w:rsidR="007B4652">
        <w:rPr>
          <w:lang w:eastAsia="en-US"/>
        </w:rPr>
        <w:t xml:space="preserve">and </w:t>
      </w:r>
      <w:r w:rsidR="007B4652">
        <w:rPr>
          <w:i/>
          <w:lang w:eastAsia="en-US"/>
        </w:rPr>
        <w:t>JOBs Act</w:t>
      </w:r>
      <w:r w:rsidR="007B4652">
        <w:rPr>
          <w:lang w:eastAsia="en-US"/>
        </w:rPr>
        <w:t xml:space="preserve"> (Model 2 in Panel</w:t>
      </w:r>
      <w:r w:rsidR="00CE064D">
        <w:rPr>
          <w:lang w:eastAsia="en-US"/>
        </w:rPr>
        <w:t>s</w:t>
      </w:r>
      <w:r w:rsidR="007B4652">
        <w:rPr>
          <w:lang w:eastAsia="en-US"/>
        </w:rPr>
        <w:t xml:space="preserve"> A, B, C, </w:t>
      </w:r>
      <w:r w:rsidR="00174399">
        <w:rPr>
          <w:lang w:eastAsia="en-US"/>
        </w:rPr>
        <w:t>Table 11</w:t>
      </w:r>
      <w:r w:rsidR="007B4652">
        <w:rPr>
          <w:lang w:eastAsia="en-US"/>
        </w:rPr>
        <w:t xml:space="preserve">) and then </w:t>
      </w:r>
      <w:r w:rsidR="00E16F45">
        <w:rPr>
          <w:lang w:eastAsia="en-US"/>
        </w:rPr>
        <w:t>add</w:t>
      </w:r>
      <w:r w:rsidR="006E3506">
        <w:rPr>
          <w:lang w:eastAsia="en-US"/>
        </w:rPr>
        <w:t xml:space="preserve"> three interaction</w:t>
      </w:r>
      <w:r w:rsidR="00E16F45">
        <w:rPr>
          <w:lang w:eastAsia="en-US"/>
        </w:rPr>
        <w:t>s</w:t>
      </w:r>
      <w:r w:rsidR="006E3506">
        <w:rPr>
          <w:lang w:eastAsia="en-US"/>
        </w:rPr>
        <w:t xml:space="preserve"> between (1) </w:t>
      </w:r>
      <w:r w:rsidR="00296848">
        <w:rPr>
          <w:i/>
          <w:lang w:eastAsia="en-US"/>
        </w:rPr>
        <w:t>Sales growth</w:t>
      </w:r>
      <w:r w:rsidR="006E3506">
        <w:rPr>
          <w:i/>
          <w:lang w:eastAsia="en-US"/>
        </w:rPr>
        <w:t xml:space="preserve"> </w:t>
      </w:r>
      <w:r w:rsidR="006E3506">
        <w:rPr>
          <w:lang w:eastAsia="en-US"/>
        </w:rPr>
        <w:lastRenderedPageBreak/>
        <w:t xml:space="preserve">and </w:t>
      </w:r>
      <w:r w:rsidR="006E3506">
        <w:rPr>
          <w:i/>
          <w:lang w:eastAsia="en-US"/>
        </w:rPr>
        <w:t xml:space="preserve">JOBs Act, </w:t>
      </w:r>
      <w:r w:rsidR="006E3506">
        <w:rPr>
          <w:lang w:eastAsia="en-US"/>
        </w:rPr>
        <w:t xml:space="preserve">(2) </w:t>
      </w:r>
      <w:r w:rsidR="00E16F45">
        <w:rPr>
          <w:i/>
          <w:lang w:eastAsia="en-US"/>
        </w:rPr>
        <w:t xml:space="preserve">Firm age </w:t>
      </w:r>
      <w:r w:rsidR="00E16F45">
        <w:rPr>
          <w:lang w:eastAsia="en-US"/>
        </w:rPr>
        <w:t xml:space="preserve">and </w:t>
      </w:r>
      <w:r w:rsidR="00E16F45">
        <w:rPr>
          <w:i/>
          <w:lang w:eastAsia="en-US"/>
        </w:rPr>
        <w:t xml:space="preserve">JOBs Act </w:t>
      </w:r>
      <w:r w:rsidR="00E16F45">
        <w:rPr>
          <w:lang w:eastAsia="en-US"/>
        </w:rPr>
        <w:t xml:space="preserve">and (3) </w:t>
      </w:r>
      <w:r w:rsidR="00E16F45">
        <w:rPr>
          <w:i/>
          <w:lang w:eastAsia="en-US"/>
        </w:rPr>
        <w:t xml:space="preserve">Herfindahl Index </w:t>
      </w:r>
      <w:r w:rsidR="00E16F45">
        <w:rPr>
          <w:lang w:eastAsia="en-US"/>
        </w:rPr>
        <w:t xml:space="preserve">and </w:t>
      </w:r>
      <w:r w:rsidR="00E16F45">
        <w:rPr>
          <w:i/>
          <w:lang w:eastAsia="en-US"/>
        </w:rPr>
        <w:t xml:space="preserve">JOBs Act, </w:t>
      </w:r>
      <w:r w:rsidR="00E16F45">
        <w:rPr>
          <w:lang w:eastAsia="en-US"/>
        </w:rPr>
        <w:t>into the</w:t>
      </w:r>
      <w:r w:rsidR="007B4652">
        <w:rPr>
          <w:lang w:eastAsia="en-US"/>
        </w:rPr>
        <w:t>se</w:t>
      </w:r>
      <w:r w:rsidR="00E16F45">
        <w:rPr>
          <w:lang w:eastAsia="en-US"/>
        </w:rPr>
        <w:t xml:space="preserve"> regressions as presented in Table </w:t>
      </w:r>
      <w:r w:rsidR="00174399">
        <w:rPr>
          <w:lang w:eastAsia="en-US"/>
        </w:rPr>
        <w:t>13</w:t>
      </w:r>
      <w:r w:rsidR="00E16F45">
        <w:rPr>
          <w:lang w:eastAsia="en-US"/>
        </w:rPr>
        <w:t xml:space="preserve">. </w:t>
      </w:r>
    </w:p>
    <w:p w14:paraId="52C26EDD" w14:textId="56E0ADBF" w:rsidR="00F43A09" w:rsidRPr="002534A6" w:rsidRDefault="00E16F45" w:rsidP="0030659B">
      <w:pPr>
        <w:spacing w:line="360" w:lineRule="auto"/>
        <w:jc w:val="both"/>
        <w:rPr>
          <w:i/>
          <w:lang w:eastAsia="en-US"/>
        </w:rPr>
      </w:pPr>
      <w:r>
        <w:rPr>
          <w:lang w:eastAsia="en-US"/>
        </w:rPr>
        <w:t xml:space="preserve">Regarding </w:t>
      </w:r>
      <w:r w:rsidR="00296848">
        <w:rPr>
          <w:i/>
          <w:lang w:eastAsia="en-US"/>
        </w:rPr>
        <w:t>Sales growth</w:t>
      </w:r>
      <w:r>
        <w:rPr>
          <w:i/>
          <w:lang w:eastAsia="en-US"/>
        </w:rPr>
        <w:t xml:space="preserve">, </w:t>
      </w:r>
      <w:r>
        <w:rPr>
          <w:lang w:eastAsia="en-US"/>
        </w:rPr>
        <w:t xml:space="preserve">in </w:t>
      </w:r>
      <w:r w:rsidR="00174399">
        <w:rPr>
          <w:lang w:eastAsia="en-US"/>
        </w:rPr>
        <w:t>Table 13</w:t>
      </w:r>
      <w:r>
        <w:rPr>
          <w:lang w:eastAsia="en-US"/>
        </w:rPr>
        <w:t xml:space="preserve">, </w:t>
      </w:r>
      <w:r w:rsidR="00131A2D">
        <w:rPr>
          <w:lang w:eastAsia="en-US"/>
        </w:rPr>
        <w:t xml:space="preserve">Panel A, </w:t>
      </w:r>
      <w:r>
        <w:rPr>
          <w:lang w:eastAsia="en-US"/>
        </w:rPr>
        <w:t xml:space="preserve">I observe </w:t>
      </w:r>
      <w:r w:rsidR="00E97B8A">
        <w:rPr>
          <w:lang w:eastAsia="en-US"/>
        </w:rPr>
        <w:t xml:space="preserve">two </w:t>
      </w:r>
      <w:r>
        <w:rPr>
          <w:lang w:eastAsia="en-US"/>
        </w:rPr>
        <w:t xml:space="preserve">positive and strongly significant coefficients on the interaction </w:t>
      </w:r>
      <w:r w:rsidR="00296848">
        <w:rPr>
          <w:i/>
          <w:lang w:eastAsia="en-US"/>
        </w:rPr>
        <w:t>Sales growth</w:t>
      </w:r>
      <w:r>
        <w:rPr>
          <w:i/>
          <w:lang w:eastAsia="en-US"/>
        </w:rPr>
        <w:t xml:space="preserve">*JOBs Act </w:t>
      </w:r>
      <w:r w:rsidR="00E97B8A">
        <w:rPr>
          <w:lang w:eastAsia="en-US"/>
        </w:rPr>
        <w:t>in the models in which</w:t>
      </w:r>
      <w:r>
        <w:rPr>
          <w:lang w:eastAsia="en-US"/>
        </w:rPr>
        <w:t xml:space="preserve"> the dependent variable are </w:t>
      </w:r>
      <w:r>
        <w:rPr>
          <w:i/>
          <w:lang w:eastAsia="en-US"/>
        </w:rPr>
        <w:t xml:space="preserve">Duration </w:t>
      </w:r>
      <w:r>
        <w:rPr>
          <w:lang w:eastAsia="en-US"/>
        </w:rPr>
        <w:t xml:space="preserve">and </w:t>
      </w:r>
      <w:r>
        <w:rPr>
          <w:i/>
          <w:lang w:eastAsia="en-US"/>
        </w:rPr>
        <w:t>Letters</w:t>
      </w:r>
      <w:r>
        <w:rPr>
          <w:lang w:eastAsia="en-US"/>
        </w:rPr>
        <w:t xml:space="preserve">. </w:t>
      </w:r>
      <w:r w:rsidR="00E97B8A">
        <w:rPr>
          <w:lang w:eastAsia="en-US"/>
        </w:rPr>
        <w:t>These results indicate</w:t>
      </w:r>
      <w:r>
        <w:rPr>
          <w:lang w:eastAsia="en-US"/>
        </w:rPr>
        <w:t xml:space="preserve"> that the negative effect of </w:t>
      </w:r>
      <w:r>
        <w:rPr>
          <w:i/>
          <w:lang w:eastAsia="en-US"/>
        </w:rPr>
        <w:t xml:space="preserve">JOBs Act </w:t>
      </w:r>
      <w:r>
        <w:rPr>
          <w:lang w:eastAsia="en-US"/>
        </w:rPr>
        <w:t xml:space="preserve">on </w:t>
      </w:r>
      <w:r>
        <w:rPr>
          <w:i/>
          <w:lang w:eastAsia="en-US"/>
        </w:rPr>
        <w:t xml:space="preserve">Duration </w:t>
      </w:r>
      <w:r>
        <w:rPr>
          <w:lang w:eastAsia="en-US"/>
        </w:rPr>
        <w:t xml:space="preserve">and </w:t>
      </w:r>
      <w:r>
        <w:rPr>
          <w:i/>
          <w:lang w:eastAsia="en-US"/>
        </w:rPr>
        <w:t xml:space="preserve">Letters </w:t>
      </w:r>
      <w:r>
        <w:rPr>
          <w:lang w:eastAsia="en-US"/>
        </w:rPr>
        <w:t xml:space="preserve">are less powerful </w:t>
      </w:r>
      <w:r w:rsidR="002534A6">
        <w:rPr>
          <w:lang w:eastAsia="en-US"/>
        </w:rPr>
        <w:t xml:space="preserve">for firms </w:t>
      </w:r>
      <w:r w:rsidR="00CE064D">
        <w:rPr>
          <w:lang w:eastAsia="en-US"/>
        </w:rPr>
        <w:t>with</w:t>
      </w:r>
      <w:r w:rsidR="002534A6">
        <w:rPr>
          <w:lang w:eastAsia="en-US"/>
        </w:rPr>
        <w:t xml:space="preserve"> higher growth rate</w:t>
      </w:r>
      <w:r w:rsidR="00CE064D">
        <w:rPr>
          <w:lang w:eastAsia="en-US"/>
        </w:rPr>
        <w:t>s</w:t>
      </w:r>
      <w:r w:rsidR="00C40EA9">
        <w:rPr>
          <w:lang w:eastAsia="en-US"/>
        </w:rPr>
        <w:t>, who have higher information uncertainty (</w:t>
      </w:r>
      <w:r w:rsidR="00C40EA9">
        <w:rPr>
          <w:lang w:eastAsia="en-US"/>
        </w:rPr>
        <w:fldChar w:fldCharType="begin" w:fldLock="1"/>
      </w:r>
      <w:r w:rsidR="00A611DF">
        <w:rPr>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rsidR="00C40EA9">
        <w:rPr>
          <w:lang w:eastAsia="en-US"/>
        </w:rPr>
        <w:fldChar w:fldCharType="separate"/>
      </w:r>
      <w:r w:rsidR="00C40EA9">
        <w:rPr>
          <w:noProof/>
          <w:lang w:eastAsia="en-US"/>
        </w:rPr>
        <w:t xml:space="preserve">Jiang et al., </w:t>
      </w:r>
      <w:r w:rsidR="00C40EA9" w:rsidRPr="00386BE4">
        <w:rPr>
          <w:noProof/>
          <w:lang w:eastAsia="en-US"/>
        </w:rPr>
        <w:t>2005)</w:t>
      </w:r>
      <w:r w:rsidR="00C40EA9">
        <w:rPr>
          <w:lang w:eastAsia="en-US"/>
        </w:rPr>
        <w:fldChar w:fldCharType="end"/>
      </w:r>
      <w:r w:rsidR="00C40EA9">
        <w:rPr>
          <w:lang w:eastAsia="en-US"/>
        </w:rPr>
        <w:t>,</w:t>
      </w:r>
      <w:r w:rsidR="002534A6">
        <w:rPr>
          <w:lang w:eastAsia="en-US"/>
        </w:rPr>
        <w:t xml:space="preserve"> after the Act. In other words, information uncertainty after the Act, which is indicated by the interaction </w:t>
      </w:r>
      <w:r w:rsidR="00296848">
        <w:rPr>
          <w:i/>
          <w:lang w:eastAsia="en-US"/>
        </w:rPr>
        <w:t>Sales growth</w:t>
      </w:r>
      <w:r w:rsidR="002534A6">
        <w:rPr>
          <w:i/>
          <w:lang w:eastAsia="en-US"/>
        </w:rPr>
        <w:t>*JOBs Act</w:t>
      </w:r>
      <w:r w:rsidR="002534A6">
        <w:rPr>
          <w:lang w:eastAsia="en-US"/>
        </w:rPr>
        <w:t>, weaken</w:t>
      </w:r>
      <w:r w:rsidR="00CE064D">
        <w:rPr>
          <w:lang w:eastAsia="en-US"/>
        </w:rPr>
        <w:t>s</w:t>
      </w:r>
      <w:r w:rsidR="002534A6">
        <w:rPr>
          <w:lang w:eastAsia="en-US"/>
        </w:rPr>
        <w:t xml:space="preserve"> the negative relationship between </w:t>
      </w:r>
      <w:r w:rsidR="002534A6">
        <w:rPr>
          <w:i/>
          <w:lang w:eastAsia="en-US"/>
        </w:rPr>
        <w:t xml:space="preserve">JOBs Act </w:t>
      </w:r>
      <w:r w:rsidR="002534A6">
        <w:rPr>
          <w:lang w:eastAsia="en-US"/>
        </w:rPr>
        <w:t>and all SEC review attributes</w:t>
      </w:r>
      <w:r w:rsidR="002534A6" w:rsidRPr="006B077B">
        <w:rPr>
          <w:lang w:eastAsia="en-US"/>
        </w:rPr>
        <w:t>.</w:t>
      </w:r>
      <w:r w:rsidR="00577A84" w:rsidRPr="006B077B">
        <w:rPr>
          <w:i/>
          <w:lang w:eastAsia="en-US"/>
        </w:rPr>
        <w:t xml:space="preserve"> </w:t>
      </w:r>
      <w:r w:rsidR="00577A84" w:rsidRPr="006B077B">
        <w:rPr>
          <w:lang w:eastAsia="en-US"/>
        </w:rPr>
        <w:t xml:space="preserve">These findings in line with </w:t>
      </w:r>
      <w:r w:rsidR="00CE064D" w:rsidRPr="006B077B">
        <w:rPr>
          <w:lang w:eastAsia="en-US"/>
        </w:rPr>
        <w:t xml:space="preserve">the </w:t>
      </w:r>
      <w:r w:rsidR="00577A84" w:rsidRPr="006B077B">
        <w:rPr>
          <w:lang w:eastAsia="en-US"/>
        </w:rPr>
        <w:t>information uncertai</w:t>
      </w:r>
      <w:r w:rsidR="00CE064D" w:rsidRPr="006B077B">
        <w:rPr>
          <w:lang w:eastAsia="en-US"/>
        </w:rPr>
        <w:t>nty hypothesis and the argument</w:t>
      </w:r>
      <w:r w:rsidR="00577A84" w:rsidRPr="006B077B">
        <w:rPr>
          <w:lang w:eastAsia="en-US"/>
        </w:rPr>
        <w:t xml:space="preserve"> that </w:t>
      </w:r>
      <w:r w:rsidR="00CE064D" w:rsidRPr="006B077B">
        <w:rPr>
          <w:lang w:eastAsia="en-US"/>
        </w:rPr>
        <w:t xml:space="preserve">the </w:t>
      </w:r>
      <w:r w:rsidR="00577A84" w:rsidRPr="006B077B">
        <w:rPr>
          <w:lang w:eastAsia="en-US"/>
        </w:rPr>
        <w:t xml:space="preserve">JOBs Act could increase the information uncertainty (Chaplinsky et al., 2017), which could lead </w:t>
      </w:r>
      <w:r w:rsidR="008E3597" w:rsidRPr="006B077B">
        <w:rPr>
          <w:lang w:eastAsia="en-US"/>
        </w:rPr>
        <w:t>the SEC to be conservative and increase extensiveness of their review to protect investors</w:t>
      </w:r>
      <w:r w:rsidR="00577A84" w:rsidRPr="006B077B">
        <w:rPr>
          <w:lang w:eastAsia="en-US"/>
        </w:rPr>
        <w:t xml:space="preserve"> (</w:t>
      </w:r>
      <w:proofErr w:type="spellStart"/>
      <w:r w:rsidR="00577A84" w:rsidRPr="006B077B">
        <w:rPr>
          <w:lang w:eastAsia="en-US"/>
        </w:rPr>
        <w:t>Ertimur</w:t>
      </w:r>
      <w:proofErr w:type="spellEnd"/>
      <w:r w:rsidR="00577A84" w:rsidRPr="006B077B">
        <w:rPr>
          <w:lang w:eastAsia="en-US"/>
        </w:rPr>
        <w:t xml:space="preserve"> &amp; </w:t>
      </w:r>
      <w:proofErr w:type="spellStart"/>
      <w:r w:rsidR="00577A84" w:rsidRPr="006B077B">
        <w:rPr>
          <w:lang w:eastAsia="en-US"/>
        </w:rPr>
        <w:t>Nondorf</w:t>
      </w:r>
      <w:proofErr w:type="spellEnd"/>
      <w:r w:rsidR="00577A84" w:rsidRPr="006B077B">
        <w:rPr>
          <w:lang w:eastAsia="en-US"/>
        </w:rPr>
        <w:t xml:space="preserve">, 2006; </w:t>
      </w:r>
      <w:r w:rsidR="00577A84" w:rsidRPr="006B077B">
        <w:rPr>
          <w:lang w:eastAsia="en-US"/>
        </w:rPr>
        <w:fldChar w:fldCharType="begin" w:fldLock="1"/>
      </w:r>
      <w:r w:rsidR="00A611DF" w:rsidRPr="006B077B">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letters","type":"article-journal"},"uris":["http://www.mendeley.com/documents/?uuid=31cb3f38-3b03-4c18-80a9-efacdd595b49"]}],"mendeley":{"formattedCitation":"(R. Chen &amp; Johnston, 2010)","manualFormatting":"Chen &amp; Johnston, 2010","plainTextFormattedCitation":"(R. Chen &amp; Johnston, 2010)","previouslyFormattedCitation":"(R. Chen &amp; Johnston, 2010)"},"properties":{"noteIndex":0},"schema":"https://github.com/citation-style-language/schema/raw/master/csl-citation.json"}</w:instrText>
      </w:r>
      <w:r w:rsidR="00577A84" w:rsidRPr="006B077B">
        <w:rPr>
          <w:lang w:eastAsia="en-US"/>
        </w:rPr>
        <w:fldChar w:fldCharType="separate"/>
      </w:r>
      <w:r w:rsidR="00577A84" w:rsidRPr="006B077B">
        <w:rPr>
          <w:noProof/>
          <w:lang w:eastAsia="en-US"/>
        </w:rPr>
        <w:t>Chen &amp; Johnston, 2010</w:t>
      </w:r>
      <w:r w:rsidR="00577A84" w:rsidRPr="006B077B">
        <w:rPr>
          <w:lang w:eastAsia="en-US"/>
        </w:rPr>
        <w:fldChar w:fldCharType="end"/>
      </w:r>
      <w:r w:rsidR="00577A84" w:rsidRPr="006B077B">
        <w:rPr>
          <w:lang w:eastAsia="en-US"/>
        </w:rPr>
        <w:t xml:space="preserve"> and  </w:t>
      </w:r>
      <w:proofErr w:type="spellStart"/>
      <w:r w:rsidR="00577A84" w:rsidRPr="006B077B">
        <w:rPr>
          <w:lang w:eastAsia="en-US"/>
        </w:rPr>
        <w:t>Colaco</w:t>
      </w:r>
      <w:proofErr w:type="spellEnd"/>
      <w:r w:rsidR="00577A84" w:rsidRPr="006B077B">
        <w:rPr>
          <w:lang w:eastAsia="en-US"/>
        </w:rPr>
        <w:t xml:space="preserve"> et al., </w:t>
      </w:r>
      <w:r w:rsidR="00F57010" w:rsidRPr="006B077B">
        <w:rPr>
          <w:lang w:eastAsia="en-US"/>
        </w:rPr>
        <w:t>2018</w:t>
      </w:r>
      <w:r w:rsidR="00577A84" w:rsidRPr="006B077B">
        <w:rPr>
          <w:lang w:eastAsia="en-US"/>
        </w:rPr>
        <w:t xml:space="preserve">). </w:t>
      </w:r>
    </w:p>
    <w:p w14:paraId="71360FD9" w14:textId="39E3663C" w:rsidR="00C65547" w:rsidRPr="00C65547" w:rsidRDefault="00C65547" w:rsidP="0030659B">
      <w:pPr>
        <w:spacing w:line="360" w:lineRule="auto"/>
        <w:jc w:val="both"/>
        <w:rPr>
          <w:i/>
          <w:lang w:eastAsia="en-US"/>
        </w:rPr>
      </w:pPr>
      <w:r w:rsidRPr="006B077B">
        <w:rPr>
          <w:lang w:eastAsia="en-US"/>
        </w:rPr>
        <w:t xml:space="preserve">Likewise, regarding </w:t>
      </w:r>
      <w:r w:rsidRPr="006B077B">
        <w:rPr>
          <w:i/>
          <w:lang w:eastAsia="en-US"/>
        </w:rPr>
        <w:t xml:space="preserve">Herfindahl Index, </w:t>
      </w:r>
      <w:r w:rsidRPr="006B077B">
        <w:rPr>
          <w:lang w:eastAsia="en-US"/>
        </w:rPr>
        <w:t xml:space="preserve">in </w:t>
      </w:r>
      <w:r w:rsidR="00174399">
        <w:rPr>
          <w:lang w:eastAsia="en-US"/>
        </w:rPr>
        <w:t>Table 13</w:t>
      </w:r>
      <w:r w:rsidRPr="006B077B">
        <w:rPr>
          <w:lang w:eastAsia="en-US"/>
        </w:rPr>
        <w:t xml:space="preserve">, </w:t>
      </w:r>
      <w:r w:rsidR="00131A2D" w:rsidRPr="006B077B">
        <w:rPr>
          <w:lang w:eastAsia="en-US"/>
        </w:rPr>
        <w:t xml:space="preserve">Panel B, </w:t>
      </w:r>
      <w:r w:rsidRPr="006B077B">
        <w:rPr>
          <w:lang w:eastAsia="en-US"/>
        </w:rPr>
        <w:t xml:space="preserve">I identify three positive and significant coefficients on the interaction </w:t>
      </w:r>
      <w:r w:rsidRPr="006B077B">
        <w:rPr>
          <w:i/>
          <w:lang w:eastAsia="en-US"/>
        </w:rPr>
        <w:t xml:space="preserve">Herfindahl Index*JOBs Act </w:t>
      </w:r>
      <w:r w:rsidRPr="006B077B">
        <w:rPr>
          <w:lang w:eastAsia="en-US"/>
        </w:rPr>
        <w:t xml:space="preserve">in the models in which the dependent variables are </w:t>
      </w:r>
      <w:r w:rsidRPr="006B077B">
        <w:rPr>
          <w:i/>
          <w:lang w:eastAsia="en-US"/>
        </w:rPr>
        <w:t xml:space="preserve">Duration, Letters </w:t>
      </w:r>
      <w:r w:rsidRPr="006B077B">
        <w:rPr>
          <w:lang w:eastAsia="en-US"/>
        </w:rPr>
        <w:t xml:space="preserve">and </w:t>
      </w:r>
      <w:r w:rsidR="00577A84" w:rsidRPr="006B077B">
        <w:rPr>
          <w:i/>
          <w:lang w:eastAsia="en-US"/>
        </w:rPr>
        <w:t>Comments</w:t>
      </w:r>
      <w:r w:rsidRPr="006B077B">
        <w:rPr>
          <w:lang w:eastAsia="en-US"/>
        </w:rPr>
        <w:t xml:space="preserve">. These results imply that the negative effect of </w:t>
      </w:r>
      <w:r w:rsidRPr="006B077B">
        <w:rPr>
          <w:i/>
          <w:lang w:eastAsia="en-US"/>
        </w:rPr>
        <w:t xml:space="preserve">JOBs Act </w:t>
      </w:r>
      <w:r w:rsidRPr="006B077B">
        <w:rPr>
          <w:lang w:eastAsia="en-US"/>
        </w:rPr>
        <w:t>on all SEC review attr</w:t>
      </w:r>
      <w:r w:rsidR="006B077B" w:rsidRPr="006B077B">
        <w:rPr>
          <w:lang w:eastAsia="en-US"/>
        </w:rPr>
        <w:t xml:space="preserve">ibutes are less powerful in </w:t>
      </w:r>
      <w:r w:rsidRPr="006B077B">
        <w:rPr>
          <w:lang w:eastAsia="en-US"/>
        </w:rPr>
        <w:t>market</w:t>
      </w:r>
      <w:r w:rsidR="006B077B" w:rsidRPr="006B077B">
        <w:rPr>
          <w:lang w:eastAsia="en-US"/>
        </w:rPr>
        <w:t>s</w:t>
      </w:r>
      <w:r w:rsidRPr="006B077B">
        <w:rPr>
          <w:lang w:eastAsia="en-US"/>
        </w:rPr>
        <w:t xml:space="preserve"> </w:t>
      </w:r>
      <w:r w:rsidR="00CE064D" w:rsidRPr="006B077B">
        <w:rPr>
          <w:lang w:eastAsia="en-US"/>
        </w:rPr>
        <w:t>with</w:t>
      </w:r>
      <w:r w:rsidRPr="006B077B">
        <w:rPr>
          <w:lang w:eastAsia="en-US"/>
        </w:rPr>
        <w:t xml:space="preserve"> higher concentration</w:t>
      </w:r>
      <w:r w:rsidR="006B077B" w:rsidRPr="006B077B">
        <w:rPr>
          <w:lang w:eastAsia="en-US"/>
        </w:rPr>
        <w:t xml:space="preserve">, where experience higher information uncertainty due to proprietary costs of disclosure </w:t>
      </w:r>
      <w:r w:rsidR="006B077B" w:rsidRPr="006B077B">
        <w:rPr>
          <w:lang w:eastAsia="en-US"/>
        </w:rPr>
        <w:fldChar w:fldCharType="begin" w:fldLock="1"/>
      </w:r>
      <w:r w:rsidR="00E9635A">
        <w:rPr>
          <w:lang w:eastAsia="en-US"/>
        </w:rPr>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et al., 2014)","plainTextFormattedCitation":"(Ali et al., 2014)","previouslyFormattedCitation":"(Ali et al., 2014)"},"properties":{"noteIndex":0},"schema":"https://github.com/citation-style-language/schema/raw/master/csl-citation.json"}</w:instrText>
      </w:r>
      <w:r w:rsidR="006B077B" w:rsidRPr="006B077B">
        <w:rPr>
          <w:lang w:eastAsia="en-US"/>
        </w:rPr>
        <w:fldChar w:fldCharType="separate"/>
      </w:r>
      <w:r w:rsidR="006B077B" w:rsidRPr="006B077B">
        <w:rPr>
          <w:noProof/>
          <w:lang w:eastAsia="en-US"/>
        </w:rPr>
        <w:t>(Ali et al., 2014)</w:t>
      </w:r>
      <w:r w:rsidR="006B077B" w:rsidRPr="006B077B">
        <w:rPr>
          <w:lang w:eastAsia="en-US"/>
        </w:rPr>
        <w:fldChar w:fldCharType="end"/>
      </w:r>
      <w:r w:rsidR="00577A84" w:rsidRPr="006B077B">
        <w:rPr>
          <w:lang w:eastAsia="en-US"/>
        </w:rPr>
        <w:t>,</w:t>
      </w:r>
      <w:r w:rsidRPr="006B077B">
        <w:rPr>
          <w:lang w:eastAsia="en-US"/>
        </w:rPr>
        <w:t xml:space="preserve"> after the Act. In other words, the information uncertainty after the Act, which is indicated by the interaction </w:t>
      </w:r>
      <w:r w:rsidRPr="006B077B">
        <w:rPr>
          <w:i/>
          <w:lang w:eastAsia="en-US"/>
        </w:rPr>
        <w:t>Herfindahl Index*JOBs Act</w:t>
      </w:r>
      <w:r w:rsidRPr="006B077B">
        <w:rPr>
          <w:lang w:eastAsia="en-US"/>
        </w:rPr>
        <w:t xml:space="preserve">, weaken the negative relationship between </w:t>
      </w:r>
      <w:r w:rsidRPr="006B077B">
        <w:rPr>
          <w:i/>
          <w:lang w:eastAsia="en-US"/>
        </w:rPr>
        <w:t xml:space="preserve">JOBs Act </w:t>
      </w:r>
      <w:r w:rsidRPr="006B077B">
        <w:rPr>
          <w:lang w:eastAsia="en-US"/>
        </w:rPr>
        <w:t>and all SEC review attributes.</w:t>
      </w:r>
      <w:r w:rsidR="00C40EA9" w:rsidRPr="006B077B">
        <w:rPr>
          <w:lang w:eastAsia="en-US"/>
        </w:rPr>
        <w:t xml:space="preserve"> These findings </w:t>
      </w:r>
      <w:r w:rsidR="00CE064D" w:rsidRPr="006B077B">
        <w:rPr>
          <w:lang w:eastAsia="en-US"/>
        </w:rPr>
        <w:t xml:space="preserve">are </w:t>
      </w:r>
      <w:r w:rsidR="00C40EA9" w:rsidRPr="006B077B">
        <w:rPr>
          <w:lang w:eastAsia="en-US"/>
        </w:rPr>
        <w:t xml:space="preserve">in line with information uncertainty hypothesis and the arguments that JOBs Act could increase the information uncertainty (Chaplinsky et al., 2017), </w:t>
      </w:r>
      <w:r w:rsidR="000C2F1E" w:rsidRPr="006B077B">
        <w:rPr>
          <w:lang w:eastAsia="en-US"/>
        </w:rPr>
        <w:t>which could lead the SEC to be conservative and increase extensiveness of their review to protect investors (</w:t>
      </w:r>
      <w:proofErr w:type="spellStart"/>
      <w:r w:rsidR="000C2F1E" w:rsidRPr="006B077B">
        <w:rPr>
          <w:lang w:eastAsia="en-US"/>
        </w:rPr>
        <w:t>Ertimur</w:t>
      </w:r>
      <w:proofErr w:type="spellEnd"/>
      <w:r w:rsidR="000C2F1E" w:rsidRPr="006B077B">
        <w:rPr>
          <w:lang w:eastAsia="en-US"/>
        </w:rPr>
        <w:t xml:space="preserve"> &amp; </w:t>
      </w:r>
      <w:proofErr w:type="spellStart"/>
      <w:r w:rsidR="000C2F1E" w:rsidRPr="006B077B">
        <w:rPr>
          <w:lang w:eastAsia="en-US"/>
        </w:rPr>
        <w:t>Nondorf</w:t>
      </w:r>
      <w:proofErr w:type="spellEnd"/>
      <w:r w:rsidR="000C2F1E" w:rsidRPr="006B077B">
        <w:rPr>
          <w:lang w:eastAsia="en-US"/>
        </w:rPr>
        <w:t xml:space="preserve">, 2006; </w:t>
      </w:r>
      <w:r w:rsidR="000C2F1E" w:rsidRPr="006B077B">
        <w:rPr>
          <w:lang w:eastAsia="en-US"/>
        </w:rPr>
        <w:fldChar w:fldCharType="begin" w:fldLock="1"/>
      </w:r>
      <w:r w:rsidR="00A611DF" w:rsidRPr="006B077B">
        <w:rPr>
          <w:lang w:eastAsia="en-US"/>
        </w:rP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letters","type":"article-journal"},"uris":["http://www.mendeley.com/documents/?uuid=31cb3f38-3b03-4c18-80a9-efacdd595b49"]}],"mendeley":{"formattedCitation":"(R. Chen &amp; Johnston, 2010)","manualFormatting":"Chen &amp; Johnston, 2010","plainTextFormattedCitation":"(R. Chen &amp; Johnston, 2010)","previouslyFormattedCitation":"(R. Chen &amp; Johnston, 2010)"},"properties":{"noteIndex":0},"schema":"https://github.com/citation-style-language/schema/raw/master/csl-citation.json"}</w:instrText>
      </w:r>
      <w:r w:rsidR="000C2F1E" w:rsidRPr="006B077B">
        <w:rPr>
          <w:lang w:eastAsia="en-US"/>
        </w:rPr>
        <w:fldChar w:fldCharType="separate"/>
      </w:r>
      <w:r w:rsidR="000C2F1E" w:rsidRPr="006B077B">
        <w:rPr>
          <w:noProof/>
          <w:lang w:eastAsia="en-US"/>
        </w:rPr>
        <w:t>Chen &amp; Johnston, 2010</w:t>
      </w:r>
      <w:r w:rsidR="000C2F1E" w:rsidRPr="006B077B">
        <w:rPr>
          <w:lang w:eastAsia="en-US"/>
        </w:rPr>
        <w:fldChar w:fldCharType="end"/>
      </w:r>
      <w:r w:rsidR="000C2F1E" w:rsidRPr="006B077B">
        <w:rPr>
          <w:lang w:eastAsia="en-US"/>
        </w:rPr>
        <w:t xml:space="preserve"> and  </w:t>
      </w:r>
      <w:proofErr w:type="spellStart"/>
      <w:r w:rsidR="000C2F1E" w:rsidRPr="006B077B">
        <w:rPr>
          <w:lang w:eastAsia="en-US"/>
        </w:rPr>
        <w:t>Colaco</w:t>
      </w:r>
      <w:proofErr w:type="spellEnd"/>
      <w:r w:rsidR="000C2F1E" w:rsidRPr="006B077B">
        <w:rPr>
          <w:lang w:eastAsia="en-US"/>
        </w:rPr>
        <w:t xml:space="preserve"> et al., 2018).</w:t>
      </w:r>
    </w:p>
    <w:p w14:paraId="2BB5A062" w14:textId="3434D41E" w:rsidR="00F47976" w:rsidRPr="00F47976" w:rsidRDefault="00C65547" w:rsidP="00C40EA9">
      <w:pPr>
        <w:spacing w:line="360" w:lineRule="auto"/>
        <w:jc w:val="both"/>
        <w:rPr>
          <w:lang w:eastAsia="en-US"/>
        </w:rPr>
      </w:pPr>
      <w:r>
        <w:rPr>
          <w:lang w:eastAsia="en-US"/>
        </w:rPr>
        <w:t>However</w:t>
      </w:r>
      <w:r w:rsidR="00E97B8A">
        <w:rPr>
          <w:lang w:eastAsia="en-US"/>
        </w:rPr>
        <w:t xml:space="preserve">, regarding </w:t>
      </w:r>
      <w:r w:rsidR="00E97B8A">
        <w:rPr>
          <w:i/>
          <w:lang w:eastAsia="en-US"/>
        </w:rPr>
        <w:t xml:space="preserve">Firm age, </w:t>
      </w:r>
      <w:r w:rsidR="00E97B8A">
        <w:rPr>
          <w:lang w:eastAsia="en-US"/>
        </w:rPr>
        <w:t xml:space="preserve">Table </w:t>
      </w:r>
      <w:r w:rsidR="00174399">
        <w:rPr>
          <w:lang w:eastAsia="en-US"/>
        </w:rPr>
        <w:t>13</w:t>
      </w:r>
      <w:r w:rsidR="00E97B8A" w:rsidRPr="006B077B">
        <w:rPr>
          <w:lang w:eastAsia="en-US"/>
        </w:rPr>
        <w:t xml:space="preserve">, </w:t>
      </w:r>
      <w:r w:rsidR="00131A2D" w:rsidRPr="006B077B">
        <w:rPr>
          <w:lang w:eastAsia="en-US"/>
        </w:rPr>
        <w:t>in Panel A</w:t>
      </w:r>
      <w:r w:rsidR="00E97B8A">
        <w:rPr>
          <w:lang w:eastAsia="en-US"/>
        </w:rPr>
        <w:t xml:space="preserve">, I observe three positive and significant coefficients on the interaction </w:t>
      </w:r>
      <w:r w:rsidR="00E97B8A">
        <w:rPr>
          <w:i/>
          <w:lang w:eastAsia="en-US"/>
        </w:rPr>
        <w:t xml:space="preserve">Firm age*JOBs Act </w:t>
      </w:r>
      <w:r w:rsidR="00E97B8A">
        <w:rPr>
          <w:lang w:eastAsia="en-US"/>
        </w:rPr>
        <w:t xml:space="preserve">in the models in which the dependent variables are </w:t>
      </w:r>
      <w:r w:rsidR="00E97B8A">
        <w:rPr>
          <w:i/>
          <w:lang w:eastAsia="en-US"/>
        </w:rPr>
        <w:t xml:space="preserve">Duration, Letters </w:t>
      </w:r>
      <w:r w:rsidR="00E97B8A">
        <w:rPr>
          <w:lang w:eastAsia="en-US"/>
        </w:rPr>
        <w:t xml:space="preserve">and </w:t>
      </w:r>
      <w:r w:rsidR="00191392">
        <w:rPr>
          <w:i/>
          <w:lang w:eastAsia="en-US"/>
        </w:rPr>
        <w:t xml:space="preserve">Comments. </w:t>
      </w:r>
      <w:r w:rsidR="00E97B8A">
        <w:rPr>
          <w:lang w:eastAsia="en-US"/>
        </w:rPr>
        <w:t xml:space="preserve">These results indicate that the negative effect of </w:t>
      </w:r>
      <w:r w:rsidR="00E97B8A">
        <w:rPr>
          <w:i/>
          <w:lang w:eastAsia="en-US"/>
        </w:rPr>
        <w:t xml:space="preserve">JOBs Act </w:t>
      </w:r>
      <w:r w:rsidR="00E97B8A">
        <w:rPr>
          <w:lang w:eastAsia="en-US"/>
        </w:rPr>
        <w:t xml:space="preserve">on all SEC review attributes are </w:t>
      </w:r>
      <w:r w:rsidR="002534A6">
        <w:rPr>
          <w:lang w:eastAsia="en-US"/>
        </w:rPr>
        <w:t>more</w:t>
      </w:r>
      <w:r w:rsidR="00E97B8A">
        <w:rPr>
          <w:lang w:eastAsia="en-US"/>
        </w:rPr>
        <w:t xml:space="preserve"> powerful </w:t>
      </w:r>
      <w:r w:rsidR="002534A6">
        <w:rPr>
          <w:lang w:eastAsia="en-US"/>
        </w:rPr>
        <w:t xml:space="preserve">for </w:t>
      </w:r>
      <w:r w:rsidR="00C40EA9">
        <w:rPr>
          <w:lang w:eastAsia="en-US"/>
        </w:rPr>
        <w:t xml:space="preserve">younger firms, who have </w:t>
      </w:r>
      <w:r w:rsidR="0048095B">
        <w:rPr>
          <w:lang w:eastAsia="en-US"/>
        </w:rPr>
        <w:t xml:space="preserve">more </w:t>
      </w:r>
      <w:r w:rsidR="00551DCE">
        <w:rPr>
          <w:lang w:eastAsia="en-US"/>
        </w:rPr>
        <w:t>information uncertainty</w:t>
      </w:r>
      <w:r w:rsidR="00C40EA9">
        <w:rPr>
          <w:lang w:eastAsia="en-US"/>
        </w:rPr>
        <w:t xml:space="preserve"> </w:t>
      </w:r>
      <w:r w:rsidR="00C40EA9">
        <w:rPr>
          <w:lang w:eastAsia="en-US"/>
        </w:rPr>
        <w:fldChar w:fldCharType="begin" w:fldLock="1"/>
      </w:r>
      <w:r w:rsidR="00A611DF">
        <w:rPr>
          <w:lang w:eastAsia="en-US"/>
        </w:rP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2006)","plainTextFormattedCitation":"(Barry &amp; Brown, 1985; Zhang, 2006)","previouslyFormattedCitation":"(Barry &amp; Brown, 1985; Zhang, 2006)"},"properties":{"noteIndex":0},"schema":"https://github.com/citation-style-language/schema/raw/master/csl-citation.json"}</w:instrText>
      </w:r>
      <w:r w:rsidR="00C40EA9">
        <w:rPr>
          <w:lang w:eastAsia="en-US"/>
        </w:rPr>
        <w:fldChar w:fldCharType="separate"/>
      </w:r>
      <w:r w:rsidR="00C40EA9" w:rsidRPr="00D727AF">
        <w:rPr>
          <w:noProof/>
          <w:lang w:eastAsia="en-US"/>
        </w:rPr>
        <w:t>(Barry &amp; Brown, 1985; Zhang, 2006)</w:t>
      </w:r>
      <w:r w:rsidR="00C40EA9">
        <w:rPr>
          <w:lang w:eastAsia="en-US"/>
        </w:rPr>
        <w:fldChar w:fldCharType="end"/>
      </w:r>
      <w:r w:rsidR="00C40EA9">
        <w:rPr>
          <w:lang w:eastAsia="en-US"/>
        </w:rPr>
        <w:t>,</w:t>
      </w:r>
      <w:r w:rsidR="00551DCE">
        <w:rPr>
          <w:lang w:eastAsia="en-US"/>
        </w:rPr>
        <w:t xml:space="preserve"> </w:t>
      </w:r>
      <w:r w:rsidR="002534A6">
        <w:rPr>
          <w:lang w:eastAsia="en-US"/>
        </w:rPr>
        <w:t xml:space="preserve">after the Act. </w:t>
      </w:r>
      <w:r w:rsidR="00191392">
        <w:rPr>
          <w:lang w:eastAsia="en-US"/>
        </w:rPr>
        <w:t>This result is not consistent with the information uncertainty hypothesis</w:t>
      </w:r>
      <w:r w:rsidR="00551DCE">
        <w:rPr>
          <w:lang w:eastAsia="en-US"/>
        </w:rPr>
        <w:t xml:space="preserve">. </w:t>
      </w:r>
      <w:r>
        <w:rPr>
          <w:lang w:eastAsia="en-US"/>
        </w:rPr>
        <w:t>Nevertheless, t</w:t>
      </w:r>
      <w:r w:rsidR="00551DCE">
        <w:rPr>
          <w:lang w:eastAsia="en-US"/>
        </w:rPr>
        <w:t xml:space="preserve">he interpretation for </w:t>
      </w:r>
      <w:r w:rsidR="00B704C4">
        <w:rPr>
          <w:lang w:eastAsia="en-US"/>
        </w:rPr>
        <w:t>the</w:t>
      </w:r>
      <w:r w:rsidR="00551DCE">
        <w:rPr>
          <w:lang w:eastAsia="en-US"/>
        </w:rPr>
        <w:t xml:space="preserve"> moderating effect of </w:t>
      </w:r>
      <w:r w:rsidR="00551DCE">
        <w:rPr>
          <w:i/>
          <w:lang w:eastAsia="en-US"/>
        </w:rPr>
        <w:t xml:space="preserve">Firm age </w:t>
      </w:r>
      <w:r w:rsidR="00551DCE">
        <w:rPr>
          <w:lang w:eastAsia="en-US"/>
        </w:rPr>
        <w:t xml:space="preserve">on the sensitivity of </w:t>
      </w:r>
      <w:r w:rsidR="001B44B4">
        <w:rPr>
          <w:lang w:eastAsia="en-US"/>
        </w:rPr>
        <w:t xml:space="preserve">the SEC review attributes to </w:t>
      </w:r>
      <w:r w:rsidR="001B44B4">
        <w:rPr>
          <w:i/>
          <w:lang w:eastAsia="en-US"/>
        </w:rPr>
        <w:t xml:space="preserve">JOBs Act </w:t>
      </w:r>
      <w:r w:rsidR="001B44B4">
        <w:rPr>
          <w:lang w:eastAsia="en-US"/>
        </w:rPr>
        <w:t xml:space="preserve">could be that the key purpose of JOBs Act is </w:t>
      </w:r>
      <w:r w:rsidR="0048095B">
        <w:rPr>
          <w:lang w:eastAsia="en-US"/>
        </w:rPr>
        <w:t xml:space="preserve">reopening the capital markets to EGCs by </w:t>
      </w:r>
      <w:r w:rsidR="001B44B4">
        <w:rPr>
          <w:lang w:eastAsia="en-US"/>
        </w:rPr>
        <w:t xml:space="preserve">allaying restrictions on </w:t>
      </w:r>
      <w:r w:rsidR="00331C34">
        <w:rPr>
          <w:lang w:eastAsia="en-US"/>
        </w:rPr>
        <w:t>EGCs</w:t>
      </w:r>
      <w:r w:rsidR="00206172">
        <w:rPr>
          <w:lang w:eastAsia="en-US"/>
        </w:rPr>
        <w:t>, who</w:t>
      </w:r>
      <w:r w:rsidR="00331C34" w:rsidRPr="00C65547">
        <w:rPr>
          <w:lang w:eastAsia="en-US"/>
        </w:rPr>
        <w:t xml:space="preserve"> are</w:t>
      </w:r>
      <w:r w:rsidR="0048095B" w:rsidRPr="00C65547">
        <w:rPr>
          <w:lang w:eastAsia="en-US"/>
        </w:rPr>
        <w:t xml:space="preserve"> </w:t>
      </w:r>
      <w:r w:rsidR="001B44B4" w:rsidRPr="00C65547">
        <w:rPr>
          <w:lang w:eastAsia="en-US"/>
        </w:rPr>
        <w:t xml:space="preserve">younger than other IPO firms </w:t>
      </w:r>
      <w:r w:rsidR="0048095B" w:rsidRPr="00C65547">
        <w:rPr>
          <w:lang w:eastAsia="en-US"/>
        </w:rPr>
        <w:t>as described</w:t>
      </w:r>
      <w:r w:rsidR="001B44B4" w:rsidRPr="00C65547">
        <w:rPr>
          <w:lang w:eastAsia="en-US"/>
        </w:rPr>
        <w:t xml:space="preserve"> by </w:t>
      </w:r>
      <w:r w:rsidR="0048095B" w:rsidRPr="00C65547">
        <w:rPr>
          <w:lang w:eastAsia="en-US"/>
        </w:rPr>
        <w:fldChar w:fldCharType="begin" w:fldLock="1"/>
      </w:r>
      <w:r w:rsidR="00386BE4">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48095B" w:rsidRPr="00C65547">
        <w:rPr>
          <w:lang w:eastAsia="en-US"/>
        </w:rPr>
        <w:fldChar w:fldCharType="separate"/>
      </w:r>
      <w:r w:rsidR="0048095B" w:rsidRPr="00C65547">
        <w:rPr>
          <w:noProof/>
          <w:lang w:eastAsia="en-US"/>
        </w:rPr>
        <w:t>Chaplinsky et al. (2017)</w:t>
      </w:r>
      <w:r w:rsidR="0048095B" w:rsidRPr="00C65547">
        <w:rPr>
          <w:lang w:eastAsia="en-US"/>
        </w:rPr>
        <w:fldChar w:fldCharType="end"/>
      </w:r>
      <w:r w:rsidR="0048095B" w:rsidRPr="00C65547">
        <w:rPr>
          <w:lang w:eastAsia="en-US"/>
        </w:rPr>
        <w:t xml:space="preserve">. </w:t>
      </w:r>
      <w:r w:rsidR="000470E7" w:rsidRPr="00C65547">
        <w:rPr>
          <w:lang w:eastAsia="en-US"/>
        </w:rPr>
        <w:t xml:space="preserve">Furthermore, </w:t>
      </w:r>
      <w:r w:rsidR="000470E7" w:rsidRPr="00C65547">
        <w:rPr>
          <w:lang w:eastAsia="en-US"/>
        </w:rPr>
        <w:lastRenderedPageBreak/>
        <w:fldChar w:fldCharType="begin" w:fldLock="1"/>
      </w:r>
      <w:r w:rsidR="00386BE4">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et al., 2017)","manualFormatting":"Chaplinsky et al. (2017)","plainTextFormattedCitation":"(Chaplinsky et al., 2017)","previouslyFormattedCitation":"(Chaplinsky et al., 2017)"},"properties":{"noteIndex":0},"schema":"https://github.com/citation-style-language/schema/raw/master/csl-citation.json"}</w:instrText>
      </w:r>
      <w:r w:rsidR="000470E7" w:rsidRPr="00C65547">
        <w:rPr>
          <w:lang w:eastAsia="en-US"/>
        </w:rPr>
        <w:fldChar w:fldCharType="separate"/>
      </w:r>
      <w:r w:rsidR="000470E7" w:rsidRPr="00C65547">
        <w:rPr>
          <w:noProof/>
          <w:lang w:eastAsia="en-US"/>
        </w:rPr>
        <w:t>Chaplinsky et al. (2017)</w:t>
      </w:r>
      <w:r w:rsidR="000470E7" w:rsidRPr="00C65547">
        <w:rPr>
          <w:lang w:eastAsia="en-US"/>
        </w:rPr>
        <w:fldChar w:fldCharType="end"/>
      </w:r>
      <w:r w:rsidR="000470E7" w:rsidRPr="00C65547">
        <w:rPr>
          <w:lang w:eastAsia="en-US"/>
        </w:rPr>
        <w:t xml:space="preserve"> identify that the</w:t>
      </w:r>
      <w:r w:rsidRPr="00C65547">
        <w:rPr>
          <w:lang w:eastAsia="en-US"/>
        </w:rPr>
        <w:t xml:space="preserve"> younger firm</w:t>
      </w:r>
      <w:r w:rsidR="00A02079">
        <w:rPr>
          <w:lang w:eastAsia="en-US"/>
        </w:rPr>
        <w:t>s</w:t>
      </w:r>
      <w:r w:rsidRPr="00C65547">
        <w:rPr>
          <w:lang w:eastAsia="en-US"/>
        </w:rPr>
        <w:t xml:space="preserve"> are more likely to adapt more disclosure exemptions </w:t>
      </w:r>
      <w:r w:rsidR="00206172">
        <w:rPr>
          <w:lang w:eastAsia="en-US"/>
        </w:rPr>
        <w:t xml:space="preserve">under the Act </w:t>
      </w:r>
      <w:r w:rsidRPr="00C65547">
        <w:rPr>
          <w:lang w:eastAsia="en-US"/>
        </w:rPr>
        <w:t>over</w:t>
      </w:r>
      <w:r>
        <w:rPr>
          <w:lang w:eastAsia="en-US"/>
        </w:rPr>
        <w:t xml:space="preserve"> </w:t>
      </w:r>
      <w:r w:rsidRPr="00C65547">
        <w:rPr>
          <w:lang w:eastAsia="en-US"/>
        </w:rPr>
        <w:t xml:space="preserve">time. </w:t>
      </w:r>
      <w:r w:rsidR="0048095B" w:rsidRPr="00C65547">
        <w:rPr>
          <w:lang w:eastAsia="en-US"/>
        </w:rPr>
        <w:t xml:space="preserve">Therefore, the </w:t>
      </w:r>
      <w:r w:rsidRPr="00C65547">
        <w:rPr>
          <w:lang w:eastAsia="en-US"/>
        </w:rPr>
        <w:t>ease</w:t>
      </w:r>
      <w:r w:rsidR="0048095B" w:rsidRPr="00C65547">
        <w:rPr>
          <w:lang w:eastAsia="en-US"/>
        </w:rPr>
        <w:t xml:space="preserve"> in the SEC review after the Act could be more pronounced for younger </w:t>
      </w:r>
      <w:r w:rsidR="00C40EA9">
        <w:rPr>
          <w:lang w:eastAsia="en-US"/>
        </w:rPr>
        <w:t>IPO</w:t>
      </w:r>
      <w:r w:rsidRPr="00C65547">
        <w:rPr>
          <w:lang w:eastAsia="en-US"/>
        </w:rPr>
        <w:t xml:space="preserve"> firm</w:t>
      </w:r>
      <w:r w:rsidR="00C40EA9">
        <w:rPr>
          <w:lang w:eastAsia="en-US"/>
        </w:rPr>
        <w:t>s</w:t>
      </w:r>
      <w:r w:rsidRPr="00C65547">
        <w:rPr>
          <w:lang w:eastAsia="en-US"/>
        </w:rPr>
        <w:t>.</w:t>
      </w:r>
    </w:p>
    <w:p w14:paraId="33141B5E" w14:textId="2B11EC87" w:rsidR="00626DC3" w:rsidRPr="00F47976" w:rsidRDefault="00626DC3" w:rsidP="00626DC3">
      <w:pPr>
        <w:spacing w:line="360" w:lineRule="auto"/>
        <w:jc w:val="center"/>
        <w:rPr>
          <w:lang w:eastAsia="en-US"/>
        </w:rPr>
      </w:pPr>
      <w:r>
        <w:rPr>
          <w:b/>
          <w:sz w:val="22"/>
          <w:lang w:eastAsia="en-US"/>
        </w:rPr>
        <w:t xml:space="preserve">[Insert </w:t>
      </w:r>
      <w:r w:rsidR="00174399">
        <w:rPr>
          <w:b/>
          <w:sz w:val="22"/>
          <w:lang w:eastAsia="en-US"/>
        </w:rPr>
        <w:t>Table 13</w:t>
      </w:r>
      <w:r>
        <w:rPr>
          <w:b/>
          <w:sz w:val="22"/>
          <w:lang w:eastAsia="en-US"/>
        </w:rPr>
        <w:t xml:space="preserve"> about here]</w:t>
      </w:r>
    </w:p>
    <w:p w14:paraId="3426A274" w14:textId="63A00C3E" w:rsidR="00C6267A" w:rsidRDefault="00EF78F3" w:rsidP="00C6267A">
      <w:pPr>
        <w:pStyle w:val="ListParagraph"/>
        <w:numPr>
          <w:ilvl w:val="0"/>
          <w:numId w:val="1"/>
        </w:numPr>
        <w:spacing w:line="360" w:lineRule="auto"/>
        <w:jc w:val="both"/>
        <w:outlineLvl w:val="0"/>
        <w:rPr>
          <w:b/>
          <w:lang w:eastAsia="en-US"/>
        </w:rPr>
      </w:pPr>
      <w:bookmarkStart w:id="49" w:name="_Toc9185817"/>
      <w:r w:rsidRPr="00937519">
        <w:rPr>
          <w:b/>
          <w:lang w:eastAsia="en-US"/>
        </w:rPr>
        <w:t>Conclusio</w:t>
      </w:r>
      <w:r w:rsidR="00C6267A">
        <w:rPr>
          <w:b/>
          <w:lang w:eastAsia="en-US"/>
        </w:rPr>
        <w:t>n</w:t>
      </w:r>
      <w:bookmarkEnd w:id="49"/>
    </w:p>
    <w:p w14:paraId="56F4BB39" w14:textId="77777777" w:rsidR="00625067" w:rsidRDefault="00C6267A" w:rsidP="0030659B">
      <w:pPr>
        <w:spacing w:line="360" w:lineRule="auto"/>
        <w:jc w:val="both"/>
        <w:rPr>
          <w:lang w:eastAsia="en-US"/>
        </w:rPr>
      </w:pPr>
      <w:r>
        <w:rPr>
          <w:lang w:eastAsia="en-US"/>
        </w:rPr>
        <w:t xml:space="preserve">This study investigates the factors that affect the degree of the SEC review on S-1 filings which is indicated by the duration of the IPOs process, the number of letters issued by the SEC for each S-1 filing and the number of comments issued by the SEC for each initial S-1 </w:t>
      </w:r>
      <w:proofErr w:type="gramStart"/>
      <w:r>
        <w:rPr>
          <w:lang w:eastAsia="en-US"/>
        </w:rPr>
        <w:t>filings</w:t>
      </w:r>
      <w:proofErr w:type="gramEnd"/>
      <w:r>
        <w:rPr>
          <w:lang w:eastAsia="en-US"/>
        </w:rPr>
        <w:t xml:space="preserve">. </w:t>
      </w:r>
    </w:p>
    <w:p w14:paraId="320FAADF" w14:textId="0526CAAA" w:rsidR="00625067" w:rsidRDefault="00C6267A" w:rsidP="0030659B">
      <w:pPr>
        <w:spacing w:line="360" w:lineRule="auto"/>
        <w:jc w:val="both"/>
        <w:rPr>
          <w:lang w:eastAsia="en-US"/>
        </w:rPr>
      </w:pPr>
      <w:r>
        <w:rPr>
          <w:lang w:eastAsia="en-US"/>
        </w:rPr>
        <w:t>This study contribute</w:t>
      </w:r>
      <w:r w:rsidR="00A02079">
        <w:rPr>
          <w:lang w:eastAsia="en-US"/>
        </w:rPr>
        <w:t>s</w:t>
      </w:r>
      <w:r>
        <w:rPr>
          <w:lang w:eastAsia="en-US"/>
        </w:rPr>
        <w:t xml:space="preserve"> to previous literature by coming up with the new </w:t>
      </w:r>
      <w:r w:rsidR="001B243D">
        <w:rPr>
          <w:lang w:eastAsia="en-US"/>
        </w:rPr>
        <w:t xml:space="preserve">and broad </w:t>
      </w:r>
      <w:r>
        <w:rPr>
          <w:lang w:eastAsia="en-US"/>
        </w:rPr>
        <w:t>evidence about the determinants of the SEC S-1 review process</w:t>
      </w:r>
      <w:r w:rsidR="00A06CB5">
        <w:rPr>
          <w:lang w:eastAsia="en-US"/>
        </w:rPr>
        <w:t xml:space="preserve"> </w:t>
      </w:r>
      <w:proofErr w:type="gramStart"/>
      <w:r w:rsidR="00A06CB5">
        <w:rPr>
          <w:lang w:eastAsia="en-US"/>
        </w:rPr>
        <w:t>including;</w:t>
      </w:r>
      <w:proofErr w:type="gramEnd"/>
      <w:r w:rsidR="00A06CB5">
        <w:rPr>
          <w:lang w:eastAsia="en-US"/>
        </w:rPr>
        <w:t xml:space="preserve"> the IPO firms’ characteristics, the special event of regulatory changes, the i</w:t>
      </w:r>
      <w:r w:rsidR="001B243D">
        <w:rPr>
          <w:lang w:eastAsia="en-US"/>
        </w:rPr>
        <w:t>ndustry/market char</w:t>
      </w:r>
      <w:r w:rsidR="00B21F56">
        <w:rPr>
          <w:lang w:eastAsia="en-US"/>
        </w:rPr>
        <w:t>acteristics and the SEC</w:t>
      </w:r>
      <w:r w:rsidR="001B243D">
        <w:rPr>
          <w:lang w:eastAsia="en-US"/>
        </w:rPr>
        <w:t>’s characteristics</w:t>
      </w:r>
      <w:r>
        <w:rPr>
          <w:lang w:eastAsia="en-US"/>
        </w:rPr>
        <w:t xml:space="preserve">. Specially, </w:t>
      </w:r>
      <w:r w:rsidR="00E35AC7">
        <w:rPr>
          <w:lang w:eastAsia="en-US"/>
        </w:rPr>
        <w:t>for sample of 909 IPO firms in period of 12</w:t>
      </w:r>
      <w:r w:rsidR="00E35AC7" w:rsidRPr="00E35AC7">
        <w:rPr>
          <w:vertAlign w:val="superscript"/>
          <w:lang w:eastAsia="en-US"/>
        </w:rPr>
        <w:t>th</w:t>
      </w:r>
      <w:r w:rsidR="00E35AC7">
        <w:rPr>
          <w:lang w:eastAsia="en-US"/>
        </w:rPr>
        <w:t xml:space="preserve"> May, 2005 to 31</w:t>
      </w:r>
      <w:r w:rsidR="00E35AC7" w:rsidRPr="00E35AC7">
        <w:rPr>
          <w:vertAlign w:val="superscript"/>
          <w:lang w:eastAsia="en-US"/>
        </w:rPr>
        <w:t>st</w:t>
      </w:r>
      <w:r w:rsidR="00E35AC7">
        <w:rPr>
          <w:lang w:eastAsia="en-US"/>
        </w:rPr>
        <w:t xml:space="preserve"> December, 2017</w:t>
      </w:r>
      <w:r>
        <w:rPr>
          <w:lang w:eastAsia="en-US"/>
        </w:rPr>
        <w:t xml:space="preserve">, </w:t>
      </w:r>
      <w:r w:rsidR="00A06CB5">
        <w:rPr>
          <w:lang w:eastAsia="en-US"/>
        </w:rPr>
        <w:t xml:space="preserve">regarding </w:t>
      </w:r>
      <w:r w:rsidR="001B243D">
        <w:rPr>
          <w:lang w:eastAsia="en-US"/>
        </w:rPr>
        <w:t xml:space="preserve">the impact of the IPO firms’ characteristics on the SEC review, </w:t>
      </w:r>
      <w:r>
        <w:rPr>
          <w:lang w:eastAsia="en-US"/>
        </w:rPr>
        <w:t xml:space="preserve">my results </w:t>
      </w:r>
      <w:r w:rsidR="001B243D">
        <w:rPr>
          <w:lang w:eastAsia="en-US"/>
        </w:rPr>
        <w:t xml:space="preserve">reveal that when the SEC will spend more time for the S-1 review, issue more comment letters and more comments in the letters for the initial S-1 filings prepared by the IPO firms having </w:t>
      </w:r>
      <w:r w:rsidR="0061403C">
        <w:rPr>
          <w:lang w:eastAsia="en-US"/>
        </w:rPr>
        <w:t xml:space="preserve">higher sales growth, </w:t>
      </w:r>
      <w:r w:rsidR="00625067">
        <w:rPr>
          <w:lang w:eastAsia="en-US"/>
        </w:rPr>
        <w:t>making-profit firms</w:t>
      </w:r>
      <w:r w:rsidR="001B243D">
        <w:rPr>
          <w:lang w:eastAsia="en-US"/>
        </w:rPr>
        <w:t xml:space="preserve"> and </w:t>
      </w:r>
      <w:r w:rsidR="00625067">
        <w:rPr>
          <w:lang w:eastAsia="en-US"/>
        </w:rPr>
        <w:t xml:space="preserve">firms having </w:t>
      </w:r>
      <w:r w:rsidR="001B243D">
        <w:rPr>
          <w:lang w:eastAsia="en-US"/>
        </w:rPr>
        <w:t xml:space="preserve">CEO </w:t>
      </w:r>
      <w:r w:rsidR="0061403C">
        <w:rPr>
          <w:lang w:eastAsia="en-US"/>
        </w:rPr>
        <w:t>who</w:t>
      </w:r>
      <w:r w:rsidR="001B243D">
        <w:rPr>
          <w:lang w:eastAsia="en-US"/>
        </w:rPr>
        <w:t xml:space="preserve"> is also a chairman of board of directors. </w:t>
      </w:r>
      <w:r w:rsidR="00B21F56">
        <w:rPr>
          <w:lang w:eastAsia="en-US"/>
        </w:rPr>
        <w:t>I also explore that t</w:t>
      </w:r>
      <w:r w:rsidR="001B243D">
        <w:rPr>
          <w:lang w:eastAsia="en-US"/>
        </w:rPr>
        <w:t xml:space="preserve">he SEC spend less time for the S-1 review of bigger firms and </w:t>
      </w:r>
      <w:r w:rsidR="00625067">
        <w:rPr>
          <w:lang w:eastAsia="en-US"/>
        </w:rPr>
        <w:t>more time on</w:t>
      </w:r>
      <w:r w:rsidR="001B243D">
        <w:rPr>
          <w:lang w:eastAsia="en-US"/>
        </w:rPr>
        <w:t xml:space="preserve"> firms conducting M&amp;A activities and issue </w:t>
      </w:r>
      <w:r w:rsidR="0061403C">
        <w:rPr>
          <w:lang w:eastAsia="en-US"/>
        </w:rPr>
        <w:t xml:space="preserve">more </w:t>
      </w:r>
      <w:r w:rsidR="001B243D">
        <w:rPr>
          <w:lang w:eastAsia="en-US"/>
        </w:rPr>
        <w:t xml:space="preserve">comments </w:t>
      </w:r>
      <w:r w:rsidR="00625067">
        <w:rPr>
          <w:lang w:eastAsia="en-US"/>
        </w:rPr>
        <w:t>on</w:t>
      </w:r>
      <w:r w:rsidR="001B243D">
        <w:rPr>
          <w:lang w:eastAsia="en-US"/>
        </w:rPr>
        <w:t xml:space="preserve"> initial S-1 filings prepared by the firms having more business segments. </w:t>
      </w:r>
    </w:p>
    <w:p w14:paraId="0752B7F9" w14:textId="4CA6798B" w:rsidR="00625067" w:rsidRDefault="001B243D" w:rsidP="0030659B">
      <w:pPr>
        <w:spacing w:line="360" w:lineRule="auto"/>
        <w:jc w:val="both"/>
        <w:rPr>
          <w:lang w:eastAsia="en-US"/>
        </w:rPr>
      </w:pPr>
      <w:r>
        <w:rPr>
          <w:lang w:eastAsia="en-US"/>
        </w:rPr>
        <w:t xml:space="preserve">Regarding the impact of the </w:t>
      </w:r>
      <w:r w:rsidR="00D92D32">
        <w:rPr>
          <w:lang w:eastAsia="en-US"/>
        </w:rPr>
        <w:t>incidences</w:t>
      </w:r>
      <w:r>
        <w:rPr>
          <w:lang w:eastAsia="en-US"/>
        </w:rPr>
        <w:t xml:space="preserve"> on the SEC review, I observe that the SEC </w:t>
      </w:r>
      <w:r w:rsidR="00F04786">
        <w:rPr>
          <w:lang w:eastAsia="en-US"/>
        </w:rPr>
        <w:t xml:space="preserve">spend less time for the S-1 review, issue </w:t>
      </w:r>
      <w:r w:rsidR="00A02079">
        <w:rPr>
          <w:lang w:eastAsia="en-US"/>
        </w:rPr>
        <w:t>fewer</w:t>
      </w:r>
      <w:r w:rsidR="00F04786">
        <w:rPr>
          <w:lang w:eastAsia="en-US"/>
        </w:rPr>
        <w:t xml:space="preserve"> comment letters and </w:t>
      </w:r>
      <w:r w:rsidR="00A02079">
        <w:rPr>
          <w:lang w:eastAsia="en-US"/>
        </w:rPr>
        <w:t>fewer</w:t>
      </w:r>
      <w:r w:rsidR="00F04786">
        <w:rPr>
          <w:lang w:eastAsia="en-US"/>
        </w:rPr>
        <w:t xml:space="preserve"> comments </w:t>
      </w:r>
      <w:r w:rsidR="00625067">
        <w:rPr>
          <w:lang w:eastAsia="en-US"/>
        </w:rPr>
        <w:t>on</w:t>
      </w:r>
      <w:r w:rsidR="00F04786">
        <w:rPr>
          <w:lang w:eastAsia="en-US"/>
        </w:rPr>
        <w:t xml:space="preserve"> initial S-1 filings after the enactment of JOBs Act. I also identify that the SEC will spend more time for the S-1 review, issue more comment letters after the enactment of Dodd-Frank 2010 (not including the period of post-JOBs Act). </w:t>
      </w:r>
    </w:p>
    <w:p w14:paraId="233029B0" w14:textId="77777777" w:rsidR="002C769F" w:rsidRDefault="00F04786" w:rsidP="0030659B">
      <w:pPr>
        <w:spacing w:line="360" w:lineRule="auto"/>
        <w:jc w:val="both"/>
        <w:rPr>
          <w:lang w:eastAsia="en-US"/>
        </w:rPr>
      </w:pPr>
      <w:r>
        <w:rPr>
          <w:lang w:eastAsia="en-US"/>
        </w:rPr>
        <w:t xml:space="preserve">Concerning the impact of the industry/market characteristics on the SEC review, I find that the SEC will spend less time for the S-1 review, issue </w:t>
      </w:r>
      <w:r w:rsidR="00A02079">
        <w:rPr>
          <w:lang w:eastAsia="en-US"/>
        </w:rPr>
        <w:t>fewer</w:t>
      </w:r>
      <w:r>
        <w:rPr>
          <w:lang w:eastAsia="en-US"/>
        </w:rPr>
        <w:t xml:space="preserve"> comment letters and </w:t>
      </w:r>
      <w:r w:rsidR="00A02079">
        <w:rPr>
          <w:lang w:eastAsia="en-US"/>
        </w:rPr>
        <w:t>fewer</w:t>
      </w:r>
      <w:r>
        <w:rPr>
          <w:lang w:eastAsia="en-US"/>
        </w:rPr>
        <w:t xml:space="preserve"> comments in the letters for the initial S-1 filings when the markets have higher volume of IPO firms</w:t>
      </w:r>
      <w:r w:rsidR="00E35AC7">
        <w:rPr>
          <w:lang w:eastAsia="en-US"/>
        </w:rPr>
        <w:t xml:space="preserve"> which is consistent with findings of </w:t>
      </w:r>
      <w:proofErr w:type="spellStart"/>
      <w:r w:rsidR="00E35AC7">
        <w:rPr>
          <w:lang w:eastAsia="en-US"/>
        </w:rPr>
        <w:t>Colaco</w:t>
      </w:r>
      <w:proofErr w:type="spellEnd"/>
      <w:r w:rsidR="00E35AC7">
        <w:rPr>
          <w:lang w:eastAsia="en-US"/>
        </w:rPr>
        <w:t xml:space="preserve"> et al. (2018)</w:t>
      </w:r>
      <w:r>
        <w:rPr>
          <w:lang w:eastAsia="en-US"/>
        </w:rPr>
        <w:t xml:space="preserve">. In addition, </w:t>
      </w:r>
      <w:r w:rsidR="00B21F56">
        <w:rPr>
          <w:lang w:eastAsia="en-US"/>
        </w:rPr>
        <w:t>the SEC will spend less time for the S-1 review on the firms operating in the regulated industries</w:t>
      </w:r>
      <w:r w:rsidR="00E35AC7">
        <w:rPr>
          <w:lang w:eastAsia="en-US"/>
        </w:rPr>
        <w:t xml:space="preserve">. Furthermore, the results also reveal that the SEC spend </w:t>
      </w:r>
      <w:r w:rsidR="00B21F56">
        <w:rPr>
          <w:lang w:eastAsia="en-US"/>
        </w:rPr>
        <w:t>more review time on the firms operating in technology industries</w:t>
      </w:r>
      <w:r w:rsidR="00E35AC7">
        <w:rPr>
          <w:lang w:eastAsia="en-US"/>
        </w:rPr>
        <w:t xml:space="preserve"> which </w:t>
      </w:r>
      <w:proofErr w:type="gramStart"/>
      <w:r w:rsidR="00E35AC7">
        <w:rPr>
          <w:lang w:eastAsia="en-US"/>
        </w:rPr>
        <w:t>is in agreement</w:t>
      </w:r>
      <w:proofErr w:type="gramEnd"/>
      <w:r w:rsidR="00E35AC7">
        <w:rPr>
          <w:lang w:eastAsia="en-US"/>
        </w:rPr>
        <w:t xml:space="preserve"> with findings of </w:t>
      </w:r>
      <w:proofErr w:type="spellStart"/>
      <w:r w:rsidR="00E35AC7">
        <w:rPr>
          <w:lang w:eastAsia="en-US"/>
        </w:rPr>
        <w:t>Colaco</w:t>
      </w:r>
      <w:proofErr w:type="spellEnd"/>
      <w:r w:rsidR="00E35AC7">
        <w:rPr>
          <w:lang w:eastAsia="en-US"/>
        </w:rPr>
        <w:t xml:space="preserve"> et al. (2018)</w:t>
      </w:r>
      <w:r w:rsidR="00B21F56">
        <w:rPr>
          <w:lang w:eastAsia="en-US"/>
        </w:rPr>
        <w:t xml:space="preserve">. </w:t>
      </w:r>
    </w:p>
    <w:p w14:paraId="51B63F45" w14:textId="26418553" w:rsidR="00C6267A" w:rsidRDefault="002C769F" w:rsidP="0030659B">
      <w:pPr>
        <w:spacing w:line="360" w:lineRule="auto"/>
        <w:jc w:val="both"/>
        <w:rPr>
          <w:lang w:eastAsia="en-US"/>
        </w:rPr>
      </w:pPr>
      <w:r>
        <w:rPr>
          <w:lang w:eastAsia="en-US"/>
        </w:rPr>
        <w:t>In terms of</w:t>
      </w:r>
      <w:r w:rsidR="00B21F56">
        <w:rPr>
          <w:lang w:eastAsia="en-US"/>
        </w:rPr>
        <w:t xml:space="preserve"> the impact of the SEC’s characteristics, I observe that SEC reviewers who are accountant will less time for the S-1 review, issue </w:t>
      </w:r>
      <w:r w:rsidR="00A02079">
        <w:rPr>
          <w:lang w:eastAsia="en-US"/>
        </w:rPr>
        <w:t>fewer</w:t>
      </w:r>
      <w:r w:rsidR="00B21F56">
        <w:rPr>
          <w:lang w:eastAsia="en-US"/>
        </w:rPr>
        <w:t xml:space="preserve"> comment letters and </w:t>
      </w:r>
      <w:r w:rsidR="00A02079">
        <w:rPr>
          <w:lang w:eastAsia="en-US"/>
        </w:rPr>
        <w:t>fewer</w:t>
      </w:r>
      <w:r w:rsidR="00B21F56">
        <w:rPr>
          <w:lang w:eastAsia="en-US"/>
        </w:rPr>
        <w:t xml:space="preserve"> comments </w:t>
      </w:r>
      <w:r w:rsidR="00B21F56">
        <w:rPr>
          <w:lang w:eastAsia="en-US"/>
        </w:rPr>
        <w:lastRenderedPageBreak/>
        <w:t xml:space="preserve">in the letters for the initial S-1 filings. </w:t>
      </w:r>
      <w:r w:rsidR="002A0748">
        <w:rPr>
          <w:lang w:eastAsia="en-US"/>
        </w:rPr>
        <w:t xml:space="preserve">My results also show that the SEC reviewers who are holding the job position </w:t>
      </w:r>
      <w:r w:rsidR="005A46EE">
        <w:rPr>
          <w:lang w:eastAsia="en-US"/>
        </w:rPr>
        <w:t>of</w:t>
      </w:r>
      <w:r w:rsidR="002A0748">
        <w:rPr>
          <w:lang w:eastAsia="en-US"/>
        </w:rPr>
        <w:t xml:space="preserve"> director or chief will spend less time for the S-1 review. </w:t>
      </w:r>
    </w:p>
    <w:p w14:paraId="43FFA55C" w14:textId="06CB2130" w:rsidR="781474D5" w:rsidRDefault="781474D5" w:rsidP="781474D5">
      <w:pPr>
        <w:spacing w:line="360" w:lineRule="auto"/>
        <w:jc w:val="both"/>
        <w:rPr>
          <w:lang w:eastAsia="en-US"/>
        </w:rPr>
      </w:pPr>
      <w:r w:rsidRPr="781474D5">
        <w:rPr>
          <w:lang w:eastAsia="en-US"/>
        </w:rPr>
        <w:t xml:space="preserve">I also conduct the additional examinations on the impact of </w:t>
      </w:r>
      <w:r w:rsidR="004F5BE6">
        <w:rPr>
          <w:lang w:eastAsia="en-US"/>
        </w:rPr>
        <w:t>JOBs Act</w:t>
      </w:r>
      <w:r w:rsidRPr="781474D5">
        <w:rPr>
          <w:lang w:eastAsia="en-US"/>
        </w:rPr>
        <w:t xml:space="preserve"> on the SEC review. My results reveal that after the enactment of </w:t>
      </w:r>
      <w:r w:rsidR="004F5BE6">
        <w:rPr>
          <w:lang w:eastAsia="en-US"/>
        </w:rPr>
        <w:t>JOBs Act</w:t>
      </w:r>
      <w:r w:rsidRPr="781474D5">
        <w:rPr>
          <w:lang w:eastAsia="en-US"/>
        </w:rPr>
        <w:t xml:space="preserve">, the SEC address fewer types of issues as well as fewer comments in each type of issues </w:t>
      </w:r>
      <w:proofErr w:type="gramStart"/>
      <w:r w:rsidRPr="781474D5">
        <w:rPr>
          <w:lang w:eastAsia="en-US"/>
        </w:rPr>
        <w:t>including;</w:t>
      </w:r>
      <w:proofErr w:type="gramEnd"/>
      <w:r w:rsidRPr="781474D5">
        <w:rPr>
          <w:lang w:eastAsia="en-US"/>
        </w:rPr>
        <w:t xml:space="preserve"> accounting issues, offering issues, business issues, governance corporate issues and disclosure issues, in their comment letters for the initial S-1 filings. In addition, I also that the information uncertainty, which is indicated by the firm’s growth rate and the market concentration, could lessen the sensitivity that the SEC review is less intense after the Act. I also find that this sensitivity could increase for the younger firm who are more likely to adapt more disclosure exemptions under the Act.</w:t>
      </w:r>
      <w:r w:rsidRPr="781474D5">
        <w:rPr>
          <w:rFonts w:eastAsia="Times New Roman"/>
        </w:rPr>
        <w:t xml:space="preserve"> Overall, our results highlight that the SEC review on S-1 filings could be sensitive to the IPO firms characteristics, the </w:t>
      </w:r>
      <w:r w:rsidR="00D92D32">
        <w:rPr>
          <w:rFonts w:eastAsia="Times New Roman"/>
        </w:rPr>
        <w:t>incidences</w:t>
      </w:r>
      <w:r w:rsidRPr="781474D5">
        <w:rPr>
          <w:rFonts w:eastAsia="Times New Roman"/>
        </w:rPr>
        <w:t xml:space="preserve"> of regulatory changes, the industry/markets </w:t>
      </w:r>
      <w:proofErr w:type="gramStart"/>
      <w:r w:rsidRPr="781474D5">
        <w:rPr>
          <w:rFonts w:eastAsia="Times New Roman"/>
        </w:rPr>
        <w:t>characteristics</w:t>
      </w:r>
      <w:proofErr w:type="gramEnd"/>
      <w:r w:rsidRPr="781474D5">
        <w:rPr>
          <w:rFonts w:eastAsia="Times New Roman"/>
        </w:rPr>
        <w:t xml:space="preserve"> and the SEC characteristics.</w:t>
      </w:r>
    </w:p>
    <w:p w14:paraId="652AAA20" w14:textId="713FC55B" w:rsidR="00474406" w:rsidRDefault="00E35AC7" w:rsidP="0030659B">
      <w:pPr>
        <w:spacing w:line="360" w:lineRule="auto"/>
        <w:jc w:val="both"/>
        <w:rPr>
          <w:lang w:eastAsia="en-US"/>
        </w:rPr>
      </w:pPr>
      <w:r>
        <w:rPr>
          <w:lang w:eastAsia="en-US"/>
        </w:rPr>
        <w:t xml:space="preserve">The results of my study, therefore, the first inform IPO market participants regarding the sensitivity of SEC review on S-1 filings </w:t>
      </w:r>
      <w:r w:rsidR="002C769F">
        <w:rPr>
          <w:lang w:eastAsia="en-US"/>
        </w:rPr>
        <w:t xml:space="preserve">to </w:t>
      </w:r>
      <w:r w:rsidR="002C769F" w:rsidRPr="00AE73A7">
        <w:rPr>
          <w:color w:val="000000" w:themeColor="text1"/>
          <w:lang w:eastAsia="en-US"/>
        </w:rPr>
        <w:t xml:space="preserve">(1) IPO firms characteristics including; size, sales growth, profitability, dual CEO and chairman, M&amp;A engagement and number of segments, (2) enactment of JOBs Act in 2012 and Dodd-Frank Act in 2010, (3) </w:t>
      </w:r>
      <w:r w:rsidR="002C769F">
        <w:rPr>
          <w:color w:val="000000" w:themeColor="text1"/>
          <w:lang w:eastAsia="en-US"/>
        </w:rPr>
        <w:t>regulated industries</w:t>
      </w:r>
      <w:r w:rsidR="002C769F" w:rsidRPr="00AE73A7">
        <w:rPr>
          <w:color w:val="000000" w:themeColor="text1"/>
          <w:lang w:eastAsia="en-US"/>
        </w:rPr>
        <w:t xml:space="preserve"> and volume of IPOs by industry and (4) SEC reviewer’s job p</w:t>
      </w:r>
      <w:r w:rsidR="002C769F">
        <w:rPr>
          <w:color w:val="000000" w:themeColor="text1"/>
          <w:lang w:eastAsia="en-US"/>
        </w:rPr>
        <w:t xml:space="preserve">osition and job classification. </w:t>
      </w:r>
      <w:r w:rsidR="00A03D5B">
        <w:rPr>
          <w:lang w:eastAsia="en-US"/>
        </w:rPr>
        <w:t xml:space="preserve">My findings would provide </w:t>
      </w:r>
      <w:r w:rsidR="00A03D5B" w:rsidRPr="00A03D5B">
        <w:rPr>
          <w:lang w:eastAsia="en-US"/>
        </w:rPr>
        <w:t xml:space="preserve">would be useful to issuers and </w:t>
      </w:r>
      <w:r w:rsidR="00A03D5B">
        <w:rPr>
          <w:lang w:eastAsia="en-US"/>
        </w:rPr>
        <w:t xml:space="preserve">stakeholders </w:t>
      </w:r>
      <w:r w:rsidR="00A03D5B" w:rsidRPr="00A03D5B">
        <w:rPr>
          <w:lang w:eastAsia="en-US"/>
        </w:rPr>
        <w:t>in providing</w:t>
      </w:r>
      <w:r w:rsidR="00A03D5B">
        <w:rPr>
          <w:lang w:eastAsia="en-US"/>
        </w:rPr>
        <w:t xml:space="preserve"> a better understanding of</w:t>
      </w:r>
      <w:r w:rsidR="00A03D5B" w:rsidRPr="00A03D5B">
        <w:rPr>
          <w:lang w:eastAsia="en-US"/>
        </w:rPr>
        <w:t xml:space="preserve"> the SEC’s </w:t>
      </w:r>
      <w:r w:rsidR="00A03D5B">
        <w:rPr>
          <w:lang w:eastAsia="en-US"/>
        </w:rPr>
        <w:t xml:space="preserve">S-1 </w:t>
      </w:r>
      <w:r w:rsidR="00A03D5B" w:rsidRPr="00A03D5B">
        <w:rPr>
          <w:lang w:eastAsia="en-US"/>
        </w:rPr>
        <w:t>review process</w:t>
      </w:r>
      <w:r w:rsidR="00A03D5B">
        <w:rPr>
          <w:lang w:eastAsia="en-US"/>
        </w:rPr>
        <w:t>. Also,</w:t>
      </w:r>
      <w:r w:rsidR="00A03D5B" w:rsidRPr="00A03D5B">
        <w:rPr>
          <w:lang w:eastAsia="en-US"/>
        </w:rPr>
        <w:t xml:space="preserve"> </w:t>
      </w:r>
      <w:r w:rsidR="00A03D5B">
        <w:rPr>
          <w:lang w:eastAsia="en-US"/>
        </w:rPr>
        <w:t>m</w:t>
      </w:r>
      <w:r w:rsidR="003415EF">
        <w:rPr>
          <w:lang w:eastAsia="en-US"/>
        </w:rPr>
        <w:t xml:space="preserve">y findings should be attractive to the investors, </w:t>
      </w:r>
      <w:proofErr w:type="gramStart"/>
      <w:r w:rsidR="003415EF">
        <w:rPr>
          <w:lang w:eastAsia="en-US"/>
        </w:rPr>
        <w:t>auditors</w:t>
      </w:r>
      <w:proofErr w:type="gramEnd"/>
      <w:r w:rsidR="003415EF">
        <w:rPr>
          <w:lang w:eastAsia="en-US"/>
        </w:rPr>
        <w:t xml:space="preserve"> and regulators, who employ the SEC S-1 comment letters to evaluate the quality of S-1 filings as well as the IPO firms’ reporting </w:t>
      </w:r>
      <w:r w:rsidR="00A03D5B">
        <w:rPr>
          <w:lang w:eastAsia="en-US"/>
        </w:rPr>
        <w:t xml:space="preserve">compliance. My study also contributes a coding scheme which </w:t>
      </w:r>
      <w:r w:rsidR="00C255A4">
        <w:rPr>
          <w:lang w:eastAsia="en-US"/>
        </w:rPr>
        <w:t>is a useful tool</w:t>
      </w:r>
      <w:r w:rsidR="00A03D5B">
        <w:rPr>
          <w:lang w:eastAsia="en-US"/>
        </w:rPr>
        <w:t xml:space="preserve"> for future research on the issues occurred in S-1 filings</w:t>
      </w:r>
      <w:r w:rsidR="00C255A4">
        <w:rPr>
          <w:lang w:eastAsia="en-US"/>
        </w:rPr>
        <w:t xml:space="preserve">. </w:t>
      </w:r>
    </w:p>
    <w:p w14:paraId="788E9383" w14:textId="297AC029" w:rsidR="009C19E2" w:rsidRPr="00AD4AC9" w:rsidRDefault="00C255A4" w:rsidP="0030659B">
      <w:pPr>
        <w:spacing w:line="360" w:lineRule="auto"/>
        <w:jc w:val="both"/>
        <w:rPr>
          <w:lang w:eastAsia="en-US"/>
        </w:rPr>
      </w:pPr>
      <w:r>
        <w:rPr>
          <w:lang w:eastAsia="en-US"/>
        </w:rPr>
        <w:t xml:space="preserve">While my study provides evidence on the determinants of the SEC review on the S-1 filings, I do not explore whether the SEC review is effective in addressing the deficiencies of the information quality of S-1 filings. </w:t>
      </w:r>
      <w:r w:rsidR="00E61095">
        <w:rPr>
          <w:lang w:eastAsia="en-US"/>
        </w:rPr>
        <w:t xml:space="preserve">Future research on the sensitivity of the SEC review to the information quality of S-1 filings should be informative. Finally, the attention should be given to the </w:t>
      </w:r>
      <w:r w:rsidR="00E61095">
        <w:rPr>
          <w:i/>
          <w:lang w:eastAsia="en-US"/>
        </w:rPr>
        <w:t xml:space="preserve">Duration </w:t>
      </w:r>
      <w:r w:rsidR="00E61095">
        <w:rPr>
          <w:lang w:eastAsia="en-US"/>
        </w:rPr>
        <w:t xml:space="preserve">indicated for the intensity of the SEC review. </w:t>
      </w:r>
      <w:r w:rsidR="00AD4AC9">
        <w:rPr>
          <w:lang w:eastAsia="en-US"/>
        </w:rPr>
        <w:t>T</w:t>
      </w:r>
      <w:r w:rsidR="00E61095">
        <w:rPr>
          <w:lang w:eastAsia="en-US"/>
        </w:rPr>
        <w:t xml:space="preserve">his proxy </w:t>
      </w:r>
      <w:r w:rsidR="00AD4AC9">
        <w:rPr>
          <w:lang w:eastAsia="en-US"/>
        </w:rPr>
        <w:t>could cover more than just the SEC review period</w:t>
      </w:r>
      <w:r w:rsidR="00BE4337">
        <w:rPr>
          <w:lang w:eastAsia="en-US"/>
        </w:rPr>
        <w:t>, especially,</w:t>
      </w:r>
      <w:r w:rsidR="00AD4AC9">
        <w:rPr>
          <w:lang w:eastAsia="en-US"/>
        </w:rPr>
        <w:t xml:space="preserve"> the time lag between the date the SEC complete their review and the date of publishing their comment letters. Therefore, the results on the determinants of </w:t>
      </w:r>
      <w:r w:rsidR="00AD4AC9">
        <w:rPr>
          <w:i/>
          <w:lang w:eastAsia="en-US"/>
        </w:rPr>
        <w:t xml:space="preserve">Duration </w:t>
      </w:r>
      <w:r w:rsidR="00AD4AC9">
        <w:rPr>
          <w:lang w:eastAsia="en-US"/>
        </w:rPr>
        <w:t>should be explained in caution.</w:t>
      </w:r>
    </w:p>
    <w:p w14:paraId="040C1315" w14:textId="77777777" w:rsidR="009C19E2" w:rsidRPr="00C449F3" w:rsidRDefault="009C19E2" w:rsidP="00B21F56">
      <w:pPr>
        <w:spacing w:line="360" w:lineRule="auto"/>
        <w:ind w:firstLine="720"/>
        <w:jc w:val="both"/>
        <w:rPr>
          <w:lang w:eastAsia="en-US"/>
        </w:rPr>
      </w:pPr>
    </w:p>
    <w:p w14:paraId="7838466E" w14:textId="77777777" w:rsidR="006076D6" w:rsidRPr="000912EF" w:rsidRDefault="006076D6" w:rsidP="00C20F6A">
      <w:pPr>
        <w:spacing w:line="360" w:lineRule="auto"/>
        <w:jc w:val="both"/>
        <w:rPr>
          <w:lang w:eastAsia="en-US"/>
        </w:rPr>
      </w:pPr>
    </w:p>
    <w:p w14:paraId="21F2D63C" w14:textId="77777777" w:rsidR="006076D6" w:rsidRPr="000912EF" w:rsidRDefault="006076D6" w:rsidP="00C20F6A">
      <w:pPr>
        <w:spacing w:line="360" w:lineRule="auto"/>
        <w:jc w:val="both"/>
        <w:rPr>
          <w:lang w:eastAsia="en-US"/>
        </w:rPr>
      </w:pPr>
    </w:p>
    <w:p w14:paraId="7F78D3B5" w14:textId="39CE6623" w:rsidR="008D33BB" w:rsidRPr="000912EF" w:rsidRDefault="008D33BB" w:rsidP="00F91520">
      <w:pPr>
        <w:pStyle w:val="Heading1"/>
        <w:rPr>
          <w:rFonts w:ascii="Times New Roman" w:hAnsi="Times New Roman" w:cs="Times New Roman"/>
          <w:b/>
          <w:color w:val="000000" w:themeColor="text1"/>
          <w:sz w:val="24"/>
          <w:szCs w:val="24"/>
          <w:lang w:eastAsia="en-US"/>
        </w:rPr>
      </w:pPr>
      <w:bookmarkStart w:id="50" w:name="_Toc9185818"/>
      <w:r w:rsidRPr="000912EF">
        <w:rPr>
          <w:rFonts w:ascii="Times New Roman" w:hAnsi="Times New Roman" w:cs="Times New Roman"/>
          <w:b/>
          <w:color w:val="000000" w:themeColor="text1"/>
          <w:sz w:val="24"/>
          <w:szCs w:val="24"/>
          <w:lang w:eastAsia="en-US"/>
        </w:rPr>
        <w:lastRenderedPageBreak/>
        <w:t>REFERENCES</w:t>
      </w:r>
      <w:bookmarkEnd w:id="50"/>
    </w:p>
    <w:p w14:paraId="1125BCC9" w14:textId="4FD4E305" w:rsidR="002B4AD1" w:rsidRPr="002B4AD1" w:rsidRDefault="008D33BB" w:rsidP="002B4AD1">
      <w:pPr>
        <w:widowControl w:val="0"/>
        <w:autoSpaceDE w:val="0"/>
        <w:autoSpaceDN w:val="0"/>
        <w:adjustRightInd w:val="0"/>
        <w:spacing w:line="360" w:lineRule="auto"/>
        <w:ind w:left="480" w:hanging="480"/>
        <w:rPr>
          <w:noProof/>
        </w:rPr>
      </w:pPr>
      <w:r w:rsidRPr="000912EF">
        <w:rPr>
          <w:lang w:eastAsia="en-US"/>
        </w:rPr>
        <w:fldChar w:fldCharType="begin" w:fldLock="1"/>
      </w:r>
      <w:r w:rsidRPr="000912EF">
        <w:rPr>
          <w:lang w:eastAsia="en-US"/>
        </w:rPr>
        <w:instrText xml:space="preserve">ADDIN Mendeley Bibliography CSL_BIBLIOGRAPHY </w:instrText>
      </w:r>
      <w:r w:rsidRPr="000912EF">
        <w:rPr>
          <w:lang w:eastAsia="en-US"/>
        </w:rPr>
        <w:fldChar w:fldCharType="separate"/>
      </w:r>
      <w:r w:rsidR="002B4AD1" w:rsidRPr="002B4AD1">
        <w:rPr>
          <w:noProof/>
        </w:rPr>
        <w:t xml:space="preserve">(SEC), S. and E. C. (2013). </w:t>
      </w:r>
      <w:r w:rsidR="002B4AD1" w:rsidRPr="002B4AD1">
        <w:rPr>
          <w:i/>
          <w:iCs/>
          <w:noProof/>
        </w:rPr>
        <w:t>The Investor’s Advocate: How the SEC Protects Investors, Maintains Market Integrity, and Facilitates Capital Formation</w:t>
      </w:r>
      <w:r w:rsidR="002B4AD1" w:rsidRPr="002B4AD1">
        <w:rPr>
          <w:noProof/>
        </w:rPr>
        <w:t>. Retrieved from http://www.sec.gov/about/whatwedo.shtml</w:t>
      </w:r>
    </w:p>
    <w:p w14:paraId="6FC82BD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Abdolmohammadi, M., &amp; Wright, A. (1987). An examination of the effects of experience and task complexity on audit judgments. </w:t>
      </w:r>
      <w:r w:rsidRPr="002B4AD1">
        <w:rPr>
          <w:i/>
          <w:iCs/>
          <w:noProof/>
        </w:rPr>
        <w:t>The Accounting Review</w:t>
      </w:r>
      <w:r w:rsidRPr="002B4AD1">
        <w:rPr>
          <w:noProof/>
        </w:rPr>
        <w:t xml:space="preserve">, </w:t>
      </w:r>
      <w:r w:rsidRPr="002B4AD1">
        <w:rPr>
          <w:i/>
          <w:iCs/>
          <w:noProof/>
        </w:rPr>
        <w:t>62</w:t>
      </w:r>
      <w:r w:rsidRPr="002B4AD1">
        <w:rPr>
          <w:noProof/>
        </w:rPr>
        <w:t>(1), 1–13.</w:t>
      </w:r>
    </w:p>
    <w:p w14:paraId="6D4668C9"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Agarwal, S., Gupta, S., &amp; Israelsen, R. D. (2017). Public and Private Information: Firm Disclosure, SEC Letters, and the JOBS Act. </w:t>
      </w:r>
      <w:r w:rsidRPr="002B4AD1">
        <w:rPr>
          <w:i/>
          <w:iCs/>
          <w:noProof/>
        </w:rPr>
        <w:t>Kelley School of Business Research Paper No. 17-4</w:t>
      </w:r>
      <w:r w:rsidRPr="002B4AD1">
        <w:rPr>
          <w:noProof/>
        </w:rPr>
        <w:t>.</w:t>
      </w:r>
    </w:p>
    <w:p w14:paraId="412EE221"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Akerlof, G. (1970). The Market for " Lemons ": Quality Uncertainty and the Market Mechanism. </w:t>
      </w:r>
      <w:r w:rsidRPr="002B4AD1">
        <w:rPr>
          <w:i/>
          <w:iCs/>
          <w:noProof/>
        </w:rPr>
        <w:t>The Quarterly Journal of Economics</w:t>
      </w:r>
      <w:r w:rsidRPr="002B4AD1">
        <w:rPr>
          <w:noProof/>
        </w:rPr>
        <w:t xml:space="preserve">, </w:t>
      </w:r>
      <w:r w:rsidRPr="002B4AD1">
        <w:rPr>
          <w:i/>
          <w:iCs/>
          <w:noProof/>
        </w:rPr>
        <w:t>84</w:t>
      </w:r>
      <w:r w:rsidRPr="002B4AD1">
        <w:rPr>
          <w:noProof/>
        </w:rPr>
        <w:t>(3), 488–500.</w:t>
      </w:r>
    </w:p>
    <w:p w14:paraId="3EA5D040"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Altman, E. I. (1969). Financial Ratios, Discriminant Analysis and the Prediction of Corporate Bankruptcy. </w:t>
      </w:r>
      <w:r w:rsidRPr="002B4AD1">
        <w:rPr>
          <w:i/>
          <w:iCs/>
          <w:noProof/>
        </w:rPr>
        <w:t>The Journal of Finance</w:t>
      </w:r>
      <w:r w:rsidRPr="002B4AD1">
        <w:rPr>
          <w:noProof/>
        </w:rPr>
        <w:t xml:space="preserve">, </w:t>
      </w:r>
      <w:r w:rsidRPr="002B4AD1">
        <w:rPr>
          <w:i/>
          <w:iCs/>
          <w:noProof/>
        </w:rPr>
        <w:t>24</w:t>
      </w:r>
      <w:r w:rsidRPr="002B4AD1">
        <w:rPr>
          <w:noProof/>
        </w:rPr>
        <w:t>(3), 558–560.</w:t>
      </w:r>
    </w:p>
    <w:p w14:paraId="7A32ECEE"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Barry, C. B., &amp; Brown, S. J. (1985). Differential Information and Security Market Equilibrium. </w:t>
      </w:r>
      <w:r w:rsidRPr="002B4AD1">
        <w:rPr>
          <w:i/>
          <w:iCs/>
          <w:noProof/>
        </w:rPr>
        <w:t>Journal of Financial and Quantitative Analysis</w:t>
      </w:r>
      <w:r w:rsidRPr="002B4AD1">
        <w:rPr>
          <w:noProof/>
        </w:rPr>
        <w:t xml:space="preserve">, </w:t>
      </w:r>
      <w:r w:rsidRPr="002B4AD1">
        <w:rPr>
          <w:i/>
          <w:iCs/>
          <w:noProof/>
        </w:rPr>
        <w:t>20</w:t>
      </w:r>
      <w:r w:rsidRPr="002B4AD1">
        <w:rPr>
          <w:noProof/>
        </w:rPr>
        <w:t>(4), 407–422.</w:t>
      </w:r>
    </w:p>
    <w:p w14:paraId="0EB863D2"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Barth, M. E., Landsman, W. R., &amp; Taylor, D. J. (2017). The JOBS Act and Information Uncertainty in IPO Firms. </w:t>
      </w:r>
      <w:r w:rsidRPr="002B4AD1">
        <w:rPr>
          <w:i/>
          <w:iCs/>
          <w:noProof/>
        </w:rPr>
        <w:t>The Accounting Review</w:t>
      </w:r>
      <w:r w:rsidRPr="002B4AD1">
        <w:rPr>
          <w:noProof/>
        </w:rPr>
        <w:t xml:space="preserve">, </w:t>
      </w:r>
      <w:r w:rsidRPr="002B4AD1">
        <w:rPr>
          <w:i/>
          <w:iCs/>
          <w:noProof/>
        </w:rPr>
        <w:t>92</w:t>
      </w:r>
      <w:r w:rsidRPr="002B4AD1">
        <w:rPr>
          <w:noProof/>
        </w:rPr>
        <w:t>(6), 25–47.</w:t>
      </w:r>
    </w:p>
    <w:p w14:paraId="52DA1E6B"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Baugh, M., Kim, K., &amp; Lee, K. J. (2017). </w:t>
      </w:r>
      <w:r w:rsidRPr="002B4AD1">
        <w:rPr>
          <w:i/>
          <w:iCs/>
          <w:noProof/>
        </w:rPr>
        <w:t>The Effect of SEC Reviewers on Comment Letters and Financial Reporting Quality</w:t>
      </w:r>
      <w:r w:rsidRPr="002B4AD1">
        <w:rPr>
          <w:noProof/>
        </w:rPr>
        <w:t>. https://doi.org/10.3386/w19846</w:t>
      </w:r>
    </w:p>
    <w:p w14:paraId="14CDD261"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Becker, C. L., Defond, M. L., Jiambalvo, J., &amp; Subramanyam, K. R. (1998). The Effect of Audit Quality on Earnings Management. </w:t>
      </w:r>
      <w:r w:rsidRPr="002B4AD1">
        <w:rPr>
          <w:i/>
          <w:iCs/>
          <w:noProof/>
        </w:rPr>
        <w:t>Contemporary Accounting Research</w:t>
      </w:r>
      <w:r w:rsidRPr="002B4AD1">
        <w:rPr>
          <w:noProof/>
        </w:rPr>
        <w:t xml:space="preserve">, </w:t>
      </w:r>
      <w:r w:rsidRPr="002B4AD1">
        <w:rPr>
          <w:i/>
          <w:iCs/>
          <w:noProof/>
        </w:rPr>
        <w:t>15</w:t>
      </w:r>
      <w:r w:rsidRPr="002B4AD1">
        <w:rPr>
          <w:noProof/>
        </w:rPr>
        <w:t>(1), 1–24.</w:t>
      </w:r>
    </w:p>
    <w:p w14:paraId="370C8F1B"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Beyer, A., Cohen, D. A., Lys, T. Z., &amp; Walther, B. R. (2010). The financial reporting environment: Review of the recent literature. </w:t>
      </w:r>
      <w:r w:rsidRPr="002B4AD1">
        <w:rPr>
          <w:i/>
          <w:iCs/>
          <w:noProof/>
        </w:rPr>
        <w:t>Journal of Accounting and Economics</w:t>
      </w:r>
      <w:r w:rsidRPr="002B4AD1">
        <w:rPr>
          <w:noProof/>
        </w:rPr>
        <w:t xml:space="preserve">, </w:t>
      </w:r>
      <w:r w:rsidRPr="002B4AD1">
        <w:rPr>
          <w:i/>
          <w:iCs/>
          <w:noProof/>
        </w:rPr>
        <w:t>50</w:t>
      </w:r>
      <w:r w:rsidRPr="002B4AD1">
        <w:rPr>
          <w:noProof/>
        </w:rPr>
        <w:t>(2–3), 296–343.</w:t>
      </w:r>
    </w:p>
    <w:p w14:paraId="77DADDAA"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Bhabra, H. S., Pettway, R. H., &amp; Molson, J. (2003). IPO Prospectus Information and Subsequent Performance. </w:t>
      </w:r>
      <w:r w:rsidRPr="002B4AD1">
        <w:rPr>
          <w:i/>
          <w:iCs/>
          <w:noProof/>
        </w:rPr>
        <w:t>The Financial ReviewThe Financial Review</w:t>
      </w:r>
      <w:r w:rsidRPr="002B4AD1">
        <w:rPr>
          <w:noProof/>
        </w:rPr>
        <w:t xml:space="preserve">, </w:t>
      </w:r>
      <w:r w:rsidRPr="002B4AD1">
        <w:rPr>
          <w:i/>
          <w:iCs/>
          <w:noProof/>
        </w:rPr>
        <w:t>38</w:t>
      </w:r>
      <w:r w:rsidRPr="002B4AD1">
        <w:rPr>
          <w:noProof/>
        </w:rPr>
        <w:t>(38), 369–397.</w:t>
      </w:r>
    </w:p>
    <w:p w14:paraId="2276C150"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Blackburne, T. (2014). Regulatory Oversight and Reporting Incentives: Evidence from SEC Budget Allocations Terrence. </w:t>
      </w:r>
      <w:r w:rsidRPr="002B4AD1">
        <w:rPr>
          <w:i/>
          <w:iCs/>
          <w:noProof/>
        </w:rPr>
        <w:t>Working Paper</w:t>
      </w:r>
      <w:r w:rsidRPr="002B4AD1">
        <w:rPr>
          <w:noProof/>
        </w:rPr>
        <w:t>.</w:t>
      </w:r>
    </w:p>
    <w:p w14:paraId="40E2EBF6"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Bonner, S. E. (1990). Experience Effects In Auditing: The Role Of Task-Specific Knowledge. </w:t>
      </w:r>
      <w:r w:rsidRPr="002B4AD1">
        <w:rPr>
          <w:i/>
          <w:iCs/>
          <w:noProof/>
        </w:rPr>
        <w:t>The Accounting Review</w:t>
      </w:r>
      <w:r w:rsidRPr="002B4AD1">
        <w:rPr>
          <w:noProof/>
        </w:rPr>
        <w:t xml:space="preserve">, </w:t>
      </w:r>
      <w:r w:rsidRPr="002B4AD1">
        <w:rPr>
          <w:i/>
          <w:iCs/>
          <w:noProof/>
        </w:rPr>
        <w:t>65</w:t>
      </w:r>
      <w:r w:rsidRPr="002B4AD1">
        <w:rPr>
          <w:noProof/>
        </w:rPr>
        <w:t>(1), 72–92.</w:t>
      </w:r>
    </w:p>
    <w:p w14:paraId="5C83044C"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Boone, J. P., Khurana, I. K., &amp; Raman, K. K. (2010). Do the Big 4 and the Second-tier firms provide audits of similar quality? </w:t>
      </w:r>
      <w:r w:rsidRPr="002B4AD1">
        <w:rPr>
          <w:i/>
          <w:iCs/>
          <w:noProof/>
        </w:rPr>
        <w:t>Journal of Accounting and Public Policy</w:t>
      </w:r>
      <w:r w:rsidRPr="002B4AD1">
        <w:rPr>
          <w:noProof/>
        </w:rPr>
        <w:t xml:space="preserve">, </w:t>
      </w:r>
      <w:r w:rsidRPr="002B4AD1">
        <w:rPr>
          <w:i/>
          <w:iCs/>
          <w:noProof/>
        </w:rPr>
        <w:t>29</w:t>
      </w:r>
      <w:r w:rsidRPr="002B4AD1">
        <w:rPr>
          <w:noProof/>
        </w:rPr>
        <w:t>(4), 330–352. Retrieved from 10.06.007</w:t>
      </w:r>
    </w:p>
    <w:p w14:paraId="2948BFD6"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lastRenderedPageBreak/>
        <w:t xml:space="preserve">Boone, J. P., Linthicum, C. L., &amp; Poe, A. (2013). Characteristics of accounting standards and SEC review comments. </w:t>
      </w:r>
      <w:r w:rsidRPr="002B4AD1">
        <w:rPr>
          <w:i/>
          <w:iCs/>
          <w:noProof/>
        </w:rPr>
        <w:t>Accounting Horizons</w:t>
      </w:r>
      <w:r w:rsidRPr="002B4AD1">
        <w:rPr>
          <w:noProof/>
        </w:rPr>
        <w:t xml:space="preserve">, </w:t>
      </w:r>
      <w:r w:rsidRPr="002B4AD1">
        <w:rPr>
          <w:i/>
          <w:iCs/>
          <w:noProof/>
        </w:rPr>
        <w:t>27</w:t>
      </w:r>
      <w:r w:rsidRPr="002B4AD1">
        <w:rPr>
          <w:noProof/>
        </w:rPr>
        <w:t>(4), 711–736.</w:t>
      </w:r>
    </w:p>
    <w:p w14:paraId="66F4419E"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Bozanic, Z., Dietrich, J. R., &amp; Johnson, B. A. (2017). SEC comment letters and firm disclosure. </w:t>
      </w:r>
      <w:r w:rsidRPr="002B4AD1">
        <w:rPr>
          <w:i/>
          <w:iCs/>
          <w:noProof/>
        </w:rPr>
        <w:t>Journal of Accounting and Public Policy</w:t>
      </w:r>
      <w:r w:rsidRPr="002B4AD1">
        <w:rPr>
          <w:noProof/>
        </w:rPr>
        <w:t xml:space="preserve">, </w:t>
      </w:r>
      <w:r w:rsidRPr="002B4AD1">
        <w:rPr>
          <w:i/>
          <w:iCs/>
          <w:noProof/>
        </w:rPr>
        <w:t>36</w:t>
      </w:r>
      <w:r w:rsidRPr="002B4AD1">
        <w:rPr>
          <w:noProof/>
        </w:rPr>
        <w:t>(5), 337–357.</w:t>
      </w:r>
    </w:p>
    <w:p w14:paraId="4386322D"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Brown, S. V, Tian, X., &amp; Tucker. (2015). </w:t>
      </w:r>
      <w:r w:rsidRPr="002B4AD1">
        <w:rPr>
          <w:i/>
          <w:iCs/>
          <w:noProof/>
        </w:rPr>
        <w:t>The Spillover Effect of SEC Comment Letters on Qualitative Corporate Disclosure: Evidence from the Risk Factor Disclosure Stephen</w:t>
      </w:r>
      <w:r w:rsidRPr="002B4AD1">
        <w:rPr>
          <w:noProof/>
        </w:rPr>
        <w:t>. Retrieved from https://papers.ssrn.com/sol3/Papers.cfm?abstract_id=2551451</w:t>
      </w:r>
    </w:p>
    <w:p w14:paraId="0E3FB1C8"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Cassell, C. A., Dreher, L. M., &amp; Myers, L. A. (2013). Reviewing the SEC’s review process: 10-K comment letters and the cost of remediation. </w:t>
      </w:r>
      <w:r w:rsidRPr="002B4AD1">
        <w:rPr>
          <w:i/>
          <w:iCs/>
          <w:noProof/>
        </w:rPr>
        <w:t>The Accounting Review</w:t>
      </w:r>
      <w:r w:rsidRPr="002B4AD1">
        <w:rPr>
          <w:noProof/>
        </w:rPr>
        <w:t xml:space="preserve">, </w:t>
      </w:r>
      <w:r w:rsidRPr="002B4AD1">
        <w:rPr>
          <w:i/>
          <w:iCs/>
          <w:noProof/>
        </w:rPr>
        <w:t>88</w:t>
      </w:r>
      <w:r w:rsidRPr="002B4AD1">
        <w:rPr>
          <w:noProof/>
        </w:rPr>
        <w:t>(6), 1875–1908.</w:t>
      </w:r>
    </w:p>
    <w:p w14:paraId="3C93F96F"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Chahine, S., Mansi, S., &amp; Mazboudi, M. (2015). Media news and earnings management prior to equity offerings. </w:t>
      </w:r>
      <w:r w:rsidRPr="002B4AD1">
        <w:rPr>
          <w:i/>
          <w:iCs/>
          <w:noProof/>
        </w:rPr>
        <w:t>Journal of Corporate Finance</w:t>
      </w:r>
      <w:r w:rsidRPr="002B4AD1">
        <w:rPr>
          <w:noProof/>
        </w:rPr>
        <w:t xml:space="preserve">, </w:t>
      </w:r>
      <w:r w:rsidRPr="002B4AD1">
        <w:rPr>
          <w:i/>
          <w:iCs/>
          <w:noProof/>
        </w:rPr>
        <w:t>35</w:t>
      </w:r>
      <w:r w:rsidRPr="002B4AD1">
        <w:rPr>
          <w:noProof/>
        </w:rPr>
        <w:t>, 177–195. https://doi.org/10.1016/j.jcorpfin.2015.09.002</w:t>
      </w:r>
    </w:p>
    <w:p w14:paraId="13D4DE82"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Chaplinsky, S., Hanley, K. W., &amp; Moon, S. K. (2017). The JOBS Act and the Costs of Going Public. </w:t>
      </w:r>
      <w:r w:rsidRPr="002B4AD1">
        <w:rPr>
          <w:i/>
          <w:iCs/>
          <w:noProof/>
        </w:rPr>
        <w:t>Journal of Accounting Research</w:t>
      </w:r>
      <w:r w:rsidRPr="002B4AD1">
        <w:rPr>
          <w:noProof/>
        </w:rPr>
        <w:t xml:space="preserve">, </w:t>
      </w:r>
      <w:r w:rsidRPr="002B4AD1">
        <w:rPr>
          <w:i/>
          <w:iCs/>
          <w:noProof/>
        </w:rPr>
        <w:t>55</w:t>
      </w:r>
      <w:r w:rsidRPr="002B4AD1">
        <w:rPr>
          <w:noProof/>
        </w:rPr>
        <w:t>(4), 795–836.</w:t>
      </w:r>
    </w:p>
    <w:p w14:paraId="6868EA21"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Chen, K. Y., Lin, K., &amp; Zhou, J. (2005). Audit quality and earnings management for Taiwan IPO firms. </w:t>
      </w:r>
      <w:r w:rsidRPr="002B4AD1">
        <w:rPr>
          <w:i/>
          <w:iCs/>
          <w:noProof/>
        </w:rPr>
        <w:t>Managerial Auditing Journal</w:t>
      </w:r>
      <w:r w:rsidRPr="002B4AD1">
        <w:rPr>
          <w:noProof/>
        </w:rPr>
        <w:t xml:space="preserve">, </w:t>
      </w:r>
      <w:r w:rsidRPr="002B4AD1">
        <w:rPr>
          <w:i/>
          <w:iCs/>
          <w:noProof/>
        </w:rPr>
        <w:t>20</w:t>
      </w:r>
      <w:r w:rsidRPr="002B4AD1">
        <w:rPr>
          <w:noProof/>
        </w:rPr>
        <w:t>(1), 86–104. https://doi.org/10.1108/02686900510570722</w:t>
      </w:r>
    </w:p>
    <w:p w14:paraId="1BEAEA1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Chen, R., &amp; Johnston, R. (2010). The effect of regulator oversight on firms’ information environment: Securities and exchange commission comment letters. </w:t>
      </w:r>
      <w:r w:rsidRPr="002B4AD1">
        <w:rPr>
          <w:i/>
          <w:iCs/>
          <w:noProof/>
        </w:rPr>
        <w:t>Working Paper</w:t>
      </w:r>
      <w:r w:rsidRPr="002B4AD1">
        <w:rPr>
          <w:noProof/>
        </w:rPr>
        <w:t>.</w:t>
      </w:r>
    </w:p>
    <w:p w14:paraId="1E22BEEF"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Colaco, H. M. J., De Cesari, A., &amp; Hegde, S. P. (2017). The waiting period of initial public offerings. </w:t>
      </w:r>
      <w:r w:rsidRPr="002B4AD1">
        <w:rPr>
          <w:i/>
          <w:iCs/>
          <w:noProof/>
        </w:rPr>
        <w:t>European Journal of Finance</w:t>
      </w:r>
      <w:r w:rsidRPr="002B4AD1">
        <w:rPr>
          <w:noProof/>
        </w:rPr>
        <w:t xml:space="preserve">, </w:t>
      </w:r>
      <w:r w:rsidRPr="002B4AD1">
        <w:rPr>
          <w:i/>
          <w:iCs/>
          <w:noProof/>
        </w:rPr>
        <w:t>0</w:t>
      </w:r>
      <w:r w:rsidRPr="002B4AD1">
        <w:rPr>
          <w:noProof/>
        </w:rPr>
        <w:t>(0), 1–34.</w:t>
      </w:r>
    </w:p>
    <w:p w14:paraId="36039D1C"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Dambra, M., Field, L. C., &amp; Gustafson, M. T. (2015). The JOBS Act and IPO volume: Evidence that disclosure costs affect the IPO decision. </w:t>
      </w:r>
      <w:r w:rsidRPr="002B4AD1">
        <w:rPr>
          <w:i/>
          <w:iCs/>
          <w:noProof/>
        </w:rPr>
        <w:t>Journal of Financial Economics</w:t>
      </w:r>
      <w:r w:rsidRPr="002B4AD1">
        <w:rPr>
          <w:noProof/>
        </w:rPr>
        <w:t xml:space="preserve">, </w:t>
      </w:r>
      <w:r w:rsidRPr="002B4AD1">
        <w:rPr>
          <w:i/>
          <w:iCs/>
          <w:noProof/>
        </w:rPr>
        <w:t>116</w:t>
      </w:r>
      <w:r w:rsidRPr="002B4AD1">
        <w:rPr>
          <w:noProof/>
        </w:rPr>
        <w:t>(1), 121–143.</w:t>
      </w:r>
    </w:p>
    <w:p w14:paraId="43AEFD2F"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DeAngelo, L. E. (1981). Auditor size and audit quality. </w:t>
      </w:r>
      <w:r w:rsidRPr="002B4AD1">
        <w:rPr>
          <w:i/>
          <w:iCs/>
          <w:noProof/>
        </w:rPr>
        <w:t>Journal of Accounting and Economics</w:t>
      </w:r>
      <w:r w:rsidRPr="002B4AD1">
        <w:rPr>
          <w:noProof/>
        </w:rPr>
        <w:t xml:space="preserve">, </w:t>
      </w:r>
      <w:r w:rsidRPr="002B4AD1">
        <w:rPr>
          <w:i/>
          <w:iCs/>
          <w:noProof/>
        </w:rPr>
        <w:t>3</w:t>
      </w:r>
      <w:r w:rsidRPr="002B4AD1">
        <w:rPr>
          <w:noProof/>
        </w:rPr>
        <w:t>(3), 183–199.</w:t>
      </w:r>
    </w:p>
    <w:p w14:paraId="2B33CEE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Doyle, J., Ge, W., &amp; McVay, S. (2007). Determinants of weaknesses in internal control over financial reporting. </w:t>
      </w:r>
      <w:r w:rsidRPr="002B4AD1">
        <w:rPr>
          <w:i/>
          <w:iCs/>
          <w:noProof/>
        </w:rPr>
        <w:t>Journal of Accounting and Economics</w:t>
      </w:r>
      <w:r w:rsidRPr="002B4AD1">
        <w:rPr>
          <w:noProof/>
        </w:rPr>
        <w:t xml:space="preserve">, </w:t>
      </w:r>
      <w:r w:rsidRPr="002B4AD1">
        <w:rPr>
          <w:i/>
          <w:iCs/>
          <w:noProof/>
        </w:rPr>
        <w:t>44</w:t>
      </w:r>
      <w:r w:rsidRPr="002B4AD1">
        <w:rPr>
          <w:noProof/>
        </w:rPr>
        <w:t>(1–2), 193–223.</w:t>
      </w:r>
    </w:p>
    <w:p w14:paraId="7D94B9FF"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Duro, M., Heese, J., &amp; Ormazabal, G. (2017). Does the Public Disclosure of the SEC’s Oversight Actions Matter ? </w:t>
      </w:r>
      <w:r w:rsidRPr="002B4AD1">
        <w:rPr>
          <w:i/>
          <w:iCs/>
          <w:noProof/>
        </w:rPr>
        <w:t>CEPR Discussion Paper No. DP12145</w:t>
      </w:r>
      <w:r w:rsidRPr="002B4AD1">
        <w:rPr>
          <w:noProof/>
        </w:rPr>
        <w:t>.</w:t>
      </w:r>
    </w:p>
    <w:p w14:paraId="4DB05C2E"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Ernst and Young. (2016). </w:t>
      </w:r>
      <w:r w:rsidRPr="002B4AD1">
        <w:rPr>
          <w:i/>
          <w:iCs/>
          <w:noProof/>
        </w:rPr>
        <w:t>Update on emerging growth companies and the JOBS Act, November 2016</w:t>
      </w:r>
      <w:r w:rsidRPr="002B4AD1">
        <w:rPr>
          <w:noProof/>
        </w:rPr>
        <w:t>.</w:t>
      </w:r>
    </w:p>
    <w:p w14:paraId="01CD23F6"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Ertimur, Y., &amp; Nondorf, M. E. (2006). IPO Firms and the SEC Comment Letter Process. In </w:t>
      </w:r>
      <w:r w:rsidRPr="002B4AD1">
        <w:rPr>
          <w:i/>
          <w:iCs/>
          <w:noProof/>
        </w:rPr>
        <w:lastRenderedPageBreak/>
        <w:t>Working paper</w:t>
      </w:r>
      <w:r w:rsidRPr="002B4AD1">
        <w:rPr>
          <w:noProof/>
        </w:rPr>
        <w:t>.</w:t>
      </w:r>
    </w:p>
    <w:p w14:paraId="35E94047"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Ettredge, M., Johnstone, K., Stone, M., &amp; Wang, Q. (2011). The effects of firm size, corporate governance quality, and bad news on disclosure compliance. </w:t>
      </w:r>
      <w:r w:rsidRPr="002B4AD1">
        <w:rPr>
          <w:i/>
          <w:iCs/>
          <w:noProof/>
        </w:rPr>
        <w:t>Review of Accounting Studies</w:t>
      </w:r>
      <w:r w:rsidRPr="002B4AD1">
        <w:rPr>
          <w:noProof/>
        </w:rPr>
        <w:t xml:space="preserve">, </w:t>
      </w:r>
      <w:r w:rsidRPr="002B4AD1">
        <w:rPr>
          <w:i/>
          <w:iCs/>
          <w:noProof/>
        </w:rPr>
        <w:t>16</w:t>
      </w:r>
      <w:r w:rsidRPr="002B4AD1">
        <w:rPr>
          <w:noProof/>
        </w:rPr>
        <w:t>(4), 866–889. https://doi.org/10.1007/s11142-011-9153-8</w:t>
      </w:r>
    </w:p>
    <w:p w14:paraId="5053A83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Gao, X., Ritter, J. R., &amp; Zhu, Z. (2013). Where have all the IPOs gone? </w:t>
      </w:r>
      <w:r w:rsidRPr="002B4AD1">
        <w:rPr>
          <w:i/>
          <w:iCs/>
          <w:noProof/>
        </w:rPr>
        <w:t>Journal of Financial and Quantitative Analysis</w:t>
      </w:r>
      <w:r w:rsidRPr="002B4AD1">
        <w:rPr>
          <w:noProof/>
        </w:rPr>
        <w:t xml:space="preserve">, </w:t>
      </w:r>
      <w:r w:rsidRPr="002B4AD1">
        <w:rPr>
          <w:i/>
          <w:iCs/>
          <w:noProof/>
        </w:rPr>
        <w:t>48</w:t>
      </w:r>
      <w:r w:rsidRPr="002B4AD1">
        <w:rPr>
          <w:noProof/>
        </w:rPr>
        <w:t>(6), 1663–1692. https://doi.org/10.1017/S0022109014000015</w:t>
      </w:r>
    </w:p>
    <w:p w14:paraId="3468BD8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Godfrey, J., Hodgson, A., Tarca, A., Jane, H., &amp; Holmes, S. (2010). </w:t>
      </w:r>
      <w:r w:rsidRPr="002B4AD1">
        <w:rPr>
          <w:i/>
          <w:iCs/>
          <w:noProof/>
        </w:rPr>
        <w:t>Accounting Theory</w:t>
      </w:r>
      <w:r w:rsidRPr="002B4AD1">
        <w:rPr>
          <w:noProof/>
        </w:rPr>
        <w:t>. Australia: John Wiley &amp; Sons.</w:t>
      </w:r>
    </w:p>
    <w:p w14:paraId="313B36A3"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Hambrick, D. C., &amp; Mason, P. A. (1984). Upper Echelons: The Organization as a Reflection of Its Top Managers. </w:t>
      </w:r>
      <w:r w:rsidRPr="002B4AD1">
        <w:rPr>
          <w:i/>
          <w:iCs/>
          <w:noProof/>
        </w:rPr>
        <w:t>Academy of Management Review</w:t>
      </w:r>
      <w:r w:rsidRPr="002B4AD1">
        <w:rPr>
          <w:noProof/>
        </w:rPr>
        <w:t xml:space="preserve">, </w:t>
      </w:r>
      <w:r w:rsidRPr="002B4AD1">
        <w:rPr>
          <w:i/>
          <w:iCs/>
          <w:noProof/>
        </w:rPr>
        <w:t>9</w:t>
      </w:r>
      <w:r w:rsidRPr="002B4AD1">
        <w:rPr>
          <w:noProof/>
        </w:rPr>
        <w:t>(2), 193–206.</w:t>
      </w:r>
    </w:p>
    <w:p w14:paraId="47ABE235"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Hamilton, B. (n.d.). How Soon Will The SEC Review A Form S-1 Registration Statement? Retrieved April 25, 2019, from Securities and Going Public Lawyer website: https://www.securitieslawyer101.com/2015/sec-review-form-s-1-registration-statement/</w:t>
      </w:r>
    </w:p>
    <w:p w14:paraId="2811E0AD"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Healy, P. M., &amp; Palepu, K. G. (2001). Information asymmetry, corporate disclosure, and the capital markets: A review of the empirical disclosure literature. </w:t>
      </w:r>
      <w:r w:rsidRPr="002B4AD1">
        <w:rPr>
          <w:i/>
          <w:iCs/>
          <w:noProof/>
        </w:rPr>
        <w:t>Journal of Accounting and Economics</w:t>
      </w:r>
      <w:r w:rsidRPr="002B4AD1">
        <w:rPr>
          <w:noProof/>
        </w:rPr>
        <w:t xml:space="preserve">, </w:t>
      </w:r>
      <w:r w:rsidRPr="002B4AD1">
        <w:rPr>
          <w:i/>
          <w:iCs/>
          <w:noProof/>
        </w:rPr>
        <w:t>31</w:t>
      </w:r>
      <w:r w:rsidRPr="002B4AD1">
        <w:rPr>
          <w:noProof/>
        </w:rPr>
        <w:t>(1–3), 405–440.</w:t>
      </w:r>
    </w:p>
    <w:p w14:paraId="50E50305"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Heese, J., Khan, M., &amp; Ramanna, K. (2017). Is the SEC captured? Evidence from comment-letter reviews. </w:t>
      </w:r>
      <w:r w:rsidRPr="002B4AD1">
        <w:rPr>
          <w:i/>
          <w:iCs/>
          <w:noProof/>
        </w:rPr>
        <w:t>Journal of Accounting and Economics</w:t>
      </w:r>
      <w:r w:rsidRPr="002B4AD1">
        <w:rPr>
          <w:noProof/>
        </w:rPr>
        <w:t xml:space="preserve">, </w:t>
      </w:r>
      <w:r w:rsidRPr="002B4AD1">
        <w:rPr>
          <w:i/>
          <w:iCs/>
          <w:noProof/>
        </w:rPr>
        <w:t>64</w:t>
      </w:r>
      <w:r w:rsidRPr="002B4AD1">
        <w:rPr>
          <w:noProof/>
        </w:rPr>
        <w:t>(1), 98–122.</w:t>
      </w:r>
    </w:p>
    <w:p w14:paraId="7CB1BD2A"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Henderson, J. C., &amp; Nutt, P. C. (1980). The Influence of Decision Style on Decision Making Behavior. </w:t>
      </w:r>
      <w:r w:rsidRPr="002B4AD1">
        <w:rPr>
          <w:i/>
          <w:iCs/>
          <w:noProof/>
        </w:rPr>
        <w:t>Management Science</w:t>
      </w:r>
      <w:r w:rsidRPr="002B4AD1">
        <w:rPr>
          <w:noProof/>
        </w:rPr>
        <w:t xml:space="preserve">, </w:t>
      </w:r>
      <w:r w:rsidRPr="002B4AD1">
        <w:rPr>
          <w:i/>
          <w:iCs/>
          <w:noProof/>
        </w:rPr>
        <w:t>26</w:t>
      </w:r>
      <w:r w:rsidRPr="002B4AD1">
        <w:rPr>
          <w:noProof/>
        </w:rPr>
        <w:t>(4), 371–386.</w:t>
      </w:r>
    </w:p>
    <w:p w14:paraId="49B2F91B"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Investiopia.com. (2015). Why Do Companies Choose NASDAQ for Their IPO? Retrieved April 18, 2019, from Investiopia website: https://www.investopedia.com/articles/investing/060315/why-do-companies-choose-nasdaq-their-ipo.asp</w:t>
      </w:r>
    </w:p>
    <w:p w14:paraId="720B5C98"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Investiopia.com. (2018). Small Cap Stock. Retrieved April 19, 2019, from Investiopia website: https://www.investopedia.com/video/play/small-cap-stock/</w:t>
      </w:r>
    </w:p>
    <w:p w14:paraId="38EC209D"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Investopedia.com. (2019a). Altman Z-Score. Retrieved from https://www.investopedia.com/terms/a/altman.asp</w:t>
      </w:r>
    </w:p>
    <w:p w14:paraId="55AC085E"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Investopedia.com. (2019b). Financial Crisis. Retrieved April 26, 2019, from Investopedia website: https://www.investopedia.com/terms/f/financial-crisis.asp</w:t>
      </w:r>
    </w:p>
    <w:p w14:paraId="43C9D61D"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Irvine, P. J., &amp; Pontiff, J. (2009). Idiosyncratic return volatility, cash flows, and product market competition. </w:t>
      </w:r>
      <w:r w:rsidRPr="002B4AD1">
        <w:rPr>
          <w:i/>
          <w:iCs/>
          <w:noProof/>
        </w:rPr>
        <w:t>Review of Financial Studies</w:t>
      </w:r>
      <w:r w:rsidRPr="002B4AD1">
        <w:rPr>
          <w:noProof/>
        </w:rPr>
        <w:t xml:space="preserve">, </w:t>
      </w:r>
      <w:r w:rsidRPr="002B4AD1">
        <w:rPr>
          <w:i/>
          <w:iCs/>
          <w:noProof/>
        </w:rPr>
        <w:t>22</w:t>
      </w:r>
      <w:r w:rsidRPr="002B4AD1">
        <w:rPr>
          <w:noProof/>
        </w:rPr>
        <w:t>(3), 1149–1177. https://doi.org/10.1093/rfs/hhn039</w:t>
      </w:r>
    </w:p>
    <w:p w14:paraId="3127F9D1"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lastRenderedPageBreak/>
        <w:t xml:space="preserve">Jensen, M. C., &amp; Meckling, W. H. (1976). Theory of the firm: Managerial behavior, agency costs and ownership structure. </w:t>
      </w:r>
      <w:r w:rsidRPr="002B4AD1">
        <w:rPr>
          <w:i/>
          <w:iCs/>
          <w:noProof/>
        </w:rPr>
        <w:t>Journal of Financial Economics</w:t>
      </w:r>
      <w:r w:rsidRPr="002B4AD1">
        <w:rPr>
          <w:noProof/>
        </w:rPr>
        <w:t xml:space="preserve">, </w:t>
      </w:r>
      <w:r w:rsidRPr="002B4AD1">
        <w:rPr>
          <w:i/>
          <w:iCs/>
          <w:noProof/>
        </w:rPr>
        <w:t>3</w:t>
      </w:r>
      <w:r w:rsidRPr="002B4AD1">
        <w:rPr>
          <w:noProof/>
        </w:rPr>
        <w:t>(4), 305–360.</w:t>
      </w:r>
    </w:p>
    <w:p w14:paraId="65A79440"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Jiang, G., Lee, C. M. C., &amp; Zhang, Y. (2005). Information Uncertainty and Expected Returns. </w:t>
      </w:r>
      <w:r w:rsidRPr="002B4AD1">
        <w:rPr>
          <w:i/>
          <w:iCs/>
          <w:noProof/>
        </w:rPr>
        <w:t>Review of Accounting Studies</w:t>
      </w:r>
      <w:r w:rsidRPr="002B4AD1">
        <w:rPr>
          <w:noProof/>
        </w:rPr>
        <w:t xml:space="preserve">, </w:t>
      </w:r>
      <w:r w:rsidRPr="002B4AD1">
        <w:rPr>
          <w:i/>
          <w:iCs/>
          <w:noProof/>
        </w:rPr>
        <w:t>10</w:t>
      </w:r>
      <w:r w:rsidRPr="002B4AD1">
        <w:rPr>
          <w:noProof/>
        </w:rPr>
        <w:t>(2–3), 185–221.</w:t>
      </w:r>
    </w:p>
    <w:p w14:paraId="68EF4678"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Johnston, R., &amp; Petacchi, R. (2017). Regulatory Oversight of Financial Reporting: Securities and Exchange Commission Comment Letters. </w:t>
      </w:r>
      <w:r w:rsidRPr="002B4AD1">
        <w:rPr>
          <w:i/>
          <w:iCs/>
          <w:noProof/>
        </w:rPr>
        <w:t>Contemporary Accounting Research</w:t>
      </w:r>
      <w:r w:rsidRPr="002B4AD1">
        <w:rPr>
          <w:noProof/>
        </w:rPr>
        <w:t xml:space="preserve">, </w:t>
      </w:r>
      <w:r w:rsidRPr="002B4AD1">
        <w:rPr>
          <w:i/>
          <w:iCs/>
          <w:noProof/>
        </w:rPr>
        <w:t>34</w:t>
      </w:r>
      <w:r w:rsidRPr="002B4AD1">
        <w:rPr>
          <w:noProof/>
        </w:rPr>
        <w:t>(2), 1128–1155.</w:t>
      </w:r>
    </w:p>
    <w:p w14:paraId="3E6F6706"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Keating, T. (2012). The JOBS Act: Shifting into Gear and Accelerating Up the IPO On-Ramp. Retrieved from Keating Investments White Paper website: http://www.otcmarkets.com/content/doc/jobsact/keatingWhitepaper.pdf</w:t>
      </w:r>
    </w:p>
    <w:p w14:paraId="52D02D91"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Lang, M., &amp; Lundholm, R. (1993). Cross-Sectional Determinants of Analyst Ratings of Corporate Disclosures. </w:t>
      </w:r>
      <w:r w:rsidRPr="002B4AD1">
        <w:rPr>
          <w:i/>
          <w:iCs/>
          <w:noProof/>
        </w:rPr>
        <w:t>Journal of Accounting Research</w:t>
      </w:r>
      <w:r w:rsidRPr="002B4AD1">
        <w:rPr>
          <w:noProof/>
        </w:rPr>
        <w:t xml:space="preserve">, </w:t>
      </w:r>
      <w:r w:rsidRPr="002B4AD1">
        <w:rPr>
          <w:i/>
          <w:iCs/>
          <w:noProof/>
        </w:rPr>
        <w:t>31</w:t>
      </w:r>
      <w:r w:rsidRPr="002B4AD1">
        <w:rPr>
          <w:noProof/>
        </w:rPr>
        <w:t>(2), 246–271.</w:t>
      </w:r>
    </w:p>
    <w:p w14:paraId="1770EC18"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Leuz, C., &amp; Wysocki, P. (2008). Economic consequences of financial reporting and disclosure regulation: A review and suggestions for future research. </w:t>
      </w:r>
      <w:r w:rsidRPr="002B4AD1">
        <w:rPr>
          <w:i/>
          <w:iCs/>
          <w:noProof/>
        </w:rPr>
        <w:t>The CPA Journal</w:t>
      </w:r>
      <w:r w:rsidRPr="002B4AD1">
        <w:rPr>
          <w:noProof/>
        </w:rPr>
        <w:t xml:space="preserve">, </w:t>
      </w:r>
      <w:r w:rsidRPr="002B4AD1">
        <w:rPr>
          <w:i/>
          <w:iCs/>
          <w:noProof/>
        </w:rPr>
        <w:t>79</w:t>
      </w:r>
      <w:r w:rsidRPr="002B4AD1">
        <w:rPr>
          <w:noProof/>
        </w:rPr>
        <w:t>(10), 24.</w:t>
      </w:r>
    </w:p>
    <w:p w14:paraId="621E1515"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Leuz, Christian, &amp; Wysocki, P. D. (2016). The Economics of Disclosure and Financial Reporting Regulation: Evidence and Suggestions for Future Research. </w:t>
      </w:r>
      <w:r w:rsidRPr="002B4AD1">
        <w:rPr>
          <w:i/>
          <w:iCs/>
          <w:noProof/>
        </w:rPr>
        <w:t>Journal of Accounting Research</w:t>
      </w:r>
      <w:r w:rsidRPr="002B4AD1">
        <w:rPr>
          <w:noProof/>
        </w:rPr>
        <w:t xml:space="preserve">, </w:t>
      </w:r>
      <w:r w:rsidRPr="002B4AD1">
        <w:rPr>
          <w:i/>
          <w:iCs/>
          <w:noProof/>
        </w:rPr>
        <w:t>54</w:t>
      </w:r>
      <w:r w:rsidRPr="002B4AD1">
        <w:rPr>
          <w:noProof/>
        </w:rPr>
        <w:t>(2), 525–622.</w:t>
      </w:r>
    </w:p>
    <w:p w14:paraId="371BA198"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Li, B., &amp; Liu, Z. (2017a). BBThe oversight role of regulators: evidence from SEC comment letters in the BIPO process. </w:t>
      </w:r>
      <w:r w:rsidRPr="002B4AD1">
        <w:rPr>
          <w:i/>
          <w:iCs/>
          <w:noProof/>
        </w:rPr>
        <w:t>Review of Accounting Studies</w:t>
      </w:r>
      <w:r w:rsidRPr="002B4AD1">
        <w:rPr>
          <w:noProof/>
        </w:rPr>
        <w:t xml:space="preserve">, </w:t>
      </w:r>
      <w:r w:rsidRPr="002B4AD1">
        <w:rPr>
          <w:i/>
          <w:iCs/>
          <w:noProof/>
        </w:rPr>
        <w:t>22</w:t>
      </w:r>
      <w:r w:rsidRPr="002B4AD1">
        <w:rPr>
          <w:noProof/>
        </w:rPr>
        <w:t>(3), 1229–1260.</w:t>
      </w:r>
    </w:p>
    <w:p w14:paraId="3A130B5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Li, B., &amp; Liu, Z. (2017b). The oversight role of regulators: evidence from SEC comment letters in the IPO process. </w:t>
      </w:r>
      <w:r w:rsidRPr="002B4AD1">
        <w:rPr>
          <w:i/>
          <w:iCs/>
          <w:noProof/>
        </w:rPr>
        <w:t>Review of Accounting Studies</w:t>
      </w:r>
      <w:r w:rsidRPr="002B4AD1">
        <w:rPr>
          <w:noProof/>
        </w:rPr>
        <w:t xml:space="preserve">, </w:t>
      </w:r>
      <w:r w:rsidRPr="002B4AD1">
        <w:rPr>
          <w:i/>
          <w:iCs/>
          <w:noProof/>
        </w:rPr>
        <w:t>22</w:t>
      </w:r>
      <w:r w:rsidRPr="002B4AD1">
        <w:rPr>
          <w:noProof/>
        </w:rPr>
        <w:t>(3), 1229–1260.</w:t>
      </w:r>
    </w:p>
    <w:p w14:paraId="07A65775"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Loughran, T., &amp; Ritter, J. (2004). Why Has IPO Underpricing Changed Over Time ? </w:t>
      </w:r>
      <w:r w:rsidRPr="002B4AD1">
        <w:rPr>
          <w:i/>
          <w:iCs/>
          <w:noProof/>
        </w:rPr>
        <w:t>Financial Management</w:t>
      </w:r>
      <w:r w:rsidRPr="002B4AD1">
        <w:rPr>
          <w:noProof/>
        </w:rPr>
        <w:t>, 5–37.</w:t>
      </w:r>
    </w:p>
    <w:p w14:paraId="1375D0FD"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McKenney, J., &amp; Keen, P. (1974). How Managers’ Minds Work. </w:t>
      </w:r>
      <w:r w:rsidRPr="002B4AD1">
        <w:rPr>
          <w:i/>
          <w:iCs/>
          <w:noProof/>
        </w:rPr>
        <w:t>Harvard Business Review</w:t>
      </w:r>
      <w:r w:rsidRPr="002B4AD1">
        <w:rPr>
          <w:noProof/>
        </w:rPr>
        <w:t xml:space="preserve">, </w:t>
      </w:r>
      <w:r w:rsidRPr="002B4AD1">
        <w:rPr>
          <w:i/>
          <w:iCs/>
          <w:noProof/>
        </w:rPr>
        <w:t>52</w:t>
      </w:r>
      <w:r w:rsidRPr="002B4AD1">
        <w:rPr>
          <w:noProof/>
        </w:rPr>
        <w:t>(3), 79–90.</w:t>
      </w:r>
    </w:p>
    <w:p w14:paraId="29DF3734"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Mitnick, B. M. (1980). </w:t>
      </w:r>
      <w:r w:rsidRPr="002B4AD1">
        <w:rPr>
          <w:i/>
          <w:iCs/>
          <w:noProof/>
        </w:rPr>
        <w:t>The political economy of regulation</w:t>
      </w:r>
      <w:r w:rsidRPr="002B4AD1">
        <w:rPr>
          <w:noProof/>
        </w:rPr>
        <w:t>. New York: Columbia University Press.</w:t>
      </w:r>
    </w:p>
    <w:p w14:paraId="73558FB1"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Pigou, A. C. (1932). </w:t>
      </w:r>
      <w:r w:rsidRPr="002B4AD1">
        <w:rPr>
          <w:i/>
          <w:iCs/>
          <w:noProof/>
        </w:rPr>
        <w:t>The Economics of Welfare</w:t>
      </w:r>
      <w:r w:rsidRPr="002B4AD1">
        <w:rPr>
          <w:noProof/>
        </w:rPr>
        <w:t>. London: Macmillan and Co.</w:t>
      </w:r>
    </w:p>
    <w:p w14:paraId="34767648"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Posner, R. A. (1974). Theories of economic regulation. </w:t>
      </w:r>
      <w:r w:rsidRPr="002B4AD1">
        <w:rPr>
          <w:i/>
          <w:iCs/>
          <w:noProof/>
        </w:rPr>
        <w:t>Bell Journal of Economics and Management Science</w:t>
      </w:r>
      <w:r w:rsidRPr="002B4AD1">
        <w:rPr>
          <w:noProof/>
        </w:rPr>
        <w:t xml:space="preserve">, </w:t>
      </w:r>
      <w:r w:rsidRPr="002B4AD1">
        <w:rPr>
          <w:i/>
          <w:iCs/>
          <w:noProof/>
        </w:rPr>
        <w:t>5</w:t>
      </w:r>
      <w:r w:rsidRPr="002B4AD1">
        <w:rPr>
          <w:noProof/>
        </w:rPr>
        <w:t>, 335–358.</w:t>
      </w:r>
    </w:p>
    <w:p w14:paraId="3FA48119"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Robinson, J. R., Xue, Y., &amp; Yu, Y. (2011). Determinants of disclosure noncompliance and the effect of the SEC review: Evidence from the 2006 mandated compensation disclosure regulations. </w:t>
      </w:r>
      <w:r w:rsidRPr="002B4AD1">
        <w:rPr>
          <w:i/>
          <w:iCs/>
          <w:noProof/>
        </w:rPr>
        <w:t>Accounting Review</w:t>
      </w:r>
      <w:r w:rsidRPr="002B4AD1">
        <w:rPr>
          <w:noProof/>
        </w:rPr>
        <w:t xml:space="preserve">, </w:t>
      </w:r>
      <w:r w:rsidRPr="002B4AD1">
        <w:rPr>
          <w:i/>
          <w:iCs/>
          <w:noProof/>
        </w:rPr>
        <w:t>86</w:t>
      </w:r>
      <w:r w:rsidRPr="002B4AD1">
        <w:rPr>
          <w:noProof/>
        </w:rPr>
        <w:t>(4), 1415–1444. https://doi.org/10.2308/accr-10033</w:t>
      </w:r>
    </w:p>
    <w:p w14:paraId="24F966DD"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Singhvi, S. S., &amp; Desai, H. B. (1971). An Empirical Analysis of the Quality of Corporate </w:t>
      </w:r>
      <w:r w:rsidRPr="002B4AD1">
        <w:rPr>
          <w:noProof/>
        </w:rPr>
        <w:lastRenderedPageBreak/>
        <w:t xml:space="preserve">Financial Disclosure. </w:t>
      </w:r>
      <w:r w:rsidRPr="002B4AD1">
        <w:rPr>
          <w:i/>
          <w:iCs/>
          <w:noProof/>
        </w:rPr>
        <w:t>The Accounting Review</w:t>
      </w:r>
      <w:r w:rsidRPr="002B4AD1">
        <w:rPr>
          <w:noProof/>
        </w:rPr>
        <w:t xml:space="preserve">, </w:t>
      </w:r>
      <w:r w:rsidRPr="002B4AD1">
        <w:rPr>
          <w:i/>
          <w:iCs/>
          <w:noProof/>
        </w:rPr>
        <w:t>46</w:t>
      </w:r>
      <w:r w:rsidRPr="002B4AD1">
        <w:rPr>
          <w:noProof/>
        </w:rPr>
        <w:t>(1), 129–138.</w:t>
      </w:r>
    </w:p>
    <w:p w14:paraId="0EEBEA67"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Skinner, D. (1994). Why Firms Voluntarily Disclose Bad Business. </w:t>
      </w:r>
      <w:r w:rsidRPr="002B4AD1">
        <w:rPr>
          <w:i/>
          <w:iCs/>
          <w:noProof/>
        </w:rPr>
        <w:t>Journal of Accounting Research</w:t>
      </w:r>
      <w:r w:rsidRPr="002B4AD1">
        <w:rPr>
          <w:noProof/>
        </w:rPr>
        <w:t xml:space="preserve">, </w:t>
      </w:r>
      <w:r w:rsidRPr="002B4AD1">
        <w:rPr>
          <w:i/>
          <w:iCs/>
          <w:noProof/>
        </w:rPr>
        <w:t>32</w:t>
      </w:r>
      <w:r w:rsidRPr="002B4AD1">
        <w:rPr>
          <w:noProof/>
        </w:rPr>
        <w:t>(1), 38–60.</w:t>
      </w:r>
    </w:p>
    <w:p w14:paraId="0B8C3B27"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Stigler, G. J. (1971). The Theory of Economic Regulation. </w:t>
      </w:r>
      <w:r w:rsidRPr="002B4AD1">
        <w:rPr>
          <w:i/>
          <w:iCs/>
          <w:noProof/>
        </w:rPr>
        <w:t>The Bell Journal of Economics and Mangement Science</w:t>
      </w:r>
      <w:r w:rsidRPr="002B4AD1">
        <w:rPr>
          <w:noProof/>
        </w:rPr>
        <w:t xml:space="preserve">, </w:t>
      </w:r>
      <w:r w:rsidRPr="002B4AD1">
        <w:rPr>
          <w:i/>
          <w:iCs/>
          <w:noProof/>
        </w:rPr>
        <w:t>2</w:t>
      </w:r>
      <w:r w:rsidRPr="002B4AD1">
        <w:rPr>
          <w:noProof/>
        </w:rPr>
        <w:t>(1), 3–21.</w:t>
      </w:r>
    </w:p>
    <w:p w14:paraId="1DC5F075"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Tan, T., &amp; Netessine, S. (2014). When Does the Devil Make Work? An Empirical Study of the Impact of Workload on Worker Productivity. </w:t>
      </w:r>
      <w:r w:rsidRPr="002B4AD1">
        <w:rPr>
          <w:i/>
          <w:iCs/>
          <w:noProof/>
        </w:rPr>
        <w:t>Management Science</w:t>
      </w:r>
      <w:r w:rsidRPr="002B4AD1">
        <w:rPr>
          <w:noProof/>
        </w:rPr>
        <w:t xml:space="preserve">, </w:t>
      </w:r>
      <w:r w:rsidRPr="002B4AD1">
        <w:rPr>
          <w:i/>
          <w:iCs/>
          <w:noProof/>
        </w:rPr>
        <w:t>60</w:t>
      </w:r>
      <w:r w:rsidRPr="002B4AD1">
        <w:rPr>
          <w:noProof/>
        </w:rPr>
        <w:t>(6), 1574–1593. https://doi.org/10.1287/mnsc.2014.1950</w:t>
      </w:r>
    </w:p>
    <w:p w14:paraId="4DA66F33"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Teoh, S.H., Wong, T. J., &amp; Rao, G. R. (1998). Are accruals during initial public offerings opportunistic? </w:t>
      </w:r>
      <w:r w:rsidRPr="002B4AD1">
        <w:rPr>
          <w:i/>
          <w:iCs/>
          <w:noProof/>
        </w:rPr>
        <w:t>Review of Accounting Studies</w:t>
      </w:r>
      <w:r w:rsidRPr="002B4AD1">
        <w:rPr>
          <w:noProof/>
        </w:rPr>
        <w:t xml:space="preserve">, </w:t>
      </w:r>
      <w:r w:rsidRPr="002B4AD1">
        <w:rPr>
          <w:i/>
          <w:iCs/>
          <w:noProof/>
        </w:rPr>
        <w:t>3</w:t>
      </w:r>
      <w:r w:rsidRPr="002B4AD1">
        <w:rPr>
          <w:noProof/>
        </w:rPr>
        <w:t>(1/2), 175–208.</w:t>
      </w:r>
    </w:p>
    <w:p w14:paraId="0504E84C"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Teoh, Siew Hong, Welch, I., &amp; Wong, T. J. (1998). Earnings Management and the Long-Run Market Performance of Initial Public Offerings. </w:t>
      </w:r>
      <w:r w:rsidRPr="002B4AD1">
        <w:rPr>
          <w:i/>
          <w:iCs/>
          <w:noProof/>
        </w:rPr>
        <w:t>The Journal of Finance</w:t>
      </w:r>
      <w:r w:rsidRPr="002B4AD1">
        <w:rPr>
          <w:noProof/>
        </w:rPr>
        <w:t xml:space="preserve">, </w:t>
      </w:r>
      <w:r w:rsidRPr="002B4AD1">
        <w:rPr>
          <w:i/>
          <w:iCs/>
          <w:noProof/>
        </w:rPr>
        <w:t>53</w:t>
      </w:r>
      <w:r w:rsidRPr="002B4AD1">
        <w:rPr>
          <w:noProof/>
        </w:rPr>
        <w:t>(6), 1935–1974.</w:t>
      </w:r>
    </w:p>
    <w:p w14:paraId="28506D40"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Wang, Q. (2016). J . Account . Public Policy Determinants of segment disclosure deficiencies and the effect of the SEC comment letter process q. </w:t>
      </w:r>
      <w:r w:rsidRPr="002B4AD1">
        <w:rPr>
          <w:i/>
          <w:iCs/>
          <w:noProof/>
        </w:rPr>
        <w:t>Journal of Accounting and Public Policy</w:t>
      </w:r>
      <w:r w:rsidRPr="002B4AD1">
        <w:rPr>
          <w:noProof/>
        </w:rPr>
        <w:t xml:space="preserve">, </w:t>
      </w:r>
      <w:r w:rsidRPr="002B4AD1">
        <w:rPr>
          <w:i/>
          <w:iCs/>
          <w:noProof/>
        </w:rPr>
        <w:t>35</w:t>
      </w:r>
      <w:r w:rsidRPr="002B4AD1">
        <w:rPr>
          <w:noProof/>
        </w:rPr>
        <w:t>(2), 109–133. https://doi.org/10.1016/j.jaccpubpol.2015.11.005</w:t>
      </w:r>
    </w:p>
    <w:p w14:paraId="307BE839"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Watts, R. L., &amp; Zimmerman, J. L. (1978). Towards a Positive Theory of the Determination of Accounting Standards. </w:t>
      </w:r>
      <w:r w:rsidRPr="002B4AD1">
        <w:rPr>
          <w:i/>
          <w:iCs/>
          <w:noProof/>
        </w:rPr>
        <w:t>The Accounting Review</w:t>
      </w:r>
      <w:r w:rsidRPr="002B4AD1">
        <w:rPr>
          <w:noProof/>
        </w:rPr>
        <w:t xml:space="preserve">, </w:t>
      </w:r>
      <w:r w:rsidRPr="002B4AD1">
        <w:rPr>
          <w:i/>
          <w:iCs/>
          <w:noProof/>
        </w:rPr>
        <w:t>53</w:t>
      </w:r>
      <w:r w:rsidRPr="002B4AD1">
        <w:rPr>
          <w:noProof/>
        </w:rPr>
        <w:t>(I), 112–134. https://doi.org/10.2307/245729</w:t>
      </w:r>
    </w:p>
    <w:p w14:paraId="1C88A07C"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Watts, R., &amp; Zimmerman, J. (1986). </w:t>
      </w:r>
      <w:r w:rsidRPr="002B4AD1">
        <w:rPr>
          <w:i/>
          <w:iCs/>
          <w:noProof/>
        </w:rPr>
        <w:t>Positive Accounting Theory</w:t>
      </w:r>
      <w:r w:rsidRPr="002B4AD1">
        <w:rPr>
          <w:noProof/>
        </w:rPr>
        <w:t>. Englewood Cliffs, NJ: Prentice-Hall.</w:t>
      </w:r>
    </w:p>
    <w:p w14:paraId="40817D5A"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WilmerHale. (2011). 2011 IPO Report. </w:t>
      </w:r>
      <w:r w:rsidRPr="002B4AD1">
        <w:rPr>
          <w:i/>
          <w:iCs/>
          <w:noProof/>
        </w:rPr>
        <w:t>Wilmer Cutler Pickering Hale And Dorr LLP</w:t>
      </w:r>
      <w:r w:rsidRPr="002B4AD1">
        <w:rPr>
          <w:noProof/>
        </w:rPr>
        <w:t>. Retrieved from www.wilmerhale.com/2011IPOreport</w:t>
      </w:r>
    </w:p>
    <w:p w14:paraId="42B2CA66"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WilmerHale. (2015). 2015 IPO Report. </w:t>
      </w:r>
      <w:r w:rsidRPr="002B4AD1">
        <w:rPr>
          <w:i/>
          <w:iCs/>
          <w:noProof/>
        </w:rPr>
        <w:t>WilmerHale IPO Report</w:t>
      </w:r>
      <w:r w:rsidRPr="002B4AD1">
        <w:rPr>
          <w:noProof/>
        </w:rPr>
        <w:t>, 26.</w:t>
      </w:r>
    </w:p>
    <w:p w14:paraId="600B89B0" w14:textId="77777777" w:rsidR="002B4AD1" w:rsidRPr="002B4AD1" w:rsidRDefault="002B4AD1" w:rsidP="002B4AD1">
      <w:pPr>
        <w:widowControl w:val="0"/>
        <w:autoSpaceDE w:val="0"/>
        <w:autoSpaceDN w:val="0"/>
        <w:adjustRightInd w:val="0"/>
        <w:spacing w:line="360" w:lineRule="auto"/>
        <w:ind w:left="480" w:hanging="480"/>
        <w:rPr>
          <w:noProof/>
        </w:rPr>
      </w:pPr>
      <w:r w:rsidRPr="002B4AD1">
        <w:rPr>
          <w:noProof/>
        </w:rPr>
        <w:t xml:space="preserve">Zhang, X. F. (2006). Information Uncertainty and Stock Returns. </w:t>
      </w:r>
      <w:r w:rsidRPr="002B4AD1">
        <w:rPr>
          <w:i/>
          <w:iCs/>
          <w:noProof/>
        </w:rPr>
        <w:t>The Journal of Finance</w:t>
      </w:r>
      <w:r w:rsidRPr="002B4AD1">
        <w:rPr>
          <w:noProof/>
        </w:rPr>
        <w:t xml:space="preserve">, </w:t>
      </w:r>
      <w:r w:rsidRPr="002B4AD1">
        <w:rPr>
          <w:i/>
          <w:iCs/>
          <w:noProof/>
        </w:rPr>
        <w:t>61</w:t>
      </w:r>
      <w:r w:rsidRPr="002B4AD1">
        <w:rPr>
          <w:noProof/>
        </w:rPr>
        <w:t>(1), 105–137.</w:t>
      </w:r>
    </w:p>
    <w:p w14:paraId="543702B5" w14:textId="39A7D89D" w:rsidR="00190D1E" w:rsidRPr="00190D1E" w:rsidRDefault="008D33BB" w:rsidP="00190D1E">
      <w:pPr>
        <w:spacing w:line="360" w:lineRule="auto"/>
        <w:jc w:val="both"/>
        <w:rPr>
          <w:lang w:eastAsia="en-US"/>
        </w:rPr>
      </w:pPr>
      <w:r w:rsidRPr="000912EF">
        <w:rPr>
          <w:lang w:eastAsia="en-US"/>
        </w:rPr>
        <w:fldChar w:fldCharType="end"/>
      </w:r>
    </w:p>
    <w:p w14:paraId="3E467C29" w14:textId="77777777" w:rsidR="007F6190" w:rsidRDefault="007F6190" w:rsidP="00D94396">
      <w:pPr>
        <w:spacing w:line="360" w:lineRule="auto"/>
        <w:jc w:val="both"/>
        <w:rPr>
          <w:b/>
          <w:color w:val="000000" w:themeColor="text1"/>
        </w:rPr>
        <w:sectPr w:rsidR="007F6190" w:rsidSect="006076D6">
          <w:headerReference w:type="default" r:id="rId9"/>
          <w:footerReference w:type="default" r:id="rId10"/>
          <w:pgSz w:w="11906" w:h="16838"/>
          <w:pgMar w:top="1440" w:right="1440" w:bottom="1440" w:left="1276" w:header="708" w:footer="708" w:gutter="0"/>
          <w:cols w:space="708"/>
          <w:docGrid w:linePitch="360"/>
        </w:sectPr>
      </w:pPr>
      <w:bookmarkStart w:id="51" w:name="_Toc7375491"/>
    </w:p>
    <w:p w14:paraId="75AF6209" w14:textId="331B287B" w:rsidR="00D94396" w:rsidRPr="00272C69" w:rsidRDefault="00D94396" w:rsidP="00D94396">
      <w:pPr>
        <w:spacing w:line="360" w:lineRule="auto"/>
        <w:jc w:val="both"/>
        <w:rPr>
          <w:lang w:eastAsia="en-US"/>
        </w:rPr>
      </w:pPr>
      <w:r w:rsidRPr="00272C69">
        <w:rPr>
          <w:b/>
          <w:color w:val="000000" w:themeColor="text1"/>
        </w:rPr>
        <w:lastRenderedPageBreak/>
        <w:t xml:space="preserve">Table </w:t>
      </w:r>
      <w:r w:rsidRPr="00272C69">
        <w:rPr>
          <w:b/>
          <w:color w:val="000000" w:themeColor="text1"/>
        </w:rPr>
        <w:fldChar w:fldCharType="begin"/>
      </w:r>
      <w:r w:rsidRPr="00272C69">
        <w:rPr>
          <w:b/>
          <w:color w:val="000000" w:themeColor="text1"/>
        </w:rPr>
        <w:instrText xml:space="preserve"> SEQ Table \* ARABIC </w:instrText>
      </w:r>
      <w:r w:rsidRPr="00272C69">
        <w:rPr>
          <w:b/>
          <w:color w:val="000000" w:themeColor="text1"/>
        </w:rPr>
        <w:fldChar w:fldCharType="separate"/>
      </w:r>
      <w:r w:rsidR="007B5AFB">
        <w:rPr>
          <w:b/>
          <w:noProof/>
          <w:color w:val="000000" w:themeColor="text1"/>
        </w:rPr>
        <w:t>1</w:t>
      </w:r>
      <w:r w:rsidRPr="00272C69">
        <w:rPr>
          <w:b/>
          <w:color w:val="000000" w:themeColor="text1"/>
        </w:rPr>
        <w:fldChar w:fldCharType="end"/>
      </w:r>
      <w:r w:rsidRPr="00272C69">
        <w:rPr>
          <w:b/>
          <w:color w:val="000000" w:themeColor="text1"/>
        </w:rPr>
        <w:t>. Sample selection</w:t>
      </w:r>
      <w:bookmarkEnd w:id="51"/>
    </w:p>
    <w:tbl>
      <w:tblPr>
        <w:tblW w:w="8930" w:type="dxa"/>
        <w:tblLook w:val="04A0" w:firstRow="1" w:lastRow="0" w:firstColumn="1" w:lastColumn="0" w:noHBand="0" w:noVBand="1"/>
      </w:tblPr>
      <w:tblGrid>
        <w:gridCol w:w="7513"/>
        <w:gridCol w:w="1417"/>
      </w:tblGrid>
      <w:tr w:rsidR="00D94396" w:rsidRPr="000912EF" w14:paraId="17363F9D" w14:textId="77777777" w:rsidTr="00583CE2">
        <w:trPr>
          <w:trHeight w:val="300"/>
        </w:trPr>
        <w:tc>
          <w:tcPr>
            <w:tcW w:w="7513" w:type="dxa"/>
            <w:tcBorders>
              <w:top w:val="single" w:sz="4" w:space="0" w:color="auto"/>
              <w:left w:val="nil"/>
              <w:bottom w:val="nil"/>
              <w:right w:val="nil"/>
            </w:tcBorders>
            <w:shd w:val="clear" w:color="auto" w:fill="auto"/>
            <w:vAlign w:val="bottom"/>
            <w:hideMark/>
          </w:tcPr>
          <w:p w14:paraId="6450DAE5"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417" w:type="dxa"/>
            <w:tcBorders>
              <w:top w:val="single" w:sz="4" w:space="0" w:color="auto"/>
              <w:left w:val="nil"/>
              <w:bottom w:val="single" w:sz="4" w:space="0" w:color="auto"/>
              <w:right w:val="nil"/>
            </w:tcBorders>
            <w:shd w:val="clear" w:color="auto" w:fill="auto"/>
            <w:noWrap/>
            <w:vAlign w:val="bottom"/>
            <w:hideMark/>
          </w:tcPr>
          <w:p w14:paraId="0CEA6520" w14:textId="77777777" w:rsidR="00D94396" w:rsidRPr="000912EF" w:rsidRDefault="00D94396" w:rsidP="00583CE2">
            <w:pPr>
              <w:jc w:val="center"/>
              <w:rPr>
                <w:rFonts w:eastAsia="Times New Roman"/>
                <w:b/>
                <w:color w:val="000000"/>
                <w:sz w:val="22"/>
                <w:szCs w:val="22"/>
              </w:rPr>
            </w:pPr>
            <w:r w:rsidRPr="000912EF">
              <w:rPr>
                <w:rFonts w:eastAsia="Times New Roman"/>
                <w:b/>
                <w:color w:val="000000"/>
                <w:sz w:val="22"/>
                <w:szCs w:val="22"/>
              </w:rPr>
              <w:t>Number of IPOs</w:t>
            </w:r>
          </w:p>
        </w:tc>
      </w:tr>
      <w:tr w:rsidR="00D94396" w:rsidRPr="000912EF" w14:paraId="27F35615" w14:textId="77777777" w:rsidTr="00583CE2">
        <w:trPr>
          <w:trHeight w:val="1098"/>
        </w:trPr>
        <w:tc>
          <w:tcPr>
            <w:tcW w:w="7513" w:type="dxa"/>
            <w:tcBorders>
              <w:top w:val="nil"/>
              <w:left w:val="nil"/>
              <w:bottom w:val="single" w:sz="4" w:space="0" w:color="auto"/>
              <w:right w:val="nil"/>
            </w:tcBorders>
            <w:shd w:val="clear" w:color="auto" w:fill="auto"/>
            <w:vAlign w:val="center"/>
            <w:hideMark/>
          </w:tcPr>
          <w:p w14:paraId="17332C59" w14:textId="44B57390" w:rsidR="00D94396" w:rsidRPr="000912EF" w:rsidRDefault="00D94396" w:rsidP="00733ED4">
            <w:pPr>
              <w:rPr>
                <w:rFonts w:eastAsia="Times New Roman"/>
                <w:b/>
                <w:color w:val="000000"/>
                <w:sz w:val="22"/>
                <w:szCs w:val="22"/>
              </w:rPr>
            </w:pPr>
            <w:r w:rsidRPr="000912EF">
              <w:rPr>
                <w:rFonts w:eastAsia="Times New Roman"/>
                <w:b/>
                <w:color w:val="000000"/>
                <w:sz w:val="22"/>
                <w:szCs w:val="22"/>
              </w:rPr>
              <w:t xml:space="preserve">U.S. IPOs (on </w:t>
            </w:r>
            <w:proofErr w:type="gramStart"/>
            <w:r w:rsidRPr="000912EF">
              <w:rPr>
                <w:rFonts w:eastAsia="Times New Roman"/>
                <w:b/>
                <w:color w:val="000000"/>
                <w:sz w:val="22"/>
                <w:szCs w:val="22"/>
              </w:rPr>
              <w:t>NASDAQ,  NYSE</w:t>
            </w:r>
            <w:proofErr w:type="gramEnd"/>
            <w:r w:rsidRPr="000912EF">
              <w:rPr>
                <w:rFonts w:eastAsia="Times New Roman"/>
                <w:b/>
                <w:color w:val="000000"/>
                <w:sz w:val="22"/>
                <w:szCs w:val="22"/>
              </w:rPr>
              <w:t>, AMEX) from 12/05/20</w:t>
            </w:r>
            <w:r w:rsidR="00733ED4">
              <w:rPr>
                <w:rFonts w:eastAsia="Times New Roman"/>
                <w:b/>
                <w:color w:val="000000"/>
                <w:sz w:val="22"/>
                <w:szCs w:val="22"/>
              </w:rPr>
              <w:t>05</w:t>
            </w:r>
            <w:r w:rsidRPr="000912EF">
              <w:rPr>
                <w:rFonts w:eastAsia="Times New Roman"/>
                <w:b/>
                <w:color w:val="000000"/>
                <w:sz w:val="22"/>
                <w:szCs w:val="22"/>
              </w:rPr>
              <w:t xml:space="preserve"> to 31/12/2017 collected from Thomson Eikon</w:t>
            </w:r>
          </w:p>
        </w:tc>
        <w:tc>
          <w:tcPr>
            <w:tcW w:w="1417" w:type="dxa"/>
            <w:tcBorders>
              <w:top w:val="nil"/>
              <w:left w:val="nil"/>
              <w:bottom w:val="single" w:sz="4" w:space="0" w:color="auto"/>
              <w:right w:val="nil"/>
            </w:tcBorders>
            <w:shd w:val="clear" w:color="auto" w:fill="auto"/>
            <w:vAlign w:val="center"/>
            <w:hideMark/>
          </w:tcPr>
          <w:p w14:paraId="213922A8"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3525</w:t>
            </w:r>
          </w:p>
        </w:tc>
      </w:tr>
      <w:tr w:rsidR="00D94396" w:rsidRPr="000912EF" w14:paraId="327C3AC2" w14:textId="77777777" w:rsidTr="00583CE2">
        <w:trPr>
          <w:trHeight w:val="405"/>
        </w:trPr>
        <w:tc>
          <w:tcPr>
            <w:tcW w:w="7513" w:type="dxa"/>
            <w:tcBorders>
              <w:top w:val="nil"/>
              <w:left w:val="nil"/>
              <w:bottom w:val="nil"/>
              <w:right w:val="nil"/>
            </w:tcBorders>
            <w:shd w:val="clear" w:color="auto" w:fill="auto"/>
            <w:vAlign w:val="center"/>
            <w:hideMark/>
          </w:tcPr>
          <w:p w14:paraId="3D3A2F4F" w14:textId="77777777" w:rsidR="00D94396" w:rsidRPr="000912EF" w:rsidRDefault="00D94396" w:rsidP="00583CE2">
            <w:pPr>
              <w:rPr>
                <w:rFonts w:eastAsia="Times New Roman"/>
                <w:i/>
                <w:iCs/>
                <w:color w:val="000000"/>
                <w:sz w:val="22"/>
                <w:szCs w:val="22"/>
              </w:rPr>
            </w:pPr>
            <w:r w:rsidRPr="000912EF">
              <w:rPr>
                <w:rFonts w:eastAsia="Times New Roman"/>
                <w:i/>
                <w:iCs/>
                <w:color w:val="000000"/>
                <w:sz w:val="22"/>
                <w:szCs w:val="22"/>
              </w:rPr>
              <w:t>Less: IPOs with offering price less than 5$ per share (data from Thomson Eikon)</w:t>
            </w:r>
          </w:p>
        </w:tc>
        <w:tc>
          <w:tcPr>
            <w:tcW w:w="1417" w:type="dxa"/>
            <w:tcBorders>
              <w:top w:val="nil"/>
              <w:left w:val="nil"/>
              <w:bottom w:val="nil"/>
              <w:right w:val="nil"/>
            </w:tcBorders>
            <w:shd w:val="clear" w:color="auto" w:fill="auto"/>
            <w:noWrap/>
            <w:vAlign w:val="center"/>
            <w:hideMark/>
          </w:tcPr>
          <w:p w14:paraId="7C35AEB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(1,202)</w:t>
            </w:r>
          </w:p>
        </w:tc>
      </w:tr>
      <w:tr w:rsidR="00D94396" w:rsidRPr="000912EF" w14:paraId="1D7B97C9" w14:textId="77777777" w:rsidTr="00583CE2">
        <w:trPr>
          <w:trHeight w:val="435"/>
        </w:trPr>
        <w:tc>
          <w:tcPr>
            <w:tcW w:w="7513" w:type="dxa"/>
            <w:tcBorders>
              <w:top w:val="nil"/>
              <w:left w:val="nil"/>
              <w:bottom w:val="nil"/>
              <w:right w:val="nil"/>
            </w:tcBorders>
            <w:shd w:val="clear" w:color="auto" w:fill="auto"/>
            <w:vAlign w:val="center"/>
            <w:hideMark/>
          </w:tcPr>
          <w:p w14:paraId="62E6F89F" w14:textId="77777777" w:rsidR="00D94396" w:rsidRPr="000912EF" w:rsidRDefault="00D94396" w:rsidP="00583CE2">
            <w:pPr>
              <w:rPr>
                <w:rFonts w:eastAsia="Times New Roman"/>
                <w:i/>
                <w:iCs/>
                <w:color w:val="000000"/>
                <w:sz w:val="22"/>
                <w:szCs w:val="22"/>
              </w:rPr>
            </w:pPr>
            <w:r w:rsidRPr="000912EF">
              <w:rPr>
                <w:rFonts w:eastAsia="Times New Roman"/>
                <w:i/>
                <w:iCs/>
                <w:color w:val="000000"/>
                <w:sz w:val="22"/>
                <w:szCs w:val="22"/>
              </w:rPr>
              <w:t xml:space="preserve">Less: Simultaneous </w:t>
            </w:r>
            <w:proofErr w:type="gramStart"/>
            <w:r w:rsidRPr="000912EF">
              <w:rPr>
                <w:rFonts w:eastAsia="Times New Roman"/>
                <w:i/>
                <w:iCs/>
                <w:color w:val="000000"/>
                <w:sz w:val="22"/>
                <w:szCs w:val="22"/>
              </w:rPr>
              <w:t>offerings  (</w:t>
            </w:r>
            <w:proofErr w:type="gramEnd"/>
            <w:r w:rsidRPr="000912EF">
              <w:rPr>
                <w:rFonts w:eastAsia="Times New Roman"/>
                <w:i/>
                <w:iCs/>
                <w:color w:val="000000"/>
                <w:sz w:val="22"/>
                <w:szCs w:val="22"/>
              </w:rPr>
              <w:t>data from Thomson Eikon)</w:t>
            </w:r>
          </w:p>
        </w:tc>
        <w:tc>
          <w:tcPr>
            <w:tcW w:w="1417" w:type="dxa"/>
            <w:tcBorders>
              <w:top w:val="nil"/>
              <w:left w:val="nil"/>
              <w:bottom w:val="nil"/>
              <w:right w:val="nil"/>
            </w:tcBorders>
            <w:shd w:val="clear" w:color="auto" w:fill="auto"/>
            <w:noWrap/>
            <w:vAlign w:val="center"/>
            <w:hideMark/>
          </w:tcPr>
          <w:p w14:paraId="51DCC4E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(56)</w:t>
            </w:r>
          </w:p>
        </w:tc>
      </w:tr>
      <w:tr w:rsidR="00D94396" w:rsidRPr="000912EF" w14:paraId="7DAB051A" w14:textId="77777777" w:rsidTr="00583CE2">
        <w:trPr>
          <w:trHeight w:val="450"/>
        </w:trPr>
        <w:tc>
          <w:tcPr>
            <w:tcW w:w="7513" w:type="dxa"/>
            <w:tcBorders>
              <w:top w:val="nil"/>
              <w:left w:val="nil"/>
              <w:bottom w:val="nil"/>
              <w:right w:val="nil"/>
            </w:tcBorders>
            <w:shd w:val="clear" w:color="auto" w:fill="auto"/>
            <w:vAlign w:val="center"/>
            <w:hideMark/>
          </w:tcPr>
          <w:p w14:paraId="297AABC6" w14:textId="77777777" w:rsidR="00D94396" w:rsidRPr="000912EF" w:rsidRDefault="00D94396" w:rsidP="00583CE2">
            <w:pPr>
              <w:rPr>
                <w:rFonts w:eastAsia="Times New Roman"/>
                <w:i/>
                <w:iCs/>
                <w:color w:val="000000"/>
                <w:sz w:val="22"/>
                <w:szCs w:val="22"/>
              </w:rPr>
            </w:pPr>
            <w:r w:rsidRPr="000912EF">
              <w:rPr>
                <w:rFonts w:eastAsia="Times New Roman"/>
                <w:i/>
                <w:iCs/>
                <w:color w:val="000000"/>
                <w:sz w:val="22"/>
                <w:szCs w:val="22"/>
              </w:rPr>
              <w:t xml:space="preserve">Less: Unit </w:t>
            </w:r>
            <w:proofErr w:type="gramStart"/>
            <w:r w:rsidRPr="000912EF">
              <w:rPr>
                <w:rFonts w:eastAsia="Times New Roman"/>
                <w:i/>
                <w:iCs/>
                <w:color w:val="000000"/>
                <w:sz w:val="22"/>
                <w:szCs w:val="22"/>
              </w:rPr>
              <w:t>offerings  (</w:t>
            </w:r>
            <w:proofErr w:type="gramEnd"/>
            <w:r w:rsidRPr="000912EF">
              <w:rPr>
                <w:rFonts w:eastAsia="Times New Roman"/>
                <w:i/>
                <w:iCs/>
                <w:color w:val="000000"/>
                <w:sz w:val="22"/>
                <w:szCs w:val="22"/>
              </w:rPr>
              <w:t>data from Thomson Eikon)</w:t>
            </w:r>
          </w:p>
        </w:tc>
        <w:tc>
          <w:tcPr>
            <w:tcW w:w="1417" w:type="dxa"/>
            <w:tcBorders>
              <w:top w:val="nil"/>
              <w:left w:val="nil"/>
              <w:bottom w:val="nil"/>
              <w:right w:val="nil"/>
            </w:tcBorders>
            <w:shd w:val="clear" w:color="auto" w:fill="auto"/>
            <w:noWrap/>
            <w:vAlign w:val="center"/>
            <w:hideMark/>
          </w:tcPr>
          <w:p w14:paraId="621C95C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xml:space="preserve">0 </w:t>
            </w:r>
          </w:p>
        </w:tc>
      </w:tr>
      <w:tr w:rsidR="00D94396" w:rsidRPr="000912EF" w14:paraId="057CB49B" w14:textId="77777777" w:rsidTr="00583CE2">
        <w:trPr>
          <w:trHeight w:val="480"/>
        </w:trPr>
        <w:tc>
          <w:tcPr>
            <w:tcW w:w="7513" w:type="dxa"/>
            <w:tcBorders>
              <w:top w:val="nil"/>
              <w:left w:val="nil"/>
              <w:bottom w:val="nil"/>
              <w:right w:val="nil"/>
            </w:tcBorders>
            <w:shd w:val="clear" w:color="auto" w:fill="auto"/>
            <w:vAlign w:val="center"/>
            <w:hideMark/>
          </w:tcPr>
          <w:p w14:paraId="24EFA26B" w14:textId="77777777" w:rsidR="00D94396" w:rsidRPr="000912EF" w:rsidRDefault="00D94396" w:rsidP="00583CE2">
            <w:pPr>
              <w:rPr>
                <w:rFonts w:eastAsia="Times New Roman"/>
                <w:i/>
                <w:iCs/>
                <w:color w:val="000000"/>
                <w:sz w:val="22"/>
                <w:szCs w:val="22"/>
              </w:rPr>
            </w:pPr>
            <w:r w:rsidRPr="000912EF">
              <w:rPr>
                <w:rFonts w:eastAsia="Times New Roman"/>
                <w:i/>
                <w:iCs/>
                <w:color w:val="000000"/>
                <w:sz w:val="22"/>
                <w:szCs w:val="22"/>
              </w:rPr>
              <w:t xml:space="preserve">Less: American Depository Receipts and other financial </w:t>
            </w:r>
            <w:proofErr w:type="gramStart"/>
            <w:r w:rsidRPr="000912EF">
              <w:rPr>
                <w:rFonts w:eastAsia="Times New Roman"/>
                <w:i/>
                <w:iCs/>
                <w:color w:val="000000"/>
                <w:sz w:val="22"/>
                <w:szCs w:val="22"/>
              </w:rPr>
              <w:t>firms  (</w:t>
            </w:r>
            <w:proofErr w:type="gramEnd"/>
            <w:r w:rsidRPr="000912EF">
              <w:rPr>
                <w:rFonts w:eastAsia="Times New Roman"/>
                <w:i/>
                <w:iCs/>
                <w:color w:val="000000"/>
                <w:sz w:val="22"/>
                <w:szCs w:val="22"/>
              </w:rPr>
              <w:t>data from Thomson Eikon)</w:t>
            </w:r>
          </w:p>
        </w:tc>
        <w:tc>
          <w:tcPr>
            <w:tcW w:w="1417" w:type="dxa"/>
            <w:tcBorders>
              <w:top w:val="nil"/>
              <w:left w:val="nil"/>
              <w:bottom w:val="nil"/>
              <w:right w:val="nil"/>
            </w:tcBorders>
            <w:shd w:val="clear" w:color="auto" w:fill="auto"/>
            <w:noWrap/>
            <w:vAlign w:val="center"/>
            <w:hideMark/>
          </w:tcPr>
          <w:p w14:paraId="1836B2F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(733)</w:t>
            </w:r>
          </w:p>
        </w:tc>
      </w:tr>
      <w:tr w:rsidR="00D94396" w:rsidRPr="000912EF" w14:paraId="0F043B51" w14:textId="77777777" w:rsidTr="00583CE2">
        <w:trPr>
          <w:trHeight w:val="585"/>
        </w:trPr>
        <w:tc>
          <w:tcPr>
            <w:tcW w:w="7513" w:type="dxa"/>
            <w:tcBorders>
              <w:top w:val="nil"/>
              <w:left w:val="nil"/>
              <w:bottom w:val="nil"/>
              <w:right w:val="nil"/>
            </w:tcBorders>
            <w:shd w:val="clear" w:color="auto" w:fill="auto"/>
            <w:vAlign w:val="center"/>
            <w:hideMark/>
          </w:tcPr>
          <w:p w14:paraId="1C294FFD" w14:textId="77777777" w:rsidR="00D94396" w:rsidRPr="000912EF" w:rsidRDefault="00D94396" w:rsidP="00583CE2">
            <w:pPr>
              <w:rPr>
                <w:rFonts w:eastAsia="Times New Roman"/>
                <w:i/>
                <w:iCs/>
                <w:color w:val="000000"/>
                <w:sz w:val="22"/>
                <w:szCs w:val="22"/>
              </w:rPr>
            </w:pPr>
            <w:r w:rsidRPr="000912EF">
              <w:rPr>
                <w:rFonts w:eastAsia="Times New Roman"/>
                <w:i/>
                <w:iCs/>
                <w:color w:val="000000"/>
                <w:sz w:val="22"/>
                <w:szCs w:val="22"/>
              </w:rPr>
              <w:t xml:space="preserve">Less: IPOs do not offer common </w:t>
            </w:r>
            <w:proofErr w:type="gramStart"/>
            <w:r w:rsidRPr="000912EF">
              <w:rPr>
                <w:rFonts w:eastAsia="Times New Roman"/>
                <w:i/>
                <w:iCs/>
                <w:color w:val="000000"/>
                <w:sz w:val="22"/>
                <w:szCs w:val="22"/>
              </w:rPr>
              <w:t>shares  (</w:t>
            </w:r>
            <w:proofErr w:type="gramEnd"/>
            <w:r w:rsidRPr="000912EF">
              <w:rPr>
                <w:rFonts w:eastAsia="Times New Roman"/>
                <w:i/>
                <w:iCs/>
                <w:color w:val="000000"/>
                <w:sz w:val="22"/>
                <w:szCs w:val="22"/>
              </w:rPr>
              <w:t>data from Thomson Eikon)</w:t>
            </w:r>
          </w:p>
        </w:tc>
        <w:tc>
          <w:tcPr>
            <w:tcW w:w="1417" w:type="dxa"/>
            <w:tcBorders>
              <w:top w:val="nil"/>
              <w:left w:val="nil"/>
              <w:bottom w:val="nil"/>
              <w:right w:val="nil"/>
            </w:tcBorders>
            <w:shd w:val="clear" w:color="auto" w:fill="auto"/>
            <w:noWrap/>
            <w:vAlign w:val="center"/>
            <w:hideMark/>
          </w:tcPr>
          <w:p w14:paraId="77EE60C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(532)</w:t>
            </w:r>
          </w:p>
        </w:tc>
      </w:tr>
      <w:tr w:rsidR="00D94396" w:rsidRPr="000912EF" w14:paraId="0BFA6C3A" w14:textId="77777777" w:rsidTr="00583CE2">
        <w:trPr>
          <w:trHeight w:val="510"/>
        </w:trPr>
        <w:tc>
          <w:tcPr>
            <w:tcW w:w="7513" w:type="dxa"/>
            <w:tcBorders>
              <w:top w:val="nil"/>
              <w:left w:val="nil"/>
              <w:bottom w:val="single" w:sz="4" w:space="0" w:color="auto"/>
              <w:right w:val="nil"/>
            </w:tcBorders>
            <w:shd w:val="clear" w:color="auto" w:fill="auto"/>
            <w:vAlign w:val="center"/>
            <w:hideMark/>
          </w:tcPr>
          <w:p w14:paraId="306457BC" w14:textId="77777777" w:rsidR="00D94396" w:rsidRPr="000912EF" w:rsidRDefault="00D94396" w:rsidP="00583CE2">
            <w:pPr>
              <w:rPr>
                <w:rFonts w:eastAsia="Times New Roman"/>
                <w:i/>
                <w:iCs/>
                <w:color w:val="000000"/>
                <w:sz w:val="22"/>
                <w:szCs w:val="22"/>
              </w:rPr>
            </w:pPr>
            <w:r w:rsidRPr="000912EF">
              <w:rPr>
                <w:rFonts w:eastAsia="Times New Roman"/>
                <w:i/>
                <w:iCs/>
                <w:color w:val="000000"/>
                <w:sz w:val="22"/>
                <w:szCs w:val="22"/>
              </w:rPr>
              <w:t>Less: IPOs do not file S-1 (data manually collected from EDGAR)</w:t>
            </w:r>
          </w:p>
        </w:tc>
        <w:tc>
          <w:tcPr>
            <w:tcW w:w="1417" w:type="dxa"/>
            <w:tcBorders>
              <w:top w:val="nil"/>
              <w:left w:val="nil"/>
              <w:bottom w:val="single" w:sz="4" w:space="0" w:color="auto"/>
              <w:right w:val="nil"/>
            </w:tcBorders>
            <w:shd w:val="clear" w:color="auto" w:fill="auto"/>
            <w:noWrap/>
            <w:vAlign w:val="center"/>
            <w:hideMark/>
          </w:tcPr>
          <w:p w14:paraId="1486A1D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(93)</w:t>
            </w:r>
          </w:p>
        </w:tc>
      </w:tr>
      <w:tr w:rsidR="00D94396" w:rsidRPr="000912EF" w14:paraId="469A8398" w14:textId="77777777" w:rsidTr="00583CE2">
        <w:trPr>
          <w:trHeight w:val="615"/>
        </w:trPr>
        <w:tc>
          <w:tcPr>
            <w:tcW w:w="7513" w:type="dxa"/>
            <w:tcBorders>
              <w:top w:val="single" w:sz="4" w:space="0" w:color="auto"/>
              <w:left w:val="nil"/>
              <w:bottom w:val="single" w:sz="4" w:space="0" w:color="auto"/>
              <w:right w:val="nil"/>
            </w:tcBorders>
            <w:shd w:val="clear" w:color="auto" w:fill="auto"/>
            <w:vAlign w:val="center"/>
            <w:hideMark/>
          </w:tcPr>
          <w:p w14:paraId="2116A15F" w14:textId="77777777" w:rsidR="00D94396" w:rsidRPr="000912EF" w:rsidRDefault="00D94396" w:rsidP="00583CE2">
            <w:pPr>
              <w:rPr>
                <w:rFonts w:eastAsia="Times New Roman"/>
                <w:b/>
                <w:bCs/>
                <w:color w:val="000000"/>
                <w:sz w:val="22"/>
                <w:szCs w:val="22"/>
              </w:rPr>
            </w:pPr>
            <w:r w:rsidRPr="000912EF">
              <w:rPr>
                <w:rFonts w:eastAsia="Times New Roman"/>
                <w:b/>
                <w:bCs/>
                <w:color w:val="000000"/>
                <w:sz w:val="22"/>
                <w:szCs w:val="22"/>
              </w:rPr>
              <w:t>Final sample</w:t>
            </w:r>
          </w:p>
        </w:tc>
        <w:tc>
          <w:tcPr>
            <w:tcW w:w="1417" w:type="dxa"/>
            <w:tcBorders>
              <w:top w:val="single" w:sz="4" w:space="0" w:color="auto"/>
              <w:left w:val="nil"/>
              <w:bottom w:val="single" w:sz="4" w:space="0" w:color="auto"/>
              <w:right w:val="nil"/>
            </w:tcBorders>
            <w:shd w:val="clear" w:color="auto" w:fill="auto"/>
            <w:noWrap/>
            <w:vAlign w:val="center"/>
            <w:hideMark/>
          </w:tcPr>
          <w:p w14:paraId="7C398B1B"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xml:space="preserve">909 </w:t>
            </w:r>
          </w:p>
        </w:tc>
      </w:tr>
    </w:tbl>
    <w:p w14:paraId="1B591D30" w14:textId="77777777" w:rsidR="00D94396" w:rsidRDefault="00D94396" w:rsidP="00F91520">
      <w:pPr>
        <w:pStyle w:val="Heading1"/>
        <w:rPr>
          <w:rFonts w:ascii="Times New Roman" w:hAnsi="Times New Roman" w:cs="Times New Roman"/>
          <w:b/>
          <w:color w:val="000000" w:themeColor="text1"/>
          <w:sz w:val="24"/>
          <w:szCs w:val="24"/>
          <w:lang w:eastAsia="en-US"/>
        </w:rPr>
        <w:sectPr w:rsidR="00D94396" w:rsidSect="006076D6">
          <w:pgSz w:w="11906" w:h="16838"/>
          <w:pgMar w:top="1440" w:right="1440" w:bottom="1440" w:left="1276" w:header="708" w:footer="708" w:gutter="0"/>
          <w:cols w:space="708"/>
          <w:docGrid w:linePitch="360"/>
        </w:sectPr>
      </w:pPr>
    </w:p>
    <w:p w14:paraId="3B02A903" w14:textId="19F8AA2F" w:rsidR="00CE1820" w:rsidRDefault="00D94396" w:rsidP="00CE1820">
      <w:pPr>
        <w:pStyle w:val="Caption"/>
        <w:jc w:val="both"/>
        <w:rPr>
          <w:b/>
          <w:i w:val="0"/>
          <w:color w:val="000000" w:themeColor="text1"/>
          <w:sz w:val="24"/>
          <w:szCs w:val="24"/>
        </w:rPr>
      </w:pPr>
      <w:bookmarkStart w:id="52" w:name="_Toc7375492"/>
      <w:r w:rsidRPr="000912EF">
        <w:rPr>
          <w:b/>
          <w:i w:val="0"/>
          <w:color w:val="000000" w:themeColor="text1"/>
          <w:sz w:val="24"/>
          <w:szCs w:val="24"/>
        </w:rPr>
        <w:lastRenderedPageBreak/>
        <w:t xml:space="preserve">Table </w:t>
      </w:r>
      <w:r w:rsidR="00174399">
        <w:rPr>
          <w:b/>
          <w:i w:val="0"/>
          <w:color w:val="000000" w:themeColor="text1"/>
          <w:sz w:val="24"/>
          <w:szCs w:val="24"/>
        </w:rPr>
        <w:t>2</w:t>
      </w:r>
      <w:r w:rsidR="00CE1820">
        <w:rPr>
          <w:b/>
          <w:i w:val="0"/>
          <w:color w:val="000000" w:themeColor="text1"/>
          <w:sz w:val="24"/>
          <w:szCs w:val="24"/>
        </w:rPr>
        <w:t>. Expectations of impacts of determinants on SEC S-1 review</w:t>
      </w:r>
    </w:p>
    <w:tbl>
      <w:tblPr>
        <w:tblStyle w:val="TableGrid"/>
        <w:tblW w:w="14385" w:type="dxa"/>
        <w:tblLook w:val="04A0" w:firstRow="1" w:lastRow="0" w:firstColumn="1" w:lastColumn="0" w:noHBand="0" w:noVBand="1"/>
      </w:tblPr>
      <w:tblGrid>
        <w:gridCol w:w="1816"/>
        <w:gridCol w:w="2105"/>
        <w:gridCol w:w="8407"/>
        <w:gridCol w:w="2043"/>
        <w:gridCol w:w="14"/>
      </w:tblGrid>
      <w:tr w:rsidR="00CE1820" w14:paraId="23584B55" w14:textId="77777777" w:rsidTr="00900BF8">
        <w:trPr>
          <w:gridAfter w:val="1"/>
          <w:wAfter w:w="14" w:type="dxa"/>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40311BBD" w14:textId="77777777" w:rsidR="00CE1820" w:rsidRDefault="00CE1820">
            <w:pPr>
              <w:rPr>
                <w:b/>
                <w:sz w:val="22"/>
                <w:szCs w:val="22"/>
              </w:rPr>
            </w:pPr>
            <w:r>
              <w:rPr>
                <w:b/>
              </w:rPr>
              <w:t>Variables</w:t>
            </w:r>
          </w:p>
        </w:tc>
        <w:tc>
          <w:tcPr>
            <w:tcW w:w="10512" w:type="dxa"/>
            <w:gridSpan w:val="2"/>
            <w:tcBorders>
              <w:top w:val="single" w:sz="4" w:space="0" w:color="auto"/>
              <w:left w:val="single" w:sz="4" w:space="0" w:color="auto"/>
              <w:bottom w:val="single" w:sz="4" w:space="0" w:color="auto"/>
              <w:right w:val="single" w:sz="4" w:space="0" w:color="auto"/>
            </w:tcBorders>
            <w:vAlign w:val="center"/>
            <w:hideMark/>
          </w:tcPr>
          <w:p w14:paraId="37020311" w14:textId="77777777" w:rsidR="00CE1820" w:rsidRDefault="00CE1820">
            <w:pPr>
              <w:rPr>
                <w:b/>
              </w:rPr>
            </w:pPr>
            <w:r>
              <w:rPr>
                <w:b/>
              </w:rPr>
              <w:t>Expectation development</w:t>
            </w:r>
          </w:p>
        </w:tc>
        <w:tc>
          <w:tcPr>
            <w:tcW w:w="2043" w:type="dxa"/>
            <w:vMerge w:val="restart"/>
            <w:tcBorders>
              <w:top w:val="single" w:sz="4" w:space="0" w:color="auto"/>
              <w:left w:val="single" w:sz="4" w:space="0" w:color="auto"/>
              <w:bottom w:val="single" w:sz="4" w:space="0" w:color="auto"/>
              <w:right w:val="single" w:sz="4" w:space="0" w:color="auto"/>
            </w:tcBorders>
            <w:vAlign w:val="center"/>
            <w:hideMark/>
          </w:tcPr>
          <w:p w14:paraId="633C821C" w14:textId="77777777" w:rsidR="00CE1820" w:rsidRDefault="00CE1820">
            <w:pPr>
              <w:jc w:val="center"/>
              <w:rPr>
                <w:b/>
              </w:rPr>
            </w:pPr>
            <w:r>
              <w:rPr>
                <w:b/>
              </w:rPr>
              <w:t>Expected sign</w:t>
            </w:r>
          </w:p>
        </w:tc>
      </w:tr>
      <w:tr w:rsidR="00CE1820" w14:paraId="56E58823" w14:textId="77777777" w:rsidTr="00900BF8">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EC995" w14:textId="77777777" w:rsidR="00CE1820" w:rsidRDefault="00CE1820">
            <w:pPr>
              <w:rPr>
                <w:b/>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vAlign w:val="center"/>
            <w:hideMark/>
          </w:tcPr>
          <w:p w14:paraId="22981A78" w14:textId="77777777" w:rsidR="00CE1820" w:rsidRDefault="00CE1820">
            <w:pPr>
              <w:rPr>
                <w:b/>
              </w:rPr>
            </w:pPr>
            <w:r>
              <w:rPr>
                <w:b/>
              </w:rPr>
              <w:t>Theory</w:t>
            </w:r>
          </w:p>
        </w:tc>
        <w:tc>
          <w:tcPr>
            <w:tcW w:w="8407" w:type="dxa"/>
            <w:tcBorders>
              <w:top w:val="single" w:sz="4" w:space="0" w:color="auto"/>
              <w:left w:val="single" w:sz="4" w:space="0" w:color="auto"/>
              <w:bottom w:val="single" w:sz="4" w:space="0" w:color="auto"/>
              <w:right w:val="single" w:sz="4" w:space="0" w:color="auto"/>
            </w:tcBorders>
            <w:vAlign w:val="center"/>
            <w:hideMark/>
          </w:tcPr>
          <w:p w14:paraId="403C300E" w14:textId="77777777" w:rsidR="00CE1820" w:rsidRDefault="00CE1820">
            <w:pPr>
              <w:rPr>
                <w:b/>
              </w:rPr>
            </w:pPr>
            <w:r>
              <w:rPr>
                <w:b/>
              </w:rPr>
              <w:t>Institutional backgrounds and empirical findings</w:t>
            </w: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600C6758" w14:textId="77777777" w:rsidR="00CE1820" w:rsidRDefault="00CE1820">
            <w:pPr>
              <w:rPr>
                <w:b/>
                <w:sz w:val="22"/>
                <w:szCs w:val="22"/>
                <w:lang w:eastAsia="en-US"/>
              </w:rPr>
            </w:pPr>
          </w:p>
        </w:tc>
      </w:tr>
      <w:tr w:rsidR="00CE1820" w14:paraId="4BA1CE31" w14:textId="77777777" w:rsidTr="00900BF8">
        <w:tc>
          <w:tcPr>
            <w:tcW w:w="14385" w:type="dxa"/>
            <w:gridSpan w:val="5"/>
            <w:tcBorders>
              <w:top w:val="single" w:sz="4" w:space="0" w:color="auto"/>
              <w:left w:val="single" w:sz="4" w:space="0" w:color="auto"/>
              <w:bottom w:val="single" w:sz="4" w:space="0" w:color="auto"/>
              <w:right w:val="single" w:sz="4" w:space="0" w:color="auto"/>
            </w:tcBorders>
            <w:hideMark/>
          </w:tcPr>
          <w:p w14:paraId="3EA49981" w14:textId="77777777" w:rsidR="00CE1820" w:rsidRDefault="00CE1820" w:rsidP="00CE1820">
            <w:pPr>
              <w:pStyle w:val="ListParagraph"/>
              <w:numPr>
                <w:ilvl w:val="0"/>
                <w:numId w:val="15"/>
              </w:numPr>
              <w:ind w:left="314"/>
              <w:jc w:val="center"/>
              <w:rPr>
                <w:b/>
              </w:rPr>
            </w:pPr>
            <w:r>
              <w:rPr>
                <w:b/>
              </w:rPr>
              <w:t>IPO firms characteristics</w:t>
            </w:r>
          </w:p>
        </w:tc>
      </w:tr>
      <w:tr w:rsidR="00CE1820" w14:paraId="7E1AE98B" w14:textId="77777777" w:rsidTr="00900BF8">
        <w:trPr>
          <w:gridAfter w:val="1"/>
          <w:wAfter w:w="14" w:type="dxa"/>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19700FF6" w14:textId="77777777" w:rsidR="00CE1820" w:rsidRDefault="00CE1820">
            <w:r>
              <w:rPr>
                <w:i/>
              </w:rPr>
              <w:t>Size</w:t>
            </w:r>
          </w:p>
        </w:tc>
        <w:tc>
          <w:tcPr>
            <w:tcW w:w="2105" w:type="dxa"/>
            <w:vMerge w:val="restart"/>
            <w:tcBorders>
              <w:top w:val="single" w:sz="4" w:space="0" w:color="auto"/>
              <w:left w:val="single" w:sz="4" w:space="0" w:color="auto"/>
              <w:bottom w:val="single" w:sz="4" w:space="0" w:color="auto"/>
              <w:right w:val="single" w:sz="4" w:space="0" w:color="auto"/>
            </w:tcBorders>
            <w:vAlign w:val="center"/>
            <w:hideMark/>
          </w:tcPr>
          <w:p w14:paraId="7B2101E4"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3C528A81" w14:textId="77777777" w:rsidR="00CE1820" w:rsidRDefault="00CE1820">
            <w:r>
              <w:t xml:space="preserve">Company complexity is higher for the bigger firm, who may have lower reporting quality and hence attract more SEC scrutiny </w:t>
            </w:r>
            <w:r>
              <w:fldChar w:fldCharType="begin" w:fldLock="1"/>
            </w:r>
            <w: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fldChar w:fldCharType="separate"/>
            </w:r>
            <w:r>
              <w:rPr>
                <w:noProof/>
              </w:rPr>
              <w:t>(Cassell et al., 2013; Heese et al., 2017)</w:t>
            </w:r>
            <w:r>
              <w:fldChar w:fldCharType="end"/>
            </w:r>
          </w:p>
        </w:tc>
        <w:tc>
          <w:tcPr>
            <w:tcW w:w="2043" w:type="dxa"/>
            <w:vMerge w:val="restart"/>
            <w:tcBorders>
              <w:top w:val="single" w:sz="4" w:space="0" w:color="auto"/>
              <w:left w:val="single" w:sz="4" w:space="0" w:color="auto"/>
              <w:bottom w:val="single" w:sz="4" w:space="0" w:color="auto"/>
              <w:right w:val="single" w:sz="4" w:space="0" w:color="auto"/>
            </w:tcBorders>
            <w:vAlign w:val="center"/>
            <w:hideMark/>
          </w:tcPr>
          <w:p w14:paraId="4598484F" w14:textId="77777777" w:rsidR="00CE1820" w:rsidRDefault="00CE1820">
            <w:pPr>
              <w:jc w:val="center"/>
            </w:pPr>
            <w:r>
              <w:t>+/-</w:t>
            </w:r>
          </w:p>
        </w:tc>
      </w:tr>
      <w:tr w:rsidR="00CE1820" w14:paraId="410168BA" w14:textId="77777777" w:rsidTr="00900BF8">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7E7A72" w14:textId="77777777" w:rsidR="00CE1820" w:rsidRDefault="00CE1820">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2C587B" w14:textId="77777777" w:rsidR="00CE1820" w:rsidRDefault="00CE1820">
            <w:pPr>
              <w:rPr>
                <w:sz w:val="22"/>
                <w:szCs w:val="22"/>
                <w:lang w:eastAsia="en-US"/>
              </w:rPr>
            </w:pPr>
          </w:p>
        </w:tc>
        <w:tc>
          <w:tcPr>
            <w:tcW w:w="8407" w:type="dxa"/>
            <w:tcBorders>
              <w:top w:val="single" w:sz="4" w:space="0" w:color="auto"/>
              <w:left w:val="single" w:sz="4" w:space="0" w:color="auto"/>
              <w:bottom w:val="single" w:sz="4" w:space="0" w:color="auto"/>
              <w:right w:val="single" w:sz="4" w:space="0" w:color="auto"/>
            </w:tcBorders>
            <w:hideMark/>
          </w:tcPr>
          <w:p w14:paraId="244B4432" w14:textId="4D7AC0F6" w:rsidR="00CE1820" w:rsidRDefault="00CE1820" w:rsidP="00587A85">
            <w:r>
              <w:t>Financial reporting quality is lower for smaller firms</w:t>
            </w:r>
            <w:r w:rsidR="00587A85">
              <w:t xml:space="preserve"> </w:t>
            </w:r>
            <w:r w:rsidR="00587A85">
              <w:rPr>
                <w:noProof/>
              </w:rPr>
              <w:t>(Singhvi &amp; Desai, 1971; Lang &amp; Lundholm, 1993 and Doyle et al., 2007)</w:t>
            </w:r>
            <w:r>
              <w:t>, suggesting a lower degree of the SEC review</w:t>
            </w:r>
            <w:r>
              <w:fldChar w:fldCharType="begin" w:fldLock="1"/>
            </w:r>
            <w:r w:rsidR="00587A85">
              <w:instrText>ADDIN CSL_CITATION {"citationItems":[{"id":"ITEM-1","itemData":{"abstract":"This article examines the cross-sectional variation in analysts' published evaluations of firms' disclosure practices. The authors also show that the analysts' ratings are increasing in firm size and in firm performance, and decreasing within the relationship between earings and returns. The Financial Analysts Federation issues an annual report evaluating the disclosure of firms in a variety of industries. The results of their research are generally consistent with existing data on voluntary disclosure.","author":[{"dropping-particle":"","family":"Lang","given":"M.","non-dropping-particle":"","parse-names":false,"suffix":""},{"dropping-particle":"","family":"Lundholm","given":"R.","non-dropping-particle":"","parse-names":false,"suffix":""}],"container-title":"Journal of Accounting Research","id":"ITEM-1","issue":"2","issued":{"date-parts":[["1993"]]},"page":"246-271","title":"Cross-Sectional Determinants of Analyst Ratings of Corporate Disclosures","type":"article-journal","volume":"31"},"uris":["http://www.mendeley.com/documents/?uuid=42f44ade-f51a-4e89-a05e-daec31c5a104"]},{"id":"ITEM-2","itemData":{"author":[{"dropping-particle":"","family":"Singhvi","given":"S.S.","non-dropping-particle":"","parse-names":false,"suffix":""},{"dropping-particle":"","family":"Desai","given":"H.B.","non-dropping-particle":"","parse-names":false,"suffix":""}],"container-title":"The Accounting Review","id":"ITEM-2","issue":"1","issued":{"date-parts":[["1971"]]},"page":"129-138","title":"An Empirical Analysis of the Quality of Corporate Financial Disclosure","type":"article-journal","volume":"46"},"uris":["http://www.mendeley.com/documents/?uuid=51db53d1-8e51-496d-8047-bde0e357c65c"]},{"id":"ITEM-3","itemData":{"ISBN":"0165-4101","ISSN":"01654101","abstract":"We examine determinants of weaknesses in internal control for 779 firms disclosing material weaknesses from August 2002 to 2005. We find that these firms tend to be smaller, younger, financially weaker, more complex, growing rapidly, or undergoing restructuring. Firms with more serious entity-wide control problems are smaller, younger and weaker financially, while firms with less severe, account-specific problems are healthy financially but have complex, diversified, and rapidly changing operations. Finally, we find that the determinants also vary based on the specific reason for the material weakness, consistent with each firm facing their own unique set of internal control challenges. © 2006 Elsevier B.V. All rights reserved.","author":[{"dropping-particle":"","family":"Doyle","given":"J.","non-dropping-particle":"","parse-names":false,"suffix":""},{"dropping-particle":"","family":"Ge","given":"W.","non-dropping-particle":"","parse-names":false,"suffix":""},{"dropping-particle":"","family":"McVay","given":"S.","non-dropping-particle":"","parse-names":false,"suffix":""}],"container-title":"Journal of Accounting and Economics","id":"ITEM-3","issue":"1-2","issued":{"date-parts":[["2007"]]},"page":"193-223","title":"Determinants of weaknesses in internal control over financial reporting","type":"article-journal","volume":"44"},"uris":["http://www.mendeley.com/documents/?uuid=02127812-9abe-4b8c-bec5-5b2e37361d7e"]}],"mendeley":{"formattedCitation":"(Doyle et al., 2007; Lang &amp; Lundholm, 1993; Singhvi &amp; Desai, 1971)","manualFormatting":" ","plainTextFormattedCitation":"(Doyle et al., 2007; Lang &amp; Lundholm, 1993; Singhvi &amp; Desai, 1971)","previouslyFormattedCitation":"(Doyle et al., 2007; Lang &amp; Lundholm, 1993; Singhvi &amp; Desai, 1971)"},"properties":{"noteIndex":0},"schema":"https://github.com/citation-style-language/schema/raw/master/csl-citation.json"}</w:instrText>
            </w:r>
            <w:r>
              <w:fldChar w:fldCharType="separate"/>
            </w:r>
            <w:r>
              <w:rPr>
                <w:noProof/>
              </w:rPr>
              <w:t xml:space="preserve"> </w:t>
            </w:r>
            <w:r>
              <w:fldChar w:fldCharType="end"/>
            </w: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76840003" w14:textId="77777777" w:rsidR="00CE1820" w:rsidRDefault="00CE1820">
            <w:pPr>
              <w:rPr>
                <w:sz w:val="22"/>
                <w:szCs w:val="22"/>
                <w:lang w:eastAsia="en-US"/>
              </w:rPr>
            </w:pPr>
          </w:p>
        </w:tc>
      </w:tr>
      <w:tr w:rsidR="00CE1820" w14:paraId="0DD46E27" w14:textId="77777777" w:rsidTr="00900BF8">
        <w:trPr>
          <w:gridAfter w:val="1"/>
          <w:wAfter w:w="14" w:type="dxa"/>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6E1B884D" w14:textId="77777777" w:rsidR="00CE1820" w:rsidRDefault="00CE1820">
            <w:r>
              <w:rPr>
                <w:i/>
              </w:rPr>
              <w:t>Firm age</w:t>
            </w:r>
          </w:p>
        </w:tc>
        <w:tc>
          <w:tcPr>
            <w:tcW w:w="2105" w:type="dxa"/>
            <w:vMerge w:val="restart"/>
            <w:tcBorders>
              <w:top w:val="single" w:sz="4" w:space="0" w:color="auto"/>
              <w:left w:val="single" w:sz="4" w:space="0" w:color="auto"/>
              <w:bottom w:val="single" w:sz="4" w:space="0" w:color="auto"/>
              <w:right w:val="single" w:sz="4" w:space="0" w:color="auto"/>
            </w:tcBorders>
            <w:vAlign w:val="center"/>
            <w:hideMark/>
          </w:tcPr>
          <w:p w14:paraId="3148DEEB"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539CBB68" w14:textId="77777777" w:rsidR="00CE1820" w:rsidRDefault="00CE1820">
            <w:r>
              <w:t xml:space="preserve">Company complexity is higher for the older firm, who may have lower reporting quality and hence attract more SEC scrutiny </w:t>
            </w:r>
            <w:r>
              <w:fldChar w:fldCharType="begin" w:fldLock="1"/>
            </w:r>
            <w: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fldChar w:fldCharType="separate"/>
            </w:r>
            <w:r>
              <w:rPr>
                <w:noProof/>
              </w:rPr>
              <w:t>(Cassell et al., 2013; Heese et al., 2017)</w:t>
            </w:r>
            <w:r>
              <w:fldChar w:fldCharType="end"/>
            </w:r>
          </w:p>
        </w:tc>
        <w:tc>
          <w:tcPr>
            <w:tcW w:w="2043" w:type="dxa"/>
            <w:vMerge w:val="restart"/>
            <w:tcBorders>
              <w:top w:val="single" w:sz="4" w:space="0" w:color="auto"/>
              <w:left w:val="single" w:sz="4" w:space="0" w:color="auto"/>
              <w:bottom w:val="single" w:sz="4" w:space="0" w:color="auto"/>
              <w:right w:val="single" w:sz="4" w:space="0" w:color="auto"/>
            </w:tcBorders>
            <w:vAlign w:val="center"/>
            <w:hideMark/>
          </w:tcPr>
          <w:p w14:paraId="3ECE5D0C" w14:textId="77777777" w:rsidR="00CE1820" w:rsidRDefault="00CE1820">
            <w:pPr>
              <w:jc w:val="center"/>
            </w:pPr>
            <w:r>
              <w:t>+/-</w:t>
            </w:r>
          </w:p>
        </w:tc>
      </w:tr>
      <w:tr w:rsidR="00CE1820" w14:paraId="3EC87259" w14:textId="77777777" w:rsidTr="00900BF8">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928B03" w14:textId="77777777" w:rsidR="00CE1820" w:rsidRDefault="00CE1820">
            <w:pPr>
              <w:rPr>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BB872" w14:textId="77777777" w:rsidR="00CE1820" w:rsidRDefault="00CE1820">
            <w:pPr>
              <w:rPr>
                <w:sz w:val="22"/>
                <w:szCs w:val="22"/>
                <w:lang w:eastAsia="en-US"/>
              </w:rPr>
            </w:pPr>
          </w:p>
        </w:tc>
        <w:tc>
          <w:tcPr>
            <w:tcW w:w="8407" w:type="dxa"/>
            <w:tcBorders>
              <w:top w:val="single" w:sz="4" w:space="0" w:color="auto"/>
              <w:left w:val="single" w:sz="4" w:space="0" w:color="auto"/>
              <w:bottom w:val="single" w:sz="4" w:space="0" w:color="auto"/>
              <w:right w:val="single" w:sz="4" w:space="0" w:color="auto"/>
            </w:tcBorders>
            <w:hideMark/>
          </w:tcPr>
          <w:p w14:paraId="6F0FDCC1" w14:textId="77777777" w:rsidR="00CE1820" w:rsidRDefault="00CE1820">
            <w:r>
              <w:t xml:space="preserve">Older firms may have less information uncertainty </w:t>
            </w:r>
            <w:r>
              <w:fldChar w:fldCharType="begin" w:fldLock="1"/>
            </w:r>
            <w: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2006)","plainTextFormattedCitation":"(Barry &amp; Brown, 1985; Zhang, 2006)","previouslyFormattedCitation":"(Barry &amp; Brown, 1985; Zhang, 2006)"},"properties":{"noteIndex":0},"schema":"https://github.com/citation-style-language/schema/raw/master/csl-citation.json"}</w:instrText>
            </w:r>
            <w:r>
              <w:fldChar w:fldCharType="separate"/>
            </w:r>
            <w:r>
              <w:rPr>
                <w:noProof/>
              </w:rPr>
              <w:t>(Barry &amp; Brown, 1985; Zhang, 2006)</w:t>
            </w:r>
            <w:r>
              <w:fldChar w:fldCharType="end"/>
            </w:r>
            <w:r>
              <w:t xml:space="preserve">, who could attract less SEC scrutiny </w:t>
            </w:r>
            <w:r>
              <w:fldChar w:fldCharType="begin" w:fldLock="1"/>
            </w:r>
            <w: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fldChar w:fldCharType="separate"/>
            </w:r>
            <w:r>
              <w:rPr>
                <w:noProof/>
              </w:rPr>
              <w:t>( Ertimur &amp; Nondorf, 2006; Chen &amp; Johnston, 2010; Colaco et al., 2018)</w:t>
            </w:r>
            <w:r>
              <w:fldChar w:fldCharType="end"/>
            </w: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4E94D551" w14:textId="77777777" w:rsidR="00CE1820" w:rsidRDefault="00CE1820">
            <w:pPr>
              <w:rPr>
                <w:sz w:val="22"/>
                <w:szCs w:val="22"/>
                <w:lang w:eastAsia="en-US"/>
              </w:rPr>
            </w:pPr>
          </w:p>
        </w:tc>
      </w:tr>
      <w:tr w:rsidR="00CE1820" w14:paraId="435B34F5"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2AD785B8" w14:textId="77777777" w:rsidR="00CE1820" w:rsidRDefault="00CE1820">
            <w:r>
              <w:rPr>
                <w:i/>
              </w:rPr>
              <w:t>Segments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9319EF7"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6FAC2944" w14:textId="77777777" w:rsidR="00CE1820" w:rsidRDefault="00CE1820">
            <w:r>
              <w:t xml:space="preserve">Company complexity is higher for firms with more segments in their business, who may have lower reporting quality and hence attract more SEC scrutiny </w:t>
            </w:r>
            <w:r>
              <w:fldChar w:fldCharType="begin" w:fldLock="1"/>
            </w:r>
            <w: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2017)","manualFormatting":"(Cassell et al., 2013)","plainTextFormattedCitation":"(Cassell et al., 2013; Heese et al., 2017)","previouslyFormattedCitation":"(Cassell et al., 2013; Heese et al., 2017)"},"properties":{"noteIndex":0},"schema":"https://github.com/citation-style-language/schema/raw/master/csl-citation.json"}</w:instrText>
            </w:r>
            <w:r>
              <w:fldChar w:fldCharType="separate"/>
            </w:r>
            <w:r>
              <w:rPr>
                <w:noProof/>
              </w:rPr>
              <w:t>(Cassell et al., 2013)</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3AB8171B" w14:textId="77777777" w:rsidR="00CE1820" w:rsidRDefault="00CE1820">
            <w:pPr>
              <w:jc w:val="center"/>
            </w:pPr>
            <w:r>
              <w:t>+</w:t>
            </w:r>
          </w:p>
        </w:tc>
      </w:tr>
      <w:tr w:rsidR="00CE1820" w14:paraId="34D3F15B"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1D0B8627" w14:textId="77777777" w:rsidR="00CE1820" w:rsidRDefault="00CE1820">
            <w:r>
              <w:rPr>
                <w:i/>
              </w:rPr>
              <w:t>Restructuring</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E265644"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7FC84F35" w14:textId="77777777" w:rsidR="00CE1820" w:rsidRDefault="00CE1820">
            <w:r>
              <w:t xml:space="preserve">Company complexity is higher for firms conducting restructuring activities, who may have lower reporting quality and hence attract more SEC scrutiny </w:t>
            </w:r>
            <w:r>
              <w:fldChar w:fldCharType="begin" w:fldLock="1"/>
            </w:r>
            <w: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fldChar w:fldCharType="separate"/>
            </w:r>
            <w:r>
              <w:rPr>
                <w:noProof/>
              </w:rPr>
              <w:t>(Cassell et al., 2013; Heese et al., 2017)</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4293A2A8" w14:textId="77777777" w:rsidR="00CE1820" w:rsidRDefault="00CE1820">
            <w:pPr>
              <w:jc w:val="center"/>
            </w:pPr>
            <w:r>
              <w:t>+</w:t>
            </w:r>
          </w:p>
        </w:tc>
      </w:tr>
      <w:tr w:rsidR="00CE1820" w14:paraId="0D1A66E0"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41DF003B" w14:textId="77777777" w:rsidR="00CE1820" w:rsidRDefault="00CE1820">
            <w:pPr>
              <w:rPr>
                <w:i/>
              </w:rPr>
            </w:pPr>
            <w:r>
              <w:rPr>
                <w:i/>
              </w:rPr>
              <w:t>M&amp;A</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318BEE9"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0760C491" w14:textId="77777777" w:rsidR="00CE1820" w:rsidRDefault="00CE1820">
            <w:r>
              <w:t xml:space="preserve">Company complexity is higher for firms conducting M&amp;A activities, who may have lower reporting quality and hence attract more SEC scrutiny </w:t>
            </w:r>
            <w:r>
              <w:fldChar w:fldCharType="begin" w:fldLock="1"/>
            </w:r>
            <w: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Economics","id":"ITEM-2","issue":"1","issued":{"date-parts":[["2017"]]},"page":"98-122","title":"Is the SEC captured? Evidence from comment-letter reviews","type":"article-journal","volume":"64"},"uris":["http://www.mendeley.com/documents/?uuid=98505591-58a4-4e58-99ad-9f9350630e93"]}],"mendeley":{"formattedCitation":"(Cassell et al., 2013; Heese et al., 2017)","plainTextFormattedCitation":"(Cassell et al., 2013; Heese et al., 2017)","previouslyFormattedCitation":"(Cassell et al., 2013; Heese et al., 2017)"},"properties":{"noteIndex":0},"schema":"https://github.com/citation-style-language/schema/raw/master/csl-citation.json"}</w:instrText>
            </w:r>
            <w:r>
              <w:fldChar w:fldCharType="separate"/>
            </w:r>
            <w:r>
              <w:rPr>
                <w:noProof/>
              </w:rPr>
              <w:t>(Cassell et al., 2013; Heese et al., 2017)</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2661B2F0" w14:textId="77777777" w:rsidR="00CE1820" w:rsidRDefault="00CE1820">
            <w:pPr>
              <w:jc w:val="center"/>
            </w:pPr>
            <w:r>
              <w:t>+</w:t>
            </w:r>
          </w:p>
        </w:tc>
      </w:tr>
      <w:tr w:rsidR="00CE1820" w14:paraId="2133D262"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48E95001" w14:textId="77777777" w:rsidR="00CE1820" w:rsidRDefault="00CE1820">
            <w:pPr>
              <w:rPr>
                <w:i/>
              </w:rPr>
            </w:pPr>
            <w:r>
              <w:rPr>
                <w:i/>
              </w:rPr>
              <w:t>Sales growth</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9AF0BC8"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0B63D432" w14:textId="7EA8D531" w:rsidR="00CE1820" w:rsidRDefault="00CE1820" w:rsidP="00CE1820">
            <w:pPr>
              <w:pStyle w:val="ListParagraph"/>
              <w:numPr>
                <w:ilvl w:val="0"/>
                <w:numId w:val="16"/>
              </w:numPr>
              <w:ind w:left="212" w:hanging="218"/>
              <w:rPr>
                <w:noProof/>
              </w:rPr>
            </w:pPr>
            <w:r>
              <w:t>Higher growth rate of sales indicate that firms have higher growth expectation</w:t>
            </w:r>
            <w:r w:rsidR="00BF7730">
              <w:t xml:space="preserve"> (</w:t>
            </w:r>
            <w:r w:rsidR="00BF7730">
              <w:rPr>
                <w:lang w:eastAsia="en-US"/>
              </w:rPr>
              <w:fldChar w:fldCharType="begin" w:fldLock="1"/>
            </w:r>
            <w:r w:rsidR="00BF7730">
              <w:rPr>
                <w:lang w:eastAsia="en-US"/>
              </w:rP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rsidR="00BF7730">
              <w:rPr>
                <w:lang w:eastAsia="en-US"/>
              </w:rPr>
              <w:fldChar w:fldCharType="separate"/>
            </w:r>
            <w:r w:rsidR="00BF7730">
              <w:rPr>
                <w:noProof/>
                <w:lang w:eastAsia="en-US"/>
              </w:rPr>
              <w:t xml:space="preserve">Jiang et al., </w:t>
            </w:r>
            <w:r w:rsidR="00BF7730" w:rsidRPr="00386BE4">
              <w:rPr>
                <w:noProof/>
                <w:lang w:eastAsia="en-US"/>
              </w:rPr>
              <w:t>2005)</w:t>
            </w:r>
            <w:r w:rsidR="00BF7730">
              <w:rPr>
                <w:lang w:eastAsia="en-US"/>
              </w:rPr>
              <w:fldChar w:fldCharType="end"/>
            </w:r>
            <w:r>
              <w:t>, who are often targeted by the SEC for the review (</w:t>
            </w:r>
            <w:proofErr w:type="spellStart"/>
            <w:r>
              <w:rPr>
                <w:noProof/>
              </w:rPr>
              <w:t>Heese</w:t>
            </w:r>
            <w:proofErr w:type="spellEnd"/>
            <w:r>
              <w:rPr>
                <w:noProof/>
              </w:rPr>
              <w:t xml:space="preserve"> et al., 2017)</w:t>
            </w:r>
          </w:p>
          <w:p w14:paraId="0FD04228" w14:textId="3042FD11" w:rsidR="00CE1820" w:rsidRDefault="00CE1820" w:rsidP="00CE1820">
            <w:pPr>
              <w:pStyle w:val="ListParagraph"/>
              <w:numPr>
                <w:ilvl w:val="0"/>
                <w:numId w:val="16"/>
              </w:numPr>
              <w:ind w:left="212" w:hanging="218"/>
              <w:rPr>
                <w:noProof/>
              </w:rPr>
            </w:pPr>
            <w:r>
              <w:t>Firms with greater expected growth are likely to be operating in higher information uncertainty environment (</w:t>
            </w:r>
            <w:r>
              <w:fldChar w:fldCharType="begin" w:fldLock="1"/>
            </w:r>
            <w:r w:rsidR="00143FD7">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fldChar w:fldCharType="separate"/>
            </w:r>
            <w:r>
              <w:rPr>
                <w:noProof/>
              </w:rPr>
              <w:t>Jiang et al., 2005)</w:t>
            </w:r>
            <w:r>
              <w:fldChar w:fldCharType="end"/>
            </w:r>
            <w:r>
              <w:t xml:space="preserve">, and may therefore attract more SEC scrutiny </w:t>
            </w:r>
            <w:r>
              <w:fldChar w:fldCharType="begin" w:fldLock="1"/>
            </w:r>
            <w: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fldChar w:fldCharType="separate"/>
            </w:r>
            <w:r>
              <w:rPr>
                <w:noProof/>
              </w:rPr>
              <w:t>( Ertimur &amp; Nondorf, 2006; Chen &amp; Johnston, 2010; Colaco et al., 2018)</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4386B0A7" w14:textId="77777777" w:rsidR="00CE1820" w:rsidRDefault="00CE1820">
            <w:pPr>
              <w:jc w:val="center"/>
            </w:pPr>
            <w:r>
              <w:t>+</w:t>
            </w:r>
          </w:p>
        </w:tc>
      </w:tr>
      <w:tr w:rsidR="00CE1820" w14:paraId="73DCC8CD"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5C1AB9AA" w14:textId="77777777" w:rsidR="00CE1820" w:rsidRDefault="00CE1820">
            <w:pPr>
              <w:rPr>
                <w:i/>
              </w:rPr>
            </w:pPr>
            <w:r>
              <w:rPr>
                <w:i/>
              </w:rPr>
              <w:t>BM</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8519437"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3CAFB335" w14:textId="77777777" w:rsidR="00CE1820" w:rsidRDefault="00CE1820" w:rsidP="00CE1820">
            <w:pPr>
              <w:pStyle w:val="ListParagraph"/>
              <w:numPr>
                <w:ilvl w:val="0"/>
                <w:numId w:val="16"/>
              </w:numPr>
              <w:ind w:left="212" w:hanging="218"/>
            </w:pPr>
            <w:r>
              <w:t>Firms having lower book-to-market ratio, in other words, higher growth expectation, are often targeted by the SEC for the review (</w:t>
            </w:r>
            <w:proofErr w:type="spellStart"/>
            <w:r>
              <w:rPr>
                <w:noProof/>
              </w:rPr>
              <w:t>Heese</w:t>
            </w:r>
            <w:proofErr w:type="spellEnd"/>
            <w:r>
              <w:rPr>
                <w:noProof/>
              </w:rPr>
              <w:t xml:space="preserve"> et al., 2017)</w:t>
            </w:r>
            <w:r>
              <w:t xml:space="preserve">, </w:t>
            </w:r>
          </w:p>
          <w:p w14:paraId="3B7ADF0E" w14:textId="77777777" w:rsidR="00CE1820" w:rsidRDefault="00CE1820" w:rsidP="00CE1820">
            <w:pPr>
              <w:pStyle w:val="ListParagraph"/>
              <w:numPr>
                <w:ilvl w:val="0"/>
                <w:numId w:val="16"/>
              </w:numPr>
              <w:ind w:left="212" w:hanging="218"/>
            </w:pPr>
            <w:r>
              <w:lastRenderedPageBreak/>
              <w:t>Firms having lower book-to-market ration, are likely to be operating in higher information uncertainty environment (</w:t>
            </w:r>
            <w:r>
              <w:fldChar w:fldCharType="begin" w:fldLock="1"/>
            </w:r>
            <w:r>
              <w:instrText>ADDIN CSL_CITATION {"citationItems":[{"id":"ITEM-1","itemData":{"ISBN":"1380-6653","ISSN":"13806653","abstract":"This study examines the role of information uncertainty (IU) in predicting cross-sectional stock returns. We define IU in terms of “value ambiguity,” or the precision with which firm value can be estimated by knowledgeable investors at reasonable cost. Using several different proxies for IU, we show that (1) on average, high-IU firms earn lower future returns (the “mean” effect), and (2) price and earnings momentum effects are much stronger among high-IU firms (the “interaction” effect). These findings are consistent with analytical models in which high IU exacerbates investor overconfidence and limits rational arbitrage.","author":[{"dropping-particle":"","family":"Jiang","given":"Guohua","non-dropping-particle":"","parse-names":false,"suffix":""},{"dropping-particle":"","family":"Lee","given":"Charles M C","non-dropping-particle":"","parse-names":false,"suffix":""},{"dropping-particle":"","family":"Zhang","given":"Yi","non-dropping-particle":"","parse-names":false,"suffix":""}],"container-title":"Review of Accounting Studies","id":"ITEM-1","issue":"2-3","issued":{"date-parts":[["2005"]]},"page":"185-221","title":"Information Uncertainty and Expected Returns","type":"article-journal","volume":"10"},"uris":["http://www.mendeley.com/documents/?uuid=cd505e21-3abf-4168-9d44-18ea54f9c192"]}],"mendeley":{"formattedCitation":"(Jiang et al., 2005)","manualFormatting":"Jiang et al., 2005)","plainTextFormattedCitation":"(Jiang et al., 2005)","previouslyFormattedCitation":"(Jiang et al., 2005)"},"properties":{"noteIndex":0},"schema":"https://github.com/citation-style-language/schema/raw/master/csl-citation.json"}</w:instrText>
            </w:r>
            <w:r>
              <w:fldChar w:fldCharType="separate"/>
            </w:r>
            <w:r>
              <w:rPr>
                <w:noProof/>
              </w:rPr>
              <w:t>Jiang et al., 2005)</w:t>
            </w:r>
            <w:r>
              <w:fldChar w:fldCharType="end"/>
            </w:r>
            <w:r>
              <w:t xml:space="preserve">, and hence, could attract more the SEC scrutiny </w:t>
            </w:r>
            <w:r>
              <w:rPr>
                <w:noProof/>
              </w:rPr>
              <w:t>( Ertimur &amp; Nondorf, 2006; Chen &amp; Johnston, 2010; Colaco et al., 2018)</w:t>
            </w:r>
          </w:p>
        </w:tc>
        <w:tc>
          <w:tcPr>
            <w:tcW w:w="2043" w:type="dxa"/>
            <w:tcBorders>
              <w:top w:val="single" w:sz="4" w:space="0" w:color="auto"/>
              <w:left w:val="single" w:sz="4" w:space="0" w:color="auto"/>
              <w:bottom w:val="single" w:sz="4" w:space="0" w:color="auto"/>
              <w:right w:val="single" w:sz="4" w:space="0" w:color="auto"/>
            </w:tcBorders>
            <w:vAlign w:val="center"/>
            <w:hideMark/>
          </w:tcPr>
          <w:p w14:paraId="73CBFE04" w14:textId="77777777" w:rsidR="00CE1820" w:rsidRDefault="00CE1820">
            <w:pPr>
              <w:jc w:val="center"/>
            </w:pPr>
            <w:r>
              <w:lastRenderedPageBreak/>
              <w:t>-</w:t>
            </w:r>
          </w:p>
        </w:tc>
      </w:tr>
      <w:tr w:rsidR="00CE1820" w14:paraId="3E4515E7"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7810494B" w14:textId="77777777" w:rsidR="00CE1820" w:rsidRDefault="00CE1820">
            <w:pPr>
              <w:rPr>
                <w:i/>
              </w:rPr>
            </w:pPr>
            <w:r>
              <w:rPr>
                <w:i/>
              </w:rPr>
              <w:t>Leverage</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3D8C6F2"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4E54FFC4" w14:textId="77777777" w:rsidR="00CE1820" w:rsidRDefault="00CE1820">
            <w:r>
              <w:t>Firms with higher leverage, who have higher debt level, are more likely to receive the SEC comment letters (</w:t>
            </w:r>
            <w:proofErr w:type="spellStart"/>
            <w:r>
              <w:t>Duro</w:t>
            </w:r>
            <w:proofErr w:type="spellEnd"/>
            <w:r>
              <w:t xml:space="preserve"> et al., 2017)</w:t>
            </w:r>
          </w:p>
        </w:tc>
        <w:tc>
          <w:tcPr>
            <w:tcW w:w="2043" w:type="dxa"/>
            <w:tcBorders>
              <w:top w:val="single" w:sz="4" w:space="0" w:color="auto"/>
              <w:left w:val="single" w:sz="4" w:space="0" w:color="auto"/>
              <w:bottom w:val="single" w:sz="4" w:space="0" w:color="auto"/>
              <w:right w:val="single" w:sz="4" w:space="0" w:color="auto"/>
            </w:tcBorders>
            <w:vAlign w:val="center"/>
            <w:hideMark/>
          </w:tcPr>
          <w:p w14:paraId="2DE4D17B" w14:textId="77777777" w:rsidR="00CE1820" w:rsidRDefault="00CE1820">
            <w:pPr>
              <w:jc w:val="center"/>
            </w:pPr>
            <w:r>
              <w:t>+</w:t>
            </w:r>
          </w:p>
        </w:tc>
      </w:tr>
      <w:tr w:rsidR="00CE1820" w14:paraId="5385096E"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7B661DEC" w14:textId="77777777" w:rsidR="00CE1820" w:rsidRDefault="00CE1820">
            <w:pPr>
              <w:rPr>
                <w:i/>
              </w:rPr>
            </w:pPr>
            <w:proofErr w:type="spellStart"/>
            <w:r>
              <w:rPr>
                <w:i/>
              </w:rPr>
              <w:t>Zscore</w:t>
            </w:r>
            <w:proofErr w:type="spellEnd"/>
          </w:p>
        </w:tc>
        <w:tc>
          <w:tcPr>
            <w:tcW w:w="2105" w:type="dxa"/>
            <w:tcBorders>
              <w:top w:val="single" w:sz="4" w:space="0" w:color="auto"/>
              <w:left w:val="single" w:sz="4" w:space="0" w:color="auto"/>
              <w:bottom w:val="single" w:sz="4" w:space="0" w:color="auto"/>
              <w:right w:val="single" w:sz="4" w:space="0" w:color="auto"/>
            </w:tcBorders>
            <w:vAlign w:val="center"/>
            <w:hideMark/>
          </w:tcPr>
          <w:p w14:paraId="1796F33A"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14FDC1BA" w14:textId="0DAA4A39" w:rsidR="00CE1820" w:rsidRDefault="00CE1820">
            <w:r>
              <w:t xml:space="preserve">Firms with financial distress are more likely to be noncompliant with GAAP </w:t>
            </w:r>
            <w:r>
              <w:fldChar w:fldCharType="begin" w:fldLock="1"/>
            </w:r>
            <w:r w:rsidR="00143FD7">
              <w:instrText>ADDIN CSL_CITATION {"citationItems":[{"id":"ITEM-1","itemData":{"DOI":"10.1111/j.1475-679X.2009.00349.x","ISSN":"00218456","abstract":"This study examines whether auditors can effectively use nonfinancial measures to assess the reasonableness of financial performance and, thereby, help detect financial statement fraud (hereafter, fraud). If auditors or other interested parties (e.g., directors, lenders, investors, or regulators) can identify nonfinancial measures (e.g., facilities growth) that are correlated with financial measures (e.g., revenue growth), inconsistent patterns between the nonfinancial and financial measures can be used to detect firms with high fraud risk. We find that the difference between financial and nonfinancial performance is significantly greater for firms that committed fraud than for their non-fraud competitors. We also find that this difference is a significant fraud indicator when included in a model containing variables that have previously been linked to the likelihood of fraud. Overall, our results provide empirical evidence suggesting that nonfinancial measures can be effectively used to assess the likelihood of fraud.","author":[{"dropping-particle":"","family":"Brazel","given":"J. F.","non-dropping-particle":"","parse-names":false,"suffix":""},{"dropping-particle":"","family":"Jones","given":"K. L.","non-dropping-particle":"","parse-names":false,"suffix":""},{"dropping-particle":"","family":"Zimbelman","given":"M. F.","non-dropping-particle":"","parse-names":false,"suffix":""}],"container-title":"Journal of Accounting Research","id":"ITEM-1","issue":"5","issued":{"date-parts":[["2009"]]},"page":"1135-1166","title":"Using nonfinancial measures to assess fraud risk","type":"article-journal","volume":"47"},"uris":["http://www.mendeley.com/documents/?uuid=c556d2f6-b043-464e-be3a-23c0329103c1"]},{"id":"ITEM-2","itemData":{"author":[{"dropping-particle":"","family":"Dechow","given":"P.M.","non-dropping-particle":"","parse-names":false,"suffix":""},{"dropping-particle":"","family":"Sloan","given":"G.R.","non-dropping-particle":"","parse-names":false,"suffix":""},{"dropping-particle":"","family":"Sweeney","given":"A.P.","non-dropping-particle":"","parse-names":false,"suffix":""}],"container-title":"Contemporary Accounting Research","id":"ITEM-2","issue":"1","issued":{"date-parts":[["1996"]]},"page":"1-36","title":"Causes and Consequences of Earnings Manipulation: An Analysis of Firms Subject to Enforcement Actions by the SEC","type":"article-journal","volume":"13"},"uris":["http://www.mendeley.com/documents/?uuid=b0b870c6-2960-4888-a546-9bdb2ec59a54"]}],"mendeley":{"formattedCitation":"(Brazel et al., 2009; Dechow et al., 1996)","manualFormatting":"( Dechow et al., 1996; Brazel et al., 2009)","plainTextFormattedCitation":"(Brazel et al., 2009; Dechow et al., 1996)","previouslyFormattedCitation":"(Brazel et al., 2009; Dechow et al., 1996)"},"properties":{"noteIndex":0},"schema":"https://github.com/citation-style-language/schema/raw/master/csl-citation.json"}</w:instrText>
            </w:r>
            <w:r>
              <w:fldChar w:fldCharType="separate"/>
            </w:r>
            <w:r>
              <w:rPr>
                <w:noProof/>
              </w:rPr>
              <w:t>( Dechow et al., 1996; Brazel et al., 2009)</w:t>
            </w:r>
            <w:r>
              <w:fldChar w:fldCharType="end"/>
            </w:r>
            <w:r>
              <w:t xml:space="preserve">, hence, the SEC review could be more intense for these firms </w:t>
            </w:r>
            <w:r>
              <w:fldChar w:fldCharType="begin" w:fldLock="1"/>
            </w:r>
            <w: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fldChar w:fldCharType="separate"/>
            </w:r>
            <w:r>
              <w:rPr>
                <w:noProof/>
              </w:rPr>
              <w:t>(Heese et al., 2017)</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65FDC540" w14:textId="77777777" w:rsidR="00CE1820" w:rsidRDefault="00CE1820">
            <w:pPr>
              <w:jc w:val="center"/>
            </w:pPr>
            <w:r>
              <w:t>-</w:t>
            </w:r>
          </w:p>
        </w:tc>
      </w:tr>
      <w:tr w:rsidR="00CE1820" w14:paraId="56CF6534" w14:textId="77777777" w:rsidTr="00900BF8">
        <w:trPr>
          <w:gridAfter w:val="1"/>
          <w:wAfter w:w="14" w:type="dxa"/>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31C7B15B" w14:textId="77777777" w:rsidR="00CE1820" w:rsidRDefault="00CE1820">
            <w:pPr>
              <w:rPr>
                <w:i/>
              </w:rPr>
            </w:pPr>
            <w:r>
              <w:rPr>
                <w:i/>
              </w:rPr>
              <w:t>Positive earnings</w:t>
            </w:r>
          </w:p>
        </w:tc>
        <w:tc>
          <w:tcPr>
            <w:tcW w:w="2105" w:type="dxa"/>
            <w:vMerge w:val="restart"/>
            <w:tcBorders>
              <w:top w:val="single" w:sz="4" w:space="0" w:color="auto"/>
              <w:left w:val="single" w:sz="4" w:space="0" w:color="auto"/>
              <w:bottom w:val="single" w:sz="4" w:space="0" w:color="auto"/>
              <w:right w:val="single" w:sz="4" w:space="0" w:color="auto"/>
            </w:tcBorders>
            <w:vAlign w:val="center"/>
            <w:hideMark/>
          </w:tcPr>
          <w:p w14:paraId="54EBB537"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7193F1EB" w14:textId="676759E8" w:rsidR="00CE1820" w:rsidRDefault="00CE1820">
            <w:r>
              <w:t xml:space="preserve">Firm may mislead the accounting information by reporting positive earnings to attract investors in the IPO year </w:t>
            </w:r>
            <w:r>
              <w:fldChar w:fldCharType="begin" w:fldLock="1"/>
            </w:r>
            <w:r w:rsidR="00143FD7">
              <w:instrText>ADDIN CSL_CITATION {"citationItems":[{"id":"ITEM-1","itemData":{"ISBN":"1540-6261","ISSN":"00221082","PMID":"1311802","abstract":"Issuers of initial public offerings (IPOs) can report earnings in excess of cash flows by taking positive accruals. This paper provides evidence that issuers with unusu- ally high accruals in the IPO year experience poor stock return performance in the three years thereafter. IPO issuers in the most “aggressive” quartile of earnings managers have a three-year aftermarket stock return of approximately 20 percent less than IPO issuers in the most “conservative” quartile. They also issue about 20 percent fewer seasoned equity offerings. These differences are statistically and economically significant in a variety of specifications.","author":[{"dropping-particle":"","family":"Teoh","given":"Siew Hong","non-dropping-particle":"","parse-names":false,"suffix":""},{"dropping-particle":"","family":"Welch","given":"Ivo","non-dropping-particle":"","parse-names":false,"suffix":""},{"dropping-particle":"","family":"Wong","given":"T.J.","non-dropping-particle":"","parse-names":false,"suffix":""}],"container-title":"The Journal of Finance","id":"ITEM-1","issue":"6","issued":{"date-parts":[["1998"]]},"note":"4*","page":"1935-1974","title":"Earnings Management and the Long-Run Market Performance of Initial Public Offerings","type":"article-journal","volume":"53"},"uris":["http://www.mendeley.com/documents/?uuid=df119c60-80fa-4e3c-9236-cb84a3060fd4"]}],"mendeley":{"formattedCitation":"(Teoh et al., 1998)","manualFormatting":"(Teoh et al., 1998)","plainTextFormattedCitation":"(Teoh et al., 1998)","previouslyFormattedCitation":"(Teoh et al., 1998)"},"properties":{"noteIndex":0},"schema":"https://github.com/citation-style-language/schema/raw/master/csl-citation.json"}</w:instrText>
            </w:r>
            <w:r>
              <w:fldChar w:fldCharType="separate"/>
            </w:r>
            <w:r>
              <w:rPr>
                <w:noProof/>
              </w:rPr>
              <w:t>(Teoh et al., 1998)</w:t>
            </w:r>
            <w:r>
              <w:fldChar w:fldCharType="end"/>
            </w:r>
            <w:r>
              <w:t>, suggesting that the SEC review could be more intense for these firms</w:t>
            </w:r>
          </w:p>
        </w:tc>
        <w:tc>
          <w:tcPr>
            <w:tcW w:w="2043" w:type="dxa"/>
            <w:vMerge w:val="restart"/>
            <w:tcBorders>
              <w:top w:val="single" w:sz="4" w:space="0" w:color="auto"/>
              <w:left w:val="single" w:sz="4" w:space="0" w:color="auto"/>
              <w:bottom w:val="single" w:sz="4" w:space="0" w:color="auto"/>
              <w:right w:val="single" w:sz="4" w:space="0" w:color="auto"/>
            </w:tcBorders>
            <w:vAlign w:val="center"/>
            <w:hideMark/>
          </w:tcPr>
          <w:p w14:paraId="53B4B6A3" w14:textId="77777777" w:rsidR="00CE1820" w:rsidRDefault="00CE1820">
            <w:pPr>
              <w:jc w:val="center"/>
            </w:pPr>
            <w:r>
              <w:t>+/-</w:t>
            </w:r>
          </w:p>
        </w:tc>
      </w:tr>
      <w:tr w:rsidR="00CE1820" w14:paraId="4629BAAB" w14:textId="77777777" w:rsidTr="00900BF8">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6A5B7F" w14:textId="77777777" w:rsidR="00CE1820" w:rsidRDefault="00CE1820">
            <w:pPr>
              <w:rPr>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450EA6" w14:textId="77777777" w:rsidR="00CE1820" w:rsidRDefault="00CE1820">
            <w:pPr>
              <w:rPr>
                <w:sz w:val="22"/>
                <w:szCs w:val="22"/>
                <w:lang w:eastAsia="en-US"/>
              </w:rPr>
            </w:pPr>
          </w:p>
        </w:tc>
        <w:tc>
          <w:tcPr>
            <w:tcW w:w="8407" w:type="dxa"/>
            <w:tcBorders>
              <w:top w:val="single" w:sz="4" w:space="0" w:color="auto"/>
              <w:left w:val="single" w:sz="4" w:space="0" w:color="auto"/>
              <w:bottom w:val="single" w:sz="4" w:space="0" w:color="auto"/>
              <w:right w:val="single" w:sz="4" w:space="0" w:color="auto"/>
            </w:tcBorders>
            <w:hideMark/>
          </w:tcPr>
          <w:p w14:paraId="084FC55C" w14:textId="77777777" w:rsidR="00CE1820" w:rsidRDefault="00CE1820">
            <w:r>
              <w:t xml:space="preserve">Loss-making firms are more likely to receive the SEC comment letters </w:t>
            </w:r>
            <w:r>
              <w:fldChar w:fldCharType="begin" w:fldLock="1"/>
            </w:r>
            <w: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fldChar w:fldCharType="separate"/>
            </w:r>
            <w:r>
              <w:rPr>
                <w:noProof/>
              </w:rPr>
              <w:t>(Heese et al., 2017)</w:t>
            </w:r>
            <w:r>
              <w:fldChar w:fldCharType="end"/>
            </w: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7752FFBC" w14:textId="77777777" w:rsidR="00CE1820" w:rsidRDefault="00CE1820">
            <w:pPr>
              <w:rPr>
                <w:sz w:val="22"/>
                <w:szCs w:val="22"/>
                <w:lang w:eastAsia="en-US"/>
              </w:rPr>
            </w:pPr>
          </w:p>
        </w:tc>
      </w:tr>
      <w:tr w:rsidR="00CE1820" w14:paraId="77073DE1"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49EB1733" w14:textId="77777777" w:rsidR="00CE1820" w:rsidRDefault="00CE1820">
            <w:pPr>
              <w:rPr>
                <w:i/>
              </w:rPr>
            </w:pPr>
            <w:r>
              <w:rPr>
                <w:i/>
              </w:rPr>
              <w:t>External financing</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AE5DAA4"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3F019A9F" w14:textId="77777777" w:rsidR="00CE1820" w:rsidRDefault="00CE1820">
            <w:r>
              <w:rPr>
                <w:rFonts w:eastAsiaTheme="minorEastAsia"/>
              </w:rPr>
              <w:t xml:space="preserve">Disclosure quality and reporting compliance are higher when firms previously issued debt or equity securities </w:t>
            </w:r>
            <w:r>
              <w:rPr>
                <w:rFonts w:eastAsiaTheme="minorEastAsia"/>
              </w:rPr>
              <w:fldChar w:fldCharType="begin" w:fldLock="1"/>
            </w:r>
            <w:r>
              <w:rPr>
                <w:rFonts w:eastAsiaTheme="minorEastAsia"/>
              </w:rPr>
              <w:instrText>ADDIN CSL_CITATION {"citationItems":[{"id":"ITEM-1","itemData":{"DOI":"10.1007/s11142-011-9153-8","ISSN":"13806653","abstract":"Motivated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Studies","id":"ITEM-1","issue":"4","issued":{"date-parts":[["2011"]]},"page":"866-889","title":"The effects of firm size, corporate governance quality, and bad news on disclosure compliance","type":"article-journal","volume":"16"},"uris":["http://www.mendeley.com/documents/?uuid=2c677795-dcd8-4506-87da-1a5ecc2c0b18"]}],"mendeley":{"formattedCitation":"(Ettredge et al., 2011)","plainTextFormattedCitation":"(Ettredge et al., 2011)","previouslyFormattedCitation":"(Ettredge et al., 2011)"},"properties":{"noteIndex":0},"schema":"https://github.com/citation-style-language/schema/raw/master/csl-citation.json"}</w:instrText>
            </w:r>
            <w:r>
              <w:rPr>
                <w:rFonts w:eastAsiaTheme="minorEastAsia"/>
              </w:rPr>
              <w:fldChar w:fldCharType="separate"/>
            </w:r>
            <w:r>
              <w:rPr>
                <w:rFonts w:eastAsiaTheme="minorEastAsia"/>
                <w:noProof/>
              </w:rPr>
              <w:t>(Ettredge et al., 2011)</w:t>
            </w:r>
            <w:r>
              <w:rPr>
                <w:rFonts w:eastAsiaTheme="minorEastAsia"/>
              </w:rPr>
              <w:fldChar w:fldCharType="end"/>
            </w:r>
            <w:r>
              <w:rPr>
                <w:rFonts w:eastAsiaTheme="minorEastAsia"/>
              </w:rPr>
              <w:t xml:space="preserve">, suggesting less SEC scrutiny on these firms </w:t>
            </w:r>
            <w:r>
              <w:rPr>
                <w:rFonts w:eastAsiaTheme="minorEastAsia"/>
              </w:rPr>
              <w:fldChar w:fldCharType="begin" w:fldLock="1"/>
            </w:r>
            <w:r>
              <w:rPr>
                <w:rFonts w:eastAsiaTheme="minorEastAsia"/>
              </w:rPr>
              <w:instrText>ADDIN CSL_CITATION {"citationItems":[{"id":"ITEM-1","itemData":{"ISSN":"01654101","abstract":"SEC oversight of publicly listed firms ranges from comment letter (CL) reviews of firms’ reporting compliance to pursuing enforcement actions against violators. Prior literature finds that firm political connections (PC) negatively predict enforcement actions, inferring SEC capture. We present new evidence that firm PC positively predict CL reviews and substantive characteristics of such reviews, including the number of issues evaluated and the seniority of SEC staff involved. These results, robust to identification concerns, are inconsistent with SEC capture and indicate a more nuanced relation between firm PC and SEC oversight than previously suggested.","author":[{"dropping-particle":"","family":"Heese","given":"Jonas","non-dropping-particle":"","parse-names":false,"suffix":""},{"dropping-particle":"","family":"Khan","given":"Mozaffar","non-dropping-particle":"","parse-names":false,"suffix":""},{"dropping-particle":"","family":"Ramanna","given":"Karthik","non-dropping-particle":"","parse-names":false,"suffix":""}],"container-title":"Journal of Accounting and Economics","id":"ITEM-1","issue":"1","issued":{"date-parts":[["2017"]]},"page":"98-122","title":"Is the SEC captured? Evidence from comment-letter reviews","type":"article-journal","volume":"64"},"uris":["http://www.mendeley.com/documents/?uuid=98505591-58a4-4e58-99ad-9f9350630e93"]}],"mendeley":{"formattedCitation":"(Heese et al., 2017)","plainTextFormattedCitation":"(Heese et al., 2017)","previouslyFormattedCitation":"(Heese et al., 2017)"},"properties":{"noteIndex":0},"schema":"https://github.com/citation-style-language/schema/raw/master/csl-citation.json"}</w:instrText>
            </w:r>
            <w:r>
              <w:rPr>
                <w:rFonts w:eastAsiaTheme="minorEastAsia"/>
              </w:rPr>
              <w:fldChar w:fldCharType="separate"/>
            </w:r>
            <w:r>
              <w:rPr>
                <w:rFonts w:eastAsiaTheme="minorEastAsia"/>
                <w:noProof/>
              </w:rPr>
              <w:t>(Heese et al., 2017)</w:t>
            </w:r>
            <w:r>
              <w:rPr>
                <w:rFonts w:eastAsiaTheme="minorEastAsia"/>
              </w:rP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3B95A5D2" w14:textId="77777777" w:rsidR="00CE1820" w:rsidRDefault="00CE1820">
            <w:pPr>
              <w:jc w:val="center"/>
            </w:pPr>
            <w:r>
              <w:t>-</w:t>
            </w:r>
          </w:p>
        </w:tc>
      </w:tr>
      <w:tr w:rsidR="00CE1820" w14:paraId="081F7500"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6BDDE3B6" w14:textId="77777777" w:rsidR="00CE1820" w:rsidRDefault="00CE1820">
            <w:pPr>
              <w:rPr>
                <w:i/>
              </w:rPr>
            </w:pPr>
            <w:r>
              <w:rPr>
                <w:i/>
              </w:rPr>
              <w:t>Big 4</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A75AA70"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4F186520" w14:textId="77777777" w:rsidR="00CE1820" w:rsidRDefault="00CE1820">
            <w:r>
              <w:t xml:space="preserve">Firms audited by Big 4 auditors may have more standard reports which could attract less SEC scrutiny </w:t>
            </w:r>
            <w:r>
              <w:fldChar w:fldCharType="begin" w:fldLock="1"/>
            </w:r>
            <w:r>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Research","id":"ITEM-1","issue":"2","issued":{"date-parts":[["2017"]]},"page":"1128-1155","title":"Regulatory Oversight of Financial Reporting: Securities and Exchange Commission Comment Letters","type":"article-journal","volume":"34"},"uris":["http://www.mendeley.com/documents/?uuid=6f0a5987-96ef-4573-9c9a-4445f9fb6ad8"]}],"mendeley":{"formattedCitation":"(Johnston &amp; Petacchi, 2017)","plainTextFormattedCitation":"(Johnston &amp; Petacchi, 2017)","previouslyFormattedCitation":"(Johnston &amp; Petacchi, 2017)"},"properties":{"noteIndex":0},"schema":"https://github.com/citation-style-language/schema/raw/master/csl-citation.json"}</w:instrText>
            </w:r>
            <w:r>
              <w:fldChar w:fldCharType="separate"/>
            </w:r>
            <w:r>
              <w:rPr>
                <w:noProof/>
              </w:rPr>
              <w:t>(Johnston &amp; Petacchi, 2017)</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75EC5FAD" w14:textId="77777777" w:rsidR="00CE1820" w:rsidRDefault="00CE1820">
            <w:pPr>
              <w:jc w:val="center"/>
            </w:pPr>
            <w:r>
              <w:t>-</w:t>
            </w:r>
          </w:p>
        </w:tc>
      </w:tr>
      <w:tr w:rsidR="00CE1820" w14:paraId="1F94543C"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39D82BEF" w14:textId="77777777" w:rsidR="00CE1820" w:rsidRDefault="00CE1820">
            <w:pPr>
              <w:rPr>
                <w:i/>
              </w:rPr>
            </w:pPr>
            <w:proofErr w:type="spellStart"/>
            <w:r>
              <w:rPr>
                <w:i/>
              </w:rPr>
              <w:t>CEOchairman</w:t>
            </w:r>
            <w:proofErr w:type="spellEnd"/>
          </w:p>
        </w:tc>
        <w:tc>
          <w:tcPr>
            <w:tcW w:w="2105" w:type="dxa"/>
            <w:tcBorders>
              <w:top w:val="single" w:sz="4" w:space="0" w:color="auto"/>
              <w:left w:val="single" w:sz="4" w:space="0" w:color="auto"/>
              <w:bottom w:val="single" w:sz="4" w:space="0" w:color="auto"/>
              <w:right w:val="single" w:sz="4" w:space="0" w:color="auto"/>
            </w:tcBorders>
            <w:vAlign w:val="center"/>
            <w:hideMark/>
          </w:tcPr>
          <w:p w14:paraId="351A4CBC"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4CFEAB20" w14:textId="77777777" w:rsidR="00CE1820" w:rsidRDefault="00CE1820">
            <w:r>
              <w:t>When the board is led by a member of management, the board’s monitoring effectiveness may be weaker (</w:t>
            </w:r>
            <w:proofErr w:type="spellStart"/>
            <w:r>
              <w:t>Ertimur</w:t>
            </w:r>
            <w:proofErr w:type="spellEnd"/>
            <w:r>
              <w:t xml:space="preserve"> &amp; </w:t>
            </w:r>
            <w:proofErr w:type="spellStart"/>
            <w:r>
              <w:t>Nondorf</w:t>
            </w:r>
            <w:proofErr w:type="spellEnd"/>
            <w:r>
              <w:t>, 2006)</w:t>
            </w:r>
            <w:r>
              <w:rPr>
                <w:b/>
              </w:rPr>
              <w:t xml:space="preserve"> </w:t>
            </w:r>
            <w:r>
              <w:t xml:space="preserve">and hence, the degree of SEC review may be more intense for these firms </w:t>
            </w:r>
            <w:r>
              <w:fldChar w:fldCharType="begin" w:fldLock="1"/>
            </w:r>
            <w: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remediation","type":"article-journal","volume":"88"},"uris":["http://www.mendeley.com/documents/?uuid=dea718b9-c36f-49a6-a8c7-49415620a7b4"]},{"id":"ITEM-2","itemData":{"DOI":"10.2308/accr-10033","ISSN":"00014826","abstract":"We investigate the economic forces that influence noncompliance with mandatory compensation disclosures and the effect of a subsequent focused enforcement action. We utilize SEC evaluations of compensation disclosures mandated by rules adopted in 2006 to examine whether noncompliance is associated with excess CEO compensation, proprietary costs, or previous media attention. We further test whether subsequent CEO compensation declines after the SEC publicly identifies noncompliance. We construct measures of defective disclosures from SEC critiques and find that disclosure defects are positively associated with excess CEO compensation and media criticism of CEO compensation during the previous year. We find no evidence supporting the contention that compensation disclosure defects are associated with proprietary costs. Furthermore, we are unable to document that the level of disclosure defects identified by the SEC is associated witha reductioninexcess CEO compensation in the subsequent year.","author":[{"dropping-particle":"","family":"Robinson","given":"J. R.","non-dropping-particle":"","parse-names":false,"suffix":""},{"dropping-particle":"","family":"Xue","given":"Y.","non-dropping-particle":"","parse-names":false,"suffix":""},{"dropping-particle":"","family":"Yu","given":"Y.","non-dropping-particle":"","parse-names":false,"suffix":""}],"container-title":"Accounting Review","id":"ITEM-2","issue":"4","issued":{"date-parts":[["2011"]]},"page":"1415-1444","title":"Determinants of disclosure noncompliance and the effect of the SEC review: Evidence from the 2006 mandated compensation disclosure regulations","type":"article-journal","volume":"86"},"uris":["http://www.mendeley.com/documents/?uuid=e8971756-f262-4b89-b55d-978e24fc4f8c"]},{"id":"ITEM-3","itemData":{"DOI":"10.1007/s11142-011-9153-8","ISSN":"13806653","abstract":"Motivated by calls for increased compliance, size-based regulation, and continued exemption of small firms from internal control reporting requirements, we assess the incremental effects of firm size, corporate governance quality, and bad news on disclosure compliance. We examine compliance with the disclosure requirements of an SEC-mandated filing that requires no computations or complex judgments, but is non-routine and may reveal value-decreasing information (i.e., bad news) that otherwise would not become public. The disclosures studied are those that firms provide in Form 8-K Item 4 when changing external auditors. We find that non-compliant firms have lower quality corporate governance and less need for external financing, but are not smaller than compliant control firms. Additional analyses indicate that compliance is negatively associated with bad news.","author":[{"dropping-particle":"","family":"Ettredge","given":"M.","non-dropping-particle":"","parse-names":false,"suffix":""},{"dropping-particle":"","family":"Johnstone","given":"K.","non-dropping-particle":"","parse-names":false,"suffix":""},{"dropping-particle":"","family":"Stone","given":"M.","non-dropping-particle":"","parse-names":false,"suffix":""},{"dropping-particle":"","family":"Wang","given":"Q.","non-dropping-particle":"","parse-names":false,"suffix":""}],"container-title":"Review of Accounting Studies","id":"ITEM-3","issue":"4","issued":{"date-parts":[["2011"]]},"page":"866-889","title":"The effects of firm size, corporate governance quality, and bad news on disclosure compliance","type":"article-journal","volume":"16"},"uris":["http://www.mendeley.com/documents/?uuid=2c677795-dcd8-4506-87da-1a5ecc2c0b18"]},{"id":"ITEM-4","itemData":{"abstract":"We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paper","id":"ITEM-4","issued":{"date-parts":[["2006"]]},"title":"IPO Firms and the SEC Comment Letter Process","type":"report"},"uris":["http://www.mendeley.com/documents/?uuid=01b61a32-44a8-4cff-b503-d4d5cb89a0fb"]}],"mendeley":{"formattedCitation":"(Cassell et al., 2013; Ertimur &amp; Nondorf, 2006; Ettredge et al., 2011; Robinson et al., 2011)","manualFormatting":"( Ertimur &amp; Nondorf, 2006; Ettredge et al., 2011; Robinson et al., 2011; Cassell et al., 2013)","plainTextFormattedCitation":"(Cassell et al., 2013; Ertimur &amp; Nondorf, 2006; Ettredge et al., 2011; Robinson et al., 2011)","previouslyFormattedCitation":"(Cassell et al., 2013; Ertimur &amp; Nondorf, 2006; Ettredge et al., 2011; Robinson et al., 2011)"},"properties":{"noteIndex":0},"schema":"https://github.com/citation-style-language/schema/raw/master/csl-citation.json"}</w:instrText>
            </w:r>
            <w:r>
              <w:fldChar w:fldCharType="separate"/>
            </w:r>
            <w:r>
              <w:rPr>
                <w:noProof/>
              </w:rPr>
              <w:t>( Ertimur &amp; Nondorf, 2006; Ettredge et al., 2011; Robinson et al., 2011; Cassell et al., 2013)</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60F7DADE" w14:textId="77777777" w:rsidR="00CE1820" w:rsidRDefault="00CE1820">
            <w:pPr>
              <w:jc w:val="center"/>
            </w:pPr>
            <w:r>
              <w:t>+</w:t>
            </w:r>
          </w:p>
        </w:tc>
      </w:tr>
      <w:tr w:rsidR="00CE1820" w14:paraId="28B7B68E" w14:textId="77777777" w:rsidTr="00900BF8">
        <w:trPr>
          <w:trHeight w:val="405"/>
        </w:trPr>
        <w:tc>
          <w:tcPr>
            <w:tcW w:w="14385" w:type="dxa"/>
            <w:gridSpan w:val="5"/>
            <w:tcBorders>
              <w:top w:val="single" w:sz="4" w:space="0" w:color="auto"/>
              <w:left w:val="single" w:sz="4" w:space="0" w:color="auto"/>
              <w:bottom w:val="single" w:sz="4" w:space="0" w:color="auto"/>
              <w:right w:val="single" w:sz="4" w:space="0" w:color="auto"/>
            </w:tcBorders>
            <w:hideMark/>
          </w:tcPr>
          <w:p w14:paraId="1870569E" w14:textId="77777777" w:rsidR="00CE1820" w:rsidRDefault="00CE1820" w:rsidP="00CE1820">
            <w:pPr>
              <w:pStyle w:val="ListParagraph"/>
              <w:numPr>
                <w:ilvl w:val="0"/>
                <w:numId w:val="15"/>
              </w:numPr>
              <w:ind w:left="314"/>
              <w:jc w:val="center"/>
              <w:rPr>
                <w:b/>
              </w:rPr>
            </w:pPr>
            <w:r>
              <w:rPr>
                <w:b/>
              </w:rPr>
              <w:t>Incidences of regulatory changes and crises</w:t>
            </w:r>
          </w:p>
        </w:tc>
      </w:tr>
      <w:tr w:rsidR="00CE1820" w14:paraId="228120D1"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2AE3202E" w14:textId="77777777" w:rsidR="00CE1820" w:rsidRDefault="00CE1820">
            <w:pPr>
              <w:rPr>
                <w:i/>
              </w:rPr>
            </w:pPr>
            <w:r>
              <w:rPr>
                <w:i/>
              </w:rPr>
              <w:t>JOBs Act</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6566032" w14:textId="77777777" w:rsidR="00CE1820" w:rsidRDefault="00CE1820">
            <w:r>
              <w:t>Capture theory</w:t>
            </w:r>
          </w:p>
        </w:tc>
        <w:tc>
          <w:tcPr>
            <w:tcW w:w="8407" w:type="dxa"/>
            <w:tcBorders>
              <w:top w:val="single" w:sz="4" w:space="0" w:color="auto"/>
              <w:left w:val="single" w:sz="4" w:space="0" w:color="auto"/>
              <w:bottom w:val="single" w:sz="4" w:space="0" w:color="auto"/>
              <w:right w:val="single" w:sz="4" w:space="0" w:color="auto"/>
            </w:tcBorders>
            <w:hideMark/>
          </w:tcPr>
          <w:p w14:paraId="1EF1ED4B" w14:textId="77777777" w:rsidR="00CE1820" w:rsidRDefault="00CE1820" w:rsidP="00CE1820">
            <w:pPr>
              <w:pStyle w:val="ListParagraph"/>
              <w:numPr>
                <w:ilvl w:val="0"/>
                <w:numId w:val="17"/>
              </w:numPr>
              <w:ind w:left="211" w:hanging="218"/>
            </w:pPr>
            <w:r>
              <w:t>JOBs Act aims to eliminate restrictions and SEC disclosure regulation on EGCs going public</w:t>
            </w:r>
          </w:p>
          <w:p w14:paraId="6C8C2542" w14:textId="77777777" w:rsidR="00900BF8" w:rsidRDefault="00900BF8" w:rsidP="00CE1820">
            <w:pPr>
              <w:pStyle w:val="ListParagraph"/>
              <w:numPr>
                <w:ilvl w:val="0"/>
                <w:numId w:val="17"/>
              </w:numPr>
              <w:ind w:left="211" w:hanging="218"/>
            </w:pPr>
            <w:r>
              <w:rPr>
                <w:lang w:eastAsia="en-US"/>
              </w:rPr>
              <w:fldChar w:fldCharType="begin" w:fldLock="1"/>
            </w:r>
            <w:r>
              <w:rPr>
                <w:lang w:eastAsia="en-US"/>
              </w:rPr>
              <w:instrText>ADDIN CSL_CITATION {"citationItems":[{"id":"ITEM-1","itemData":{"author":[{"dropping-particle":"","family":"Agarwal","given":"S.","non-dropping-particle":"","parse-names":false,"suffix":""},{"dropping-particle":"","family":"Gupta","given":"S.","non-dropping-particle":"","parse-names":false,"suffix":""},{"dropping-particle":"","family":"Israelsen","given":"R. D.","non-dropping-particle":"","parse-names":false,"suffix":""}],"container-title":"Kelley School of Business Research Paper No. 17-4","id":"ITEM-1","issued":{"date-parts":[["2017"]]},"title":"Public and Private Information: Firm Disclosure, SEC Letters, and the JOBS Act","type":"article-journal"},"uris":["http://www.mendeley.com/documents/?uuid=3e33ca0d-33d1-4254-82ac-0ff3e8a888b2"]}],"mendeley":{"formattedCitation":"(Agarwal, Gupta, &amp; Israelsen, 2017)","manualFormatting":"Agarwal et al. (2017)","plainTextFormattedCitation":"(Agarwal, Gupta, &amp; Israelsen, 2017)","previouslyFormattedCitation":"(Agarwal, Gupta, &amp; Israelsen, 2017)"},"properties":{"noteIndex":0},"schema":"https://github.com/citation-style-language/schema/raw/master/csl-citation.json"}</w:instrText>
            </w:r>
            <w:r>
              <w:rPr>
                <w:lang w:eastAsia="en-US"/>
              </w:rPr>
              <w:fldChar w:fldCharType="separate"/>
            </w:r>
            <w:r>
              <w:rPr>
                <w:noProof/>
                <w:lang w:eastAsia="en-US"/>
              </w:rPr>
              <w:t>Agarwal et al. (2017)</w:t>
            </w:r>
            <w:r>
              <w:rPr>
                <w:lang w:eastAsia="en-US"/>
              </w:rPr>
              <w:fldChar w:fldCharType="end"/>
            </w:r>
            <w:r>
              <w:rPr>
                <w:lang w:eastAsia="en-US"/>
              </w:rPr>
              <w:t xml:space="preserve"> observe that SEC adjust their styles in reviewing IPO prospectuses prepared by of ECGs after the enactment of JOBs Act. </w:t>
            </w:r>
          </w:p>
          <w:p w14:paraId="1AB5560D" w14:textId="3A3F8A43" w:rsidR="00900BF8" w:rsidRDefault="00900BF8" w:rsidP="00CE1820">
            <w:pPr>
              <w:pStyle w:val="ListParagraph"/>
              <w:numPr>
                <w:ilvl w:val="0"/>
                <w:numId w:val="17"/>
              </w:numPr>
              <w:ind w:left="211" w:hanging="218"/>
            </w:pPr>
            <w:r>
              <w:rPr>
                <w:lang w:eastAsia="en-US"/>
              </w:rPr>
              <w:fldChar w:fldCharType="begin" w:fldLock="1"/>
            </w:r>
            <w:r>
              <w:rPr>
                <w:lang w:eastAsia="en-US"/>
              </w:rPr>
              <w:instrText>ADDIN CSL_CITATION {"citationItems":[{"id":"ITEM-1","itemData":{"ISSN":"1475679X","abstract":"We examine the effects of Title I of the Jumpstart Our Business Startups Act (JOBS) for a sample of 213 EGC IPOs issued between April 5, 2012 and April 30, 2014. We show no reduction in the direct costs of issuance, accounting, legal, or underwriting fees, for EGC IPOs. Further, the indirect cost of issuance, underpricing, is significantly higher for EGCs than other IPOs. More importantly, greater underpricing is present only for larger firms that were not previously eligible for scaled disclosure under Regulation S-K. EGCs that are more definitive about their intentions to use the provisions of the Act have lower underpricing than those that are ambiguous. Finally, we find no increase in IPO volume after the Act. Overall, we find little evidence that the Act has initially been effective in achieving its main objectives and conclude that there are significant consequences to extending scaled disclosure to larger issuers.","author":[{"dropping-particle":"","family":"Chaplinsky","given":"Susan","non-dropping-particle":"","parse-names":false,"suffix":""},{"dropping-particle":"","family":"Hanley","given":"Kathleen Weiss","non-dropping-particle":"","parse-names":false,"suffix":""},{"dropping-particle":"","family":"Moon","given":"S. Katie","non-dropping-particle":"","parse-names":false,"suffix":""}],"container-title":"Journal of Accounting Research","id":"ITEM-1","issue":"4","issued":{"date-parts":[["2017"]]},"page":"795-836","title":"The JOBS Act and the Costs of Going Public","type":"article-journal","volume":"55"},"uris":["http://www.mendeley.com/documents/?uuid=3695e7dd-d3b0-4cad-9f96-85adfdfb0789"]}],"mendeley":{"formattedCitation":"(Chaplinsky, Hanley, &amp; Moon, 2017)","manualFormatting":"Chaplinsky et al. (2017)","plainTextFormattedCitation":"(Chaplinsky, Hanley, &amp; Moon, 2017)","previouslyFormattedCitation":"(Chaplinsky, Hanley, &amp; Moon, 2017)"},"properties":{"noteIndex":0},"schema":"https://github.com/citation-style-language/schema/raw/master/csl-citation.json"}</w:instrText>
            </w:r>
            <w:r>
              <w:rPr>
                <w:lang w:eastAsia="en-US"/>
              </w:rPr>
              <w:fldChar w:fldCharType="separate"/>
            </w:r>
            <w:r>
              <w:rPr>
                <w:noProof/>
                <w:lang w:eastAsia="en-US"/>
              </w:rPr>
              <w:t>Chaplinsky et al. (2017)</w:t>
            </w:r>
            <w:r>
              <w:rPr>
                <w:lang w:eastAsia="en-US"/>
              </w:rPr>
              <w:fldChar w:fldCharType="end"/>
            </w:r>
            <w:r>
              <w:rPr>
                <w:lang w:eastAsia="en-US"/>
              </w:rPr>
              <w:t xml:space="preserve"> state that Title I of JOBs Act decreases ability of regulators to address and prosecute fraud</w:t>
            </w:r>
            <w:r w:rsidR="000C7BDB">
              <w:rPr>
                <w:lang w:eastAsia="en-US"/>
              </w:rPr>
              <w:t xml:space="preserve">. </w:t>
            </w:r>
          </w:p>
        </w:tc>
        <w:tc>
          <w:tcPr>
            <w:tcW w:w="2043" w:type="dxa"/>
            <w:tcBorders>
              <w:top w:val="single" w:sz="4" w:space="0" w:color="auto"/>
              <w:left w:val="single" w:sz="4" w:space="0" w:color="auto"/>
              <w:bottom w:val="single" w:sz="4" w:space="0" w:color="auto"/>
              <w:right w:val="single" w:sz="4" w:space="0" w:color="auto"/>
            </w:tcBorders>
            <w:vAlign w:val="center"/>
            <w:hideMark/>
          </w:tcPr>
          <w:p w14:paraId="39B2FC2D" w14:textId="77777777" w:rsidR="00CE1820" w:rsidRDefault="00CE1820">
            <w:pPr>
              <w:jc w:val="center"/>
            </w:pPr>
            <w:r>
              <w:t>-</w:t>
            </w:r>
          </w:p>
        </w:tc>
      </w:tr>
      <w:tr w:rsidR="00CE1820" w14:paraId="3423F2A7"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4ED4BCEE" w14:textId="77777777" w:rsidR="00CE1820" w:rsidRDefault="00CE1820">
            <w:pPr>
              <w:rPr>
                <w:i/>
              </w:rPr>
            </w:pPr>
            <w:r>
              <w:rPr>
                <w:i/>
              </w:rPr>
              <w:lastRenderedPageBreak/>
              <w:t>Dodd-Frank</w:t>
            </w:r>
          </w:p>
        </w:tc>
        <w:tc>
          <w:tcPr>
            <w:tcW w:w="2105" w:type="dxa"/>
            <w:tcBorders>
              <w:top w:val="single" w:sz="4" w:space="0" w:color="auto"/>
              <w:left w:val="single" w:sz="4" w:space="0" w:color="auto"/>
              <w:bottom w:val="single" w:sz="4" w:space="0" w:color="auto"/>
              <w:right w:val="single" w:sz="4" w:space="0" w:color="auto"/>
            </w:tcBorders>
            <w:vAlign w:val="center"/>
            <w:hideMark/>
          </w:tcPr>
          <w:p w14:paraId="5260C97B"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2708C8EB" w14:textId="77777777" w:rsidR="00CE1820" w:rsidRDefault="00CE1820" w:rsidP="00CE1820">
            <w:pPr>
              <w:pStyle w:val="ListParagraph"/>
              <w:numPr>
                <w:ilvl w:val="0"/>
                <w:numId w:val="17"/>
              </w:numPr>
              <w:ind w:left="211" w:hanging="218"/>
            </w:pPr>
            <w:r>
              <w:t xml:space="preserve">Dodd-Frank Act enhances the oversight of particular organizations to provide protection for the economy and American consumers, investors and businesses </w:t>
            </w:r>
            <w:r>
              <w:fldChar w:fldCharType="begin" w:fldLock="1"/>
            </w:r>
            <w:r>
              <w:instrText>ADDIN CSL_CITATION {"citationItems":[{"id":"ITEM-1","itemData":{"author":[{"dropping-particle":"","family":"WilmerHale","given":"","non-dropping-particle":"","parse-names":false,"suffix":""}],"container-title":"Wilmer Cutler Pickering Hale And Dorr LLP","id":"ITEM-1","issued":{"date-parts":[["2011"]]},"title":"2011 IPO Report","type":"article-journal"},"uris":["http://www.mendeley.com/documents/?uuid=61ce636d-2fea-498c-998c-ca90a508b676"]}],"mendeley":{"formattedCitation":"(WilmerHale, 2011)","plainTextFormattedCitation":"(WilmerHale, 2011)","previouslyFormattedCitation":"(WilmerHale, 2011)"},"properties":{"noteIndex":0},"schema":"https://github.com/citation-style-language/schema/raw/master/csl-citation.json"}</w:instrText>
            </w:r>
            <w:r>
              <w:fldChar w:fldCharType="separate"/>
            </w:r>
            <w:r>
              <w:rPr>
                <w:noProof/>
              </w:rPr>
              <w:t>(WilmerHale, 2011)</w:t>
            </w:r>
            <w:r>
              <w:fldChar w:fldCharType="end"/>
            </w:r>
          </w:p>
          <w:p w14:paraId="661E5769" w14:textId="7CF04442" w:rsidR="00900BF8" w:rsidRDefault="00900BF8" w:rsidP="00CE1820">
            <w:pPr>
              <w:pStyle w:val="ListParagraph"/>
              <w:numPr>
                <w:ilvl w:val="0"/>
                <w:numId w:val="17"/>
              </w:numPr>
              <w:ind w:left="211" w:hanging="218"/>
            </w:pPr>
            <w:r>
              <w:rPr>
                <w:lang w:eastAsia="en-US"/>
              </w:rPr>
              <w:fldChar w:fldCharType="begin" w:fldLock="1"/>
            </w:r>
            <w:r>
              <w:rPr>
                <w:lang w:eastAsia="en-US"/>
              </w:rPr>
              <w:instrText>ADDIN CSL_CITATION {"citationItems":[{"id":"ITEM-1","itemData":{"DOI":"10.1016/j.jbankfin.2014.01.021","ISSN":"03784266","abstract":"We investigate whether or not market discipline on banking firms changed after the Dodd-Frank Wall Street Reform and Consumer Protection Act (DFA) of 2010. If market discipline is improved, we should see a lower discount for size on yield spreads, particularly for banks identified as too-big-to-fail (TBTF) or systemically important (SIFI). Using secondary market subordinated debt transactions we find that the size discount is reduced by 47% and TBTF discount is reduced by 94% after the DFA. The DFA has been effective in reducing, but not in eliminating the size and TBTF discounts on yield spreads. Market discipline of banks appears to have improved further after the rating criteria changes by Moody's. © 2014.","author":[{"dropping-particle":"","family":"Balasubramnian","given":"B.","non-dropping-particle":"","parse-names":false,"suffix":""},{"dropping-particle":"","family":"Cyree","given":"K.B.","non-dropping-particle":"","parse-names":false,"suffix":""}],"container-title":"Journal of Banking and Finance","id":"ITEM-1","issue":"1","issued":{"date-parts":[["2014"]]},"page":"155-166","publisher":"Elsevier B.V.","title":"Has market discipline on banks improved after the Dodd-Frank Act?","type":"article-journal","volume":"41"},"uris":["http://www.mendeley.com/documents/?uuid=75077377-866e-4864-aa49-595f9ad0afa6"]}],"mendeley":{"formattedCitation":"(Balasubramnian &amp; Cyree, 2014)","manualFormatting":"Balasubramnian &amp; Cyree (2014)","plainTextFormattedCitation":"(Balasubramnian &amp; Cyree, 2014)"},"properties":{"noteIndex":0},"schema":"https://github.com/citation-style-language/schema/raw/master/csl-citation.json"}</w:instrText>
            </w:r>
            <w:r>
              <w:rPr>
                <w:lang w:eastAsia="en-US"/>
              </w:rPr>
              <w:fldChar w:fldCharType="separate"/>
            </w:r>
            <w:r>
              <w:rPr>
                <w:noProof/>
                <w:lang w:eastAsia="en-US"/>
              </w:rPr>
              <w:t>Balasubramnian &amp; Cyree (</w:t>
            </w:r>
            <w:r w:rsidRPr="00900BF8">
              <w:rPr>
                <w:noProof/>
                <w:lang w:eastAsia="en-US"/>
              </w:rPr>
              <w:t>2014)</w:t>
            </w:r>
            <w:r>
              <w:rPr>
                <w:lang w:eastAsia="en-US"/>
              </w:rPr>
              <w:fldChar w:fldCharType="end"/>
            </w:r>
            <w:r>
              <w:rPr>
                <w:lang w:eastAsia="en-US"/>
              </w:rPr>
              <w:t xml:space="preserve"> observe that due to government intervention, market discipline is improved after the enactment of Dodd-Frank Act</w:t>
            </w:r>
          </w:p>
        </w:tc>
        <w:tc>
          <w:tcPr>
            <w:tcW w:w="2043" w:type="dxa"/>
            <w:tcBorders>
              <w:top w:val="single" w:sz="4" w:space="0" w:color="auto"/>
              <w:left w:val="single" w:sz="4" w:space="0" w:color="auto"/>
              <w:bottom w:val="single" w:sz="4" w:space="0" w:color="auto"/>
              <w:right w:val="single" w:sz="4" w:space="0" w:color="auto"/>
            </w:tcBorders>
            <w:vAlign w:val="center"/>
            <w:hideMark/>
          </w:tcPr>
          <w:p w14:paraId="350C4E48" w14:textId="77777777" w:rsidR="00CE1820" w:rsidRDefault="00CE1820">
            <w:pPr>
              <w:jc w:val="center"/>
            </w:pPr>
            <w:r>
              <w:t>+</w:t>
            </w:r>
          </w:p>
        </w:tc>
      </w:tr>
      <w:tr w:rsidR="00CE1820" w14:paraId="75FF1302"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6220C9FB" w14:textId="77777777" w:rsidR="00CE1820" w:rsidRDefault="00CE1820">
            <w:pPr>
              <w:rPr>
                <w:i/>
              </w:rPr>
            </w:pPr>
            <w:r>
              <w:rPr>
                <w:i/>
              </w:rPr>
              <w:t>Financial crisis</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EF18FCE"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3426A1B6" w14:textId="77777777" w:rsidR="00CE1820" w:rsidRDefault="00CE1820" w:rsidP="00CE1820">
            <w:pPr>
              <w:pStyle w:val="ListParagraph"/>
              <w:numPr>
                <w:ilvl w:val="0"/>
                <w:numId w:val="17"/>
              </w:numPr>
              <w:ind w:left="211" w:hanging="218"/>
            </w:pPr>
            <w:r>
              <w:t>IPO firms’ waiting periods, which include SEC review periods, are longer during the period of financial crisis 2008-2009 (</w:t>
            </w:r>
            <w:proofErr w:type="spellStart"/>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fldChar w:fldCharType="separate"/>
            </w:r>
            <w:r>
              <w:rPr>
                <w:noProof/>
              </w:rPr>
              <w:t>Colaco</w:t>
            </w:r>
            <w:proofErr w:type="spellEnd"/>
            <w:r>
              <w:rPr>
                <w:noProof/>
              </w:rPr>
              <w:t xml:space="preserve"> et al., 2018)</w:t>
            </w:r>
            <w:r>
              <w:fldChar w:fldCharType="end"/>
            </w:r>
          </w:p>
          <w:p w14:paraId="49168EB8" w14:textId="77777777" w:rsidR="00CE1820" w:rsidRDefault="00CE1820" w:rsidP="00CE1820">
            <w:pPr>
              <w:pStyle w:val="ListParagraph"/>
              <w:numPr>
                <w:ilvl w:val="0"/>
                <w:numId w:val="17"/>
              </w:numPr>
              <w:ind w:left="211" w:hanging="218"/>
            </w:pPr>
            <w:r>
              <w:t>More SEC oversight over corporate disclosures exists in the financial crisis 2008 (</w:t>
            </w:r>
            <w:r>
              <w:fldChar w:fldCharType="begin" w:fldLock="1"/>
            </w:r>
            <w:r>
              <w:instrText>ADDIN CSL_CITATION {"citationItems":[{"id":"ITEM-1","itemData":{"author":[{"dropping-particle":"","family":"Blackburne","given":"Terrence","non-dropping-particle":"","parse-names":false,"suffix":""}],"container-title":"Working paper","id":"ITEM-1","issued":{"date-parts":[["2014"]]},"title":"Regulatory Oversight and Reporting Incentives: Evidence from SEC Budget Allocations Terrence","type":"article-journal"},"uris":["http://www.mendeley.com/documents/?uuid=9a5e3877-0197-49fd-9514-481934d4138a"]}],"mendeley":{"formattedCitation":"(Blackburne, 2014)","manualFormatting":"Blackburne, 2014)","plainTextFormattedCitation":"(Blackburne, 2014)","previouslyFormattedCitation":"(Blackburne, 2014)"},"properties":{"noteIndex":0},"schema":"https://github.com/citation-style-language/schema/raw/master/csl-citation.json"}</w:instrText>
            </w:r>
            <w:r>
              <w:fldChar w:fldCharType="separate"/>
            </w:r>
            <w:r>
              <w:rPr>
                <w:noProof/>
              </w:rPr>
              <w:t>Blackburne, 2014)</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016E0D40" w14:textId="77777777" w:rsidR="00CE1820" w:rsidRDefault="00CE1820">
            <w:pPr>
              <w:jc w:val="center"/>
            </w:pPr>
            <w:r>
              <w:t>+</w:t>
            </w:r>
          </w:p>
        </w:tc>
      </w:tr>
      <w:tr w:rsidR="00CE1820" w14:paraId="0AB13927" w14:textId="77777777" w:rsidTr="00900BF8">
        <w:tc>
          <w:tcPr>
            <w:tcW w:w="14385" w:type="dxa"/>
            <w:gridSpan w:val="5"/>
            <w:tcBorders>
              <w:top w:val="single" w:sz="4" w:space="0" w:color="auto"/>
              <w:left w:val="single" w:sz="4" w:space="0" w:color="auto"/>
              <w:bottom w:val="single" w:sz="4" w:space="0" w:color="auto"/>
              <w:right w:val="single" w:sz="4" w:space="0" w:color="auto"/>
            </w:tcBorders>
            <w:hideMark/>
          </w:tcPr>
          <w:p w14:paraId="55892DDC" w14:textId="77777777" w:rsidR="00CE1820" w:rsidRDefault="00CE1820" w:rsidP="00CE1820">
            <w:pPr>
              <w:pStyle w:val="ListParagraph"/>
              <w:numPr>
                <w:ilvl w:val="0"/>
                <w:numId w:val="15"/>
              </w:numPr>
              <w:ind w:left="314"/>
              <w:jc w:val="center"/>
              <w:rPr>
                <w:b/>
              </w:rPr>
            </w:pPr>
            <w:r>
              <w:rPr>
                <w:b/>
              </w:rPr>
              <w:t>Industry/market characteristics</w:t>
            </w:r>
          </w:p>
        </w:tc>
      </w:tr>
      <w:tr w:rsidR="00CE1820" w14:paraId="3F03ED92"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4BEA33AE" w14:textId="77777777" w:rsidR="00CE1820" w:rsidRDefault="00CE1820">
            <w:pPr>
              <w:rPr>
                <w:i/>
              </w:rPr>
            </w:pPr>
            <w:r>
              <w:rPr>
                <w:i/>
              </w:rPr>
              <w:t>Regulated</w:t>
            </w:r>
          </w:p>
        </w:tc>
        <w:tc>
          <w:tcPr>
            <w:tcW w:w="2105" w:type="dxa"/>
            <w:tcBorders>
              <w:top w:val="single" w:sz="4" w:space="0" w:color="auto"/>
              <w:left w:val="single" w:sz="4" w:space="0" w:color="auto"/>
              <w:bottom w:val="single" w:sz="4" w:space="0" w:color="auto"/>
              <w:right w:val="single" w:sz="4" w:space="0" w:color="auto"/>
            </w:tcBorders>
            <w:vAlign w:val="center"/>
            <w:hideMark/>
          </w:tcPr>
          <w:p w14:paraId="72CD81FC"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51009057" w14:textId="77777777" w:rsidR="00CE1820" w:rsidRDefault="00CE1820">
            <w:r>
              <w:t xml:space="preserve">Regulated firms have specific external reporting duties and thus the quality of the regulated firms' S-1 filings could be more standard than other firms </w:t>
            </w:r>
            <w:r>
              <w:fldChar w:fldCharType="begin" w:fldLock="1"/>
            </w:r>
            <w: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fldChar w:fldCharType="separate"/>
            </w:r>
            <w:r>
              <w:rPr>
                <w:noProof/>
              </w:rPr>
              <w:t>(Ertimur &amp; Nondorf, 2006)</w:t>
            </w:r>
            <w:r>
              <w:fldChar w:fldCharType="end"/>
            </w:r>
            <w:r>
              <w:t>, suggesting less SEC scrutiny.</w:t>
            </w:r>
          </w:p>
        </w:tc>
        <w:tc>
          <w:tcPr>
            <w:tcW w:w="2043" w:type="dxa"/>
            <w:tcBorders>
              <w:top w:val="single" w:sz="4" w:space="0" w:color="auto"/>
              <w:left w:val="single" w:sz="4" w:space="0" w:color="auto"/>
              <w:bottom w:val="single" w:sz="4" w:space="0" w:color="auto"/>
              <w:right w:val="single" w:sz="4" w:space="0" w:color="auto"/>
            </w:tcBorders>
            <w:vAlign w:val="center"/>
            <w:hideMark/>
          </w:tcPr>
          <w:p w14:paraId="1DAE33BF" w14:textId="77777777" w:rsidR="00CE1820" w:rsidRDefault="00CE1820">
            <w:pPr>
              <w:jc w:val="center"/>
            </w:pPr>
            <w:r>
              <w:t>-</w:t>
            </w:r>
          </w:p>
        </w:tc>
      </w:tr>
      <w:tr w:rsidR="00CE1820" w14:paraId="1A2FAF00" w14:textId="77777777" w:rsidTr="00900BF8">
        <w:trPr>
          <w:gridAfter w:val="1"/>
          <w:wAfter w:w="14" w:type="dxa"/>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14BDC2F2" w14:textId="77777777" w:rsidR="00CE1820" w:rsidRDefault="00CE1820">
            <w:pPr>
              <w:rPr>
                <w:i/>
              </w:rPr>
            </w:pPr>
            <w:r>
              <w:rPr>
                <w:i/>
              </w:rPr>
              <w:t>Technology</w:t>
            </w:r>
          </w:p>
        </w:tc>
        <w:tc>
          <w:tcPr>
            <w:tcW w:w="2105" w:type="dxa"/>
            <w:tcBorders>
              <w:top w:val="single" w:sz="4" w:space="0" w:color="auto"/>
              <w:left w:val="single" w:sz="4" w:space="0" w:color="auto"/>
              <w:bottom w:val="single" w:sz="4" w:space="0" w:color="auto"/>
              <w:right w:val="single" w:sz="4" w:space="0" w:color="auto"/>
            </w:tcBorders>
            <w:vAlign w:val="center"/>
            <w:hideMark/>
          </w:tcPr>
          <w:p w14:paraId="4EEC8DA3" w14:textId="77777777" w:rsidR="00CE1820" w:rsidRDefault="00CE1820">
            <w:r>
              <w:t>Economic interest group theory</w:t>
            </w:r>
          </w:p>
        </w:tc>
        <w:tc>
          <w:tcPr>
            <w:tcW w:w="8407" w:type="dxa"/>
            <w:tcBorders>
              <w:top w:val="single" w:sz="4" w:space="0" w:color="auto"/>
              <w:left w:val="single" w:sz="4" w:space="0" w:color="auto"/>
              <w:bottom w:val="single" w:sz="4" w:space="0" w:color="auto"/>
              <w:right w:val="single" w:sz="4" w:space="0" w:color="auto"/>
            </w:tcBorders>
            <w:hideMark/>
          </w:tcPr>
          <w:p w14:paraId="64028A3E" w14:textId="77777777" w:rsidR="00CE1820" w:rsidRDefault="00CE1820">
            <w:r>
              <w:t>Waiting periods of firms operating in the technology industries are shorter than other firms (</w:t>
            </w:r>
            <w:proofErr w:type="spellStart"/>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fldChar w:fldCharType="separate"/>
            </w:r>
            <w:r>
              <w:rPr>
                <w:noProof/>
              </w:rPr>
              <w:t>Colaco</w:t>
            </w:r>
            <w:proofErr w:type="spellEnd"/>
            <w:r>
              <w:rPr>
                <w:noProof/>
              </w:rPr>
              <w:t xml:space="preserve"> et al., 2018)</w:t>
            </w:r>
            <w:r>
              <w:fldChar w:fldCharType="end"/>
            </w:r>
            <w:r>
              <w:t xml:space="preserve"> since technology firms confront serious competition in their industry  and quickly becoming effective IPOs would be in their best interest.</w:t>
            </w:r>
          </w:p>
        </w:tc>
        <w:tc>
          <w:tcPr>
            <w:tcW w:w="2043" w:type="dxa"/>
            <w:vMerge w:val="restart"/>
            <w:tcBorders>
              <w:top w:val="single" w:sz="4" w:space="0" w:color="auto"/>
              <w:left w:val="single" w:sz="4" w:space="0" w:color="auto"/>
              <w:bottom w:val="single" w:sz="4" w:space="0" w:color="auto"/>
              <w:right w:val="single" w:sz="4" w:space="0" w:color="auto"/>
            </w:tcBorders>
            <w:vAlign w:val="center"/>
            <w:hideMark/>
          </w:tcPr>
          <w:p w14:paraId="507E592B" w14:textId="77777777" w:rsidR="00CE1820" w:rsidRDefault="00CE1820">
            <w:pPr>
              <w:jc w:val="center"/>
            </w:pPr>
            <w:r>
              <w:t>+/-</w:t>
            </w:r>
          </w:p>
        </w:tc>
      </w:tr>
      <w:tr w:rsidR="00CE1820" w14:paraId="78FCDE18" w14:textId="77777777" w:rsidTr="00900BF8">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94773" w14:textId="77777777" w:rsidR="00CE1820" w:rsidRDefault="00CE1820">
            <w:pPr>
              <w:rPr>
                <w:i/>
                <w:sz w:val="22"/>
                <w:szCs w:val="22"/>
                <w:lang w:eastAsia="en-US"/>
              </w:rPr>
            </w:pPr>
          </w:p>
        </w:tc>
        <w:tc>
          <w:tcPr>
            <w:tcW w:w="2105" w:type="dxa"/>
            <w:tcBorders>
              <w:top w:val="single" w:sz="4" w:space="0" w:color="auto"/>
              <w:left w:val="single" w:sz="4" w:space="0" w:color="auto"/>
              <w:bottom w:val="single" w:sz="4" w:space="0" w:color="auto"/>
              <w:right w:val="single" w:sz="4" w:space="0" w:color="auto"/>
            </w:tcBorders>
            <w:vAlign w:val="center"/>
            <w:hideMark/>
          </w:tcPr>
          <w:p w14:paraId="2616E650"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578E553E" w14:textId="77777777" w:rsidR="00CE1820" w:rsidRDefault="00CE1820">
            <w:r>
              <w:t xml:space="preserve">Technology industries may have more information uncertainty </w:t>
            </w:r>
            <w:r>
              <w:fldChar w:fldCharType="begin" w:fldLock="1"/>
            </w:r>
            <w:r>
              <w:instrText>ADDIN CSL_CITATION {"citationItems":[{"id":"ITEM-1","itemData":{"author":[{"dropping-particle":"","family":"Barry","given":"Christopher B.","non-dropping-particle":"","parse-names":false,"suffix":""},{"dropping-particle":"","family":"Brown","given":"Stephen J.","non-dropping-particle":"","parse-names":false,"suffix":""}],"container-title":"Journal of Financial and Quantitative Analysis","id":"ITEM-1","issue":"4","issued":{"date-parts":[["1985"]]},"page":"407-422","title":"Differential Information and Security Market Equilibrium","type":"article-journal","volume":"20"},"uris":["http://www.mendeley.com/documents/?uuid=009c1230-f447-4885-91cf-cfa8736a0c73"]},{"id":"ITEM-2","itemData":{"ISBN":"00221082","ISSN":"00221082","PMID":"19448626","abstract":"There is substantial evidence of short-term stock price continuation, which the prior literature often attributes to investor behavioral biases such as underreaction to new information. This paper investigates the role of information uncertainty in price con- tinuation anomalies and cross-sectional variations in stock returns. If short-term price continuation is due to investor behavioral biases, we should observe greater price drift when there is greater information uncertainty. As a result, greater information uncertainty should produce relatively higher expected returns following good news and relatively lower expected returns following bad news. My evidence supports this hypothesis.","author":[{"dropping-particle":"","family":"Zhang","given":"X Frank","non-dropping-particle":"","parse-names":false,"suffix":""}],"container-title":"The Journal of Finance","id":"ITEM-2","issue":"1","issued":{"date-parts":[["2006"]]},"page":"105-137","title":"Information Uncertainty and Stock Returns","type":"article-journal","volume":"61"},"uris":["http://www.mendeley.com/documents/?uuid=dc7d80c9-d3d7-47c5-8574-8d49e3754c6f"]}],"mendeley":{"formattedCitation":"(Barry &amp; Brown, 1985; Zhang, 2006)","manualFormatting":"(Chahine et al., 2015; Colaco et al.; 2018)","plainTextFormattedCitation":"(Barry &amp; Brown, 1985; Zhang, 2006)","previouslyFormattedCitation":"(Barry &amp; Brown, 1985; Zhang, 2006)"},"properties":{"noteIndex":0},"schema":"https://github.com/citation-style-language/schema/raw/master/csl-citation.json"}</w:instrText>
            </w:r>
            <w:r>
              <w:fldChar w:fldCharType="separate"/>
            </w:r>
            <w:r>
              <w:rPr>
                <w:noProof/>
              </w:rPr>
              <w:t>(Chahine et al., 2015; Colaco et al.; 2018)</w:t>
            </w:r>
            <w:r>
              <w:fldChar w:fldCharType="end"/>
            </w:r>
            <w:r>
              <w:t xml:space="preserve">, who could attract more SEC scrutiny </w:t>
            </w:r>
            <w:r>
              <w:fldChar w:fldCharType="begin" w:fldLock="1"/>
            </w:r>
            <w: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Finance","id":"ITEM-2","issue":"0","issued":{"date-parts":[["2017"]]},"page":"1-34","publisher":"Taylor &amp; Francis","title":"The waiting period of initial public offerings","type":"article-journal","volume":"0"},"uris":["http://www.mendeley.com/documents/?uuid=bda34aca-b6ea-4d0e-acb5-9e39bbde12a4"]},{"id":"ITEM-3","itemData":{"abstract":"We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paper","id":"ITEM-3","issued":{"date-parts":[["2006"]]},"title":"IPO Firms and the SEC Comment Letter Process","type":"report"},"uris":["http://www.mendeley.com/documents/?uuid=01b61a32-44a8-4cff-b503-d4d5cb89a0fb"]}],"mendeley":{"formattedCitation":"(R. Chen &amp; Johnston, 2010; Colaco et al., 2017; Ertimur &amp; Nondorf, 2006)","manualFormatting":"( Ertimur &amp; Nondorf, 2006; Chen &amp; Johnston, 2010; Colaco et al., 2018)","plainTextFormattedCitation":"(R.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fldChar w:fldCharType="separate"/>
            </w:r>
            <w:r>
              <w:rPr>
                <w:noProof/>
              </w:rPr>
              <w:t>( Ertimur &amp; Nondorf, 2006; Chen &amp; Johnston, 2010; Colaco et al., 2018)</w:t>
            </w:r>
            <w:r>
              <w:fldChar w:fldCharType="end"/>
            </w:r>
          </w:p>
        </w:tc>
        <w:tc>
          <w:tcPr>
            <w:tcW w:w="2043" w:type="dxa"/>
            <w:vMerge/>
            <w:tcBorders>
              <w:top w:val="single" w:sz="4" w:space="0" w:color="auto"/>
              <w:left w:val="single" w:sz="4" w:space="0" w:color="auto"/>
              <w:bottom w:val="single" w:sz="4" w:space="0" w:color="auto"/>
              <w:right w:val="single" w:sz="4" w:space="0" w:color="auto"/>
            </w:tcBorders>
            <w:vAlign w:val="center"/>
            <w:hideMark/>
          </w:tcPr>
          <w:p w14:paraId="0A68FE9F" w14:textId="77777777" w:rsidR="00CE1820" w:rsidRDefault="00CE1820">
            <w:pPr>
              <w:rPr>
                <w:sz w:val="22"/>
                <w:szCs w:val="22"/>
                <w:lang w:eastAsia="en-US"/>
              </w:rPr>
            </w:pPr>
          </w:p>
        </w:tc>
      </w:tr>
      <w:tr w:rsidR="00CE1820" w14:paraId="27C1E0A2"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17E131BD" w14:textId="77777777" w:rsidR="00CE1820" w:rsidRDefault="00CE1820">
            <w:pPr>
              <w:rPr>
                <w:i/>
              </w:rPr>
            </w:pPr>
            <w:r>
              <w:rPr>
                <w:i/>
              </w:rPr>
              <w:t>IPOs by industry</w:t>
            </w:r>
          </w:p>
        </w:tc>
        <w:tc>
          <w:tcPr>
            <w:tcW w:w="2105" w:type="dxa"/>
            <w:tcBorders>
              <w:top w:val="single" w:sz="4" w:space="0" w:color="auto"/>
              <w:left w:val="single" w:sz="4" w:space="0" w:color="auto"/>
              <w:bottom w:val="single" w:sz="4" w:space="0" w:color="auto"/>
              <w:right w:val="single" w:sz="4" w:space="0" w:color="auto"/>
            </w:tcBorders>
            <w:vAlign w:val="center"/>
            <w:hideMark/>
          </w:tcPr>
          <w:p w14:paraId="353DCC3E" w14:textId="77777777" w:rsidR="00CE1820" w:rsidRDefault="00CE1820">
            <w:r>
              <w:t>Behavioural effects regarding extensive workloads</w:t>
            </w:r>
          </w:p>
        </w:tc>
        <w:tc>
          <w:tcPr>
            <w:tcW w:w="8407" w:type="dxa"/>
            <w:tcBorders>
              <w:top w:val="single" w:sz="4" w:space="0" w:color="auto"/>
              <w:left w:val="single" w:sz="4" w:space="0" w:color="auto"/>
              <w:bottom w:val="single" w:sz="4" w:space="0" w:color="auto"/>
              <w:right w:val="single" w:sz="4" w:space="0" w:color="auto"/>
            </w:tcBorders>
            <w:hideMark/>
          </w:tcPr>
          <w:p w14:paraId="1ED14349" w14:textId="2A6887E3" w:rsidR="00CE1820" w:rsidRDefault="00CE1820" w:rsidP="00746809">
            <w:proofErr w:type="spellStart"/>
            <w:r>
              <w:t>Colaco</w:t>
            </w:r>
            <w:proofErr w:type="spellEnd"/>
            <w:r>
              <w:t xml:space="preserve"> et al. (2018) provide evidence about the decrease in waiting period in the hot IPO market where moving average of the volume of IPOs in each quarter is 50% higher than the historical average. </w:t>
            </w:r>
          </w:p>
        </w:tc>
        <w:tc>
          <w:tcPr>
            <w:tcW w:w="2043" w:type="dxa"/>
            <w:tcBorders>
              <w:top w:val="single" w:sz="4" w:space="0" w:color="auto"/>
              <w:left w:val="single" w:sz="4" w:space="0" w:color="auto"/>
              <w:bottom w:val="single" w:sz="4" w:space="0" w:color="auto"/>
              <w:right w:val="single" w:sz="4" w:space="0" w:color="auto"/>
            </w:tcBorders>
            <w:vAlign w:val="center"/>
            <w:hideMark/>
          </w:tcPr>
          <w:p w14:paraId="5D0F1C69" w14:textId="77777777" w:rsidR="00CE1820" w:rsidRDefault="00CE1820">
            <w:pPr>
              <w:jc w:val="center"/>
            </w:pPr>
            <w:r>
              <w:t>-</w:t>
            </w:r>
          </w:p>
        </w:tc>
      </w:tr>
      <w:tr w:rsidR="00CE1820" w14:paraId="76DD5FFA"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53D35D53" w14:textId="77777777" w:rsidR="00CE1820" w:rsidRDefault="00CE1820">
            <w:pPr>
              <w:rPr>
                <w:i/>
              </w:rPr>
            </w:pPr>
            <w:r>
              <w:rPr>
                <w:i/>
              </w:rPr>
              <w:t>Herfindahl index</w:t>
            </w:r>
          </w:p>
        </w:tc>
        <w:tc>
          <w:tcPr>
            <w:tcW w:w="2105" w:type="dxa"/>
            <w:tcBorders>
              <w:top w:val="single" w:sz="4" w:space="0" w:color="auto"/>
              <w:left w:val="single" w:sz="4" w:space="0" w:color="auto"/>
              <w:bottom w:val="single" w:sz="4" w:space="0" w:color="auto"/>
              <w:right w:val="single" w:sz="4" w:space="0" w:color="auto"/>
            </w:tcBorders>
            <w:vAlign w:val="center"/>
            <w:hideMark/>
          </w:tcPr>
          <w:p w14:paraId="6EB01503" w14:textId="77777777" w:rsidR="00CE1820" w:rsidRDefault="00CE1820">
            <w:r>
              <w:t>Public interest theory</w:t>
            </w:r>
          </w:p>
        </w:tc>
        <w:tc>
          <w:tcPr>
            <w:tcW w:w="8407" w:type="dxa"/>
            <w:tcBorders>
              <w:top w:val="single" w:sz="4" w:space="0" w:color="auto"/>
              <w:left w:val="single" w:sz="4" w:space="0" w:color="auto"/>
              <w:bottom w:val="single" w:sz="4" w:space="0" w:color="auto"/>
              <w:right w:val="single" w:sz="4" w:space="0" w:color="auto"/>
            </w:tcBorders>
            <w:hideMark/>
          </w:tcPr>
          <w:p w14:paraId="74230873" w14:textId="078F8137" w:rsidR="00CE1820" w:rsidRDefault="00CE1820" w:rsidP="00900BF8">
            <w:pPr>
              <w:jc w:val="both"/>
            </w:pPr>
            <w:r>
              <w:t>Due to proprietary costs of disclosure,</w:t>
            </w:r>
            <w:r>
              <w:rPr>
                <w:i/>
              </w:rPr>
              <w:t xml:space="preserve"> </w:t>
            </w:r>
            <w:r>
              <w:t>in high-concentrated or low-competitive markets, information uncertainty, which is measured by dispersion in analysts’ earnings forecasts, is higher (</w:t>
            </w:r>
            <w:r>
              <w:rPr>
                <w:i/>
              </w:rPr>
              <w:fldChar w:fldCharType="begin" w:fldLock="1"/>
            </w:r>
            <w:r w:rsidR="00143FD7">
              <w:rPr>
                <w:i/>
              </w:rPr>
              <w:instrText>ADDIN CSL_CITATION {"citationItems":[{"id":"ITEM-1","itemData":{"abstract":"This study examines the association between U.S. Census industry concentration measures and the informativeness of corporate disclosure policy. We find that in more concentrated industries firms[U+05F3] management earnings forecasts are less frequent and have shorter horizons, their disclosure ratings by analysts are lower, and they have more opaque information environments, as measured by the properties of analysts[U+05F3] earnings forecasts. Also, when these firms raise funds they prefer private placements, which have minimal SEC-mandated disclosure requirements, over seasoned equity offerings. Overall, our findings suggest that firms in more concentrated industries disclose less and avoid certain financing decisions that have non-trivial disclosure implications, presumably due to proprietary costs of disclosure. Firms in more concentrated industries tend to disclose less.These firms have more opaque information environments. The above findings are more pronounced in less financially leveraged industries.Proprietary costs of disclosure presumably lead to the study[U+05F3]s findings.","author":[{"dropping-particle":"","family":"Ali","given":"A.","non-dropping-particle":"","parse-names":false,"suffix":""},{"dropping-particle":"","family":"Klasa","given":"S.","non-dropping-particle":"","parse-names":false,"suffix":""},{"dropping-particle":"","family":"Yeung","given":"E.","non-dropping-particle":"","parse-names":false,"suffix":""}],"container-title":"Journal of Accounting and Economics","id":"ITEM-1","issue":"2-3","issued":{"date-parts":[["2014"]]},"page":"240-264","publisher":"Elsevier","title":"Industry concentration and corporate disclosure policy","type":"article-journal","volume":"58"},"uris":["http://www.mendeley.com/documents/?uuid=b015e75a-e972-4a6f-8bc4-da111c72f72c"]}],"mendeley":{"formattedCitation":"(Ali et al., 2014)","manualFormatting":"Ali et al., 2014)","plainTextFormattedCitation":"(Ali et al., 2014)","previouslyFormattedCitation":"(Ali et al., 2014)"},"properties":{"noteIndex":0},"schema":"https://github.com/citation-style-language/schema/raw/master/csl-citation.json"}</w:instrText>
            </w:r>
            <w:r>
              <w:rPr>
                <w:i/>
              </w:rPr>
              <w:fldChar w:fldCharType="separate"/>
            </w:r>
            <w:r>
              <w:rPr>
                <w:noProof/>
              </w:rPr>
              <w:t>Ali et al., 2014)</w:t>
            </w:r>
            <w:r>
              <w:rPr>
                <w:i/>
              </w:rPr>
              <w:fldChar w:fldCharType="end"/>
            </w:r>
            <w:r>
              <w:t xml:space="preserve">, suggesting more SEC scrutiny </w:t>
            </w:r>
            <w:r>
              <w:fldChar w:fldCharType="begin" w:fldLock="1"/>
            </w:r>
            <w:r>
              <w:instrText>ADDIN CSL_CITATION {"citationItems":[{"id":"ITEM-1","itemData":{"author":[{"dropping-particle":"","family":"Chen","given":"R.","non-dropping-particle":"","parse-names":false,"suffix":""},{"dropping-particle":"","family":"Johnston","given":"R.","non-dropping-particle":"","parse-names":false,"suffix":""}],"container-title":"Working paper","id":"ITEM-1","issued":{"date-parts":[["2010"]]},"title":"The effect of regulator oversight on firms' information environment: Securities and exchange commission comment letters","type":"article-journal"},"uris":["http://www.mendeley.com/documents/?uuid=31cb3f38-3b03-4c18-80a9-efacdd595b49"]},{"id":"ITEM-2","itemData":{"abstract":"We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paper","id":"ITEM-2","issued":{"date-parts":[["2006"]]},"title":"IPO Firms and the SEC Comment Letter Process","type":"report"},"uris":["http://www.mendeley.com/documents/?uuid=01b61a32-44a8-4cff-b503-d4d5cb89a0fb"]},{"id":"ITEM-3","itemData":{"ISSN":"14664364","abstract":"The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Finance","id":"ITEM-3","issue":"0","issued":{"date-parts":[["2017"]]},"page":"1-34","publisher":"Taylor &amp; Francis","title":"The waiting period of initial public offerings","type":"article-journal","volume":"0"},"uris":["http://www.mendeley.com/documents/?uuid=bda34aca-b6ea-4d0e-acb5-9e39bbde12a4"]}],"mendeley":{"formattedCitation":"(R. Chen &amp; Johnston, 2010; Colaco et al., 2017; Ertimur &amp; Nondorf, 2006)","manualFormatting":"( Ertimur &amp; Nondorf, 2006; Chen &amp; Johnston, 2010; Colaco et al., 2018) ","plainTextFormattedCitation":"(R. Chen &amp; Johnston, 2010; Colaco et al., 2017; Ertimur &amp; Nondorf, 2006)","previouslyFormattedCitation":"(R. Chen &amp; Johnston, 2010; Colaco et al., 2017; Ertimur &amp; Nondorf, 2006)"},"properties":{"noteIndex":0},"schema":"https://github.com/citation-style-language/schema/raw/master/csl-citation.json"}</w:instrText>
            </w:r>
            <w:r>
              <w:fldChar w:fldCharType="separate"/>
            </w:r>
            <w:r>
              <w:rPr>
                <w:noProof/>
              </w:rPr>
              <w:t xml:space="preserve">( Ertimur &amp; Nondorf, 2006; Chen &amp; Johnston, 2010; Colaco et al., 2018) </w:t>
            </w:r>
            <w:r>
              <w:fldChar w:fldCharType="end"/>
            </w:r>
          </w:p>
        </w:tc>
        <w:tc>
          <w:tcPr>
            <w:tcW w:w="2043" w:type="dxa"/>
            <w:tcBorders>
              <w:top w:val="single" w:sz="4" w:space="0" w:color="auto"/>
              <w:left w:val="single" w:sz="4" w:space="0" w:color="auto"/>
              <w:bottom w:val="single" w:sz="4" w:space="0" w:color="auto"/>
              <w:right w:val="single" w:sz="4" w:space="0" w:color="auto"/>
            </w:tcBorders>
            <w:vAlign w:val="center"/>
            <w:hideMark/>
          </w:tcPr>
          <w:p w14:paraId="7F08276C" w14:textId="77777777" w:rsidR="00CE1820" w:rsidRDefault="00CE1820">
            <w:pPr>
              <w:jc w:val="center"/>
            </w:pPr>
            <w:r>
              <w:t>+</w:t>
            </w:r>
          </w:p>
        </w:tc>
      </w:tr>
      <w:tr w:rsidR="00CE1820" w14:paraId="1F52BAAB" w14:textId="77777777" w:rsidTr="00900BF8">
        <w:tc>
          <w:tcPr>
            <w:tcW w:w="14385" w:type="dxa"/>
            <w:gridSpan w:val="5"/>
            <w:tcBorders>
              <w:top w:val="single" w:sz="4" w:space="0" w:color="auto"/>
              <w:left w:val="single" w:sz="4" w:space="0" w:color="auto"/>
              <w:bottom w:val="single" w:sz="4" w:space="0" w:color="auto"/>
              <w:right w:val="single" w:sz="4" w:space="0" w:color="auto"/>
            </w:tcBorders>
            <w:hideMark/>
          </w:tcPr>
          <w:p w14:paraId="25B802DE" w14:textId="77777777" w:rsidR="00CE1820" w:rsidRDefault="00CE1820" w:rsidP="00CE1820">
            <w:pPr>
              <w:pStyle w:val="ListParagraph"/>
              <w:numPr>
                <w:ilvl w:val="0"/>
                <w:numId w:val="15"/>
              </w:numPr>
              <w:ind w:left="314"/>
              <w:jc w:val="center"/>
              <w:rPr>
                <w:b/>
              </w:rPr>
            </w:pPr>
            <w:r>
              <w:rPr>
                <w:b/>
              </w:rPr>
              <w:t>SEC characteristics</w:t>
            </w:r>
          </w:p>
        </w:tc>
      </w:tr>
      <w:tr w:rsidR="00CE1820" w14:paraId="070427F8" w14:textId="77777777" w:rsidTr="00900BF8">
        <w:trPr>
          <w:gridAfter w:val="1"/>
          <w:wAfter w:w="14" w:type="dxa"/>
        </w:trPr>
        <w:tc>
          <w:tcPr>
            <w:tcW w:w="1816" w:type="dxa"/>
            <w:vMerge w:val="restart"/>
            <w:tcBorders>
              <w:top w:val="single" w:sz="4" w:space="0" w:color="auto"/>
              <w:left w:val="single" w:sz="4" w:space="0" w:color="auto"/>
              <w:bottom w:val="single" w:sz="4" w:space="0" w:color="auto"/>
              <w:right w:val="single" w:sz="4" w:space="0" w:color="auto"/>
            </w:tcBorders>
            <w:vAlign w:val="center"/>
            <w:hideMark/>
          </w:tcPr>
          <w:p w14:paraId="43CFF88E" w14:textId="77777777" w:rsidR="00CE1820" w:rsidRDefault="00CE1820">
            <w:pPr>
              <w:rPr>
                <w:i/>
              </w:rPr>
            </w:pPr>
            <w:r>
              <w:rPr>
                <w:i/>
              </w:rPr>
              <w:t>Directors/Chiefs</w:t>
            </w:r>
          </w:p>
        </w:tc>
        <w:tc>
          <w:tcPr>
            <w:tcW w:w="2105" w:type="dxa"/>
            <w:vMerge w:val="restart"/>
            <w:tcBorders>
              <w:top w:val="single" w:sz="4" w:space="0" w:color="auto"/>
              <w:left w:val="single" w:sz="4" w:space="0" w:color="auto"/>
              <w:bottom w:val="single" w:sz="4" w:space="0" w:color="auto"/>
              <w:right w:val="single" w:sz="4" w:space="0" w:color="auto"/>
            </w:tcBorders>
            <w:vAlign w:val="center"/>
            <w:hideMark/>
          </w:tcPr>
          <w:p w14:paraId="1C7F2F89" w14:textId="77777777" w:rsidR="00CE1820" w:rsidRDefault="00CE1820">
            <w:r>
              <w:rPr>
                <w:noProof/>
                <w:color w:val="000000" w:themeColor="text1"/>
              </w:rPr>
              <w:t>Upper echelons theory</w:t>
            </w:r>
          </w:p>
        </w:tc>
        <w:tc>
          <w:tcPr>
            <w:tcW w:w="8407" w:type="dxa"/>
            <w:tcBorders>
              <w:top w:val="single" w:sz="4" w:space="0" w:color="auto"/>
              <w:left w:val="single" w:sz="4" w:space="0" w:color="auto"/>
              <w:bottom w:val="single" w:sz="4" w:space="0" w:color="auto"/>
              <w:right w:val="single" w:sz="4" w:space="0" w:color="auto"/>
            </w:tcBorders>
            <w:hideMark/>
          </w:tcPr>
          <w:p w14:paraId="564F6D57" w14:textId="77777777" w:rsidR="00CE1820" w:rsidRDefault="00CE1820">
            <w:r>
              <w:t>Reviewer with a higher job position could have more experience, and hence, spend less time conducting the review (Baugh et al., 2017)</w:t>
            </w:r>
          </w:p>
        </w:tc>
        <w:tc>
          <w:tcPr>
            <w:tcW w:w="2043" w:type="dxa"/>
            <w:tcBorders>
              <w:top w:val="single" w:sz="4" w:space="0" w:color="auto"/>
              <w:left w:val="single" w:sz="4" w:space="0" w:color="auto"/>
              <w:bottom w:val="single" w:sz="4" w:space="0" w:color="auto"/>
              <w:right w:val="single" w:sz="4" w:space="0" w:color="auto"/>
            </w:tcBorders>
            <w:vAlign w:val="center"/>
            <w:hideMark/>
          </w:tcPr>
          <w:p w14:paraId="402282E3" w14:textId="77777777" w:rsidR="00CE1820" w:rsidRDefault="00CE1820">
            <w:pPr>
              <w:jc w:val="center"/>
            </w:pPr>
            <w:r>
              <w:rPr>
                <w:i/>
              </w:rPr>
              <w:t xml:space="preserve">Duration: </w:t>
            </w:r>
            <w:r>
              <w:t>-</w:t>
            </w:r>
          </w:p>
        </w:tc>
      </w:tr>
      <w:tr w:rsidR="00CE1820" w14:paraId="4C805CA9" w14:textId="77777777" w:rsidTr="00900BF8">
        <w:trPr>
          <w:gridAfter w:val="1"/>
          <w:wAfter w:w="14"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7DFEFB" w14:textId="77777777" w:rsidR="00CE1820" w:rsidRDefault="00CE1820">
            <w:pPr>
              <w:rPr>
                <w:i/>
                <w:sz w:val="22"/>
                <w:szCs w:val="22"/>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ABAB45" w14:textId="77777777" w:rsidR="00CE1820" w:rsidRDefault="00CE1820">
            <w:pPr>
              <w:rPr>
                <w:sz w:val="22"/>
                <w:szCs w:val="22"/>
                <w:lang w:eastAsia="en-US"/>
              </w:rPr>
            </w:pPr>
          </w:p>
        </w:tc>
        <w:tc>
          <w:tcPr>
            <w:tcW w:w="8407" w:type="dxa"/>
            <w:tcBorders>
              <w:top w:val="single" w:sz="4" w:space="0" w:color="auto"/>
              <w:left w:val="single" w:sz="4" w:space="0" w:color="auto"/>
              <w:bottom w:val="single" w:sz="4" w:space="0" w:color="auto"/>
              <w:right w:val="single" w:sz="4" w:space="0" w:color="auto"/>
            </w:tcBorders>
            <w:hideMark/>
          </w:tcPr>
          <w:p w14:paraId="0DD61F81" w14:textId="77777777" w:rsidR="00CE1820" w:rsidRDefault="00CE1820">
            <w:r>
              <w:t>Assistant Directors tend to address more issues in initial comment letters (Baugh et al., 2017)</w:t>
            </w:r>
          </w:p>
        </w:tc>
        <w:tc>
          <w:tcPr>
            <w:tcW w:w="2043" w:type="dxa"/>
            <w:tcBorders>
              <w:top w:val="single" w:sz="4" w:space="0" w:color="auto"/>
              <w:left w:val="single" w:sz="4" w:space="0" w:color="auto"/>
              <w:bottom w:val="single" w:sz="4" w:space="0" w:color="auto"/>
              <w:right w:val="single" w:sz="4" w:space="0" w:color="auto"/>
            </w:tcBorders>
            <w:vAlign w:val="center"/>
            <w:hideMark/>
          </w:tcPr>
          <w:p w14:paraId="6A835C7F" w14:textId="77777777" w:rsidR="00CE1820" w:rsidRDefault="00CE1820">
            <w:pPr>
              <w:jc w:val="center"/>
            </w:pPr>
            <w:r>
              <w:rPr>
                <w:i/>
              </w:rPr>
              <w:t xml:space="preserve">Letters/Comments: </w:t>
            </w:r>
            <w:r>
              <w:t>+</w:t>
            </w:r>
          </w:p>
        </w:tc>
      </w:tr>
      <w:tr w:rsidR="00CE1820" w14:paraId="5DC73436" w14:textId="77777777" w:rsidTr="00900BF8">
        <w:trPr>
          <w:gridAfter w:val="1"/>
          <w:wAfter w:w="14" w:type="dxa"/>
        </w:trPr>
        <w:tc>
          <w:tcPr>
            <w:tcW w:w="1816" w:type="dxa"/>
            <w:tcBorders>
              <w:top w:val="single" w:sz="4" w:space="0" w:color="auto"/>
              <w:left w:val="single" w:sz="4" w:space="0" w:color="auto"/>
              <w:bottom w:val="single" w:sz="4" w:space="0" w:color="auto"/>
              <w:right w:val="single" w:sz="4" w:space="0" w:color="auto"/>
            </w:tcBorders>
            <w:vAlign w:val="center"/>
            <w:hideMark/>
          </w:tcPr>
          <w:p w14:paraId="736FA824" w14:textId="77777777" w:rsidR="00CE1820" w:rsidRDefault="00CE1820">
            <w:pPr>
              <w:rPr>
                <w:i/>
              </w:rPr>
            </w:pPr>
            <w:r>
              <w:rPr>
                <w:i/>
              </w:rPr>
              <w:lastRenderedPageBreak/>
              <w:t>Accountant</w:t>
            </w:r>
          </w:p>
        </w:tc>
        <w:tc>
          <w:tcPr>
            <w:tcW w:w="2105" w:type="dxa"/>
            <w:tcBorders>
              <w:top w:val="single" w:sz="4" w:space="0" w:color="auto"/>
              <w:left w:val="single" w:sz="4" w:space="0" w:color="auto"/>
              <w:bottom w:val="single" w:sz="4" w:space="0" w:color="auto"/>
              <w:right w:val="single" w:sz="4" w:space="0" w:color="auto"/>
            </w:tcBorders>
            <w:vAlign w:val="center"/>
            <w:hideMark/>
          </w:tcPr>
          <w:p w14:paraId="1D926ABC" w14:textId="77777777" w:rsidR="00CE1820" w:rsidRDefault="00CE1820">
            <w:r>
              <w:rPr>
                <w:noProof/>
                <w:color w:val="000000" w:themeColor="text1"/>
              </w:rPr>
              <w:t>Upper echelons theory</w:t>
            </w:r>
          </w:p>
        </w:tc>
        <w:tc>
          <w:tcPr>
            <w:tcW w:w="8407" w:type="dxa"/>
            <w:tcBorders>
              <w:top w:val="single" w:sz="4" w:space="0" w:color="auto"/>
              <w:left w:val="single" w:sz="4" w:space="0" w:color="auto"/>
              <w:bottom w:val="single" w:sz="4" w:space="0" w:color="auto"/>
              <w:right w:val="single" w:sz="4" w:space="0" w:color="auto"/>
            </w:tcBorders>
            <w:hideMark/>
          </w:tcPr>
          <w:p w14:paraId="1515794E" w14:textId="77777777" w:rsidR="00CE1820" w:rsidRDefault="00CE1820" w:rsidP="00CE1820">
            <w:pPr>
              <w:pStyle w:val="ListParagraph"/>
              <w:numPr>
                <w:ilvl w:val="0"/>
                <w:numId w:val="17"/>
              </w:numPr>
              <w:ind w:left="299" w:hanging="284"/>
            </w:pPr>
            <w:r>
              <w:t>Accountant reviewers may focus more on accounting information and hence address more issues in the review of annual filings since accounting information dominate annual filings (Baugh et al., 2017)</w:t>
            </w:r>
          </w:p>
          <w:p w14:paraId="73DB51FE" w14:textId="77777777" w:rsidR="00CE1820" w:rsidRDefault="00CE1820" w:rsidP="00CE1820">
            <w:pPr>
              <w:pStyle w:val="ListParagraph"/>
              <w:numPr>
                <w:ilvl w:val="0"/>
                <w:numId w:val="17"/>
              </w:numPr>
              <w:ind w:left="299" w:hanging="284"/>
            </w:pPr>
            <w:r>
              <w:t>S-1 filings contain a lower proportion of accounting information in S-1 filings.</w:t>
            </w:r>
          </w:p>
        </w:tc>
        <w:tc>
          <w:tcPr>
            <w:tcW w:w="2043" w:type="dxa"/>
            <w:tcBorders>
              <w:top w:val="single" w:sz="4" w:space="0" w:color="auto"/>
              <w:left w:val="single" w:sz="4" w:space="0" w:color="auto"/>
              <w:bottom w:val="single" w:sz="4" w:space="0" w:color="auto"/>
              <w:right w:val="single" w:sz="4" w:space="0" w:color="auto"/>
            </w:tcBorders>
            <w:vAlign w:val="center"/>
            <w:hideMark/>
          </w:tcPr>
          <w:p w14:paraId="3FE56101" w14:textId="77777777" w:rsidR="00CE1820" w:rsidRDefault="00CE1820">
            <w:pPr>
              <w:ind w:hanging="242"/>
              <w:jc w:val="center"/>
            </w:pPr>
            <w:r>
              <w:t>-</w:t>
            </w:r>
          </w:p>
        </w:tc>
      </w:tr>
    </w:tbl>
    <w:p w14:paraId="64387CCA" w14:textId="77777777" w:rsidR="00900BF8" w:rsidRDefault="00900BF8" w:rsidP="00900BF8">
      <w:pPr>
        <w:pStyle w:val="Caption"/>
        <w:rPr>
          <w:b/>
          <w:i w:val="0"/>
          <w:color w:val="000000" w:themeColor="text1"/>
          <w:sz w:val="24"/>
          <w:szCs w:val="24"/>
        </w:rPr>
        <w:sectPr w:rsidR="00900BF8" w:rsidSect="00C734DC">
          <w:headerReference w:type="default" r:id="rId11"/>
          <w:footerReference w:type="default" r:id="rId12"/>
          <w:pgSz w:w="16838" w:h="11906" w:orient="landscape"/>
          <w:pgMar w:top="1276" w:right="1440" w:bottom="993" w:left="1440" w:header="708" w:footer="708" w:gutter="0"/>
          <w:cols w:space="708"/>
          <w:docGrid w:linePitch="360"/>
        </w:sectPr>
      </w:pPr>
    </w:p>
    <w:p w14:paraId="2BAB3613" w14:textId="6E2A82DA" w:rsidR="00D94396" w:rsidRPr="000912EF" w:rsidRDefault="00D94396" w:rsidP="00900BF8">
      <w:pPr>
        <w:pStyle w:val="Caption"/>
        <w:rPr>
          <w:b/>
          <w:i w:val="0"/>
          <w:color w:val="000000" w:themeColor="text1"/>
          <w:sz w:val="24"/>
          <w:szCs w:val="24"/>
        </w:rPr>
      </w:pPr>
      <w:r w:rsidRPr="000912EF">
        <w:rPr>
          <w:b/>
          <w:i w:val="0"/>
          <w:color w:val="000000" w:themeColor="text1"/>
          <w:sz w:val="24"/>
          <w:szCs w:val="24"/>
        </w:rPr>
        <w:lastRenderedPageBreak/>
        <w:t xml:space="preserve">Table </w:t>
      </w:r>
      <w:r w:rsidR="00174399">
        <w:rPr>
          <w:b/>
          <w:i w:val="0"/>
          <w:color w:val="000000" w:themeColor="text1"/>
          <w:sz w:val="24"/>
          <w:szCs w:val="24"/>
        </w:rPr>
        <w:t>3</w:t>
      </w:r>
      <w:r w:rsidRPr="000912EF">
        <w:rPr>
          <w:b/>
          <w:i w:val="0"/>
          <w:color w:val="000000" w:themeColor="text1"/>
          <w:sz w:val="24"/>
          <w:szCs w:val="24"/>
        </w:rPr>
        <w:t>. Sample distribution</w:t>
      </w:r>
      <w:bookmarkEnd w:id="52"/>
    </w:p>
    <w:tbl>
      <w:tblPr>
        <w:tblW w:w="14566" w:type="dxa"/>
        <w:tblLayout w:type="fixed"/>
        <w:tblLook w:val="04A0" w:firstRow="1" w:lastRow="0" w:firstColumn="1" w:lastColumn="0" w:noHBand="0" w:noVBand="1"/>
      </w:tblPr>
      <w:tblGrid>
        <w:gridCol w:w="2318"/>
        <w:gridCol w:w="325"/>
        <w:gridCol w:w="756"/>
        <w:gridCol w:w="709"/>
        <w:gridCol w:w="907"/>
        <w:gridCol w:w="287"/>
        <w:gridCol w:w="326"/>
        <w:gridCol w:w="501"/>
        <w:gridCol w:w="144"/>
        <w:gridCol w:w="850"/>
        <w:gridCol w:w="197"/>
        <w:gridCol w:w="970"/>
        <w:gridCol w:w="850"/>
        <w:gridCol w:w="407"/>
        <w:gridCol w:w="588"/>
        <w:gridCol w:w="1701"/>
        <w:gridCol w:w="308"/>
        <w:gridCol w:w="7"/>
        <w:gridCol w:w="393"/>
        <w:gridCol w:w="1992"/>
        <w:gridCol w:w="13"/>
        <w:gridCol w:w="17"/>
      </w:tblGrid>
      <w:tr w:rsidR="00D94396" w:rsidRPr="000912EF" w14:paraId="29609401" w14:textId="77777777" w:rsidTr="00A772B3">
        <w:trPr>
          <w:gridAfter w:val="1"/>
          <w:wAfter w:w="7" w:type="dxa"/>
          <w:trHeight w:val="80"/>
        </w:trPr>
        <w:tc>
          <w:tcPr>
            <w:tcW w:w="12152" w:type="dxa"/>
            <w:gridSpan w:val="17"/>
            <w:tcBorders>
              <w:top w:val="nil"/>
              <w:left w:val="nil"/>
              <w:bottom w:val="single" w:sz="4" w:space="0" w:color="auto"/>
              <w:right w:val="nil"/>
            </w:tcBorders>
            <w:shd w:val="clear" w:color="auto" w:fill="auto"/>
            <w:noWrap/>
            <w:vAlign w:val="bottom"/>
            <w:hideMark/>
          </w:tcPr>
          <w:p w14:paraId="624649EC" w14:textId="77777777" w:rsidR="00D94396" w:rsidRPr="000912EF" w:rsidRDefault="00D94396" w:rsidP="00583CE2">
            <w:pPr>
              <w:rPr>
                <w:rFonts w:eastAsia="Times New Roman"/>
                <w:b/>
                <w:bCs/>
                <w:color w:val="000000"/>
                <w:sz w:val="22"/>
                <w:szCs w:val="22"/>
              </w:rPr>
            </w:pPr>
            <w:r w:rsidRPr="000912EF">
              <w:rPr>
                <w:rFonts w:eastAsia="Times New Roman"/>
                <w:b/>
                <w:bCs/>
                <w:color w:val="000000"/>
                <w:sz w:val="22"/>
                <w:szCs w:val="22"/>
              </w:rPr>
              <w:t>Panel A. Time distribution</w:t>
            </w:r>
          </w:p>
        </w:tc>
        <w:tc>
          <w:tcPr>
            <w:tcW w:w="2407" w:type="dxa"/>
            <w:gridSpan w:val="4"/>
            <w:tcBorders>
              <w:top w:val="nil"/>
              <w:left w:val="nil"/>
              <w:bottom w:val="nil"/>
              <w:right w:val="nil"/>
            </w:tcBorders>
            <w:shd w:val="clear" w:color="auto" w:fill="auto"/>
            <w:noWrap/>
            <w:vAlign w:val="bottom"/>
            <w:hideMark/>
          </w:tcPr>
          <w:p w14:paraId="3D8EC677"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1C658A5F" w14:textId="77777777" w:rsidTr="00A772B3">
        <w:trPr>
          <w:trHeight w:val="825"/>
        </w:trPr>
        <w:tc>
          <w:tcPr>
            <w:tcW w:w="2321" w:type="dxa"/>
            <w:tcBorders>
              <w:left w:val="nil"/>
              <w:bottom w:val="single" w:sz="4" w:space="0" w:color="auto"/>
              <w:right w:val="nil"/>
            </w:tcBorders>
            <w:shd w:val="clear" w:color="auto" w:fill="auto"/>
            <w:vAlign w:val="center"/>
            <w:hideMark/>
          </w:tcPr>
          <w:p w14:paraId="791ABCDB"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Filing year of S-1</w:t>
            </w:r>
          </w:p>
        </w:tc>
        <w:tc>
          <w:tcPr>
            <w:tcW w:w="325" w:type="dxa"/>
            <w:tcBorders>
              <w:left w:val="nil"/>
              <w:bottom w:val="nil"/>
              <w:right w:val="nil"/>
            </w:tcBorders>
            <w:shd w:val="clear" w:color="auto" w:fill="auto"/>
            <w:vAlign w:val="center"/>
            <w:hideMark/>
          </w:tcPr>
          <w:p w14:paraId="11CC1D3D"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w:t>
            </w:r>
          </w:p>
        </w:tc>
        <w:tc>
          <w:tcPr>
            <w:tcW w:w="2986" w:type="dxa"/>
            <w:gridSpan w:val="5"/>
            <w:tcBorders>
              <w:left w:val="nil"/>
              <w:bottom w:val="single" w:sz="4" w:space="0" w:color="auto"/>
              <w:right w:val="nil"/>
            </w:tcBorders>
            <w:shd w:val="clear" w:color="auto" w:fill="auto"/>
            <w:vAlign w:val="center"/>
            <w:hideMark/>
          </w:tcPr>
          <w:p w14:paraId="5E8A746A"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Number of IPOs</w:t>
            </w:r>
          </w:p>
        </w:tc>
        <w:tc>
          <w:tcPr>
            <w:tcW w:w="501" w:type="dxa"/>
            <w:tcBorders>
              <w:left w:val="nil"/>
              <w:bottom w:val="nil"/>
              <w:right w:val="nil"/>
            </w:tcBorders>
            <w:shd w:val="clear" w:color="auto" w:fill="auto"/>
            <w:vAlign w:val="center"/>
            <w:hideMark/>
          </w:tcPr>
          <w:p w14:paraId="00A0FCC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163" w:type="dxa"/>
            <w:gridSpan w:val="4"/>
            <w:tcBorders>
              <w:left w:val="nil"/>
              <w:bottom w:val="single" w:sz="4" w:space="0" w:color="auto"/>
              <w:right w:val="nil"/>
            </w:tcBorders>
            <w:shd w:val="clear" w:color="auto" w:fill="auto"/>
            <w:vAlign w:val="center"/>
            <w:hideMark/>
          </w:tcPr>
          <w:p w14:paraId="3B0CF6FD"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Number of IPOs receiving initial comment letters</w:t>
            </w:r>
          </w:p>
        </w:tc>
        <w:tc>
          <w:tcPr>
            <w:tcW w:w="851" w:type="dxa"/>
            <w:tcBorders>
              <w:left w:val="nil"/>
              <w:bottom w:val="nil"/>
              <w:right w:val="nil"/>
            </w:tcBorders>
            <w:shd w:val="clear" w:color="auto" w:fill="auto"/>
            <w:vAlign w:val="center"/>
            <w:hideMark/>
          </w:tcPr>
          <w:p w14:paraId="7B6C2C50"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w:t>
            </w:r>
          </w:p>
        </w:tc>
        <w:tc>
          <w:tcPr>
            <w:tcW w:w="2697" w:type="dxa"/>
            <w:gridSpan w:val="3"/>
            <w:tcBorders>
              <w:left w:val="nil"/>
              <w:bottom w:val="single" w:sz="4" w:space="0" w:color="auto"/>
              <w:right w:val="nil"/>
            </w:tcBorders>
            <w:shd w:val="clear" w:color="auto" w:fill="auto"/>
            <w:vAlign w:val="center"/>
            <w:hideMark/>
          </w:tcPr>
          <w:p w14:paraId="7FECEDA6"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xml:space="preserve">Proportion of IPOs receiving initial comment letters (%) </w:t>
            </w:r>
          </w:p>
        </w:tc>
        <w:tc>
          <w:tcPr>
            <w:tcW w:w="315" w:type="dxa"/>
            <w:gridSpan w:val="2"/>
            <w:tcBorders>
              <w:top w:val="single" w:sz="4" w:space="0" w:color="auto"/>
              <w:left w:val="nil"/>
              <w:bottom w:val="nil"/>
              <w:right w:val="nil"/>
            </w:tcBorders>
            <w:shd w:val="clear" w:color="auto" w:fill="auto"/>
            <w:vAlign w:val="center"/>
            <w:hideMark/>
          </w:tcPr>
          <w:p w14:paraId="3F65EB6C"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vAlign w:val="center"/>
            <w:hideMark/>
          </w:tcPr>
          <w:p w14:paraId="44055A4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r>
      <w:tr w:rsidR="00D94396" w:rsidRPr="000912EF" w14:paraId="0B548063" w14:textId="77777777" w:rsidTr="00A772B3">
        <w:trPr>
          <w:trHeight w:val="285"/>
        </w:trPr>
        <w:tc>
          <w:tcPr>
            <w:tcW w:w="2321" w:type="dxa"/>
            <w:tcBorders>
              <w:top w:val="nil"/>
              <w:left w:val="nil"/>
              <w:bottom w:val="nil"/>
              <w:right w:val="nil"/>
            </w:tcBorders>
            <w:shd w:val="clear" w:color="auto" w:fill="auto"/>
            <w:vAlign w:val="center"/>
            <w:hideMark/>
          </w:tcPr>
          <w:p w14:paraId="7E7A2EE8"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w:t>
            </w:r>
          </w:p>
        </w:tc>
        <w:tc>
          <w:tcPr>
            <w:tcW w:w="325" w:type="dxa"/>
            <w:tcBorders>
              <w:top w:val="nil"/>
              <w:left w:val="nil"/>
              <w:bottom w:val="nil"/>
              <w:right w:val="nil"/>
            </w:tcBorders>
            <w:shd w:val="clear" w:color="auto" w:fill="auto"/>
            <w:vAlign w:val="center"/>
            <w:hideMark/>
          </w:tcPr>
          <w:p w14:paraId="306676AA"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w:t>
            </w:r>
          </w:p>
        </w:tc>
        <w:tc>
          <w:tcPr>
            <w:tcW w:w="2373" w:type="dxa"/>
            <w:gridSpan w:val="3"/>
            <w:tcBorders>
              <w:top w:val="nil"/>
              <w:left w:val="nil"/>
              <w:bottom w:val="single" w:sz="4" w:space="0" w:color="auto"/>
              <w:right w:val="nil"/>
            </w:tcBorders>
            <w:shd w:val="clear" w:color="auto" w:fill="auto"/>
            <w:vAlign w:val="center"/>
            <w:hideMark/>
          </w:tcPr>
          <w:p w14:paraId="65E31F50"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N</w:t>
            </w:r>
          </w:p>
        </w:tc>
        <w:tc>
          <w:tcPr>
            <w:tcW w:w="613" w:type="dxa"/>
            <w:gridSpan w:val="2"/>
            <w:tcBorders>
              <w:top w:val="nil"/>
              <w:left w:val="nil"/>
              <w:bottom w:val="single" w:sz="4" w:space="0" w:color="auto"/>
              <w:right w:val="nil"/>
            </w:tcBorders>
            <w:shd w:val="clear" w:color="auto" w:fill="auto"/>
            <w:vAlign w:val="center"/>
            <w:hideMark/>
          </w:tcPr>
          <w:p w14:paraId="55352BCF"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w:t>
            </w:r>
          </w:p>
        </w:tc>
        <w:tc>
          <w:tcPr>
            <w:tcW w:w="501" w:type="dxa"/>
            <w:tcBorders>
              <w:top w:val="nil"/>
              <w:left w:val="nil"/>
              <w:bottom w:val="nil"/>
              <w:right w:val="nil"/>
            </w:tcBorders>
            <w:shd w:val="clear" w:color="auto" w:fill="auto"/>
            <w:vAlign w:val="center"/>
            <w:hideMark/>
          </w:tcPr>
          <w:p w14:paraId="73DE85A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single" w:sz="4" w:space="0" w:color="auto"/>
              <w:right w:val="nil"/>
            </w:tcBorders>
            <w:shd w:val="clear" w:color="auto" w:fill="auto"/>
            <w:vAlign w:val="center"/>
            <w:hideMark/>
          </w:tcPr>
          <w:p w14:paraId="3ABB4A1D"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N</w:t>
            </w:r>
          </w:p>
        </w:tc>
        <w:tc>
          <w:tcPr>
            <w:tcW w:w="971" w:type="dxa"/>
            <w:tcBorders>
              <w:top w:val="nil"/>
              <w:left w:val="nil"/>
              <w:bottom w:val="single" w:sz="4" w:space="0" w:color="auto"/>
              <w:right w:val="nil"/>
            </w:tcBorders>
            <w:shd w:val="clear" w:color="auto" w:fill="auto"/>
            <w:vAlign w:val="center"/>
            <w:hideMark/>
          </w:tcPr>
          <w:p w14:paraId="3E171593"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w:t>
            </w:r>
          </w:p>
        </w:tc>
        <w:tc>
          <w:tcPr>
            <w:tcW w:w="851" w:type="dxa"/>
            <w:tcBorders>
              <w:top w:val="nil"/>
              <w:left w:val="nil"/>
              <w:bottom w:val="nil"/>
              <w:right w:val="nil"/>
            </w:tcBorders>
            <w:shd w:val="clear" w:color="auto" w:fill="auto"/>
            <w:vAlign w:val="center"/>
            <w:hideMark/>
          </w:tcPr>
          <w:p w14:paraId="16A3767B" w14:textId="77777777" w:rsidR="00D94396" w:rsidRPr="000912EF" w:rsidRDefault="00D94396" w:rsidP="00583CE2">
            <w:pPr>
              <w:jc w:val="center"/>
              <w:rPr>
                <w:rFonts w:eastAsia="Times New Roman"/>
                <w:b/>
                <w:bCs/>
                <w:color w:val="000000"/>
                <w:sz w:val="22"/>
                <w:szCs w:val="22"/>
              </w:rPr>
            </w:pPr>
            <w:r w:rsidRPr="000912EF">
              <w:rPr>
                <w:rFonts w:eastAsia="Times New Roman"/>
                <w:b/>
                <w:bCs/>
                <w:color w:val="000000"/>
                <w:sz w:val="22"/>
                <w:szCs w:val="22"/>
              </w:rPr>
              <w:t> </w:t>
            </w:r>
          </w:p>
        </w:tc>
        <w:tc>
          <w:tcPr>
            <w:tcW w:w="2697" w:type="dxa"/>
            <w:gridSpan w:val="3"/>
            <w:tcBorders>
              <w:top w:val="nil"/>
              <w:left w:val="nil"/>
              <w:bottom w:val="nil"/>
              <w:right w:val="nil"/>
            </w:tcBorders>
            <w:shd w:val="clear" w:color="auto" w:fill="auto"/>
            <w:vAlign w:val="center"/>
            <w:hideMark/>
          </w:tcPr>
          <w:p w14:paraId="18050A8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315" w:type="dxa"/>
            <w:gridSpan w:val="2"/>
            <w:tcBorders>
              <w:top w:val="nil"/>
              <w:left w:val="nil"/>
              <w:bottom w:val="nil"/>
              <w:right w:val="nil"/>
            </w:tcBorders>
            <w:shd w:val="clear" w:color="auto" w:fill="auto"/>
            <w:vAlign w:val="center"/>
            <w:hideMark/>
          </w:tcPr>
          <w:p w14:paraId="1470A4B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vAlign w:val="center"/>
            <w:hideMark/>
          </w:tcPr>
          <w:p w14:paraId="406C06F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r>
      <w:tr w:rsidR="00D94396" w:rsidRPr="000912EF" w14:paraId="3203C639" w14:textId="77777777" w:rsidTr="00A772B3">
        <w:trPr>
          <w:trHeight w:val="540"/>
        </w:trPr>
        <w:tc>
          <w:tcPr>
            <w:tcW w:w="2321" w:type="dxa"/>
            <w:tcBorders>
              <w:top w:val="nil"/>
              <w:left w:val="nil"/>
              <w:bottom w:val="nil"/>
              <w:right w:val="nil"/>
            </w:tcBorders>
            <w:shd w:val="clear" w:color="auto" w:fill="auto"/>
            <w:noWrap/>
            <w:vAlign w:val="center"/>
            <w:hideMark/>
          </w:tcPr>
          <w:p w14:paraId="43CE081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2005</w:t>
            </w:r>
          </w:p>
        </w:tc>
        <w:tc>
          <w:tcPr>
            <w:tcW w:w="325" w:type="dxa"/>
            <w:tcBorders>
              <w:top w:val="nil"/>
              <w:left w:val="nil"/>
              <w:bottom w:val="nil"/>
              <w:right w:val="nil"/>
            </w:tcBorders>
            <w:shd w:val="clear" w:color="auto" w:fill="auto"/>
            <w:noWrap/>
            <w:vAlign w:val="center"/>
            <w:hideMark/>
          </w:tcPr>
          <w:p w14:paraId="5219480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2EEDF19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57</w:t>
            </w:r>
          </w:p>
        </w:tc>
        <w:tc>
          <w:tcPr>
            <w:tcW w:w="613" w:type="dxa"/>
            <w:gridSpan w:val="2"/>
            <w:tcBorders>
              <w:top w:val="nil"/>
              <w:left w:val="nil"/>
              <w:bottom w:val="nil"/>
              <w:right w:val="nil"/>
            </w:tcBorders>
            <w:shd w:val="clear" w:color="auto" w:fill="auto"/>
            <w:noWrap/>
            <w:vAlign w:val="center"/>
            <w:hideMark/>
          </w:tcPr>
          <w:p w14:paraId="79590F27"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6.27</w:t>
            </w:r>
          </w:p>
        </w:tc>
        <w:tc>
          <w:tcPr>
            <w:tcW w:w="501" w:type="dxa"/>
            <w:tcBorders>
              <w:top w:val="nil"/>
              <w:left w:val="nil"/>
              <w:bottom w:val="nil"/>
              <w:right w:val="nil"/>
            </w:tcBorders>
            <w:shd w:val="clear" w:color="auto" w:fill="auto"/>
            <w:noWrap/>
            <w:vAlign w:val="bottom"/>
            <w:hideMark/>
          </w:tcPr>
          <w:p w14:paraId="68A7564F"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76A6FA6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48</w:t>
            </w:r>
          </w:p>
        </w:tc>
        <w:tc>
          <w:tcPr>
            <w:tcW w:w="971" w:type="dxa"/>
            <w:tcBorders>
              <w:top w:val="nil"/>
              <w:left w:val="nil"/>
              <w:bottom w:val="nil"/>
              <w:right w:val="nil"/>
            </w:tcBorders>
            <w:shd w:val="clear" w:color="auto" w:fill="auto"/>
            <w:noWrap/>
            <w:vAlign w:val="bottom"/>
            <w:hideMark/>
          </w:tcPr>
          <w:p w14:paraId="7EE0215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6.76</w:t>
            </w:r>
          </w:p>
        </w:tc>
        <w:tc>
          <w:tcPr>
            <w:tcW w:w="851" w:type="dxa"/>
            <w:tcBorders>
              <w:top w:val="nil"/>
              <w:left w:val="nil"/>
              <w:bottom w:val="nil"/>
              <w:right w:val="nil"/>
            </w:tcBorders>
            <w:shd w:val="clear" w:color="auto" w:fill="auto"/>
            <w:noWrap/>
            <w:vAlign w:val="bottom"/>
            <w:hideMark/>
          </w:tcPr>
          <w:p w14:paraId="776D13F2"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2EA3346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84.21</w:t>
            </w:r>
          </w:p>
        </w:tc>
        <w:tc>
          <w:tcPr>
            <w:tcW w:w="315" w:type="dxa"/>
            <w:gridSpan w:val="2"/>
            <w:tcBorders>
              <w:top w:val="nil"/>
              <w:left w:val="nil"/>
              <w:bottom w:val="nil"/>
              <w:right w:val="nil"/>
            </w:tcBorders>
            <w:shd w:val="clear" w:color="auto" w:fill="auto"/>
            <w:noWrap/>
            <w:vAlign w:val="bottom"/>
            <w:hideMark/>
          </w:tcPr>
          <w:p w14:paraId="461E5F9C"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1646B7BF"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2A33FB86" w14:textId="77777777" w:rsidTr="00A772B3">
        <w:trPr>
          <w:trHeight w:val="300"/>
        </w:trPr>
        <w:tc>
          <w:tcPr>
            <w:tcW w:w="2321" w:type="dxa"/>
            <w:tcBorders>
              <w:top w:val="nil"/>
              <w:left w:val="nil"/>
              <w:bottom w:val="nil"/>
              <w:right w:val="nil"/>
            </w:tcBorders>
            <w:shd w:val="clear" w:color="auto" w:fill="auto"/>
            <w:noWrap/>
            <w:vAlign w:val="center"/>
            <w:hideMark/>
          </w:tcPr>
          <w:p w14:paraId="55D83626"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2006</w:t>
            </w:r>
          </w:p>
        </w:tc>
        <w:tc>
          <w:tcPr>
            <w:tcW w:w="325" w:type="dxa"/>
            <w:tcBorders>
              <w:top w:val="nil"/>
              <w:left w:val="nil"/>
              <w:bottom w:val="nil"/>
              <w:right w:val="nil"/>
            </w:tcBorders>
            <w:shd w:val="clear" w:color="auto" w:fill="auto"/>
            <w:noWrap/>
            <w:vAlign w:val="center"/>
            <w:hideMark/>
          </w:tcPr>
          <w:p w14:paraId="62A2278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01D3F43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103</w:t>
            </w:r>
          </w:p>
        </w:tc>
        <w:tc>
          <w:tcPr>
            <w:tcW w:w="613" w:type="dxa"/>
            <w:gridSpan w:val="2"/>
            <w:tcBorders>
              <w:top w:val="nil"/>
              <w:left w:val="nil"/>
              <w:bottom w:val="nil"/>
              <w:right w:val="nil"/>
            </w:tcBorders>
            <w:shd w:val="clear" w:color="auto" w:fill="auto"/>
            <w:noWrap/>
            <w:vAlign w:val="center"/>
            <w:hideMark/>
          </w:tcPr>
          <w:p w14:paraId="3B4D7B7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11.33</w:t>
            </w:r>
          </w:p>
        </w:tc>
        <w:tc>
          <w:tcPr>
            <w:tcW w:w="501" w:type="dxa"/>
            <w:tcBorders>
              <w:top w:val="nil"/>
              <w:left w:val="nil"/>
              <w:bottom w:val="nil"/>
              <w:right w:val="nil"/>
            </w:tcBorders>
            <w:shd w:val="clear" w:color="auto" w:fill="auto"/>
            <w:noWrap/>
            <w:vAlign w:val="bottom"/>
            <w:hideMark/>
          </w:tcPr>
          <w:p w14:paraId="26872E26"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2B023A1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93</w:t>
            </w:r>
          </w:p>
        </w:tc>
        <w:tc>
          <w:tcPr>
            <w:tcW w:w="971" w:type="dxa"/>
            <w:tcBorders>
              <w:top w:val="nil"/>
              <w:left w:val="nil"/>
              <w:bottom w:val="nil"/>
              <w:right w:val="nil"/>
            </w:tcBorders>
            <w:shd w:val="clear" w:color="auto" w:fill="auto"/>
            <w:noWrap/>
            <w:vAlign w:val="bottom"/>
            <w:hideMark/>
          </w:tcPr>
          <w:p w14:paraId="0F7AD5A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13.10</w:t>
            </w:r>
          </w:p>
        </w:tc>
        <w:tc>
          <w:tcPr>
            <w:tcW w:w="851" w:type="dxa"/>
            <w:tcBorders>
              <w:top w:val="nil"/>
              <w:left w:val="nil"/>
              <w:bottom w:val="nil"/>
              <w:right w:val="nil"/>
            </w:tcBorders>
            <w:shd w:val="clear" w:color="auto" w:fill="auto"/>
            <w:noWrap/>
            <w:vAlign w:val="bottom"/>
            <w:hideMark/>
          </w:tcPr>
          <w:p w14:paraId="76642177"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7A64C757"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90.29</w:t>
            </w:r>
          </w:p>
        </w:tc>
        <w:tc>
          <w:tcPr>
            <w:tcW w:w="315" w:type="dxa"/>
            <w:gridSpan w:val="2"/>
            <w:tcBorders>
              <w:top w:val="nil"/>
              <w:left w:val="nil"/>
              <w:bottom w:val="nil"/>
              <w:right w:val="nil"/>
            </w:tcBorders>
            <w:shd w:val="clear" w:color="auto" w:fill="auto"/>
            <w:noWrap/>
            <w:vAlign w:val="bottom"/>
            <w:hideMark/>
          </w:tcPr>
          <w:p w14:paraId="07405137"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49786127"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58F08FB9" w14:textId="77777777" w:rsidTr="00A772B3">
        <w:trPr>
          <w:trHeight w:val="300"/>
        </w:trPr>
        <w:tc>
          <w:tcPr>
            <w:tcW w:w="2321" w:type="dxa"/>
            <w:tcBorders>
              <w:top w:val="nil"/>
              <w:left w:val="nil"/>
              <w:bottom w:val="nil"/>
              <w:right w:val="nil"/>
            </w:tcBorders>
            <w:shd w:val="clear" w:color="auto" w:fill="auto"/>
            <w:noWrap/>
            <w:vAlign w:val="center"/>
            <w:hideMark/>
          </w:tcPr>
          <w:p w14:paraId="2744FBC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2007</w:t>
            </w:r>
          </w:p>
        </w:tc>
        <w:tc>
          <w:tcPr>
            <w:tcW w:w="325" w:type="dxa"/>
            <w:tcBorders>
              <w:top w:val="nil"/>
              <w:left w:val="nil"/>
              <w:bottom w:val="nil"/>
              <w:right w:val="nil"/>
            </w:tcBorders>
            <w:shd w:val="clear" w:color="auto" w:fill="auto"/>
            <w:noWrap/>
            <w:vAlign w:val="center"/>
            <w:hideMark/>
          </w:tcPr>
          <w:p w14:paraId="1C7CC33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7958C87F"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94</w:t>
            </w:r>
          </w:p>
        </w:tc>
        <w:tc>
          <w:tcPr>
            <w:tcW w:w="613" w:type="dxa"/>
            <w:gridSpan w:val="2"/>
            <w:tcBorders>
              <w:top w:val="nil"/>
              <w:left w:val="nil"/>
              <w:bottom w:val="nil"/>
              <w:right w:val="nil"/>
            </w:tcBorders>
            <w:shd w:val="clear" w:color="auto" w:fill="auto"/>
            <w:noWrap/>
            <w:vAlign w:val="center"/>
            <w:hideMark/>
          </w:tcPr>
          <w:p w14:paraId="5E10BBF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10.34</w:t>
            </w:r>
          </w:p>
        </w:tc>
        <w:tc>
          <w:tcPr>
            <w:tcW w:w="501" w:type="dxa"/>
            <w:tcBorders>
              <w:top w:val="nil"/>
              <w:left w:val="nil"/>
              <w:bottom w:val="nil"/>
              <w:right w:val="nil"/>
            </w:tcBorders>
            <w:shd w:val="clear" w:color="auto" w:fill="auto"/>
            <w:noWrap/>
            <w:vAlign w:val="bottom"/>
            <w:hideMark/>
          </w:tcPr>
          <w:p w14:paraId="43075762"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0BB018F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83</w:t>
            </w:r>
          </w:p>
        </w:tc>
        <w:tc>
          <w:tcPr>
            <w:tcW w:w="971" w:type="dxa"/>
            <w:tcBorders>
              <w:top w:val="nil"/>
              <w:left w:val="nil"/>
              <w:bottom w:val="nil"/>
              <w:right w:val="nil"/>
            </w:tcBorders>
            <w:shd w:val="clear" w:color="auto" w:fill="auto"/>
            <w:noWrap/>
            <w:vAlign w:val="bottom"/>
            <w:hideMark/>
          </w:tcPr>
          <w:p w14:paraId="7DBB0882"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11.69</w:t>
            </w:r>
          </w:p>
        </w:tc>
        <w:tc>
          <w:tcPr>
            <w:tcW w:w="851" w:type="dxa"/>
            <w:tcBorders>
              <w:top w:val="nil"/>
              <w:left w:val="nil"/>
              <w:bottom w:val="nil"/>
              <w:right w:val="nil"/>
            </w:tcBorders>
            <w:shd w:val="clear" w:color="auto" w:fill="auto"/>
            <w:noWrap/>
            <w:vAlign w:val="bottom"/>
            <w:hideMark/>
          </w:tcPr>
          <w:p w14:paraId="0B424D54"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099D4AC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88.30</w:t>
            </w:r>
          </w:p>
        </w:tc>
        <w:tc>
          <w:tcPr>
            <w:tcW w:w="315" w:type="dxa"/>
            <w:gridSpan w:val="2"/>
            <w:tcBorders>
              <w:top w:val="nil"/>
              <w:left w:val="nil"/>
              <w:bottom w:val="nil"/>
              <w:right w:val="nil"/>
            </w:tcBorders>
            <w:shd w:val="clear" w:color="auto" w:fill="auto"/>
            <w:noWrap/>
            <w:vAlign w:val="bottom"/>
            <w:hideMark/>
          </w:tcPr>
          <w:p w14:paraId="724ACE7E"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3AE0B0EF"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26EAE14B" w14:textId="77777777" w:rsidTr="00A772B3">
        <w:trPr>
          <w:trHeight w:val="300"/>
        </w:trPr>
        <w:tc>
          <w:tcPr>
            <w:tcW w:w="2321" w:type="dxa"/>
            <w:tcBorders>
              <w:top w:val="nil"/>
              <w:left w:val="nil"/>
              <w:bottom w:val="nil"/>
              <w:right w:val="nil"/>
            </w:tcBorders>
            <w:shd w:val="clear" w:color="auto" w:fill="auto"/>
            <w:noWrap/>
            <w:vAlign w:val="center"/>
            <w:hideMark/>
          </w:tcPr>
          <w:p w14:paraId="1FC6905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2008</w:t>
            </w:r>
          </w:p>
        </w:tc>
        <w:tc>
          <w:tcPr>
            <w:tcW w:w="325" w:type="dxa"/>
            <w:tcBorders>
              <w:top w:val="nil"/>
              <w:left w:val="nil"/>
              <w:bottom w:val="nil"/>
              <w:right w:val="nil"/>
            </w:tcBorders>
            <w:shd w:val="clear" w:color="auto" w:fill="auto"/>
            <w:noWrap/>
            <w:vAlign w:val="center"/>
            <w:hideMark/>
          </w:tcPr>
          <w:p w14:paraId="1F9B1A5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1C4D5352"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19</w:t>
            </w:r>
          </w:p>
        </w:tc>
        <w:tc>
          <w:tcPr>
            <w:tcW w:w="613" w:type="dxa"/>
            <w:gridSpan w:val="2"/>
            <w:tcBorders>
              <w:top w:val="nil"/>
              <w:left w:val="nil"/>
              <w:bottom w:val="nil"/>
              <w:right w:val="nil"/>
            </w:tcBorders>
            <w:shd w:val="clear" w:color="auto" w:fill="auto"/>
            <w:noWrap/>
            <w:vAlign w:val="center"/>
            <w:hideMark/>
          </w:tcPr>
          <w:p w14:paraId="5D82259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2.09</w:t>
            </w:r>
          </w:p>
        </w:tc>
        <w:tc>
          <w:tcPr>
            <w:tcW w:w="501" w:type="dxa"/>
            <w:tcBorders>
              <w:top w:val="nil"/>
              <w:left w:val="nil"/>
              <w:bottom w:val="nil"/>
              <w:right w:val="nil"/>
            </w:tcBorders>
            <w:shd w:val="clear" w:color="auto" w:fill="auto"/>
            <w:noWrap/>
            <w:vAlign w:val="bottom"/>
            <w:hideMark/>
          </w:tcPr>
          <w:p w14:paraId="64E9D40C"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7978AC4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16</w:t>
            </w:r>
          </w:p>
        </w:tc>
        <w:tc>
          <w:tcPr>
            <w:tcW w:w="971" w:type="dxa"/>
            <w:tcBorders>
              <w:top w:val="nil"/>
              <w:left w:val="nil"/>
              <w:bottom w:val="nil"/>
              <w:right w:val="nil"/>
            </w:tcBorders>
            <w:shd w:val="clear" w:color="auto" w:fill="auto"/>
            <w:noWrap/>
            <w:vAlign w:val="bottom"/>
            <w:hideMark/>
          </w:tcPr>
          <w:p w14:paraId="2576B49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2.25</w:t>
            </w:r>
          </w:p>
        </w:tc>
        <w:tc>
          <w:tcPr>
            <w:tcW w:w="851" w:type="dxa"/>
            <w:tcBorders>
              <w:top w:val="nil"/>
              <w:left w:val="nil"/>
              <w:bottom w:val="nil"/>
              <w:right w:val="nil"/>
            </w:tcBorders>
            <w:shd w:val="clear" w:color="auto" w:fill="auto"/>
            <w:noWrap/>
            <w:vAlign w:val="bottom"/>
            <w:hideMark/>
          </w:tcPr>
          <w:p w14:paraId="55FA6B01"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02E7EC0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84.21</w:t>
            </w:r>
          </w:p>
        </w:tc>
        <w:tc>
          <w:tcPr>
            <w:tcW w:w="315" w:type="dxa"/>
            <w:gridSpan w:val="2"/>
            <w:tcBorders>
              <w:top w:val="nil"/>
              <w:left w:val="nil"/>
              <w:bottom w:val="nil"/>
              <w:right w:val="nil"/>
            </w:tcBorders>
            <w:shd w:val="clear" w:color="auto" w:fill="auto"/>
            <w:noWrap/>
            <w:vAlign w:val="bottom"/>
            <w:hideMark/>
          </w:tcPr>
          <w:p w14:paraId="16562973"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0280EC03"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25F0BB7B" w14:textId="77777777" w:rsidTr="00A772B3">
        <w:trPr>
          <w:trHeight w:val="300"/>
        </w:trPr>
        <w:tc>
          <w:tcPr>
            <w:tcW w:w="2321" w:type="dxa"/>
            <w:tcBorders>
              <w:top w:val="nil"/>
              <w:left w:val="nil"/>
              <w:bottom w:val="nil"/>
              <w:right w:val="nil"/>
            </w:tcBorders>
            <w:shd w:val="clear" w:color="auto" w:fill="auto"/>
            <w:noWrap/>
            <w:vAlign w:val="center"/>
            <w:hideMark/>
          </w:tcPr>
          <w:p w14:paraId="1BD1C88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2009</w:t>
            </w:r>
          </w:p>
        </w:tc>
        <w:tc>
          <w:tcPr>
            <w:tcW w:w="325" w:type="dxa"/>
            <w:tcBorders>
              <w:top w:val="nil"/>
              <w:left w:val="nil"/>
              <w:bottom w:val="nil"/>
              <w:right w:val="nil"/>
            </w:tcBorders>
            <w:shd w:val="clear" w:color="auto" w:fill="auto"/>
            <w:noWrap/>
            <w:vAlign w:val="center"/>
            <w:hideMark/>
          </w:tcPr>
          <w:p w14:paraId="5A078C9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6EA9154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41</w:t>
            </w:r>
          </w:p>
        </w:tc>
        <w:tc>
          <w:tcPr>
            <w:tcW w:w="613" w:type="dxa"/>
            <w:gridSpan w:val="2"/>
            <w:tcBorders>
              <w:top w:val="nil"/>
              <w:left w:val="nil"/>
              <w:bottom w:val="nil"/>
              <w:right w:val="nil"/>
            </w:tcBorders>
            <w:shd w:val="clear" w:color="auto" w:fill="auto"/>
            <w:noWrap/>
            <w:vAlign w:val="center"/>
            <w:hideMark/>
          </w:tcPr>
          <w:p w14:paraId="67A24D3C"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4.51</w:t>
            </w:r>
          </w:p>
        </w:tc>
        <w:tc>
          <w:tcPr>
            <w:tcW w:w="501" w:type="dxa"/>
            <w:tcBorders>
              <w:top w:val="nil"/>
              <w:left w:val="nil"/>
              <w:bottom w:val="nil"/>
              <w:right w:val="nil"/>
            </w:tcBorders>
            <w:shd w:val="clear" w:color="auto" w:fill="auto"/>
            <w:noWrap/>
            <w:vAlign w:val="bottom"/>
            <w:hideMark/>
          </w:tcPr>
          <w:p w14:paraId="5879EE28"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58B25BE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40</w:t>
            </w:r>
          </w:p>
        </w:tc>
        <w:tc>
          <w:tcPr>
            <w:tcW w:w="971" w:type="dxa"/>
            <w:tcBorders>
              <w:top w:val="nil"/>
              <w:left w:val="nil"/>
              <w:bottom w:val="nil"/>
              <w:right w:val="nil"/>
            </w:tcBorders>
            <w:shd w:val="clear" w:color="auto" w:fill="auto"/>
            <w:noWrap/>
            <w:vAlign w:val="bottom"/>
            <w:hideMark/>
          </w:tcPr>
          <w:p w14:paraId="4D7DACC6"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5.63</w:t>
            </w:r>
          </w:p>
        </w:tc>
        <w:tc>
          <w:tcPr>
            <w:tcW w:w="851" w:type="dxa"/>
            <w:tcBorders>
              <w:top w:val="nil"/>
              <w:left w:val="nil"/>
              <w:bottom w:val="nil"/>
              <w:right w:val="nil"/>
            </w:tcBorders>
            <w:shd w:val="clear" w:color="auto" w:fill="auto"/>
            <w:noWrap/>
            <w:vAlign w:val="bottom"/>
            <w:hideMark/>
          </w:tcPr>
          <w:p w14:paraId="695A16AC"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4024B02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97.56</w:t>
            </w:r>
          </w:p>
        </w:tc>
        <w:tc>
          <w:tcPr>
            <w:tcW w:w="315" w:type="dxa"/>
            <w:gridSpan w:val="2"/>
            <w:tcBorders>
              <w:top w:val="nil"/>
              <w:left w:val="nil"/>
              <w:bottom w:val="nil"/>
              <w:right w:val="nil"/>
            </w:tcBorders>
            <w:shd w:val="clear" w:color="auto" w:fill="auto"/>
            <w:noWrap/>
            <w:vAlign w:val="bottom"/>
            <w:hideMark/>
          </w:tcPr>
          <w:p w14:paraId="5A86C90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7FDB9504"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68F1A343" w14:textId="77777777" w:rsidTr="00A772B3">
        <w:trPr>
          <w:trHeight w:val="300"/>
        </w:trPr>
        <w:tc>
          <w:tcPr>
            <w:tcW w:w="2321" w:type="dxa"/>
            <w:tcBorders>
              <w:top w:val="nil"/>
              <w:left w:val="nil"/>
              <w:bottom w:val="nil"/>
              <w:right w:val="nil"/>
            </w:tcBorders>
            <w:shd w:val="clear" w:color="auto" w:fill="auto"/>
            <w:noWrap/>
            <w:vAlign w:val="center"/>
            <w:hideMark/>
          </w:tcPr>
          <w:p w14:paraId="1F552F6F"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2010</w:t>
            </w:r>
          </w:p>
        </w:tc>
        <w:tc>
          <w:tcPr>
            <w:tcW w:w="325" w:type="dxa"/>
            <w:tcBorders>
              <w:top w:val="nil"/>
              <w:left w:val="nil"/>
              <w:bottom w:val="nil"/>
              <w:right w:val="nil"/>
            </w:tcBorders>
            <w:shd w:val="clear" w:color="auto" w:fill="auto"/>
            <w:noWrap/>
            <w:vAlign w:val="center"/>
            <w:hideMark/>
          </w:tcPr>
          <w:p w14:paraId="22096F52"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5F0066E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66</w:t>
            </w:r>
          </w:p>
        </w:tc>
        <w:tc>
          <w:tcPr>
            <w:tcW w:w="613" w:type="dxa"/>
            <w:gridSpan w:val="2"/>
            <w:tcBorders>
              <w:top w:val="nil"/>
              <w:left w:val="nil"/>
              <w:bottom w:val="nil"/>
              <w:right w:val="nil"/>
            </w:tcBorders>
            <w:shd w:val="clear" w:color="auto" w:fill="auto"/>
            <w:noWrap/>
            <w:vAlign w:val="center"/>
            <w:hideMark/>
          </w:tcPr>
          <w:p w14:paraId="2D782B52"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7.26</w:t>
            </w:r>
          </w:p>
        </w:tc>
        <w:tc>
          <w:tcPr>
            <w:tcW w:w="501" w:type="dxa"/>
            <w:tcBorders>
              <w:top w:val="nil"/>
              <w:left w:val="nil"/>
              <w:bottom w:val="nil"/>
              <w:right w:val="nil"/>
            </w:tcBorders>
            <w:shd w:val="clear" w:color="auto" w:fill="auto"/>
            <w:noWrap/>
            <w:vAlign w:val="bottom"/>
            <w:hideMark/>
          </w:tcPr>
          <w:p w14:paraId="7622B13E"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2BF68A2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59</w:t>
            </w:r>
          </w:p>
        </w:tc>
        <w:tc>
          <w:tcPr>
            <w:tcW w:w="971" w:type="dxa"/>
            <w:tcBorders>
              <w:top w:val="nil"/>
              <w:left w:val="nil"/>
              <w:bottom w:val="nil"/>
              <w:right w:val="nil"/>
            </w:tcBorders>
            <w:shd w:val="clear" w:color="auto" w:fill="auto"/>
            <w:noWrap/>
            <w:vAlign w:val="bottom"/>
            <w:hideMark/>
          </w:tcPr>
          <w:p w14:paraId="2C1F43C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8.31</w:t>
            </w:r>
          </w:p>
        </w:tc>
        <w:tc>
          <w:tcPr>
            <w:tcW w:w="851" w:type="dxa"/>
            <w:tcBorders>
              <w:top w:val="nil"/>
              <w:left w:val="nil"/>
              <w:bottom w:val="nil"/>
              <w:right w:val="nil"/>
            </w:tcBorders>
            <w:shd w:val="clear" w:color="auto" w:fill="auto"/>
            <w:noWrap/>
            <w:vAlign w:val="bottom"/>
            <w:hideMark/>
          </w:tcPr>
          <w:p w14:paraId="4678E172"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266DA15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89.39</w:t>
            </w:r>
          </w:p>
        </w:tc>
        <w:tc>
          <w:tcPr>
            <w:tcW w:w="315" w:type="dxa"/>
            <w:gridSpan w:val="2"/>
            <w:tcBorders>
              <w:top w:val="nil"/>
              <w:left w:val="nil"/>
              <w:bottom w:val="nil"/>
              <w:right w:val="nil"/>
            </w:tcBorders>
            <w:shd w:val="clear" w:color="auto" w:fill="auto"/>
            <w:noWrap/>
            <w:vAlign w:val="bottom"/>
            <w:hideMark/>
          </w:tcPr>
          <w:p w14:paraId="56D25E2A"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5F7364DF"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4EF82527" w14:textId="77777777" w:rsidTr="00A772B3">
        <w:trPr>
          <w:trHeight w:val="300"/>
        </w:trPr>
        <w:tc>
          <w:tcPr>
            <w:tcW w:w="2321" w:type="dxa"/>
            <w:tcBorders>
              <w:top w:val="nil"/>
              <w:left w:val="nil"/>
              <w:bottom w:val="nil"/>
              <w:right w:val="nil"/>
            </w:tcBorders>
            <w:shd w:val="clear" w:color="auto" w:fill="auto"/>
            <w:noWrap/>
            <w:vAlign w:val="center"/>
            <w:hideMark/>
          </w:tcPr>
          <w:p w14:paraId="191142E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2011</w:t>
            </w:r>
          </w:p>
        </w:tc>
        <w:tc>
          <w:tcPr>
            <w:tcW w:w="325" w:type="dxa"/>
            <w:tcBorders>
              <w:top w:val="nil"/>
              <w:left w:val="nil"/>
              <w:bottom w:val="nil"/>
              <w:right w:val="nil"/>
            </w:tcBorders>
            <w:shd w:val="clear" w:color="auto" w:fill="auto"/>
            <w:noWrap/>
            <w:vAlign w:val="center"/>
            <w:hideMark/>
          </w:tcPr>
          <w:p w14:paraId="464000D7"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206D140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68</w:t>
            </w:r>
          </w:p>
        </w:tc>
        <w:tc>
          <w:tcPr>
            <w:tcW w:w="613" w:type="dxa"/>
            <w:gridSpan w:val="2"/>
            <w:tcBorders>
              <w:top w:val="nil"/>
              <w:left w:val="nil"/>
              <w:bottom w:val="nil"/>
              <w:right w:val="nil"/>
            </w:tcBorders>
            <w:shd w:val="clear" w:color="auto" w:fill="auto"/>
            <w:noWrap/>
            <w:vAlign w:val="center"/>
            <w:hideMark/>
          </w:tcPr>
          <w:p w14:paraId="13A6BEF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7.48</w:t>
            </w:r>
          </w:p>
        </w:tc>
        <w:tc>
          <w:tcPr>
            <w:tcW w:w="501" w:type="dxa"/>
            <w:tcBorders>
              <w:top w:val="nil"/>
              <w:left w:val="nil"/>
              <w:bottom w:val="nil"/>
              <w:right w:val="nil"/>
            </w:tcBorders>
            <w:shd w:val="clear" w:color="auto" w:fill="auto"/>
            <w:noWrap/>
            <w:vAlign w:val="bottom"/>
            <w:hideMark/>
          </w:tcPr>
          <w:p w14:paraId="7EF8E2D1"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2D226B0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66</w:t>
            </w:r>
          </w:p>
        </w:tc>
        <w:tc>
          <w:tcPr>
            <w:tcW w:w="971" w:type="dxa"/>
            <w:tcBorders>
              <w:top w:val="nil"/>
              <w:left w:val="nil"/>
              <w:bottom w:val="nil"/>
              <w:right w:val="nil"/>
            </w:tcBorders>
            <w:shd w:val="clear" w:color="auto" w:fill="auto"/>
            <w:noWrap/>
            <w:vAlign w:val="bottom"/>
            <w:hideMark/>
          </w:tcPr>
          <w:p w14:paraId="1C6FE19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9.30</w:t>
            </w:r>
          </w:p>
        </w:tc>
        <w:tc>
          <w:tcPr>
            <w:tcW w:w="851" w:type="dxa"/>
            <w:tcBorders>
              <w:top w:val="nil"/>
              <w:left w:val="nil"/>
              <w:bottom w:val="nil"/>
              <w:right w:val="nil"/>
            </w:tcBorders>
            <w:shd w:val="clear" w:color="auto" w:fill="auto"/>
            <w:noWrap/>
            <w:vAlign w:val="bottom"/>
            <w:hideMark/>
          </w:tcPr>
          <w:p w14:paraId="0B2E9B6D"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160D6D3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97.06</w:t>
            </w:r>
          </w:p>
        </w:tc>
        <w:tc>
          <w:tcPr>
            <w:tcW w:w="315" w:type="dxa"/>
            <w:gridSpan w:val="2"/>
            <w:tcBorders>
              <w:top w:val="nil"/>
              <w:left w:val="nil"/>
              <w:bottom w:val="nil"/>
              <w:right w:val="nil"/>
            </w:tcBorders>
            <w:shd w:val="clear" w:color="auto" w:fill="auto"/>
            <w:noWrap/>
            <w:vAlign w:val="bottom"/>
            <w:hideMark/>
          </w:tcPr>
          <w:p w14:paraId="1C233E1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0F125FF6"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3A44C88C" w14:textId="77777777" w:rsidTr="00A772B3">
        <w:trPr>
          <w:trHeight w:val="300"/>
        </w:trPr>
        <w:tc>
          <w:tcPr>
            <w:tcW w:w="2321" w:type="dxa"/>
            <w:tcBorders>
              <w:top w:val="nil"/>
              <w:left w:val="nil"/>
              <w:bottom w:val="nil"/>
              <w:right w:val="nil"/>
            </w:tcBorders>
            <w:shd w:val="clear" w:color="auto" w:fill="auto"/>
            <w:noWrap/>
            <w:vAlign w:val="center"/>
            <w:hideMark/>
          </w:tcPr>
          <w:p w14:paraId="20B6194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2012</w:t>
            </w:r>
          </w:p>
        </w:tc>
        <w:tc>
          <w:tcPr>
            <w:tcW w:w="325" w:type="dxa"/>
            <w:tcBorders>
              <w:top w:val="nil"/>
              <w:left w:val="nil"/>
              <w:bottom w:val="nil"/>
              <w:right w:val="nil"/>
            </w:tcBorders>
            <w:shd w:val="clear" w:color="auto" w:fill="auto"/>
            <w:noWrap/>
            <w:vAlign w:val="center"/>
            <w:hideMark/>
          </w:tcPr>
          <w:p w14:paraId="04F42637"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256ABDA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41</w:t>
            </w:r>
          </w:p>
        </w:tc>
        <w:tc>
          <w:tcPr>
            <w:tcW w:w="613" w:type="dxa"/>
            <w:gridSpan w:val="2"/>
            <w:tcBorders>
              <w:top w:val="nil"/>
              <w:left w:val="nil"/>
              <w:bottom w:val="nil"/>
              <w:right w:val="nil"/>
            </w:tcBorders>
            <w:shd w:val="clear" w:color="auto" w:fill="auto"/>
            <w:noWrap/>
            <w:vAlign w:val="center"/>
            <w:hideMark/>
          </w:tcPr>
          <w:p w14:paraId="0AFAC04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4.51</w:t>
            </w:r>
          </w:p>
        </w:tc>
        <w:tc>
          <w:tcPr>
            <w:tcW w:w="501" w:type="dxa"/>
            <w:tcBorders>
              <w:top w:val="nil"/>
              <w:left w:val="nil"/>
              <w:bottom w:val="nil"/>
              <w:right w:val="nil"/>
            </w:tcBorders>
            <w:shd w:val="clear" w:color="auto" w:fill="auto"/>
            <w:noWrap/>
            <w:vAlign w:val="bottom"/>
            <w:hideMark/>
          </w:tcPr>
          <w:p w14:paraId="50AF535C"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711DDC0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38</w:t>
            </w:r>
          </w:p>
        </w:tc>
        <w:tc>
          <w:tcPr>
            <w:tcW w:w="971" w:type="dxa"/>
            <w:tcBorders>
              <w:top w:val="nil"/>
              <w:left w:val="nil"/>
              <w:bottom w:val="nil"/>
              <w:right w:val="nil"/>
            </w:tcBorders>
            <w:shd w:val="clear" w:color="auto" w:fill="auto"/>
            <w:noWrap/>
            <w:vAlign w:val="bottom"/>
            <w:hideMark/>
          </w:tcPr>
          <w:p w14:paraId="218E7F5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5.35</w:t>
            </w:r>
          </w:p>
        </w:tc>
        <w:tc>
          <w:tcPr>
            <w:tcW w:w="851" w:type="dxa"/>
            <w:tcBorders>
              <w:top w:val="nil"/>
              <w:left w:val="nil"/>
              <w:bottom w:val="nil"/>
              <w:right w:val="nil"/>
            </w:tcBorders>
            <w:shd w:val="clear" w:color="auto" w:fill="auto"/>
            <w:noWrap/>
            <w:vAlign w:val="bottom"/>
            <w:hideMark/>
          </w:tcPr>
          <w:p w14:paraId="72B8DAA3"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38A8A6D6"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92.68</w:t>
            </w:r>
          </w:p>
        </w:tc>
        <w:tc>
          <w:tcPr>
            <w:tcW w:w="315" w:type="dxa"/>
            <w:gridSpan w:val="2"/>
            <w:tcBorders>
              <w:top w:val="nil"/>
              <w:left w:val="nil"/>
              <w:bottom w:val="nil"/>
              <w:right w:val="nil"/>
            </w:tcBorders>
            <w:shd w:val="clear" w:color="auto" w:fill="auto"/>
            <w:noWrap/>
            <w:vAlign w:val="bottom"/>
            <w:hideMark/>
          </w:tcPr>
          <w:p w14:paraId="391530E4"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7D0169CD"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4E1AEDCA" w14:textId="77777777" w:rsidTr="00A772B3">
        <w:trPr>
          <w:trHeight w:val="300"/>
        </w:trPr>
        <w:tc>
          <w:tcPr>
            <w:tcW w:w="2321" w:type="dxa"/>
            <w:tcBorders>
              <w:top w:val="nil"/>
              <w:left w:val="nil"/>
              <w:bottom w:val="nil"/>
              <w:right w:val="nil"/>
            </w:tcBorders>
            <w:shd w:val="clear" w:color="auto" w:fill="auto"/>
            <w:noWrap/>
            <w:vAlign w:val="center"/>
            <w:hideMark/>
          </w:tcPr>
          <w:p w14:paraId="7BCE6C1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2013</w:t>
            </w:r>
          </w:p>
        </w:tc>
        <w:tc>
          <w:tcPr>
            <w:tcW w:w="325" w:type="dxa"/>
            <w:tcBorders>
              <w:top w:val="nil"/>
              <w:left w:val="nil"/>
              <w:bottom w:val="nil"/>
              <w:right w:val="nil"/>
            </w:tcBorders>
            <w:shd w:val="clear" w:color="auto" w:fill="auto"/>
            <w:noWrap/>
            <w:vAlign w:val="center"/>
            <w:hideMark/>
          </w:tcPr>
          <w:p w14:paraId="39148D6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6481C8B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114</w:t>
            </w:r>
          </w:p>
        </w:tc>
        <w:tc>
          <w:tcPr>
            <w:tcW w:w="613" w:type="dxa"/>
            <w:gridSpan w:val="2"/>
            <w:tcBorders>
              <w:top w:val="nil"/>
              <w:left w:val="nil"/>
              <w:bottom w:val="nil"/>
              <w:right w:val="nil"/>
            </w:tcBorders>
            <w:shd w:val="clear" w:color="auto" w:fill="auto"/>
            <w:noWrap/>
            <w:vAlign w:val="center"/>
            <w:hideMark/>
          </w:tcPr>
          <w:p w14:paraId="61FCF61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12.54</w:t>
            </w:r>
          </w:p>
        </w:tc>
        <w:tc>
          <w:tcPr>
            <w:tcW w:w="501" w:type="dxa"/>
            <w:tcBorders>
              <w:top w:val="nil"/>
              <w:left w:val="nil"/>
              <w:bottom w:val="nil"/>
              <w:right w:val="nil"/>
            </w:tcBorders>
            <w:shd w:val="clear" w:color="auto" w:fill="auto"/>
            <w:noWrap/>
            <w:vAlign w:val="bottom"/>
            <w:hideMark/>
          </w:tcPr>
          <w:p w14:paraId="40795DE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0B14D57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w:t>
            </w:r>
          </w:p>
        </w:tc>
        <w:tc>
          <w:tcPr>
            <w:tcW w:w="971" w:type="dxa"/>
            <w:tcBorders>
              <w:top w:val="nil"/>
              <w:left w:val="nil"/>
              <w:bottom w:val="nil"/>
              <w:right w:val="nil"/>
            </w:tcBorders>
            <w:shd w:val="clear" w:color="auto" w:fill="auto"/>
            <w:noWrap/>
            <w:vAlign w:val="bottom"/>
            <w:hideMark/>
          </w:tcPr>
          <w:p w14:paraId="394F037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12.68</w:t>
            </w:r>
          </w:p>
        </w:tc>
        <w:tc>
          <w:tcPr>
            <w:tcW w:w="851" w:type="dxa"/>
            <w:tcBorders>
              <w:top w:val="nil"/>
              <w:left w:val="nil"/>
              <w:bottom w:val="nil"/>
              <w:right w:val="nil"/>
            </w:tcBorders>
            <w:shd w:val="clear" w:color="auto" w:fill="auto"/>
            <w:noWrap/>
            <w:vAlign w:val="bottom"/>
            <w:hideMark/>
          </w:tcPr>
          <w:p w14:paraId="2743B02A"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6AC9F1E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78.95</w:t>
            </w:r>
          </w:p>
        </w:tc>
        <w:tc>
          <w:tcPr>
            <w:tcW w:w="315" w:type="dxa"/>
            <w:gridSpan w:val="2"/>
            <w:tcBorders>
              <w:top w:val="nil"/>
              <w:left w:val="nil"/>
              <w:bottom w:val="nil"/>
              <w:right w:val="nil"/>
            </w:tcBorders>
            <w:shd w:val="clear" w:color="auto" w:fill="auto"/>
            <w:noWrap/>
            <w:vAlign w:val="bottom"/>
            <w:hideMark/>
          </w:tcPr>
          <w:p w14:paraId="60512E89"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257329E5"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6B2E524F" w14:textId="77777777" w:rsidTr="00A772B3">
        <w:trPr>
          <w:trHeight w:val="300"/>
        </w:trPr>
        <w:tc>
          <w:tcPr>
            <w:tcW w:w="2321" w:type="dxa"/>
            <w:tcBorders>
              <w:top w:val="nil"/>
              <w:left w:val="nil"/>
              <w:bottom w:val="nil"/>
              <w:right w:val="nil"/>
            </w:tcBorders>
            <w:shd w:val="clear" w:color="auto" w:fill="auto"/>
            <w:noWrap/>
            <w:vAlign w:val="center"/>
            <w:hideMark/>
          </w:tcPr>
          <w:p w14:paraId="7A212FA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2014</w:t>
            </w:r>
          </w:p>
        </w:tc>
        <w:tc>
          <w:tcPr>
            <w:tcW w:w="325" w:type="dxa"/>
            <w:tcBorders>
              <w:top w:val="nil"/>
              <w:left w:val="nil"/>
              <w:bottom w:val="nil"/>
              <w:right w:val="nil"/>
            </w:tcBorders>
            <w:shd w:val="clear" w:color="auto" w:fill="auto"/>
            <w:noWrap/>
            <w:vAlign w:val="center"/>
            <w:hideMark/>
          </w:tcPr>
          <w:p w14:paraId="662F031F"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34979F1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123</w:t>
            </w:r>
          </w:p>
        </w:tc>
        <w:tc>
          <w:tcPr>
            <w:tcW w:w="613" w:type="dxa"/>
            <w:gridSpan w:val="2"/>
            <w:tcBorders>
              <w:top w:val="nil"/>
              <w:left w:val="nil"/>
              <w:bottom w:val="nil"/>
              <w:right w:val="nil"/>
            </w:tcBorders>
            <w:shd w:val="clear" w:color="auto" w:fill="auto"/>
            <w:noWrap/>
            <w:vAlign w:val="center"/>
            <w:hideMark/>
          </w:tcPr>
          <w:p w14:paraId="37BF259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13.53</w:t>
            </w:r>
          </w:p>
        </w:tc>
        <w:tc>
          <w:tcPr>
            <w:tcW w:w="501" w:type="dxa"/>
            <w:tcBorders>
              <w:top w:val="nil"/>
              <w:left w:val="nil"/>
              <w:bottom w:val="nil"/>
              <w:right w:val="nil"/>
            </w:tcBorders>
            <w:shd w:val="clear" w:color="auto" w:fill="auto"/>
            <w:noWrap/>
            <w:vAlign w:val="bottom"/>
            <w:hideMark/>
          </w:tcPr>
          <w:p w14:paraId="3B123C2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459B127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75</w:t>
            </w:r>
          </w:p>
        </w:tc>
        <w:tc>
          <w:tcPr>
            <w:tcW w:w="971" w:type="dxa"/>
            <w:tcBorders>
              <w:top w:val="nil"/>
              <w:left w:val="nil"/>
              <w:bottom w:val="nil"/>
              <w:right w:val="nil"/>
            </w:tcBorders>
            <w:shd w:val="clear" w:color="auto" w:fill="auto"/>
            <w:noWrap/>
            <w:vAlign w:val="bottom"/>
            <w:hideMark/>
          </w:tcPr>
          <w:p w14:paraId="691F443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10.56</w:t>
            </w:r>
          </w:p>
        </w:tc>
        <w:tc>
          <w:tcPr>
            <w:tcW w:w="851" w:type="dxa"/>
            <w:tcBorders>
              <w:top w:val="nil"/>
              <w:left w:val="nil"/>
              <w:bottom w:val="nil"/>
              <w:right w:val="nil"/>
            </w:tcBorders>
            <w:shd w:val="clear" w:color="auto" w:fill="auto"/>
            <w:noWrap/>
            <w:vAlign w:val="bottom"/>
            <w:hideMark/>
          </w:tcPr>
          <w:p w14:paraId="6F885FD8"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5DD1E35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60.98</w:t>
            </w:r>
          </w:p>
        </w:tc>
        <w:tc>
          <w:tcPr>
            <w:tcW w:w="315" w:type="dxa"/>
            <w:gridSpan w:val="2"/>
            <w:tcBorders>
              <w:top w:val="nil"/>
              <w:left w:val="nil"/>
              <w:bottom w:val="nil"/>
              <w:right w:val="nil"/>
            </w:tcBorders>
            <w:shd w:val="clear" w:color="auto" w:fill="auto"/>
            <w:noWrap/>
            <w:vAlign w:val="bottom"/>
            <w:hideMark/>
          </w:tcPr>
          <w:p w14:paraId="580A9263"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289EB263"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18D77A26" w14:textId="77777777" w:rsidTr="00A772B3">
        <w:trPr>
          <w:trHeight w:val="300"/>
        </w:trPr>
        <w:tc>
          <w:tcPr>
            <w:tcW w:w="2321" w:type="dxa"/>
            <w:tcBorders>
              <w:top w:val="nil"/>
              <w:left w:val="nil"/>
              <w:bottom w:val="nil"/>
              <w:right w:val="nil"/>
            </w:tcBorders>
            <w:shd w:val="clear" w:color="auto" w:fill="auto"/>
            <w:noWrap/>
            <w:vAlign w:val="center"/>
            <w:hideMark/>
          </w:tcPr>
          <w:p w14:paraId="6B18927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2015</w:t>
            </w:r>
          </w:p>
        </w:tc>
        <w:tc>
          <w:tcPr>
            <w:tcW w:w="325" w:type="dxa"/>
            <w:tcBorders>
              <w:top w:val="nil"/>
              <w:left w:val="nil"/>
              <w:bottom w:val="nil"/>
              <w:right w:val="nil"/>
            </w:tcBorders>
            <w:shd w:val="clear" w:color="auto" w:fill="auto"/>
            <w:noWrap/>
            <w:vAlign w:val="center"/>
            <w:hideMark/>
          </w:tcPr>
          <w:p w14:paraId="28B6C8B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073E582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78</w:t>
            </w:r>
          </w:p>
        </w:tc>
        <w:tc>
          <w:tcPr>
            <w:tcW w:w="613" w:type="dxa"/>
            <w:gridSpan w:val="2"/>
            <w:tcBorders>
              <w:top w:val="nil"/>
              <w:left w:val="nil"/>
              <w:bottom w:val="nil"/>
              <w:right w:val="nil"/>
            </w:tcBorders>
            <w:shd w:val="clear" w:color="auto" w:fill="auto"/>
            <w:noWrap/>
            <w:vAlign w:val="center"/>
            <w:hideMark/>
          </w:tcPr>
          <w:p w14:paraId="7DC914A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8.58</w:t>
            </w:r>
          </w:p>
        </w:tc>
        <w:tc>
          <w:tcPr>
            <w:tcW w:w="501" w:type="dxa"/>
            <w:tcBorders>
              <w:top w:val="nil"/>
              <w:left w:val="nil"/>
              <w:bottom w:val="nil"/>
              <w:right w:val="nil"/>
            </w:tcBorders>
            <w:shd w:val="clear" w:color="auto" w:fill="auto"/>
            <w:noWrap/>
            <w:vAlign w:val="bottom"/>
            <w:hideMark/>
          </w:tcPr>
          <w:p w14:paraId="2629485F"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18CA1CEF"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49</w:t>
            </w:r>
          </w:p>
        </w:tc>
        <w:tc>
          <w:tcPr>
            <w:tcW w:w="971" w:type="dxa"/>
            <w:tcBorders>
              <w:top w:val="nil"/>
              <w:left w:val="nil"/>
              <w:bottom w:val="nil"/>
              <w:right w:val="nil"/>
            </w:tcBorders>
            <w:shd w:val="clear" w:color="auto" w:fill="auto"/>
            <w:noWrap/>
            <w:vAlign w:val="bottom"/>
            <w:hideMark/>
          </w:tcPr>
          <w:p w14:paraId="1CC4CE0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6.90</w:t>
            </w:r>
          </w:p>
        </w:tc>
        <w:tc>
          <w:tcPr>
            <w:tcW w:w="851" w:type="dxa"/>
            <w:tcBorders>
              <w:top w:val="nil"/>
              <w:left w:val="nil"/>
              <w:bottom w:val="nil"/>
              <w:right w:val="nil"/>
            </w:tcBorders>
            <w:shd w:val="clear" w:color="auto" w:fill="auto"/>
            <w:noWrap/>
            <w:vAlign w:val="bottom"/>
            <w:hideMark/>
          </w:tcPr>
          <w:p w14:paraId="4521784D"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301108E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62.82</w:t>
            </w:r>
          </w:p>
        </w:tc>
        <w:tc>
          <w:tcPr>
            <w:tcW w:w="315" w:type="dxa"/>
            <w:gridSpan w:val="2"/>
            <w:tcBorders>
              <w:top w:val="nil"/>
              <w:left w:val="nil"/>
              <w:bottom w:val="nil"/>
              <w:right w:val="nil"/>
            </w:tcBorders>
            <w:shd w:val="clear" w:color="auto" w:fill="auto"/>
            <w:noWrap/>
            <w:vAlign w:val="bottom"/>
            <w:hideMark/>
          </w:tcPr>
          <w:p w14:paraId="1890359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6F65360D"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2F6E0067" w14:textId="77777777" w:rsidTr="00A772B3">
        <w:trPr>
          <w:trHeight w:val="300"/>
        </w:trPr>
        <w:tc>
          <w:tcPr>
            <w:tcW w:w="2321" w:type="dxa"/>
            <w:tcBorders>
              <w:top w:val="nil"/>
              <w:left w:val="nil"/>
              <w:bottom w:val="nil"/>
              <w:right w:val="nil"/>
            </w:tcBorders>
            <w:shd w:val="clear" w:color="auto" w:fill="auto"/>
            <w:noWrap/>
            <w:vAlign w:val="center"/>
            <w:hideMark/>
          </w:tcPr>
          <w:p w14:paraId="1D75CD2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2016</w:t>
            </w:r>
          </w:p>
        </w:tc>
        <w:tc>
          <w:tcPr>
            <w:tcW w:w="325" w:type="dxa"/>
            <w:tcBorders>
              <w:top w:val="nil"/>
              <w:left w:val="nil"/>
              <w:bottom w:val="nil"/>
              <w:right w:val="nil"/>
            </w:tcBorders>
            <w:shd w:val="clear" w:color="auto" w:fill="auto"/>
            <w:noWrap/>
            <w:vAlign w:val="center"/>
            <w:hideMark/>
          </w:tcPr>
          <w:p w14:paraId="4B4C711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4E9A647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58</w:t>
            </w:r>
          </w:p>
        </w:tc>
        <w:tc>
          <w:tcPr>
            <w:tcW w:w="613" w:type="dxa"/>
            <w:gridSpan w:val="2"/>
            <w:tcBorders>
              <w:top w:val="nil"/>
              <w:left w:val="nil"/>
              <w:bottom w:val="nil"/>
              <w:right w:val="nil"/>
            </w:tcBorders>
            <w:shd w:val="clear" w:color="auto" w:fill="auto"/>
            <w:noWrap/>
            <w:vAlign w:val="center"/>
            <w:hideMark/>
          </w:tcPr>
          <w:p w14:paraId="140D8B3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6.38</w:t>
            </w:r>
          </w:p>
        </w:tc>
        <w:tc>
          <w:tcPr>
            <w:tcW w:w="501" w:type="dxa"/>
            <w:tcBorders>
              <w:top w:val="nil"/>
              <w:left w:val="nil"/>
              <w:bottom w:val="nil"/>
              <w:right w:val="nil"/>
            </w:tcBorders>
            <w:shd w:val="clear" w:color="auto" w:fill="auto"/>
            <w:noWrap/>
            <w:vAlign w:val="bottom"/>
            <w:hideMark/>
          </w:tcPr>
          <w:p w14:paraId="66A29039"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0583D35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38</w:t>
            </w:r>
          </w:p>
        </w:tc>
        <w:tc>
          <w:tcPr>
            <w:tcW w:w="971" w:type="dxa"/>
            <w:tcBorders>
              <w:top w:val="nil"/>
              <w:left w:val="nil"/>
              <w:bottom w:val="nil"/>
              <w:right w:val="nil"/>
            </w:tcBorders>
            <w:shd w:val="clear" w:color="auto" w:fill="auto"/>
            <w:noWrap/>
            <w:vAlign w:val="bottom"/>
            <w:hideMark/>
          </w:tcPr>
          <w:p w14:paraId="2D4F9B6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5.35</w:t>
            </w:r>
          </w:p>
        </w:tc>
        <w:tc>
          <w:tcPr>
            <w:tcW w:w="851" w:type="dxa"/>
            <w:tcBorders>
              <w:top w:val="nil"/>
              <w:left w:val="nil"/>
              <w:bottom w:val="nil"/>
              <w:right w:val="nil"/>
            </w:tcBorders>
            <w:shd w:val="clear" w:color="auto" w:fill="auto"/>
            <w:noWrap/>
            <w:vAlign w:val="bottom"/>
            <w:hideMark/>
          </w:tcPr>
          <w:p w14:paraId="6208ABD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01B5E5A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65.52</w:t>
            </w:r>
          </w:p>
        </w:tc>
        <w:tc>
          <w:tcPr>
            <w:tcW w:w="315" w:type="dxa"/>
            <w:gridSpan w:val="2"/>
            <w:tcBorders>
              <w:top w:val="nil"/>
              <w:left w:val="nil"/>
              <w:bottom w:val="nil"/>
              <w:right w:val="nil"/>
            </w:tcBorders>
            <w:shd w:val="clear" w:color="auto" w:fill="auto"/>
            <w:noWrap/>
            <w:vAlign w:val="bottom"/>
            <w:hideMark/>
          </w:tcPr>
          <w:p w14:paraId="3A38CDA7"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3036552A"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0E2A80B4" w14:textId="77777777" w:rsidTr="00A772B3">
        <w:trPr>
          <w:trHeight w:val="300"/>
        </w:trPr>
        <w:tc>
          <w:tcPr>
            <w:tcW w:w="2321" w:type="dxa"/>
            <w:tcBorders>
              <w:top w:val="nil"/>
              <w:left w:val="nil"/>
              <w:bottom w:val="nil"/>
              <w:right w:val="nil"/>
            </w:tcBorders>
            <w:shd w:val="clear" w:color="auto" w:fill="auto"/>
            <w:noWrap/>
            <w:vAlign w:val="center"/>
            <w:hideMark/>
          </w:tcPr>
          <w:p w14:paraId="2A124896"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2017</w:t>
            </w:r>
          </w:p>
        </w:tc>
        <w:tc>
          <w:tcPr>
            <w:tcW w:w="325" w:type="dxa"/>
            <w:tcBorders>
              <w:top w:val="nil"/>
              <w:left w:val="nil"/>
              <w:bottom w:val="nil"/>
              <w:right w:val="nil"/>
            </w:tcBorders>
            <w:shd w:val="clear" w:color="auto" w:fill="auto"/>
            <w:noWrap/>
            <w:vAlign w:val="center"/>
            <w:hideMark/>
          </w:tcPr>
          <w:p w14:paraId="1A775BD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nil"/>
              <w:right w:val="nil"/>
            </w:tcBorders>
            <w:shd w:val="clear" w:color="auto" w:fill="auto"/>
            <w:vAlign w:val="center"/>
            <w:hideMark/>
          </w:tcPr>
          <w:p w14:paraId="700A12A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47</w:t>
            </w:r>
          </w:p>
        </w:tc>
        <w:tc>
          <w:tcPr>
            <w:tcW w:w="613" w:type="dxa"/>
            <w:gridSpan w:val="2"/>
            <w:tcBorders>
              <w:top w:val="nil"/>
              <w:left w:val="nil"/>
              <w:bottom w:val="nil"/>
              <w:right w:val="nil"/>
            </w:tcBorders>
            <w:shd w:val="clear" w:color="auto" w:fill="auto"/>
            <w:noWrap/>
            <w:vAlign w:val="center"/>
            <w:hideMark/>
          </w:tcPr>
          <w:p w14:paraId="4D7B681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5.17</w:t>
            </w:r>
          </w:p>
        </w:tc>
        <w:tc>
          <w:tcPr>
            <w:tcW w:w="501" w:type="dxa"/>
            <w:tcBorders>
              <w:top w:val="nil"/>
              <w:left w:val="nil"/>
              <w:bottom w:val="nil"/>
              <w:right w:val="nil"/>
            </w:tcBorders>
            <w:shd w:val="clear" w:color="auto" w:fill="auto"/>
            <w:noWrap/>
            <w:vAlign w:val="bottom"/>
            <w:hideMark/>
          </w:tcPr>
          <w:p w14:paraId="12541956"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nil"/>
              <w:right w:val="nil"/>
            </w:tcBorders>
            <w:shd w:val="clear" w:color="auto" w:fill="auto"/>
            <w:noWrap/>
            <w:vAlign w:val="bottom"/>
            <w:hideMark/>
          </w:tcPr>
          <w:p w14:paraId="3F5CC4D2"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15</w:t>
            </w:r>
          </w:p>
        </w:tc>
        <w:tc>
          <w:tcPr>
            <w:tcW w:w="971" w:type="dxa"/>
            <w:tcBorders>
              <w:top w:val="nil"/>
              <w:left w:val="nil"/>
              <w:bottom w:val="nil"/>
              <w:right w:val="nil"/>
            </w:tcBorders>
            <w:shd w:val="clear" w:color="auto" w:fill="auto"/>
            <w:noWrap/>
            <w:vAlign w:val="bottom"/>
            <w:hideMark/>
          </w:tcPr>
          <w:p w14:paraId="64F7783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2.11</w:t>
            </w:r>
          </w:p>
        </w:tc>
        <w:tc>
          <w:tcPr>
            <w:tcW w:w="851" w:type="dxa"/>
            <w:tcBorders>
              <w:top w:val="nil"/>
              <w:left w:val="nil"/>
              <w:bottom w:val="nil"/>
              <w:right w:val="nil"/>
            </w:tcBorders>
            <w:shd w:val="clear" w:color="auto" w:fill="auto"/>
            <w:noWrap/>
            <w:vAlign w:val="bottom"/>
            <w:hideMark/>
          </w:tcPr>
          <w:p w14:paraId="04CAC9B8"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nil"/>
              <w:right w:val="nil"/>
            </w:tcBorders>
            <w:shd w:val="clear" w:color="auto" w:fill="auto"/>
            <w:noWrap/>
            <w:vAlign w:val="bottom"/>
            <w:hideMark/>
          </w:tcPr>
          <w:p w14:paraId="72A94A1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31.91</w:t>
            </w:r>
          </w:p>
        </w:tc>
        <w:tc>
          <w:tcPr>
            <w:tcW w:w="315" w:type="dxa"/>
            <w:gridSpan w:val="2"/>
            <w:tcBorders>
              <w:top w:val="nil"/>
              <w:left w:val="nil"/>
              <w:bottom w:val="nil"/>
              <w:right w:val="nil"/>
            </w:tcBorders>
            <w:shd w:val="clear" w:color="auto" w:fill="auto"/>
            <w:noWrap/>
            <w:vAlign w:val="bottom"/>
            <w:hideMark/>
          </w:tcPr>
          <w:p w14:paraId="638D5C87"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41239C28"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2528FD09" w14:textId="77777777" w:rsidTr="00A772B3">
        <w:trPr>
          <w:trHeight w:val="300"/>
        </w:trPr>
        <w:tc>
          <w:tcPr>
            <w:tcW w:w="2321" w:type="dxa"/>
            <w:tcBorders>
              <w:top w:val="nil"/>
              <w:left w:val="nil"/>
              <w:right w:val="nil"/>
            </w:tcBorders>
            <w:shd w:val="clear" w:color="auto" w:fill="auto"/>
            <w:noWrap/>
            <w:vAlign w:val="center"/>
            <w:hideMark/>
          </w:tcPr>
          <w:p w14:paraId="0F982886"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325" w:type="dxa"/>
            <w:tcBorders>
              <w:top w:val="nil"/>
              <w:left w:val="nil"/>
              <w:right w:val="nil"/>
            </w:tcBorders>
            <w:shd w:val="clear" w:color="auto" w:fill="auto"/>
            <w:noWrap/>
            <w:vAlign w:val="center"/>
            <w:hideMark/>
          </w:tcPr>
          <w:p w14:paraId="5B5759D2"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right w:val="nil"/>
            </w:tcBorders>
            <w:shd w:val="clear" w:color="auto" w:fill="auto"/>
            <w:vAlign w:val="center"/>
            <w:hideMark/>
          </w:tcPr>
          <w:p w14:paraId="411DAF8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613" w:type="dxa"/>
            <w:gridSpan w:val="2"/>
            <w:tcBorders>
              <w:top w:val="nil"/>
              <w:left w:val="nil"/>
              <w:right w:val="nil"/>
            </w:tcBorders>
            <w:shd w:val="clear" w:color="auto" w:fill="auto"/>
            <w:noWrap/>
            <w:vAlign w:val="center"/>
            <w:hideMark/>
          </w:tcPr>
          <w:p w14:paraId="2AE3602D"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501" w:type="dxa"/>
            <w:tcBorders>
              <w:top w:val="nil"/>
              <w:left w:val="nil"/>
              <w:right w:val="nil"/>
            </w:tcBorders>
            <w:shd w:val="clear" w:color="auto" w:fill="auto"/>
            <w:noWrap/>
            <w:vAlign w:val="bottom"/>
            <w:hideMark/>
          </w:tcPr>
          <w:p w14:paraId="6FED7689"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right w:val="nil"/>
            </w:tcBorders>
            <w:shd w:val="clear" w:color="auto" w:fill="auto"/>
            <w:noWrap/>
            <w:vAlign w:val="bottom"/>
            <w:hideMark/>
          </w:tcPr>
          <w:p w14:paraId="03E95DF5"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971" w:type="dxa"/>
            <w:tcBorders>
              <w:top w:val="nil"/>
              <w:left w:val="nil"/>
              <w:right w:val="nil"/>
            </w:tcBorders>
            <w:shd w:val="clear" w:color="auto" w:fill="auto"/>
            <w:noWrap/>
            <w:vAlign w:val="bottom"/>
            <w:hideMark/>
          </w:tcPr>
          <w:p w14:paraId="2AC640F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851" w:type="dxa"/>
            <w:tcBorders>
              <w:top w:val="nil"/>
              <w:left w:val="nil"/>
              <w:right w:val="nil"/>
            </w:tcBorders>
            <w:shd w:val="clear" w:color="auto" w:fill="auto"/>
            <w:noWrap/>
            <w:vAlign w:val="bottom"/>
            <w:hideMark/>
          </w:tcPr>
          <w:p w14:paraId="12B73014"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right w:val="nil"/>
            </w:tcBorders>
            <w:shd w:val="clear" w:color="auto" w:fill="auto"/>
            <w:noWrap/>
            <w:vAlign w:val="bottom"/>
            <w:hideMark/>
          </w:tcPr>
          <w:p w14:paraId="18BC3BC5"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315" w:type="dxa"/>
            <w:gridSpan w:val="2"/>
            <w:tcBorders>
              <w:top w:val="nil"/>
              <w:left w:val="nil"/>
              <w:bottom w:val="nil"/>
              <w:right w:val="nil"/>
            </w:tcBorders>
            <w:shd w:val="clear" w:color="auto" w:fill="auto"/>
            <w:noWrap/>
            <w:vAlign w:val="bottom"/>
            <w:hideMark/>
          </w:tcPr>
          <w:p w14:paraId="084DB981"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28D24189"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D94396" w:rsidRPr="000912EF" w14:paraId="37CC9ECE" w14:textId="77777777" w:rsidTr="00A772B3">
        <w:trPr>
          <w:trHeight w:val="300"/>
        </w:trPr>
        <w:tc>
          <w:tcPr>
            <w:tcW w:w="2321" w:type="dxa"/>
            <w:tcBorders>
              <w:top w:val="nil"/>
              <w:left w:val="nil"/>
              <w:bottom w:val="single" w:sz="4" w:space="0" w:color="auto"/>
              <w:right w:val="nil"/>
            </w:tcBorders>
            <w:shd w:val="clear" w:color="auto" w:fill="auto"/>
            <w:noWrap/>
            <w:vAlign w:val="center"/>
            <w:hideMark/>
          </w:tcPr>
          <w:p w14:paraId="30801B1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Total</w:t>
            </w:r>
          </w:p>
        </w:tc>
        <w:tc>
          <w:tcPr>
            <w:tcW w:w="325" w:type="dxa"/>
            <w:tcBorders>
              <w:top w:val="nil"/>
              <w:left w:val="nil"/>
              <w:bottom w:val="single" w:sz="4" w:space="0" w:color="auto"/>
              <w:right w:val="nil"/>
            </w:tcBorders>
            <w:shd w:val="clear" w:color="auto" w:fill="auto"/>
            <w:noWrap/>
            <w:vAlign w:val="center"/>
            <w:hideMark/>
          </w:tcPr>
          <w:p w14:paraId="3D9AF1A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 </w:t>
            </w:r>
          </w:p>
        </w:tc>
        <w:tc>
          <w:tcPr>
            <w:tcW w:w="2373" w:type="dxa"/>
            <w:gridSpan w:val="3"/>
            <w:tcBorders>
              <w:top w:val="nil"/>
              <w:left w:val="nil"/>
              <w:bottom w:val="single" w:sz="4" w:space="0" w:color="auto"/>
              <w:right w:val="nil"/>
            </w:tcBorders>
            <w:shd w:val="clear" w:color="auto" w:fill="auto"/>
            <w:vAlign w:val="center"/>
            <w:hideMark/>
          </w:tcPr>
          <w:p w14:paraId="7C358063"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909</w:t>
            </w:r>
          </w:p>
        </w:tc>
        <w:tc>
          <w:tcPr>
            <w:tcW w:w="613" w:type="dxa"/>
            <w:gridSpan w:val="2"/>
            <w:tcBorders>
              <w:top w:val="nil"/>
              <w:left w:val="nil"/>
              <w:bottom w:val="single" w:sz="4" w:space="0" w:color="auto"/>
              <w:right w:val="nil"/>
            </w:tcBorders>
            <w:shd w:val="clear" w:color="auto" w:fill="auto"/>
            <w:noWrap/>
            <w:vAlign w:val="center"/>
            <w:hideMark/>
          </w:tcPr>
          <w:p w14:paraId="2B8B454F"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100</w:t>
            </w:r>
          </w:p>
        </w:tc>
        <w:tc>
          <w:tcPr>
            <w:tcW w:w="501" w:type="dxa"/>
            <w:tcBorders>
              <w:top w:val="nil"/>
              <w:left w:val="nil"/>
              <w:bottom w:val="single" w:sz="4" w:space="0" w:color="auto"/>
              <w:right w:val="nil"/>
            </w:tcBorders>
            <w:shd w:val="clear" w:color="auto" w:fill="auto"/>
            <w:noWrap/>
            <w:vAlign w:val="bottom"/>
            <w:hideMark/>
          </w:tcPr>
          <w:p w14:paraId="18EEBE8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1192" w:type="dxa"/>
            <w:gridSpan w:val="3"/>
            <w:tcBorders>
              <w:top w:val="nil"/>
              <w:left w:val="nil"/>
              <w:bottom w:val="single" w:sz="4" w:space="0" w:color="auto"/>
              <w:right w:val="nil"/>
            </w:tcBorders>
            <w:shd w:val="clear" w:color="auto" w:fill="auto"/>
            <w:noWrap/>
            <w:vAlign w:val="bottom"/>
            <w:hideMark/>
          </w:tcPr>
          <w:p w14:paraId="1A10A1F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710</w:t>
            </w:r>
          </w:p>
        </w:tc>
        <w:tc>
          <w:tcPr>
            <w:tcW w:w="971" w:type="dxa"/>
            <w:tcBorders>
              <w:top w:val="nil"/>
              <w:left w:val="nil"/>
              <w:bottom w:val="single" w:sz="4" w:space="0" w:color="auto"/>
              <w:right w:val="nil"/>
            </w:tcBorders>
            <w:shd w:val="clear" w:color="auto" w:fill="auto"/>
            <w:noWrap/>
            <w:vAlign w:val="bottom"/>
            <w:hideMark/>
          </w:tcPr>
          <w:p w14:paraId="0B22D89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100</w:t>
            </w:r>
          </w:p>
        </w:tc>
        <w:tc>
          <w:tcPr>
            <w:tcW w:w="851" w:type="dxa"/>
            <w:tcBorders>
              <w:top w:val="nil"/>
              <w:left w:val="nil"/>
              <w:bottom w:val="single" w:sz="4" w:space="0" w:color="auto"/>
              <w:right w:val="nil"/>
            </w:tcBorders>
            <w:shd w:val="clear" w:color="auto" w:fill="auto"/>
            <w:noWrap/>
            <w:vAlign w:val="bottom"/>
            <w:hideMark/>
          </w:tcPr>
          <w:p w14:paraId="52DC4B2F"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697" w:type="dxa"/>
            <w:gridSpan w:val="3"/>
            <w:tcBorders>
              <w:top w:val="nil"/>
              <w:left w:val="nil"/>
              <w:bottom w:val="single" w:sz="4" w:space="0" w:color="auto"/>
              <w:right w:val="nil"/>
            </w:tcBorders>
            <w:shd w:val="clear" w:color="auto" w:fill="auto"/>
            <w:noWrap/>
            <w:vAlign w:val="bottom"/>
            <w:hideMark/>
          </w:tcPr>
          <w:p w14:paraId="683D2F9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78.11</w:t>
            </w:r>
          </w:p>
        </w:tc>
        <w:tc>
          <w:tcPr>
            <w:tcW w:w="315" w:type="dxa"/>
            <w:gridSpan w:val="2"/>
            <w:tcBorders>
              <w:top w:val="nil"/>
              <w:left w:val="nil"/>
              <w:right w:val="nil"/>
            </w:tcBorders>
            <w:shd w:val="clear" w:color="auto" w:fill="auto"/>
            <w:noWrap/>
            <w:vAlign w:val="bottom"/>
            <w:hideMark/>
          </w:tcPr>
          <w:p w14:paraId="0E580582"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7" w:type="dxa"/>
            <w:gridSpan w:val="4"/>
            <w:tcBorders>
              <w:top w:val="nil"/>
              <w:left w:val="nil"/>
              <w:bottom w:val="nil"/>
              <w:right w:val="nil"/>
            </w:tcBorders>
            <w:shd w:val="clear" w:color="auto" w:fill="auto"/>
            <w:noWrap/>
            <w:vAlign w:val="bottom"/>
            <w:hideMark/>
          </w:tcPr>
          <w:p w14:paraId="61D8088B"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r>
      <w:tr w:rsidR="00703A27" w:rsidRPr="000912EF" w14:paraId="44F84408" w14:textId="77777777" w:rsidTr="00A772B3">
        <w:trPr>
          <w:trHeight w:val="300"/>
        </w:trPr>
        <w:tc>
          <w:tcPr>
            <w:tcW w:w="2321" w:type="dxa"/>
            <w:tcBorders>
              <w:top w:val="single" w:sz="4" w:space="0" w:color="auto"/>
              <w:left w:val="nil"/>
              <w:right w:val="nil"/>
            </w:tcBorders>
            <w:shd w:val="clear" w:color="auto" w:fill="auto"/>
            <w:noWrap/>
            <w:vAlign w:val="center"/>
          </w:tcPr>
          <w:p w14:paraId="0A8E2EE0" w14:textId="77777777" w:rsidR="00703A27" w:rsidRPr="000912EF" w:rsidRDefault="00703A27" w:rsidP="00583CE2">
            <w:pPr>
              <w:jc w:val="center"/>
              <w:rPr>
                <w:rFonts w:eastAsia="Times New Roman"/>
                <w:color w:val="000000"/>
                <w:sz w:val="22"/>
                <w:szCs w:val="22"/>
              </w:rPr>
            </w:pPr>
          </w:p>
        </w:tc>
        <w:tc>
          <w:tcPr>
            <w:tcW w:w="325" w:type="dxa"/>
            <w:tcBorders>
              <w:top w:val="single" w:sz="4" w:space="0" w:color="auto"/>
              <w:left w:val="nil"/>
              <w:right w:val="nil"/>
            </w:tcBorders>
            <w:shd w:val="clear" w:color="auto" w:fill="auto"/>
            <w:noWrap/>
            <w:vAlign w:val="center"/>
          </w:tcPr>
          <w:p w14:paraId="0BA9045F" w14:textId="77777777" w:rsidR="00703A27" w:rsidRPr="000912EF" w:rsidRDefault="00703A27" w:rsidP="00583CE2">
            <w:pPr>
              <w:jc w:val="center"/>
              <w:rPr>
                <w:rFonts w:eastAsia="Times New Roman"/>
                <w:color w:val="000000"/>
                <w:sz w:val="22"/>
                <w:szCs w:val="22"/>
              </w:rPr>
            </w:pPr>
          </w:p>
        </w:tc>
        <w:tc>
          <w:tcPr>
            <w:tcW w:w="2373" w:type="dxa"/>
            <w:gridSpan w:val="3"/>
            <w:tcBorders>
              <w:top w:val="single" w:sz="4" w:space="0" w:color="auto"/>
              <w:left w:val="nil"/>
              <w:right w:val="nil"/>
            </w:tcBorders>
            <w:shd w:val="clear" w:color="auto" w:fill="auto"/>
            <w:vAlign w:val="center"/>
          </w:tcPr>
          <w:p w14:paraId="6E195E71" w14:textId="77777777" w:rsidR="00703A27" w:rsidRPr="000912EF" w:rsidRDefault="00703A27" w:rsidP="00583CE2">
            <w:pPr>
              <w:jc w:val="center"/>
              <w:rPr>
                <w:rFonts w:eastAsia="Times New Roman"/>
                <w:color w:val="000000"/>
                <w:sz w:val="22"/>
                <w:szCs w:val="22"/>
              </w:rPr>
            </w:pPr>
          </w:p>
        </w:tc>
        <w:tc>
          <w:tcPr>
            <w:tcW w:w="613" w:type="dxa"/>
            <w:gridSpan w:val="2"/>
            <w:tcBorders>
              <w:top w:val="single" w:sz="4" w:space="0" w:color="auto"/>
              <w:left w:val="nil"/>
              <w:right w:val="nil"/>
            </w:tcBorders>
            <w:shd w:val="clear" w:color="auto" w:fill="auto"/>
            <w:noWrap/>
            <w:vAlign w:val="center"/>
          </w:tcPr>
          <w:p w14:paraId="5E48FC27" w14:textId="77777777" w:rsidR="00703A27" w:rsidRPr="000912EF" w:rsidRDefault="00703A27" w:rsidP="00583CE2">
            <w:pPr>
              <w:jc w:val="center"/>
              <w:rPr>
                <w:rFonts w:eastAsia="Times New Roman"/>
                <w:color w:val="000000"/>
                <w:sz w:val="22"/>
                <w:szCs w:val="22"/>
              </w:rPr>
            </w:pPr>
          </w:p>
        </w:tc>
        <w:tc>
          <w:tcPr>
            <w:tcW w:w="501" w:type="dxa"/>
            <w:tcBorders>
              <w:top w:val="single" w:sz="4" w:space="0" w:color="auto"/>
              <w:left w:val="nil"/>
              <w:right w:val="nil"/>
            </w:tcBorders>
            <w:shd w:val="clear" w:color="auto" w:fill="auto"/>
            <w:noWrap/>
            <w:vAlign w:val="bottom"/>
          </w:tcPr>
          <w:p w14:paraId="30FE3B9C" w14:textId="77777777" w:rsidR="00703A27" w:rsidRPr="000912EF" w:rsidRDefault="00703A27" w:rsidP="00583CE2">
            <w:pPr>
              <w:rPr>
                <w:rFonts w:eastAsia="Times New Roman"/>
                <w:color w:val="000000"/>
                <w:sz w:val="22"/>
                <w:szCs w:val="22"/>
              </w:rPr>
            </w:pPr>
          </w:p>
        </w:tc>
        <w:tc>
          <w:tcPr>
            <w:tcW w:w="1192" w:type="dxa"/>
            <w:gridSpan w:val="3"/>
            <w:tcBorders>
              <w:top w:val="single" w:sz="4" w:space="0" w:color="auto"/>
              <w:left w:val="nil"/>
              <w:right w:val="nil"/>
            </w:tcBorders>
            <w:shd w:val="clear" w:color="auto" w:fill="auto"/>
            <w:noWrap/>
            <w:vAlign w:val="bottom"/>
          </w:tcPr>
          <w:p w14:paraId="2441A88A" w14:textId="77777777" w:rsidR="00703A27" w:rsidRPr="000912EF" w:rsidRDefault="00703A27" w:rsidP="00583CE2">
            <w:pPr>
              <w:jc w:val="center"/>
              <w:rPr>
                <w:rFonts w:eastAsia="Times New Roman"/>
                <w:color w:val="000000"/>
                <w:sz w:val="22"/>
                <w:szCs w:val="22"/>
              </w:rPr>
            </w:pPr>
          </w:p>
        </w:tc>
        <w:tc>
          <w:tcPr>
            <w:tcW w:w="971" w:type="dxa"/>
            <w:tcBorders>
              <w:top w:val="single" w:sz="4" w:space="0" w:color="auto"/>
              <w:left w:val="nil"/>
              <w:right w:val="nil"/>
            </w:tcBorders>
            <w:shd w:val="clear" w:color="auto" w:fill="auto"/>
            <w:noWrap/>
            <w:vAlign w:val="bottom"/>
          </w:tcPr>
          <w:p w14:paraId="05EB79F2" w14:textId="77777777" w:rsidR="00703A27" w:rsidRPr="000912EF" w:rsidRDefault="00703A27" w:rsidP="00583CE2">
            <w:pPr>
              <w:jc w:val="center"/>
              <w:rPr>
                <w:rFonts w:eastAsia="Times New Roman"/>
                <w:color w:val="000000"/>
                <w:sz w:val="22"/>
                <w:szCs w:val="22"/>
              </w:rPr>
            </w:pPr>
          </w:p>
        </w:tc>
        <w:tc>
          <w:tcPr>
            <w:tcW w:w="851" w:type="dxa"/>
            <w:tcBorders>
              <w:top w:val="single" w:sz="4" w:space="0" w:color="auto"/>
              <w:left w:val="nil"/>
              <w:right w:val="nil"/>
            </w:tcBorders>
            <w:shd w:val="clear" w:color="auto" w:fill="auto"/>
            <w:noWrap/>
            <w:vAlign w:val="bottom"/>
          </w:tcPr>
          <w:p w14:paraId="35B1FB27" w14:textId="77777777" w:rsidR="00703A27" w:rsidRPr="000912EF" w:rsidRDefault="00703A27" w:rsidP="00583CE2">
            <w:pPr>
              <w:rPr>
                <w:rFonts w:eastAsia="Times New Roman"/>
                <w:color w:val="000000"/>
                <w:sz w:val="22"/>
                <w:szCs w:val="22"/>
              </w:rPr>
            </w:pPr>
          </w:p>
        </w:tc>
        <w:tc>
          <w:tcPr>
            <w:tcW w:w="2697" w:type="dxa"/>
            <w:gridSpan w:val="3"/>
            <w:tcBorders>
              <w:top w:val="single" w:sz="4" w:space="0" w:color="auto"/>
              <w:left w:val="nil"/>
              <w:right w:val="nil"/>
            </w:tcBorders>
            <w:shd w:val="clear" w:color="auto" w:fill="auto"/>
            <w:noWrap/>
            <w:vAlign w:val="bottom"/>
          </w:tcPr>
          <w:p w14:paraId="07FCD087" w14:textId="77777777" w:rsidR="00703A27" w:rsidRPr="000912EF" w:rsidRDefault="00703A27" w:rsidP="00583CE2">
            <w:pPr>
              <w:jc w:val="center"/>
              <w:rPr>
                <w:rFonts w:eastAsia="Times New Roman"/>
                <w:color w:val="000000"/>
                <w:sz w:val="22"/>
                <w:szCs w:val="22"/>
              </w:rPr>
            </w:pPr>
          </w:p>
        </w:tc>
        <w:tc>
          <w:tcPr>
            <w:tcW w:w="315" w:type="dxa"/>
            <w:gridSpan w:val="2"/>
            <w:tcBorders>
              <w:top w:val="nil"/>
              <w:left w:val="nil"/>
              <w:right w:val="nil"/>
            </w:tcBorders>
            <w:shd w:val="clear" w:color="auto" w:fill="auto"/>
            <w:noWrap/>
            <w:vAlign w:val="bottom"/>
          </w:tcPr>
          <w:p w14:paraId="08D877DB" w14:textId="77777777" w:rsidR="00703A27" w:rsidRPr="000912EF" w:rsidRDefault="00703A27" w:rsidP="00583CE2">
            <w:pPr>
              <w:rPr>
                <w:rFonts w:eastAsia="Times New Roman"/>
                <w:color w:val="000000"/>
                <w:sz w:val="22"/>
                <w:szCs w:val="22"/>
              </w:rPr>
            </w:pPr>
          </w:p>
        </w:tc>
        <w:tc>
          <w:tcPr>
            <w:tcW w:w="2407" w:type="dxa"/>
            <w:gridSpan w:val="4"/>
            <w:tcBorders>
              <w:top w:val="nil"/>
              <w:left w:val="nil"/>
              <w:bottom w:val="nil"/>
              <w:right w:val="nil"/>
            </w:tcBorders>
            <w:shd w:val="clear" w:color="auto" w:fill="auto"/>
            <w:noWrap/>
            <w:vAlign w:val="bottom"/>
          </w:tcPr>
          <w:p w14:paraId="737AB17F" w14:textId="77777777" w:rsidR="00703A27" w:rsidRPr="000912EF" w:rsidRDefault="00703A27" w:rsidP="00583CE2">
            <w:pPr>
              <w:rPr>
                <w:rFonts w:eastAsia="Times New Roman"/>
                <w:color w:val="000000"/>
                <w:sz w:val="22"/>
                <w:szCs w:val="22"/>
              </w:rPr>
            </w:pPr>
          </w:p>
        </w:tc>
      </w:tr>
      <w:tr w:rsidR="00703A27" w:rsidRPr="000912EF" w14:paraId="5BBFB7B2" w14:textId="77777777" w:rsidTr="00A772B3">
        <w:trPr>
          <w:trHeight w:val="300"/>
        </w:trPr>
        <w:tc>
          <w:tcPr>
            <w:tcW w:w="2321" w:type="dxa"/>
            <w:tcBorders>
              <w:top w:val="nil"/>
              <w:left w:val="nil"/>
              <w:right w:val="nil"/>
            </w:tcBorders>
            <w:shd w:val="clear" w:color="auto" w:fill="auto"/>
            <w:noWrap/>
            <w:vAlign w:val="center"/>
          </w:tcPr>
          <w:p w14:paraId="41680133" w14:textId="77777777" w:rsidR="00703A27" w:rsidRPr="000912EF" w:rsidRDefault="00703A27" w:rsidP="00583CE2">
            <w:pPr>
              <w:jc w:val="center"/>
              <w:rPr>
                <w:rFonts w:eastAsia="Times New Roman"/>
                <w:color w:val="000000"/>
                <w:sz w:val="22"/>
                <w:szCs w:val="22"/>
              </w:rPr>
            </w:pPr>
          </w:p>
        </w:tc>
        <w:tc>
          <w:tcPr>
            <w:tcW w:w="325" w:type="dxa"/>
            <w:tcBorders>
              <w:top w:val="nil"/>
              <w:left w:val="nil"/>
              <w:right w:val="nil"/>
            </w:tcBorders>
            <w:shd w:val="clear" w:color="auto" w:fill="auto"/>
            <w:noWrap/>
            <w:vAlign w:val="center"/>
          </w:tcPr>
          <w:p w14:paraId="4E02D1C6" w14:textId="77777777" w:rsidR="00703A27" w:rsidRPr="000912EF" w:rsidRDefault="00703A27" w:rsidP="00583CE2">
            <w:pPr>
              <w:jc w:val="center"/>
              <w:rPr>
                <w:rFonts w:eastAsia="Times New Roman"/>
                <w:color w:val="000000"/>
                <w:sz w:val="22"/>
                <w:szCs w:val="22"/>
              </w:rPr>
            </w:pPr>
          </w:p>
        </w:tc>
        <w:tc>
          <w:tcPr>
            <w:tcW w:w="2373" w:type="dxa"/>
            <w:gridSpan w:val="3"/>
            <w:tcBorders>
              <w:top w:val="nil"/>
              <w:left w:val="nil"/>
              <w:right w:val="nil"/>
            </w:tcBorders>
            <w:shd w:val="clear" w:color="auto" w:fill="auto"/>
            <w:vAlign w:val="center"/>
          </w:tcPr>
          <w:p w14:paraId="5D36875F" w14:textId="77777777" w:rsidR="00703A27" w:rsidRPr="000912EF" w:rsidRDefault="00703A27" w:rsidP="00583CE2">
            <w:pPr>
              <w:jc w:val="center"/>
              <w:rPr>
                <w:rFonts w:eastAsia="Times New Roman"/>
                <w:color w:val="000000"/>
                <w:sz w:val="22"/>
                <w:szCs w:val="22"/>
              </w:rPr>
            </w:pPr>
          </w:p>
        </w:tc>
        <w:tc>
          <w:tcPr>
            <w:tcW w:w="613" w:type="dxa"/>
            <w:gridSpan w:val="2"/>
            <w:tcBorders>
              <w:top w:val="nil"/>
              <w:left w:val="nil"/>
              <w:right w:val="nil"/>
            </w:tcBorders>
            <w:shd w:val="clear" w:color="auto" w:fill="auto"/>
            <w:noWrap/>
            <w:vAlign w:val="center"/>
          </w:tcPr>
          <w:p w14:paraId="0FF43DAD" w14:textId="77777777" w:rsidR="00703A27" w:rsidRPr="000912EF" w:rsidRDefault="00703A27" w:rsidP="00583CE2">
            <w:pPr>
              <w:jc w:val="center"/>
              <w:rPr>
                <w:rFonts w:eastAsia="Times New Roman"/>
                <w:color w:val="000000"/>
                <w:sz w:val="22"/>
                <w:szCs w:val="22"/>
              </w:rPr>
            </w:pPr>
          </w:p>
        </w:tc>
        <w:tc>
          <w:tcPr>
            <w:tcW w:w="501" w:type="dxa"/>
            <w:tcBorders>
              <w:top w:val="nil"/>
              <w:left w:val="nil"/>
              <w:right w:val="nil"/>
            </w:tcBorders>
            <w:shd w:val="clear" w:color="auto" w:fill="auto"/>
            <w:noWrap/>
            <w:vAlign w:val="bottom"/>
          </w:tcPr>
          <w:p w14:paraId="27EEDA7C" w14:textId="77777777" w:rsidR="00703A27" w:rsidRPr="000912EF" w:rsidRDefault="00703A27" w:rsidP="00583CE2">
            <w:pPr>
              <w:rPr>
                <w:rFonts w:eastAsia="Times New Roman"/>
                <w:color w:val="000000"/>
                <w:sz w:val="22"/>
                <w:szCs w:val="22"/>
              </w:rPr>
            </w:pPr>
          </w:p>
        </w:tc>
        <w:tc>
          <w:tcPr>
            <w:tcW w:w="1192" w:type="dxa"/>
            <w:gridSpan w:val="3"/>
            <w:tcBorders>
              <w:top w:val="nil"/>
              <w:left w:val="nil"/>
              <w:right w:val="nil"/>
            </w:tcBorders>
            <w:shd w:val="clear" w:color="auto" w:fill="auto"/>
            <w:noWrap/>
            <w:vAlign w:val="bottom"/>
          </w:tcPr>
          <w:p w14:paraId="11408936" w14:textId="77777777" w:rsidR="00703A27" w:rsidRPr="000912EF" w:rsidRDefault="00703A27" w:rsidP="00583CE2">
            <w:pPr>
              <w:jc w:val="center"/>
              <w:rPr>
                <w:rFonts w:eastAsia="Times New Roman"/>
                <w:color w:val="000000"/>
                <w:sz w:val="22"/>
                <w:szCs w:val="22"/>
              </w:rPr>
            </w:pPr>
          </w:p>
        </w:tc>
        <w:tc>
          <w:tcPr>
            <w:tcW w:w="971" w:type="dxa"/>
            <w:tcBorders>
              <w:top w:val="nil"/>
              <w:left w:val="nil"/>
              <w:right w:val="nil"/>
            </w:tcBorders>
            <w:shd w:val="clear" w:color="auto" w:fill="auto"/>
            <w:noWrap/>
            <w:vAlign w:val="bottom"/>
          </w:tcPr>
          <w:p w14:paraId="73DC9F00" w14:textId="77777777" w:rsidR="00703A27" w:rsidRPr="000912EF" w:rsidRDefault="00703A27" w:rsidP="00583CE2">
            <w:pPr>
              <w:jc w:val="center"/>
              <w:rPr>
                <w:rFonts w:eastAsia="Times New Roman"/>
                <w:color w:val="000000"/>
                <w:sz w:val="22"/>
                <w:szCs w:val="22"/>
              </w:rPr>
            </w:pPr>
          </w:p>
        </w:tc>
        <w:tc>
          <w:tcPr>
            <w:tcW w:w="851" w:type="dxa"/>
            <w:tcBorders>
              <w:top w:val="nil"/>
              <w:left w:val="nil"/>
              <w:right w:val="nil"/>
            </w:tcBorders>
            <w:shd w:val="clear" w:color="auto" w:fill="auto"/>
            <w:noWrap/>
            <w:vAlign w:val="bottom"/>
          </w:tcPr>
          <w:p w14:paraId="71CCC0A7" w14:textId="77777777" w:rsidR="00703A27" w:rsidRPr="000912EF" w:rsidRDefault="00703A27" w:rsidP="00583CE2">
            <w:pPr>
              <w:rPr>
                <w:rFonts w:eastAsia="Times New Roman"/>
                <w:color w:val="000000"/>
                <w:sz w:val="22"/>
                <w:szCs w:val="22"/>
              </w:rPr>
            </w:pPr>
          </w:p>
        </w:tc>
        <w:tc>
          <w:tcPr>
            <w:tcW w:w="2697" w:type="dxa"/>
            <w:gridSpan w:val="3"/>
            <w:tcBorders>
              <w:top w:val="nil"/>
              <w:left w:val="nil"/>
              <w:right w:val="nil"/>
            </w:tcBorders>
            <w:shd w:val="clear" w:color="auto" w:fill="auto"/>
            <w:noWrap/>
            <w:vAlign w:val="bottom"/>
          </w:tcPr>
          <w:p w14:paraId="5707B809" w14:textId="77777777" w:rsidR="00703A27" w:rsidRPr="000912EF" w:rsidRDefault="00703A27" w:rsidP="00583CE2">
            <w:pPr>
              <w:jc w:val="center"/>
              <w:rPr>
                <w:rFonts w:eastAsia="Times New Roman"/>
                <w:color w:val="000000"/>
                <w:sz w:val="22"/>
                <w:szCs w:val="22"/>
              </w:rPr>
            </w:pPr>
          </w:p>
        </w:tc>
        <w:tc>
          <w:tcPr>
            <w:tcW w:w="315" w:type="dxa"/>
            <w:gridSpan w:val="2"/>
            <w:tcBorders>
              <w:top w:val="nil"/>
              <w:left w:val="nil"/>
              <w:right w:val="nil"/>
            </w:tcBorders>
            <w:shd w:val="clear" w:color="auto" w:fill="auto"/>
            <w:noWrap/>
            <w:vAlign w:val="bottom"/>
          </w:tcPr>
          <w:p w14:paraId="5E2C045D" w14:textId="77777777" w:rsidR="00703A27" w:rsidRPr="000912EF" w:rsidRDefault="00703A27" w:rsidP="00583CE2">
            <w:pPr>
              <w:rPr>
                <w:rFonts w:eastAsia="Times New Roman"/>
                <w:color w:val="000000"/>
                <w:sz w:val="22"/>
                <w:szCs w:val="22"/>
              </w:rPr>
            </w:pPr>
          </w:p>
        </w:tc>
        <w:tc>
          <w:tcPr>
            <w:tcW w:w="2407" w:type="dxa"/>
            <w:gridSpan w:val="4"/>
            <w:tcBorders>
              <w:top w:val="nil"/>
              <w:left w:val="nil"/>
              <w:bottom w:val="nil"/>
              <w:right w:val="nil"/>
            </w:tcBorders>
            <w:shd w:val="clear" w:color="auto" w:fill="auto"/>
            <w:noWrap/>
            <w:vAlign w:val="bottom"/>
          </w:tcPr>
          <w:p w14:paraId="59B04E7B" w14:textId="77777777" w:rsidR="00703A27" w:rsidRPr="000912EF" w:rsidRDefault="00703A27" w:rsidP="00583CE2">
            <w:pPr>
              <w:rPr>
                <w:rFonts w:eastAsia="Times New Roman"/>
                <w:color w:val="000000"/>
                <w:sz w:val="22"/>
                <w:szCs w:val="22"/>
              </w:rPr>
            </w:pPr>
          </w:p>
        </w:tc>
      </w:tr>
      <w:tr w:rsidR="00703A27" w:rsidRPr="000912EF" w14:paraId="423FCAAB" w14:textId="77777777" w:rsidTr="00A772B3">
        <w:trPr>
          <w:trHeight w:val="300"/>
        </w:trPr>
        <w:tc>
          <w:tcPr>
            <w:tcW w:w="2321" w:type="dxa"/>
            <w:tcBorders>
              <w:top w:val="nil"/>
              <w:left w:val="nil"/>
              <w:right w:val="nil"/>
            </w:tcBorders>
            <w:shd w:val="clear" w:color="auto" w:fill="auto"/>
            <w:noWrap/>
            <w:vAlign w:val="center"/>
          </w:tcPr>
          <w:p w14:paraId="68AD43D0" w14:textId="77777777" w:rsidR="00703A27" w:rsidRPr="000912EF" w:rsidRDefault="00703A27" w:rsidP="00583CE2">
            <w:pPr>
              <w:jc w:val="center"/>
              <w:rPr>
                <w:rFonts w:eastAsia="Times New Roman"/>
                <w:color w:val="000000"/>
                <w:sz w:val="22"/>
                <w:szCs w:val="22"/>
              </w:rPr>
            </w:pPr>
          </w:p>
        </w:tc>
        <w:tc>
          <w:tcPr>
            <w:tcW w:w="325" w:type="dxa"/>
            <w:tcBorders>
              <w:top w:val="nil"/>
              <w:left w:val="nil"/>
              <w:right w:val="nil"/>
            </w:tcBorders>
            <w:shd w:val="clear" w:color="auto" w:fill="auto"/>
            <w:noWrap/>
            <w:vAlign w:val="center"/>
          </w:tcPr>
          <w:p w14:paraId="5A0F7893" w14:textId="77777777" w:rsidR="00703A27" w:rsidRPr="000912EF" w:rsidRDefault="00703A27" w:rsidP="00583CE2">
            <w:pPr>
              <w:jc w:val="center"/>
              <w:rPr>
                <w:rFonts w:eastAsia="Times New Roman"/>
                <w:color w:val="000000"/>
                <w:sz w:val="22"/>
                <w:szCs w:val="22"/>
              </w:rPr>
            </w:pPr>
          </w:p>
        </w:tc>
        <w:tc>
          <w:tcPr>
            <w:tcW w:w="2373" w:type="dxa"/>
            <w:gridSpan w:val="3"/>
            <w:tcBorders>
              <w:top w:val="nil"/>
              <w:left w:val="nil"/>
              <w:right w:val="nil"/>
            </w:tcBorders>
            <w:shd w:val="clear" w:color="auto" w:fill="auto"/>
            <w:vAlign w:val="center"/>
          </w:tcPr>
          <w:p w14:paraId="1E917C77" w14:textId="77777777" w:rsidR="00703A27" w:rsidRPr="000912EF" w:rsidRDefault="00703A27" w:rsidP="00583CE2">
            <w:pPr>
              <w:jc w:val="center"/>
              <w:rPr>
                <w:rFonts w:eastAsia="Times New Roman"/>
                <w:color w:val="000000"/>
                <w:sz w:val="22"/>
                <w:szCs w:val="22"/>
              </w:rPr>
            </w:pPr>
          </w:p>
        </w:tc>
        <w:tc>
          <w:tcPr>
            <w:tcW w:w="613" w:type="dxa"/>
            <w:gridSpan w:val="2"/>
            <w:tcBorders>
              <w:top w:val="nil"/>
              <w:left w:val="nil"/>
              <w:right w:val="nil"/>
            </w:tcBorders>
            <w:shd w:val="clear" w:color="auto" w:fill="auto"/>
            <w:noWrap/>
            <w:vAlign w:val="center"/>
          </w:tcPr>
          <w:p w14:paraId="4E60ABA2" w14:textId="77777777" w:rsidR="00703A27" w:rsidRPr="000912EF" w:rsidRDefault="00703A27" w:rsidP="00583CE2">
            <w:pPr>
              <w:jc w:val="center"/>
              <w:rPr>
                <w:rFonts w:eastAsia="Times New Roman"/>
                <w:color w:val="000000"/>
                <w:sz w:val="22"/>
                <w:szCs w:val="22"/>
              </w:rPr>
            </w:pPr>
          </w:p>
        </w:tc>
        <w:tc>
          <w:tcPr>
            <w:tcW w:w="501" w:type="dxa"/>
            <w:tcBorders>
              <w:top w:val="nil"/>
              <w:left w:val="nil"/>
              <w:right w:val="nil"/>
            </w:tcBorders>
            <w:shd w:val="clear" w:color="auto" w:fill="auto"/>
            <w:noWrap/>
            <w:vAlign w:val="bottom"/>
          </w:tcPr>
          <w:p w14:paraId="6DA54DD9" w14:textId="77777777" w:rsidR="00703A27" w:rsidRPr="000912EF" w:rsidRDefault="00703A27" w:rsidP="00583CE2">
            <w:pPr>
              <w:rPr>
                <w:rFonts w:eastAsia="Times New Roman"/>
                <w:color w:val="000000"/>
                <w:sz w:val="22"/>
                <w:szCs w:val="22"/>
              </w:rPr>
            </w:pPr>
          </w:p>
        </w:tc>
        <w:tc>
          <w:tcPr>
            <w:tcW w:w="1192" w:type="dxa"/>
            <w:gridSpan w:val="3"/>
            <w:tcBorders>
              <w:top w:val="nil"/>
              <w:left w:val="nil"/>
              <w:right w:val="nil"/>
            </w:tcBorders>
            <w:shd w:val="clear" w:color="auto" w:fill="auto"/>
            <w:noWrap/>
            <w:vAlign w:val="bottom"/>
          </w:tcPr>
          <w:p w14:paraId="79A88287" w14:textId="77777777" w:rsidR="00703A27" w:rsidRPr="000912EF" w:rsidRDefault="00703A27" w:rsidP="00583CE2">
            <w:pPr>
              <w:jc w:val="center"/>
              <w:rPr>
                <w:rFonts w:eastAsia="Times New Roman"/>
                <w:color w:val="000000"/>
                <w:sz w:val="22"/>
                <w:szCs w:val="22"/>
              </w:rPr>
            </w:pPr>
          </w:p>
        </w:tc>
        <w:tc>
          <w:tcPr>
            <w:tcW w:w="971" w:type="dxa"/>
            <w:tcBorders>
              <w:top w:val="nil"/>
              <w:left w:val="nil"/>
              <w:right w:val="nil"/>
            </w:tcBorders>
            <w:shd w:val="clear" w:color="auto" w:fill="auto"/>
            <w:noWrap/>
            <w:vAlign w:val="bottom"/>
          </w:tcPr>
          <w:p w14:paraId="50A46942" w14:textId="77777777" w:rsidR="00703A27" w:rsidRPr="000912EF" w:rsidRDefault="00703A27" w:rsidP="00583CE2">
            <w:pPr>
              <w:jc w:val="center"/>
              <w:rPr>
                <w:rFonts w:eastAsia="Times New Roman"/>
                <w:color w:val="000000"/>
                <w:sz w:val="22"/>
                <w:szCs w:val="22"/>
              </w:rPr>
            </w:pPr>
          </w:p>
        </w:tc>
        <w:tc>
          <w:tcPr>
            <w:tcW w:w="851" w:type="dxa"/>
            <w:tcBorders>
              <w:top w:val="nil"/>
              <w:left w:val="nil"/>
              <w:right w:val="nil"/>
            </w:tcBorders>
            <w:shd w:val="clear" w:color="auto" w:fill="auto"/>
            <w:noWrap/>
            <w:vAlign w:val="bottom"/>
          </w:tcPr>
          <w:p w14:paraId="4E66D853" w14:textId="77777777" w:rsidR="00703A27" w:rsidRPr="000912EF" w:rsidRDefault="00703A27" w:rsidP="00583CE2">
            <w:pPr>
              <w:rPr>
                <w:rFonts w:eastAsia="Times New Roman"/>
                <w:color w:val="000000"/>
                <w:sz w:val="22"/>
                <w:szCs w:val="22"/>
              </w:rPr>
            </w:pPr>
          </w:p>
        </w:tc>
        <w:tc>
          <w:tcPr>
            <w:tcW w:w="2697" w:type="dxa"/>
            <w:gridSpan w:val="3"/>
            <w:tcBorders>
              <w:top w:val="nil"/>
              <w:left w:val="nil"/>
              <w:right w:val="nil"/>
            </w:tcBorders>
            <w:shd w:val="clear" w:color="auto" w:fill="auto"/>
            <w:noWrap/>
            <w:vAlign w:val="bottom"/>
          </w:tcPr>
          <w:p w14:paraId="5A85CFB4" w14:textId="77777777" w:rsidR="00703A27" w:rsidRPr="000912EF" w:rsidRDefault="00703A27" w:rsidP="00583CE2">
            <w:pPr>
              <w:jc w:val="center"/>
              <w:rPr>
                <w:rFonts w:eastAsia="Times New Roman"/>
                <w:color w:val="000000"/>
                <w:sz w:val="22"/>
                <w:szCs w:val="22"/>
              </w:rPr>
            </w:pPr>
          </w:p>
        </w:tc>
        <w:tc>
          <w:tcPr>
            <w:tcW w:w="315" w:type="dxa"/>
            <w:gridSpan w:val="2"/>
            <w:tcBorders>
              <w:top w:val="nil"/>
              <w:left w:val="nil"/>
              <w:right w:val="nil"/>
            </w:tcBorders>
            <w:shd w:val="clear" w:color="auto" w:fill="auto"/>
            <w:noWrap/>
            <w:vAlign w:val="bottom"/>
          </w:tcPr>
          <w:p w14:paraId="5A7E0747" w14:textId="77777777" w:rsidR="00703A27" w:rsidRPr="000912EF" w:rsidRDefault="00703A27" w:rsidP="00583CE2">
            <w:pPr>
              <w:rPr>
                <w:rFonts w:eastAsia="Times New Roman"/>
                <w:color w:val="000000"/>
                <w:sz w:val="22"/>
                <w:szCs w:val="22"/>
              </w:rPr>
            </w:pPr>
          </w:p>
        </w:tc>
        <w:tc>
          <w:tcPr>
            <w:tcW w:w="2407" w:type="dxa"/>
            <w:gridSpan w:val="4"/>
            <w:tcBorders>
              <w:top w:val="nil"/>
              <w:left w:val="nil"/>
              <w:bottom w:val="nil"/>
              <w:right w:val="nil"/>
            </w:tcBorders>
            <w:shd w:val="clear" w:color="auto" w:fill="auto"/>
            <w:noWrap/>
            <w:vAlign w:val="bottom"/>
          </w:tcPr>
          <w:p w14:paraId="2FEA154C" w14:textId="77777777" w:rsidR="00703A27" w:rsidRPr="000912EF" w:rsidRDefault="00703A27" w:rsidP="00583CE2">
            <w:pPr>
              <w:rPr>
                <w:rFonts w:eastAsia="Times New Roman"/>
                <w:color w:val="000000"/>
                <w:sz w:val="22"/>
                <w:szCs w:val="22"/>
              </w:rPr>
            </w:pPr>
          </w:p>
        </w:tc>
      </w:tr>
      <w:tr w:rsidR="00703A27" w:rsidRPr="000912EF" w14:paraId="47AEFC55" w14:textId="77777777" w:rsidTr="00A772B3">
        <w:trPr>
          <w:trHeight w:val="300"/>
        </w:trPr>
        <w:tc>
          <w:tcPr>
            <w:tcW w:w="2321" w:type="dxa"/>
            <w:tcBorders>
              <w:top w:val="nil"/>
              <w:left w:val="nil"/>
              <w:right w:val="nil"/>
            </w:tcBorders>
            <w:shd w:val="clear" w:color="auto" w:fill="auto"/>
            <w:noWrap/>
            <w:vAlign w:val="center"/>
          </w:tcPr>
          <w:p w14:paraId="61546CCF" w14:textId="77777777" w:rsidR="00703A27" w:rsidRPr="000912EF" w:rsidRDefault="00703A27" w:rsidP="00583CE2">
            <w:pPr>
              <w:jc w:val="center"/>
              <w:rPr>
                <w:rFonts w:eastAsia="Times New Roman"/>
                <w:color w:val="000000"/>
                <w:sz w:val="22"/>
                <w:szCs w:val="22"/>
              </w:rPr>
            </w:pPr>
          </w:p>
        </w:tc>
        <w:tc>
          <w:tcPr>
            <w:tcW w:w="325" w:type="dxa"/>
            <w:tcBorders>
              <w:top w:val="nil"/>
              <w:left w:val="nil"/>
              <w:right w:val="nil"/>
            </w:tcBorders>
            <w:shd w:val="clear" w:color="auto" w:fill="auto"/>
            <w:noWrap/>
            <w:vAlign w:val="center"/>
          </w:tcPr>
          <w:p w14:paraId="7EDF2107" w14:textId="77777777" w:rsidR="00703A27" w:rsidRPr="000912EF" w:rsidRDefault="00703A27" w:rsidP="00583CE2">
            <w:pPr>
              <w:jc w:val="center"/>
              <w:rPr>
                <w:rFonts w:eastAsia="Times New Roman"/>
                <w:color w:val="000000"/>
                <w:sz w:val="22"/>
                <w:szCs w:val="22"/>
              </w:rPr>
            </w:pPr>
          </w:p>
        </w:tc>
        <w:tc>
          <w:tcPr>
            <w:tcW w:w="2373" w:type="dxa"/>
            <w:gridSpan w:val="3"/>
            <w:tcBorders>
              <w:top w:val="nil"/>
              <w:left w:val="nil"/>
              <w:right w:val="nil"/>
            </w:tcBorders>
            <w:shd w:val="clear" w:color="auto" w:fill="auto"/>
            <w:vAlign w:val="center"/>
          </w:tcPr>
          <w:p w14:paraId="510315F5" w14:textId="77777777" w:rsidR="00703A27" w:rsidRPr="000912EF" w:rsidRDefault="00703A27" w:rsidP="00583CE2">
            <w:pPr>
              <w:jc w:val="center"/>
              <w:rPr>
                <w:rFonts w:eastAsia="Times New Roman"/>
                <w:color w:val="000000"/>
                <w:sz w:val="22"/>
                <w:szCs w:val="22"/>
              </w:rPr>
            </w:pPr>
          </w:p>
        </w:tc>
        <w:tc>
          <w:tcPr>
            <w:tcW w:w="613" w:type="dxa"/>
            <w:gridSpan w:val="2"/>
            <w:tcBorders>
              <w:top w:val="nil"/>
              <w:left w:val="nil"/>
              <w:right w:val="nil"/>
            </w:tcBorders>
            <w:shd w:val="clear" w:color="auto" w:fill="auto"/>
            <w:noWrap/>
            <w:vAlign w:val="center"/>
          </w:tcPr>
          <w:p w14:paraId="7E6E4120" w14:textId="77777777" w:rsidR="00703A27" w:rsidRPr="000912EF" w:rsidRDefault="00703A27" w:rsidP="00583CE2">
            <w:pPr>
              <w:jc w:val="center"/>
              <w:rPr>
                <w:rFonts w:eastAsia="Times New Roman"/>
                <w:color w:val="000000"/>
                <w:sz w:val="22"/>
                <w:szCs w:val="22"/>
              </w:rPr>
            </w:pPr>
          </w:p>
        </w:tc>
        <w:tc>
          <w:tcPr>
            <w:tcW w:w="501" w:type="dxa"/>
            <w:tcBorders>
              <w:top w:val="nil"/>
              <w:left w:val="nil"/>
              <w:right w:val="nil"/>
            </w:tcBorders>
            <w:shd w:val="clear" w:color="auto" w:fill="auto"/>
            <w:noWrap/>
            <w:vAlign w:val="bottom"/>
          </w:tcPr>
          <w:p w14:paraId="66C562C2" w14:textId="77777777" w:rsidR="00703A27" w:rsidRPr="000912EF" w:rsidRDefault="00703A27" w:rsidP="00583CE2">
            <w:pPr>
              <w:rPr>
                <w:rFonts w:eastAsia="Times New Roman"/>
                <w:color w:val="000000"/>
                <w:sz w:val="22"/>
                <w:szCs w:val="22"/>
              </w:rPr>
            </w:pPr>
          </w:p>
        </w:tc>
        <w:tc>
          <w:tcPr>
            <w:tcW w:w="1192" w:type="dxa"/>
            <w:gridSpan w:val="3"/>
            <w:tcBorders>
              <w:top w:val="nil"/>
              <w:left w:val="nil"/>
              <w:right w:val="nil"/>
            </w:tcBorders>
            <w:shd w:val="clear" w:color="auto" w:fill="auto"/>
            <w:noWrap/>
            <w:vAlign w:val="bottom"/>
          </w:tcPr>
          <w:p w14:paraId="3D6A8950" w14:textId="77777777" w:rsidR="00703A27" w:rsidRPr="000912EF" w:rsidRDefault="00703A27" w:rsidP="00583CE2">
            <w:pPr>
              <w:jc w:val="center"/>
              <w:rPr>
                <w:rFonts w:eastAsia="Times New Roman"/>
                <w:color w:val="000000"/>
                <w:sz w:val="22"/>
                <w:szCs w:val="22"/>
              </w:rPr>
            </w:pPr>
          </w:p>
        </w:tc>
        <w:tc>
          <w:tcPr>
            <w:tcW w:w="971" w:type="dxa"/>
            <w:tcBorders>
              <w:top w:val="nil"/>
              <w:left w:val="nil"/>
              <w:right w:val="nil"/>
            </w:tcBorders>
            <w:shd w:val="clear" w:color="auto" w:fill="auto"/>
            <w:noWrap/>
            <w:vAlign w:val="bottom"/>
          </w:tcPr>
          <w:p w14:paraId="3B229DED" w14:textId="77777777" w:rsidR="00703A27" w:rsidRPr="000912EF" w:rsidRDefault="00703A27" w:rsidP="00583CE2">
            <w:pPr>
              <w:jc w:val="center"/>
              <w:rPr>
                <w:rFonts w:eastAsia="Times New Roman"/>
                <w:color w:val="000000"/>
                <w:sz w:val="22"/>
                <w:szCs w:val="22"/>
              </w:rPr>
            </w:pPr>
          </w:p>
        </w:tc>
        <w:tc>
          <w:tcPr>
            <w:tcW w:w="851" w:type="dxa"/>
            <w:tcBorders>
              <w:top w:val="nil"/>
              <w:left w:val="nil"/>
              <w:right w:val="nil"/>
            </w:tcBorders>
            <w:shd w:val="clear" w:color="auto" w:fill="auto"/>
            <w:noWrap/>
            <w:vAlign w:val="bottom"/>
          </w:tcPr>
          <w:p w14:paraId="3A115B19" w14:textId="77777777" w:rsidR="00703A27" w:rsidRPr="000912EF" w:rsidRDefault="00703A27" w:rsidP="00583CE2">
            <w:pPr>
              <w:rPr>
                <w:rFonts w:eastAsia="Times New Roman"/>
                <w:color w:val="000000"/>
                <w:sz w:val="22"/>
                <w:szCs w:val="22"/>
              </w:rPr>
            </w:pPr>
          </w:p>
        </w:tc>
        <w:tc>
          <w:tcPr>
            <w:tcW w:w="2697" w:type="dxa"/>
            <w:gridSpan w:val="3"/>
            <w:tcBorders>
              <w:top w:val="nil"/>
              <w:left w:val="nil"/>
              <w:right w:val="nil"/>
            </w:tcBorders>
            <w:shd w:val="clear" w:color="auto" w:fill="auto"/>
            <w:noWrap/>
            <w:vAlign w:val="bottom"/>
          </w:tcPr>
          <w:p w14:paraId="46E0AB4B" w14:textId="77777777" w:rsidR="00703A27" w:rsidRPr="000912EF" w:rsidRDefault="00703A27" w:rsidP="00583CE2">
            <w:pPr>
              <w:jc w:val="center"/>
              <w:rPr>
                <w:rFonts w:eastAsia="Times New Roman"/>
                <w:color w:val="000000"/>
                <w:sz w:val="22"/>
                <w:szCs w:val="22"/>
              </w:rPr>
            </w:pPr>
          </w:p>
        </w:tc>
        <w:tc>
          <w:tcPr>
            <w:tcW w:w="315" w:type="dxa"/>
            <w:gridSpan w:val="2"/>
            <w:tcBorders>
              <w:top w:val="nil"/>
              <w:left w:val="nil"/>
              <w:right w:val="nil"/>
            </w:tcBorders>
            <w:shd w:val="clear" w:color="auto" w:fill="auto"/>
            <w:noWrap/>
            <w:vAlign w:val="bottom"/>
          </w:tcPr>
          <w:p w14:paraId="34183496" w14:textId="77777777" w:rsidR="00703A27" w:rsidRPr="000912EF" w:rsidRDefault="00703A27" w:rsidP="00583CE2">
            <w:pPr>
              <w:rPr>
                <w:rFonts w:eastAsia="Times New Roman"/>
                <w:color w:val="000000"/>
                <w:sz w:val="22"/>
                <w:szCs w:val="22"/>
              </w:rPr>
            </w:pPr>
          </w:p>
        </w:tc>
        <w:tc>
          <w:tcPr>
            <w:tcW w:w="2407" w:type="dxa"/>
            <w:gridSpan w:val="4"/>
            <w:tcBorders>
              <w:top w:val="nil"/>
              <w:left w:val="nil"/>
              <w:bottom w:val="nil"/>
              <w:right w:val="nil"/>
            </w:tcBorders>
            <w:shd w:val="clear" w:color="auto" w:fill="auto"/>
            <w:noWrap/>
            <w:vAlign w:val="bottom"/>
          </w:tcPr>
          <w:p w14:paraId="1FA63E41" w14:textId="77777777" w:rsidR="00703A27" w:rsidRPr="000912EF" w:rsidRDefault="00703A27" w:rsidP="00583CE2">
            <w:pPr>
              <w:rPr>
                <w:rFonts w:eastAsia="Times New Roman"/>
                <w:color w:val="000000"/>
                <w:sz w:val="22"/>
                <w:szCs w:val="22"/>
              </w:rPr>
            </w:pPr>
          </w:p>
        </w:tc>
      </w:tr>
      <w:tr w:rsidR="00703A27" w:rsidRPr="000912EF" w14:paraId="33A73312" w14:textId="77777777" w:rsidTr="00A772B3">
        <w:trPr>
          <w:trHeight w:val="300"/>
        </w:trPr>
        <w:tc>
          <w:tcPr>
            <w:tcW w:w="2321" w:type="dxa"/>
            <w:tcBorders>
              <w:top w:val="nil"/>
              <w:left w:val="nil"/>
              <w:right w:val="nil"/>
            </w:tcBorders>
            <w:shd w:val="clear" w:color="auto" w:fill="auto"/>
            <w:noWrap/>
            <w:vAlign w:val="center"/>
          </w:tcPr>
          <w:p w14:paraId="33EC7451" w14:textId="77777777" w:rsidR="00703A27" w:rsidRPr="000912EF" w:rsidRDefault="00703A27" w:rsidP="00583CE2">
            <w:pPr>
              <w:jc w:val="center"/>
              <w:rPr>
                <w:rFonts w:eastAsia="Times New Roman"/>
                <w:color w:val="000000"/>
                <w:sz w:val="22"/>
                <w:szCs w:val="22"/>
              </w:rPr>
            </w:pPr>
          </w:p>
        </w:tc>
        <w:tc>
          <w:tcPr>
            <w:tcW w:w="325" w:type="dxa"/>
            <w:tcBorders>
              <w:top w:val="nil"/>
              <w:left w:val="nil"/>
              <w:right w:val="nil"/>
            </w:tcBorders>
            <w:shd w:val="clear" w:color="auto" w:fill="auto"/>
            <w:noWrap/>
            <w:vAlign w:val="center"/>
          </w:tcPr>
          <w:p w14:paraId="113709AA" w14:textId="77777777" w:rsidR="00703A27" w:rsidRPr="000912EF" w:rsidRDefault="00703A27" w:rsidP="00583CE2">
            <w:pPr>
              <w:jc w:val="center"/>
              <w:rPr>
                <w:rFonts w:eastAsia="Times New Roman"/>
                <w:color w:val="000000"/>
                <w:sz w:val="22"/>
                <w:szCs w:val="22"/>
              </w:rPr>
            </w:pPr>
          </w:p>
        </w:tc>
        <w:tc>
          <w:tcPr>
            <w:tcW w:w="2373" w:type="dxa"/>
            <w:gridSpan w:val="3"/>
            <w:tcBorders>
              <w:top w:val="nil"/>
              <w:left w:val="nil"/>
              <w:right w:val="nil"/>
            </w:tcBorders>
            <w:shd w:val="clear" w:color="auto" w:fill="auto"/>
            <w:vAlign w:val="center"/>
          </w:tcPr>
          <w:p w14:paraId="077A881E" w14:textId="77777777" w:rsidR="00703A27" w:rsidRPr="000912EF" w:rsidRDefault="00703A27" w:rsidP="00583CE2">
            <w:pPr>
              <w:jc w:val="center"/>
              <w:rPr>
                <w:rFonts w:eastAsia="Times New Roman"/>
                <w:color w:val="000000"/>
                <w:sz w:val="22"/>
                <w:szCs w:val="22"/>
              </w:rPr>
            </w:pPr>
          </w:p>
        </w:tc>
        <w:tc>
          <w:tcPr>
            <w:tcW w:w="613" w:type="dxa"/>
            <w:gridSpan w:val="2"/>
            <w:tcBorders>
              <w:top w:val="nil"/>
              <w:left w:val="nil"/>
              <w:right w:val="nil"/>
            </w:tcBorders>
            <w:shd w:val="clear" w:color="auto" w:fill="auto"/>
            <w:noWrap/>
            <w:vAlign w:val="center"/>
          </w:tcPr>
          <w:p w14:paraId="02C493B6" w14:textId="77777777" w:rsidR="00703A27" w:rsidRPr="000912EF" w:rsidRDefault="00703A27" w:rsidP="00583CE2">
            <w:pPr>
              <w:jc w:val="center"/>
              <w:rPr>
                <w:rFonts w:eastAsia="Times New Roman"/>
                <w:color w:val="000000"/>
                <w:sz w:val="22"/>
                <w:szCs w:val="22"/>
              </w:rPr>
            </w:pPr>
          </w:p>
        </w:tc>
        <w:tc>
          <w:tcPr>
            <w:tcW w:w="501" w:type="dxa"/>
            <w:tcBorders>
              <w:top w:val="nil"/>
              <w:left w:val="nil"/>
              <w:right w:val="nil"/>
            </w:tcBorders>
            <w:shd w:val="clear" w:color="auto" w:fill="auto"/>
            <w:noWrap/>
            <w:vAlign w:val="bottom"/>
          </w:tcPr>
          <w:p w14:paraId="4A63520E" w14:textId="77777777" w:rsidR="00703A27" w:rsidRPr="000912EF" w:rsidRDefault="00703A27" w:rsidP="00583CE2">
            <w:pPr>
              <w:rPr>
                <w:rFonts w:eastAsia="Times New Roman"/>
                <w:color w:val="000000"/>
                <w:sz w:val="22"/>
                <w:szCs w:val="22"/>
              </w:rPr>
            </w:pPr>
          </w:p>
        </w:tc>
        <w:tc>
          <w:tcPr>
            <w:tcW w:w="1192" w:type="dxa"/>
            <w:gridSpan w:val="3"/>
            <w:tcBorders>
              <w:top w:val="nil"/>
              <w:left w:val="nil"/>
              <w:right w:val="nil"/>
            </w:tcBorders>
            <w:shd w:val="clear" w:color="auto" w:fill="auto"/>
            <w:noWrap/>
            <w:vAlign w:val="bottom"/>
          </w:tcPr>
          <w:p w14:paraId="5F4FD1FB" w14:textId="77777777" w:rsidR="00703A27" w:rsidRPr="000912EF" w:rsidRDefault="00703A27" w:rsidP="00583CE2">
            <w:pPr>
              <w:jc w:val="center"/>
              <w:rPr>
                <w:rFonts w:eastAsia="Times New Roman"/>
                <w:color w:val="000000"/>
                <w:sz w:val="22"/>
                <w:szCs w:val="22"/>
              </w:rPr>
            </w:pPr>
          </w:p>
        </w:tc>
        <w:tc>
          <w:tcPr>
            <w:tcW w:w="971" w:type="dxa"/>
            <w:tcBorders>
              <w:top w:val="nil"/>
              <w:left w:val="nil"/>
              <w:right w:val="nil"/>
            </w:tcBorders>
            <w:shd w:val="clear" w:color="auto" w:fill="auto"/>
            <w:noWrap/>
            <w:vAlign w:val="bottom"/>
          </w:tcPr>
          <w:p w14:paraId="1437746F" w14:textId="77777777" w:rsidR="00703A27" w:rsidRPr="000912EF" w:rsidRDefault="00703A27" w:rsidP="00583CE2">
            <w:pPr>
              <w:jc w:val="center"/>
              <w:rPr>
                <w:rFonts w:eastAsia="Times New Roman"/>
                <w:color w:val="000000"/>
                <w:sz w:val="22"/>
                <w:szCs w:val="22"/>
              </w:rPr>
            </w:pPr>
          </w:p>
        </w:tc>
        <w:tc>
          <w:tcPr>
            <w:tcW w:w="851" w:type="dxa"/>
            <w:tcBorders>
              <w:top w:val="nil"/>
              <w:left w:val="nil"/>
              <w:right w:val="nil"/>
            </w:tcBorders>
            <w:shd w:val="clear" w:color="auto" w:fill="auto"/>
            <w:noWrap/>
            <w:vAlign w:val="bottom"/>
          </w:tcPr>
          <w:p w14:paraId="2E7A8F88" w14:textId="77777777" w:rsidR="00703A27" w:rsidRPr="000912EF" w:rsidRDefault="00703A27" w:rsidP="00583CE2">
            <w:pPr>
              <w:rPr>
                <w:rFonts w:eastAsia="Times New Roman"/>
                <w:color w:val="000000"/>
                <w:sz w:val="22"/>
                <w:szCs w:val="22"/>
              </w:rPr>
            </w:pPr>
          </w:p>
        </w:tc>
        <w:tc>
          <w:tcPr>
            <w:tcW w:w="2697" w:type="dxa"/>
            <w:gridSpan w:val="3"/>
            <w:tcBorders>
              <w:top w:val="nil"/>
              <w:left w:val="nil"/>
              <w:right w:val="nil"/>
            </w:tcBorders>
            <w:shd w:val="clear" w:color="auto" w:fill="auto"/>
            <w:noWrap/>
            <w:vAlign w:val="bottom"/>
          </w:tcPr>
          <w:p w14:paraId="2EE119A4" w14:textId="77777777" w:rsidR="00703A27" w:rsidRPr="000912EF" w:rsidRDefault="00703A27" w:rsidP="00583CE2">
            <w:pPr>
              <w:jc w:val="center"/>
              <w:rPr>
                <w:rFonts w:eastAsia="Times New Roman"/>
                <w:color w:val="000000"/>
                <w:sz w:val="22"/>
                <w:szCs w:val="22"/>
              </w:rPr>
            </w:pPr>
          </w:p>
        </w:tc>
        <w:tc>
          <w:tcPr>
            <w:tcW w:w="315" w:type="dxa"/>
            <w:gridSpan w:val="2"/>
            <w:tcBorders>
              <w:top w:val="nil"/>
              <w:left w:val="nil"/>
              <w:right w:val="nil"/>
            </w:tcBorders>
            <w:shd w:val="clear" w:color="auto" w:fill="auto"/>
            <w:noWrap/>
            <w:vAlign w:val="bottom"/>
          </w:tcPr>
          <w:p w14:paraId="0CA17C20" w14:textId="77777777" w:rsidR="00703A27" w:rsidRPr="000912EF" w:rsidRDefault="00703A27" w:rsidP="00583CE2">
            <w:pPr>
              <w:rPr>
                <w:rFonts w:eastAsia="Times New Roman"/>
                <w:color w:val="000000"/>
                <w:sz w:val="22"/>
                <w:szCs w:val="22"/>
              </w:rPr>
            </w:pPr>
          </w:p>
        </w:tc>
        <w:tc>
          <w:tcPr>
            <w:tcW w:w="2407" w:type="dxa"/>
            <w:gridSpan w:val="4"/>
            <w:tcBorders>
              <w:top w:val="nil"/>
              <w:left w:val="nil"/>
              <w:bottom w:val="nil"/>
              <w:right w:val="nil"/>
            </w:tcBorders>
            <w:shd w:val="clear" w:color="auto" w:fill="auto"/>
            <w:noWrap/>
            <w:vAlign w:val="bottom"/>
          </w:tcPr>
          <w:p w14:paraId="2A239F68" w14:textId="77777777" w:rsidR="00703A27" w:rsidRPr="000912EF" w:rsidRDefault="00703A27" w:rsidP="00583CE2">
            <w:pPr>
              <w:rPr>
                <w:rFonts w:eastAsia="Times New Roman"/>
                <w:color w:val="000000"/>
                <w:sz w:val="22"/>
                <w:szCs w:val="22"/>
              </w:rPr>
            </w:pPr>
          </w:p>
        </w:tc>
      </w:tr>
      <w:tr w:rsidR="00703A27" w:rsidRPr="000912EF" w14:paraId="5B3C2E91" w14:textId="77777777" w:rsidTr="00A772B3">
        <w:trPr>
          <w:trHeight w:val="300"/>
        </w:trPr>
        <w:tc>
          <w:tcPr>
            <w:tcW w:w="2321" w:type="dxa"/>
            <w:tcBorders>
              <w:top w:val="nil"/>
              <w:left w:val="nil"/>
              <w:right w:val="nil"/>
            </w:tcBorders>
            <w:shd w:val="clear" w:color="auto" w:fill="auto"/>
            <w:noWrap/>
            <w:vAlign w:val="center"/>
          </w:tcPr>
          <w:p w14:paraId="3F450C5D" w14:textId="77777777" w:rsidR="00703A27" w:rsidRPr="000912EF" w:rsidRDefault="00703A27" w:rsidP="00583CE2">
            <w:pPr>
              <w:jc w:val="center"/>
              <w:rPr>
                <w:rFonts w:eastAsia="Times New Roman"/>
                <w:color w:val="000000"/>
                <w:sz w:val="22"/>
                <w:szCs w:val="22"/>
              </w:rPr>
            </w:pPr>
          </w:p>
        </w:tc>
        <w:tc>
          <w:tcPr>
            <w:tcW w:w="325" w:type="dxa"/>
            <w:tcBorders>
              <w:top w:val="nil"/>
              <w:left w:val="nil"/>
              <w:right w:val="nil"/>
            </w:tcBorders>
            <w:shd w:val="clear" w:color="auto" w:fill="auto"/>
            <w:noWrap/>
            <w:vAlign w:val="center"/>
          </w:tcPr>
          <w:p w14:paraId="56F8331C" w14:textId="77777777" w:rsidR="00703A27" w:rsidRPr="000912EF" w:rsidRDefault="00703A27" w:rsidP="00583CE2">
            <w:pPr>
              <w:jc w:val="center"/>
              <w:rPr>
                <w:rFonts w:eastAsia="Times New Roman"/>
                <w:color w:val="000000"/>
                <w:sz w:val="22"/>
                <w:szCs w:val="22"/>
              </w:rPr>
            </w:pPr>
          </w:p>
        </w:tc>
        <w:tc>
          <w:tcPr>
            <w:tcW w:w="2373" w:type="dxa"/>
            <w:gridSpan w:val="3"/>
            <w:tcBorders>
              <w:top w:val="nil"/>
              <w:left w:val="nil"/>
              <w:right w:val="nil"/>
            </w:tcBorders>
            <w:shd w:val="clear" w:color="auto" w:fill="auto"/>
            <w:vAlign w:val="center"/>
          </w:tcPr>
          <w:p w14:paraId="0ACDA586" w14:textId="77777777" w:rsidR="00703A27" w:rsidRPr="000912EF" w:rsidRDefault="00703A27" w:rsidP="00583CE2">
            <w:pPr>
              <w:jc w:val="center"/>
              <w:rPr>
                <w:rFonts w:eastAsia="Times New Roman"/>
                <w:color w:val="000000"/>
                <w:sz w:val="22"/>
                <w:szCs w:val="22"/>
              </w:rPr>
            </w:pPr>
          </w:p>
        </w:tc>
        <w:tc>
          <w:tcPr>
            <w:tcW w:w="613" w:type="dxa"/>
            <w:gridSpan w:val="2"/>
            <w:tcBorders>
              <w:top w:val="nil"/>
              <w:left w:val="nil"/>
              <w:right w:val="nil"/>
            </w:tcBorders>
            <w:shd w:val="clear" w:color="auto" w:fill="auto"/>
            <w:noWrap/>
            <w:vAlign w:val="center"/>
          </w:tcPr>
          <w:p w14:paraId="0E53ABD2" w14:textId="77777777" w:rsidR="00703A27" w:rsidRPr="000912EF" w:rsidRDefault="00703A27" w:rsidP="00583CE2">
            <w:pPr>
              <w:jc w:val="center"/>
              <w:rPr>
                <w:rFonts w:eastAsia="Times New Roman"/>
                <w:color w:val="000000"/>
                <w:sz w:val="22"/>
                <w:szCs w:val="22"/>
              </w:rPr>
            </w:pPr>
          </w:p>
        </w:tc>
        <w:tc>
          <w:tcPr>
            <w:tcW w:w="501" w:type="dxa"/>
            <w:tcBorders>
              <w:top w:val="nil"/>
              <w:left w:val="nil"/>
              <w:right w:val="nil"/>
            </w:tcBorders>
            <w:shd w:val="clear" w:color="auto" w:fill="auto"/>
            <w:noWrap/>
            <w:vAlign w:val="bottom"/>
          </w:tcPr>
          <w:p w14:paraId="3AF35C39" w14:textId="77777777" w:rsidR="00703A27" w:rsidRPr="000912EF" w:rsidRDefault="00703A27" w:rsidP="00583CE2">
            <w:pPr>
              <w:rPr>
                <w:rFonts w:eastAsia="Times New Roman"/>
                <w:color w:val="000000"/>
                <w:sz w:val="22"/>
                <w:szCs w:val="22"/>
              </w:rPr>
            </w:pPr>
          </w:p>
        </w:tc>
        <w:tc>
          <w:tcPr>
            <w:tcW w:w="1192" w:type="dxa"/>
            <w:gridSpan w:val="3"/>
            <w:tcBorders>
              <w:top w:val="nil"/>
              <w:left w:val="nil"/>
              <w:right w:val="nil"/>
            </w:tcBorders>
            <w:shd w:val="clear" w:color="auto" w:fill="auto"/>
            <w:noWrap/>
            <w:vAlign w:val="bottom"/>
          </w:tcPr>
          <w:p w14:paraId="2525D4BE" w14:textId="77777777" w:rsidR="00703A27" w:rsidRPr="000912EF" w:rsidRDefault="00703A27" w:rsidP="00583CE2">
            <w:pPr>
              <w:jc w:val="center"/>
              <w:rPr>
                <w:rFonts w:eastAsia="Times New Roman"/>
                <w:color w:val="000000"/>
                <w:sz w:val="22"/>
                <w:szCs w:val="22"/>
              </w:rPr>
            </w:pPr>
          </w:p>
        </w:tc>
        <w:tc>
          <w:tcPr>
            <w:tcW w:w="971" w:type="dxa"/>
            <w:tcBorders>
              <w:top w:val="nil"/>
              <w:left w:val="nil"/>
              <w:right w:val="nil"/>
            </w:tcBorders>
            <w:shd w:val="clear" w:color="auto" w:fill="auto"/>
            <w:noWrap/>
            <w:vAlign w:val="bottom"/>
          </w:tcPr>
          <w:p w14:paraId="375F554A" w14:textId="77777777" w:rsidR="00703A27" w:rsidRPr="000912EF" w:rsidRDefault="00703A27" w:rsidP="00583CE2">
            <w:pPr>
              <w:jc w:val="center"/>
              <w:rPr>
                <w:rFonts w:eastAsia="Times New Roman"/>
                <w:color w:val="000000"/>
                <w:sz w:val="22"/>
                <w:szCs w:val="22"/>
              </w:rPr>
            </w:pPr>
          </w:p>
        </w:tc>
        <w:tc>
          <w:tcPr>
            <w:tcW w:w="851" w:type="dxa"/>
            <w:tcBorders>
              <w:top w:val="nil"/>
              <w:left w:val="nil"/>
              <w:right w:val="nil"/>
            </w:tcBorders>
            <w:shd w:val="clear" w:color="auto" w:fill="auto"/>
            <w:noWrap/>
            <w:vAlign w:val="bottom"/>
          </w:tcPr>
          <w:p w14:paraId="5F57D0AC" w14:textId="77777777" w:rsidR="00703A27" w:rsidRPr="000912EF" w:rsidRDefault="00703A27" w:rsidP="00583CE2">
            <w:pPr>
              <w:rPr>
                <w:rFonts w:eastAsia="Times New Roman"/>
                <w:color w:val="000000"/>
                <w:sz w:val="22"/>
                <w:szCs w:val="22"/>
              </w:rPr>
            </w:pPr>
          </w:p>
        </w:tc>
        <w:tc>
          <w:tcPr>
            <w:tcW w:w="2697" w:type="dxa"/>
            <w:gridSpan w:val="3"/>
            <w:tcBorders>
              <w:top w:val="nil"/>
              <w:left w:val="nil"/>
              <w:right w:val="nil"/>
            </w:tcBorders>
            <w:shd w:val="clear" w:color="auto" w:fill="auto"/>
            <w:noWrap/>
            <w:vAlign w:val="bottom"/>
          </w:tcPr>
          <w:p w14:paraId="46ED39B0" w14:textId="77777777" w:rsidR="00703A27" w:rsidRPr="000912EF" w:rsidRDefault="00703A27" w:rsidP="00583CE2">
            <w:pPr>
              <w:jc w:val="center"/>
              <w:rPr>
                <w:rFonts w:eastAsia="Times New Roman"/>
                <w:color w:val="000000"/>
                <w:sz w:val="22"/>
                <w:szCs w:val="22"/>
              </w:rPr>
            </w:pPr>
          </w:p>
        </w:tc>
        <w:tc>
          <w:tcPr>
            <w:tcW w:w="315" w:type="dxa"/>
            <w:gridSpan w:val="2"/>
            <w:tcBorders>
              <w:top w:val="nil"/>
              <w:left w:val="nil"/>
              <w:right w:val="nil"/>
            </w:tcBorders>
            <w:shd w:val="clear" w:color="auto" w:fill="auto"/>
            <w:noWrap/>
            <w:vAlign w:val="bottom"/>
          </w:tcPr>
          <w:p w14:paraId="15CB01A9" w14:textId="77777777" w:rsidR="00703A27" w:rsidRPr="000912EF" w:rsidRDefault="00703A27" w:rsidP="00583CE2">
            <w:pPr>
              <w:rPr>
                <w:rFonts w:eastAsia="Times New Roman"/>
                <w:color w:val="000000"/>
                <w:sz w:val="22"/>
                <w:szCs w:val="22"/>
              </w:rPr>
            </w:pPr>
          </w:p>
        </w:tc>
        <w:tc>
          <w:tcPr>
            <w:tcW w:w="2407" w:type="dxa"/>
            <w:gridSpan w:val="4"/>
            <w:tcBorders>
              <w:top w:val="nil"/>
              <w:left w:val="nil"/>
              <w:bottom w:val="nil"/>
              <w:right w:val="nil"/>
            </w:tcBorders>
            <w:shd w:val="clear" w:color="auto" w:fill="auto"/>
            <w:noWrap/>
            <w:vAlign w:val="bottom"/>
          </w:tcPr>
          <w:p w14:paraId="280B7960" w14:textId="77777777" w:rsidR="00703A27" w:rsidRPr="000912EF" w:rsidRDefault="00703A27" w:rsidP="00583CE2">
            <w:pPr>
              <w:rPr>
                <w:rFonts w:eastAsia="Times New Roman"/>
                <w:color w:val="000000"/>
                <w:sz w:val="22"/>
                <w:szCs w:val="22"/>
              </w:rPr>
            </w:pPr>
          </w:p>
        </w:tc>
      </w:tr>
      <w:tr w:rsidR="00C734DC" w:rsidRPr="00703A27" w14:paraId="2830C232" w14:textId="77777777" w:rsidTr="00A772B3">
        <w:trPr>
          <w:gridAfter w:val="2"/>
          <w:wAfter w:w="20" w:type="dxa"/>
          <w:trHeight w:val="488"/>
        </w:trPr>
        <w:tc>
          <w:tcPr>
            <w:tcW w:w="14546" w:type="dxa"/>
            <w:gridSpan w:val="20"/>
            <w:tcBorders>
              <w:top w:val="nil"/>
              <w:left w:val="nil"/>
              <w:bottom w:val="single" w:sz="4" w:space="0" w:color="auto"/>
              <w:right w:val="nil"/>
            </w:tcBorders>
            <w:shd w:val="clear" w:color="auto" w:fill="auto"/>
            <w:noWrap/>
            <w:vAlign w:val="bottom"/>
            <w:hideMark/>
          </w:tcPr>
          <w:p w14:paraId="35B2D20B" w14:textId="032586E0" w:rsidR="00C734DC" w:rsidRPr="00703A27" w:rsidRDefault="00C734DC" w:rsidP="00C734DC">
            <w:pPr>
              <w:rPr>
                <w:rFonts w:eastAsia="Times New Roman"/>
                <w:color w:val="000000"/>
                <w:sz w:val="20"/>
                <w:szCs w:val="20"/>
              </w:rPr>
            </w:pPr>
            <w:r w:rsidRPr="00703A27">
              <w:rPr>
                <w:rFonts w:eastAsia="Times New Roman"/>
                <w:b/>
                <w:bCs/>
                <w:color w:val="000000"/>
                <w:sz w:val="20"/>
                <w:szCs w:val="20"/>
              </w:rPr>
              <w:lastRenderedPageBreak/>
              <w:t>Panel B. Industry distribution</w:t>
            </w:r>
          </w:p>
        </w:tc>
      </w:tr>
      <w:tr w:rsidR="004B6278" w:rsidRPr="00703A27" w14:paraId="64576857" w14:textId="77777777" w:rsidTr="00A772B3">
        <w:trPr>
          <w:gridAfter w:val="3"/>
          <w:wAfter w:w="2021" w:type="dxa"/>
          <w:trHeight w:val="751"/>
        </w:trPr>
        <w:tc>
          <w:tcPr>
            <w:tcW w:w="2321" w:type="dxa"/>
            <w:tcBorders>
              <w:top w:val="single" w:sz="4" w:space="0" w:color="auto"/>
              <w:left w:val="nil"/>
              <w:bottom w:val="single" w:sz="4" w:space="0" w:color="auto"/>
              <w:right w:val="nil"/>
            </w:tcBorders>
            <w:shd w:val="clear" w:color="auto" w:fill="auto"/>
            <w:vAlign w:val="center"/>
            <w:hideMark/>
          </w:tcPr>
          <w:p w14:paraId="7196B59A" w14:textId="77777777" w:rsidR="004B6278" w:rsidRPr="00703A27" w:rsidRDefault="004B6278" w:rsidP="00583CE2">
            <w:pPr>
              <w:rPr>
                <w:rFonts w:eastAsia="Times New Roman"/>
                <w:b/>
                <w:bCs/>
                <w:color w:val="000000"/>
                <w:sz w:val="20"/>
                <w:szCs w:val="20"/>
              </w:rPr>
            </w:pPr>
            <w:r w:rsidRPr="00703A27">
              <w:rPr>
                <w:rFonts w:eastAsia="Times New Roman"/>
                <w:b/>
                <w:bCs/>
                <w:color w:val="000000"/>
                <w:sz w:val="20"/>
                <w:szCs w:val="20"/>
              </w:rPr>
              <w:t>Industry</w:t>
            </w:r>
          </w:p>
        </w:tc>
        <w:tc>
          <w:tcPr>
            <w:tcW w:w="325" w:type="dxa"/>
            <w:tcBorders>
              <w:top w:val="single" w:sz="4" w:space="0" w:color="auto"/>
              <w:left w:val="nil"/>
              <w:bottom w:val="nil"/>
              <w:right w:val="nil"/>
            </w:tcBorders>
            <w:shd w:val="clear" w:color="auto" w:fill="auto"/>
            <w:vAlign w:val="center"/>
            <w:hideMark/>
          </w:tcPr>
          <w:p w14:paraId="3DC1D30D" w14:textId="77777777" w:rsidR="004B6278" w:rsidRPr="00703A27" w:rsidRDefault="004B6278" w:rsidP="00583CE2">
            <w:pPr>
              <w:rPr>
                <w:rFonts w:eastAsia="Times New Roman"/>
                <w:b/>
                <w:bCs/>
                <w:color w:val="000000"/>
                <w:sz w:val="20"/>
                <w:szCs w:val="20"/>
              </w:rPr>
            </w:pPr>
            <w:r w:rsidRPr="00703A27">
              <w:rPr>
                <w:rFonts w:eastAsia="Times New Roman"/>
                <w:b/>
                <w:bCs/>
                <w:color w:val="000000"/>
                <w:sz w:val="20"/>
                <w:szCs w:val="20"/>
              </w:rPr>
              <w:t> </w:t>
            </w:r>
          </w:p>
        </w:tc>
        <w:tc>
          <w:tcPr>
            <w:tcW w:w="756" w:type="dxa"/>
            <w:tcBorders>
              <w:top w:val="single" w:sz="4" w:space="0" w:color="auto"/>
              <w:left w:val="nil"/>
              <w:bottom w:val="nil"/>
              <w:right w:val="nil"/>
            </w:tcBorders>
            <w:shd w:val="clear" w:color="auto" w:fill="auto"/>
            <w:vAlign w:val="center"/>
            <w:hideMark/>
          </w:tcPr>
          <w:p w14:paraId="230B40A5"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 </w:t>
            </w:r>
          </w:p>
        </w:tc>
        <w:tc>
          <w:tcPr>
            <w:tcW w:w="1904" w:type="dxa"/>
            <w:gridSpan w:val="3"/>
            <w:tcBorders>
              <w:top w:val="single" w:sz="4" w:space="0" w:color="auto"/>
              <w:left w:val="nil"/>
              <w:bottom w:val="single" w:sz="4" w:space="0" w:color="auto"/>
              <w:right w:val="nil"/>
            </w:tcBorders>
            <w:shd w:val="clear" w:color="auto" w:fill="auto"/>
            <w:vAlign w:val="center"/>
            <w:hideMark/>
          </w:tcPr>
          <w:p w14:paraId="01BBB98F"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Number of IPOs</w:t>
            </w:r>
          </w:p>
        </w:tc>
        <w:tc>
          <w:tcPr>
            <w:tcW w:w="971" w:type="dxa"/>
            <w:gridSpan w:val="3"/>
            <w:tcBorders>
              <w:top w:val="single" w:sz="4" w:space="0" w:color="auto"/>
              <w:left w:val="nil"/>
              <w:bottom w:val="nil"/>
              <w:right w:val="nil"/>
            </w:tcBorders>
            <w:shd w:val="clear" w:color="auto" w:fill="auto"/>
            <w:vAlign w:val="bottom"/>
            <w:hideMark/>
          </w:tcPr>
          <w:p w14:paraId="19CA5E98"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3270" w:type="dxa"/>
            <w:gridSpan w:val="5"/>
            <w:tcBorders>
              <w:top w:val="single" w:sz="4" w:space="0" w:color="auto"/>
              <w:left w:val="nil"/>
              <w:bottom w:val="single" w:sz="4" w:space="0" w:color="auto"/>
              <w:right w:val="nil"/>
            </w:tcBorders>
            <w:shd w:val="clear" w:color="auto" w:fill="auto"/>
            <w:vAlign w:val="center"/>
            <w:hideMark/>
          </w:tcPr>
          <w:p w14:paraId="039BB72E"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Number of IPOs receiving initial comment letters</w:t>
            </w:r>
          </w:p>
        </w:tc>
        <w:tc>
          <w:tcPr>
            <w:tcW w:w="588" w:type="dxa"/>
            <w:tcBorders>
              <w:top w:val="single" w:sz="4" w:space="0" w:color="auto"/>
              <w:left w:val="nil"/>
              <w:bottom w:val="nil"/>
              <w:right w:val="nil"/>
            </w:tcBorders>
            <w:shd w:val="clear" w:color="auto" w:fill="auto"/>
            <w:vAlign w:val="bottom"/>
            <w:hideMark/>
          </w:tcPr>
          <w:p w14:paraId="07CF0E8B"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single" w:sz="4" w:space="0" w:color="auto"/>
              <w:left w:val="nil"/>
              <w:bottom w:val="single" w:sz="4" w:space="0" w:color="auto"/>
              <w:right w:val="nil"/>
            </w:tcBorders>
            <w:shd w:val="clear" w:color="auto" w:fill="auto"/>
            <w:vAlign w:val="center"/>
            <w:hideMark/>
          </w:tcPr>
          <w:p w14:paraId="2D6DB221"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 xml:space="preserve">Proportion of IPOs receiving initial comment letters (%) </w:t>
            </w:r>
          </w:p>
        </w:tc>
      </w:tr>
      <w:tr w:rsidR="004B6278" w:rsidRPr="00703A27" w14:paraId="08A5A177" w14:textId="77777777" w:rsidTr="00A772B3">
        <w:trPr>
          <w:gridAfter w:val="3"/>
          <w:wAfter w:w="2024" w:type="dxa"/>
          <w:trHeight w:val="390"/>
        </w:trPr>
        <w:tc>
          <w:tcPr>
            <w:tcW w:w="2321" w:type="dxa"/>
            <w:tcBorders>
              <w:top w:val="nil"/>
              <w:left w:val="nil"/>
              <w:bottom w:val="nil"/>
              <w:right w:val="nil"/>
            </w:tcBorders>
            <w:shd w:val="clear" w:color="auto" w:fill="auto"/>
            <w:vAlign w:val="center"/>
            <w:hideMark/>
          </w:tcPr>
          <w:p w14:paraId="084AAEF8" w14:textId="77777777" w:rsidR="004B6278" w:rsidRPr="00703A27" w:rsidRDefault="004B6278" w:rsidP="00583CE2">
            <w:pPr>
              <w:rPr>
                <w:rFonts w:eastAsia="Times New Roman"/>
                <w:b/>
                <w:bCs/>
                <w:color w:val="000000"/>
                <w:sz w:val="20"/>
                <w:szCs w:val="20"/>
              </w:rPr>
            </w:pPr>
            <w:r w:rsidRPr="00703A27">
              <w:rPr>
                <w:rFonts w:eastAsia="Times New Roman"/>
                <w:b/>
                <w:bCs/>
                <w:color w:val="000000"/>
                <w:sz w:val="20"/>
                <w:szCs w:val="20"/>
              </w:rPr>
              <w:t> </w:t>
            </w:r>
          </w:p>
        </w:tc>
        <w:tc>
          <w:tcPr>
            <w:tcW w:w="325" w:type="dxa"/>
            <w:tcBorders>
              <w:top w:val="nil"/>
              <w:left w:val="nil"/>
              <w:bottom w:val="nil"/>
              <w:right w:val="nil"/>
            </w:tcBorders>
            <w:shd w:val="clear" w:color="auto" w:fill="auto"/>
            <w:vAlign w:val="center"/>
            <w:hideMark/>
          </w:tcPr>
          <w:p w14:paraId="34272002" w14:textId="77777777" w:rsidR="004B6278" w:rsidRPr="00703A27" w:rsidRDefault="004B6278" w:rsidP="00583CE2">
            <w:pPr>
              <w:rPr>
                <w:rFonts w:eastAsia="Times New Roman"/>
                <w:b/>
                <w:bCs/>
                <w:color w:val="000000"/>
                <w:sz w:val="20"/>
                <w:szCs w:val="20"/>
              </w:rPr>
            </w:pPr>
            <w:r w:rsidRPr="00703A27">
              <w:rPr>
                <w:rFonts w:eastAsia="Times New Roman"/>
                <w:b/>
                <w:bCs/>
                <w:color w:val="000000"/>
                <w:sz w:val="20"/>
                <w:szCs w:val="20"/>
              </w:rPr>
              <w:t> </w:t>
            </w:r>
          </w:p>
        </w:tc>
        <w:tc>
          <w:tcPr>
            <w:tcW w:w="756" w:type="dxa"/>
            <w:tcBorders>
              <w:top w:val="nil"/>
              <w:left w:val="nil"/>
              <w:bottom w:val="nil"/>
              <w:right w:val="nil"/>
            </w:tcBorders>
            <w:shd w:val="clear" w:color="auto" w:fill="auto"/>
            <w:vAlign w:val="center"/>
            <w:hideMark/>
          </w:tcPr>
          <w:p w14:paraId="178C5E5C"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 </w:t>
            </w:r>
          </w:p>
        </w:tc>
        <w:tc>
          <w:tcPr>
            <w:tcW w:w="709" w:type="dxa"/>
            <w:tcBorders>
              <w:top w:val="nil"/>
              <w:left w:val="nil"/>
              <w:bottom w:val="single" w:sz="4" w:space="0" w:color="auto"/>
              <w:right w:val="nil"/>
            </w:tcBorders>
            <w:shd w:val="clear" w:color="auto" w:fill="auto"/>
            <w:vAlign w:val="center"/>
            <w:hideMark/>
          </w:tcPr>
          <w:p w14:paraId="7F0CAF1B"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N</w:t>
            </w:r>
          </w:p>
        </w:tc>
        <w:tc>
          <w:tcPr>
            <w:tcW w:w="1192" w:type="dxa"/>
            <w:gridSpan w:val="2"/>
            <w:tcBorders>
              <w:top w:val="nil"/>
              <w:left w:val="nil"/>
              <w:bottom w:val="single" w:sz="4" w:space="0" w:color="auto"/>
              <w:right w:val="nil"/>
            </w:tcBorders>
            <w:shd w:val="clear" w:color="auto" w:fill="auto"/>
            <w:vAlign w:val="center"/>
            <w:hideMark/>
          </w:tcPr>
          <w:p w14:paraId="24A6AE26"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w:t>
            </w:r>
          </w:p>
        </w:tc>
        <w:tc>
          <w:tcPr>
            <w:tcW w:w="971" w:type="dxa"/>
            <w:gridSpan w:val="3"/>
            <w:tcBorders>
              <w:top w:val="nil"/>
              <w:left w:val="nil"/>
              <w:bottom w:val="nil"/>
              <w:right w:val="nil"/>
            </w:tcBorders>
            <w:shd w:val="clear" w:color="auto" w:fill="auto"/>
            <w:vAlign w:val="bottom"/>
            <w:hideMark/>
          </w:tcPr>
          <w:p w14:paraId="2973ADB7"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single" w:sz="4" w:space="0" w:color="auto"/>
              <w:right w:val="nil"/>
            </w:tcBorders>
            <w:shd w:val="clear" w:color="auto" w:fill="auto"/>
            <w:vAlign w:val="center"/>
            <w:hideMark/>
          </w:tcPr>
          <w:p w14:paraId="55DC0B03"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N</w:t>
            </w:r>
          </w:p>
        </w:tc>
        <w:tc>
          <w:tcPr>
            <w:tcW w:w="2426" w:type="dxa"/>
            <w:gridSpan w:val="4"/>
            <w:tcBorders>
              <w:top w:val="nil"/>
              <w:left w:val="nil"/>
              <w:bottom w:val="single" w:sz="4" w:space="0" w:color="auto"/>
              <w:right w:val="nil"/>
            </w:tcBorders>
            <w:shd w:val="clear" w:color="auto" w:fill="auto"/>
            <w:vAlign w:val="center"/>
            <w:hideMark/>
          </w:tcPr>
          <w:p w14:paraId="759F6181" w14:textId="77777777" w:rsidR="004B6278" w:rsidRPr="00703A27" w:rsidRDefault="004B6278" w:rsidP="00583CE2">
            <w:pPr>
              <w:jc w:val="center"/>
              <w:rPr>
                <w:rFonts w:eastAsia="Times New Roman"/>
                <w:b/>
                <w:bCs/>
                <w:color w:val="000000"/>
                <w:sz w:val="20"/>
                <w:szCs w:val="20"/>
              </w:rPr>
            </w:pPr>
            <w:r w:rsidRPr="00703A27">
              <w:rPr>
                <w:rFonts w:eastAsia="Times New Roman"/>
                <w:b/>
                <w:bCs/>
                <w:color w:val="000000"/>
                <w:sz w:val="20"/>
                <w:szCs w:val="20"/>
              </w:rPr>
              <w:t>%</w:t>
            </w:r>
          </w:p>
        </w:tc>
        <w:tc>
          <w:tcPr>
            <w:tcW w:w="581" w:type="dxa"/>
            <w:tcBorders>
              <w:top w:val="nil"/>
              <w:left w:val="nil"/>
              <w:bottom w:val="nil"/>
              <w:right w:val="nil"/>
            </w:tcBorders>
            <w:shd w:val="clear" w:color="auto" w:fill="auto"/>
            <w:vAlign w:val="bottom"/>
            <w:hideMark/>
          </w:tcPr>
          <w:p w14:paraId="7E6C95E2"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vAlign w:val="center"/>
            <w:hideMark/>
          </w:tcPr>
          <w:p w14:paraId="26BF016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r>
      <w:tr w:rsidR="004B6278" w:rsidRPr="00703A27" w14:paraId="112CE2D9"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55300BE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Oil and Gas</w:t>
            </w:r>
          </w:p>
        </w:tc>
        <w:tc>
          <w:tcPr>
            <w:tcW w:w="325" w:type="dxa"/>
            <w:tcBorders>
              <w:top w:val="nil"/>
              <w:left w:val="nil"/>
              <w:bottom w:val="nil"/>
              <w:right w:val="nil"/>
            </w:tcBorders>
            <w:shd w:val="clear" w:color="auto" w:fill="auto"/>
            <w:noWrap/>
            <w:vAlign w:val="center"/>
            <w:hideMark/>
          </w:tcPr>
          <w:p w14:paraId="2F4657B1"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467FC0F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2E1A9E18"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39</w:t>
            </w:r>
          </w:p>
        </w:tc>
        <w:tc>
          <w:tcPr>
            <w:tcW w:w="1192" w:type="dxa"/>
            <w:gridSpan w:val="2"/>
            <w:tcBorders>
              <w:top w:val="nil"/>
              <w:left w:val="nil"/>
              <w:bottom w:val="nil"/>
              <w:right w:val="nil"/>
            </w:tcBorders>
            <w:shd w:val="clear" w:color="auto" w:fill="auto"/>
            <w:noWrap/>
            <w:vAlign w:val="center"/>
            <w:hideMark/>
          </w:tcPr>
          <w:p w14:paraId="4E2FDAC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4.29</w:t>
            </w:r>
          </w:p>
        </w:tc>
        <w:tc>
          <w:tcPr>
            <w:tcW w:w="971" w:type="dxa"/>
            <w:gridSpan w:val="3"/>
            <w:tcBorders>
              <w:top w:val="nil"/>
              <w:left w:val="nil"/>
              <w:bottom w:val="nil"/>
              <w:right w:val="nil"/>
            </w:tcBorders>
            <w:shd w:val="clear" w:color="auto" w:fill="auto"/>
            <w:noWrap/>
            <w:vAlign w:val="bottom"/>
            <w:hideMark/>
          </w:tcPr>
          <w:p w14:paraId="1CE9F3BE"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563890DF"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34</w:t>
            </w:r>
          </w:p>
        </w:tc>
        <w:tc>
          <w:tcPr>
            <w:tcW w:w="2426" w:type="dxa"/>
            <w:gridSpan w:val="4"/>
            <w:tcBorders>
              <w:top w:val="nil"/>
              <w:left w:val="nil"/>
              <w:bottom w:val="nil"/>
              <w:right w:val="nil"/>
            </w:tcBorders>
            <w:shd w:val="clear" w:color="auto" w:fill="auto"/>
            <w:noWrap/>
            <w:vAlign w:val="center"/>
            <w:hideMark/>
          </w:tcPr>
          <w:p w14:paraId="531A947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4.79</w:t>
            </w:r>
          </w:p>
        </w:tc>
        <w:tc>
          <w:tcPr>
            <w:tcW w:w="581" w:type="dxa"/>
            <w:tcBorders>
              <w:top w:val="nil"/>
              <w:left w:val="nil"/>
              <w:bottom w:val="nil"/>
              <w:right w:val="nil"/>
            </w:tcBorders>
            <w:shd w:val="clear" w:color="auto" w:fill="auto"/>
            <w:noWrap/>
            <w:vAlign w:val="bottom"/>
            <w:hideMark/>
          </w:tcPr>
          <w:p w14:paraId="3DBEE184"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5EDE4C9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87.18</w:t>
            </w:r>
          </w:p>
        </w:tc>
      </w:tr>
      <w:tr w:rsidR="004B6278" w:rsidRPr="00703A27" w14:paraId="71E0CD69"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020755D5"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Food products</w:t>
            </w:r>
          </w:p>
        </w:tc>
        <w:tc>
          <w:tcPr>
            <w:tcW w:w="325" w:type="dxa"/>
            <w:tcBorders>
              <w:top w:val="nil"/>
              <w:left w:val="nil"/>
              <w:bottom w:val="nil"/>
              <w:right w:val="nil"/>
            </w:tcBorders>
            <w:shd w:val="clear" w:color="auto" w:fill="auto"/>
            <w:noWrap/>
            <w:vAlign w:val="center"/>
            <w:hideMark/>
          </w:tcPr>
          <w:p w14:paraId="6E748C4A"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3EBF5FC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4EC92CB4"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w:t>
            </w:r>
          </w:p>
        </w:tc>
        <w:tc>
          <w:tcPr>
            <w:tcW w:w="1192" w:type="dxa"/>
            <w:gridSpan w:val="2"/>
            <w:tcBorders>
              <w:top w:val="nil"/>
              <w:left w:val="nil"/>
              <w:bottom w:val="nil"/>
              <w:right w:val="nil"/>
            </w:tcBorders>
            <w:shd w:val="clear" w:color="auto" w:fill="auto"/>
            <w:noWrap/>
            <w:vAlign w:val="center"/>
            <w:hideMark/>
          </w:tcPr>
          <w:p w14:paraId="16C4DB12"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0.88</w:t>
            </w:r>
          </w:p>
        </w:tc>
        <w:tc>
          <w:tcPr>
            <w:tcW w:w="971" w:type="dxa"/>
            <w:gridSpan w:val="3"/>
            <w:tcBorders>
              <w:top w:val="nil"/>
              <w:left w:val="nil"/>
              <w:bottom w:val="nil"/>
              <w:right w:val="nil"/>
            </w:tcBorders>
            <w:shd w:val="clear" w:color="auto" w:fill="auto"/>
            <w:noWrap/>
            <w:vAlign w:val="bottom"/>
            <w:hideMark/>
          </w:tcPr>
          <w:p w14:paraId="191507A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56D42BE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w:t>
            </w:r>
          </w:p>
        </w:tc>
        <w:tc>
          <w:tcPr>
            <w:tcW w:w="2426" w:type="dxa"/>
            <w:gridSpan w:val="4"/>
            <w:tcBorders>
              <w:top w:val="nil"/>
              <w:left w:val="nil"/>
              <w:bottom w:val="nil"/>
              <w:right w:val="nil"/>
            </w:tcBorders>
            <w:shd w:val="clear" w:color="auto" w:fill="auto"/>
            <w:noWrap/>
            <w:vAlign w:val="center"/>
            <w:hideMark/>
          </w:tcPr>
          <w:p w14:paraId="24A5DFCB"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1.13</w:t>
            </w:r>
          </w:p>
        </w:tc>
        <w:tc>
          <w:tcPr>
            <w:tcW w:w="581" w:type="dxa"/>
            <w:tcBorders>
              <w:top w:val="nil"/>
              <w:left w:val="nil"/>
              <w:bottom w:val="nil"/>
              <w:right w:val="nil"/>
            </w:tcBorders>
            <w:shd w:val="clear" w:color="auto" w:fill="auto"/>
            <w:noWrap/>
            <w:vAlign w:val="bottom"/>
            <w:hideMark/>
          </w:tcPr>
          <w:p w14:paraId="0A87272C"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7DF66DD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100.00</w:t>
            </w:r>
          </w:p>
        </w:tc>
      </w:tr>
      <w:tr w:rsidR="004B6278" w:rsidRPr="00703A27" w14:paraId="3E56C13A"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58351C2B"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Paper and paper products</w:t>
            </w:r>
          </w:p>
        </w:tc>
        <w:tc>
          <w:tcPr>
            <w:tcW w:w="325" w:type="dxa"/>
            <w:tcBorders>
              <w:top w:val="nil"/>
              <w:left w:val="nil"/>
              <w:bottom w:val="nil"/>
              <w:right w:val="nil"/>
            </w:tcBorders>
            <w:shd w:val="clear" w:color="auto" w:fill="auto"/>
            <w:noWrap/>
            <w:vAlign w:val="center"/>
            <w:hideMark/>
          </w:tcPr>
          <w:p w14:paraId="08869489"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5F5CF41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0C0D4F9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w:t>
            </w:r>
          </w:p>
        </w:tc>
        <w:tc>
          <w:tcPr>
            <w:tcW w:w="1192" w:type="dxa"/>
            <w:gridSpan w:val="2"/>
            <w:tcBorders>
              <w:top w:val="nil"/>
              <w:left w:val="nil"/>
              <w:bottom w:val="nil"/>
              <w:right w:val="nil"/>
            </w:tcBorders>
            <w:shd w:val="clear" w:color="auto" w:fill="auto"/>
            <w:noWrap/>
            <w:vAlign w:val="center"/>
            <w:hideMark/>
          </w:tcPr>
          <w:p w14:paraId="75B2BB33"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1.10</w:t>
            </w:r>
          </w:p>
        </w:tc>
        <w:tc>
          <w:tcPr>
            <w:tcW w:w="971" w:type="dxa"/>
            <w:gridSpan w:val="3"/>
            <w:tcBorders>
              <w:top w:val="nil"/>
              <w:left w:val="nil"/>
              <w:bottom w:val="nil"/>
              <w:right w:val="nil"/>
            </w:tcBorders>
            <w:shd w:val="clear" w:color="auto" w:fill="auto"/>
            <w:noWrap/>
            <w:vAlign w:val="bottom"/>
            <w:hideMark/>
          </w:tcPr>
          <w:p w14:paraId="64C49CF2"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65C5CED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w:t>
            </w:r>
          </w:p>
        </w:tc>
        <w:tc>
          <w:tcPr>
            <w:tcW w:w="2426" w:type="dxa"/>
            <w:gridSpan w:val="4"/>
            <w:tcBorders>
              <w:top w:val="nil"/>
              <w:left w:val="nil"/>
              <w:bottom w:val="nil"/>
              <w:right w:val="nil"/>
            </w:tcBorders>
            <w:shd w:val="clear" w:color="auto" w:fill="auto"/>
            <w:noWrap/>
            <w:vAlign w:val="center"/>
            <w:hideMark/>
          </w:tcPr>
          <w:p w14:paraId="709D39FD"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1.41</w:t>
            </w:r>
          </w:p>
        </w:tc>
        <w:tc>
          <w:tcPr>
            <w:tcW w:w="581" w:type="dxa"/>
            <w:tcBorders>
              <w:top w:val="nil"/>
              <w:left w:val="nil"/>
              <w:bottom w:val="nil"/>
              <w:right w:val="nil"/>
            </w:tcBorders>
            <w:shd w:val="clear" w:color="auto" w:fill="auto"/>
            <w:noWrap/>
            <w:vAlign w:val="bottom"/>
            <w:hideMark/>
          </w:tcPr>
          <w:p w14:paraId="5AC692F9"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0F01423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100.00</w:t>
            </w:r>
          </w:p>
        </w:tc>
      </w:tr>
      <w:tr w:rsidR="004B6278" w:rsidRPr="00703A27" w14:paraId="161E184C"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213FA836"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Chemical products</w:t>
            </w:r>
          </w:p>
        </w:tc>
        <w:tc>
          <w:tcPr>
            <w:tcW w:w="325" w:type="dxa"/>
            <w:tcBorders>
              <w:top w:val="nil"/>
              <w:left w:val="nil"/>
              <w:bottom w:val="nil"/>
              <w:right w:val="nil"/>
            </w:tcBorders>
            <w:shd w:val="clear" w:color="auto" w:fill="auto"/>
            <w:noWrap/>
            <w:vAlign w:val="center"/>
            <w:hideMark/>
          </w:tcPr>
          <w:p w14:paraId="2224E6C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15D5CBF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45FE806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265</w:t>
            </w:r>
          </w:p>
        </w:tc>
        <w:tc>
          <w:tcPr>
            <w:tcW w:w="1192" w:type="dxa"/>
            <w:gridSpan w:val="2"/>
            <w:tcBorders>
              <w:top w:val="nil"/>
              <w:left w:val="nil"/>
              <w:bottom w:val="nil"/>
              <w:right w:val="nil"/>
            </w:tcBorders>
            <w:shd w:val="clear" w:color="auto" w:fill="auto"/>
            <w:noWrap/>
            <w:vAlign w:val="center"/>
            <w:hideMark/>
          </w:tcPr>
          <w:p w14:paraId="4F908F56"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29.15</w:t>
            </w:r>
          </w:p>
        </w:tc>
        <w:tc>
          <w:tcPr>
            <w:tcW w:w="971" w:type="dxa"/>
            <w:gridSpan w:val="3"/>
            <w:tcBorders>
              <w:top w:val="nil"/>
              <w:left w:val="nil"/>
              <w:bottom w:val="nil"/>
              <w:right w:val="nil"/>
            </w:tcBorders>
            <w:shd w:val="clear" w:color="auto" w:fill="auto"/>
            <w:noWrap/>
            <w:vAlign w:val="bottom"/>
            <w:hideMark/>
          </w:tcPr>
          <w:p w14:paraId="77D7BE9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2AB88E3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175</w:t>
            </w:r>
          </w:p>
        </w:tc>
        <w:tc>
          <w:tcPr>
            <w:tcW w:w="2426" w:type="dxa"/>
            <w:gridSpan w:val="4"/>
            <w:tcBorders>
              <w:top w:val="nil"/>
              <w:left w:val="nil"/>
              <w:bottom w:val="nil"/>
              <w:right w:val="nil"/>
            </w:tcBorders>
            <w:shd w:val="clear" w:color="auto" w:fill="auto"/>
            <w:noWrap/>
            <w:vAlign w:val="center"/>
            <w:hideMark/>
          </w:tcPr>
          <w:p w14:paraId="05348D28"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24.65</w:t>
            </w:r>
          </w:p>
        </w:tc>
        <w:tc>
          <w:tcPr>
            <w:tcW w:w="581" w:type="dxa"/>
            <w:tcBorders>
              <w:top w:val="nil"/>
              <w:left w:val="nil"/>
              <w:bottom w:val="nil"/>
              <w:right w:val="nil"/>
            </w:tcBorders>
            <w:shd w:val="clear" w:color="auto" w:fill="auto"/>
            <w:noWrap/>
            <w:vAlign w:val="bottom"/>
            <w:hideMark/>
          </w:tcPr>
          <w:p w14:paraId="4C17DB59"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4A46B86D"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66.04</w:t>
            </w:r>
          </w:p>
        </w:tc>
      </w:tr>
      <w:tr w:rsidR="004B6278" w:rsidRPr="00703A27" w14:paraId="5B3E0155"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1B96E843"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Manufacturing</w:t>
            </w:r>
          </w:p>
        </w:tc>
        <w:tc>
          <w:tcPr>
            <w:tcW w:w="325" w:type="dxa"/>
            <w:tcBorders>
              <w:top w:val="nil"/>
              <w:left w:val="nil"/>
              <w:bottom w:val="nil"/>
              <w:right w:val="nil"/>
            </w:tcBorders>
            <w:shd w:val="clear" w:color="auto" w:fill="auto"/>
            <w:noWrap/>
            <w:vAlign w:val="center"/>
            <w:hideMark/>
          </w:tcPr>
          <w:p w14:paraId="07592537"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3D33BB2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049FE5A6"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23</w:t>
            </w:r>
          </w:p>
        </w:tc>
        <w:tc>
          <w:tcPr>
            <w:tcW w:w="1192" w:type="dxa"/>
            <w:gridSpan w:val="2"/>
            <w:tcBorders>
              <w:top w:val="nil"/>
              <w:left w:val="nil"/>
              <w:bottom w:val="nil"/>
              <w:right w:val="nil"/>
            </w:tcBorders>
            <w:shd w:val="clear" w:color="auto" w:fill="auto"/>
            <w:noWrap/>
            <w:vAlign w:val="center"/>
            <w:hideMark/>
          </w:tcPr>
          <w:p w14:paraId="0539BBF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2.53</w:t>
            </w:r>
          </w:p>
        </w:tc>
        <w:tc>
          <w:tcPr>
            <w:tcW w:w="971" w:type="dxa"/>
            <w:gridSpan w:val="3"/>
            <w:tcBorders>
              <w:top w:val="nil"/>
              <w:left w:val="nil"/>
              <w:bottom w:val="nil"/>
              <w:right w:val="nil"/>
            </w:tcBorders>
            <w:shd w:val="clear" w:color="auto" w:fill="auto"/>
            <w:noWrap/>
            <w:vAlign w:val="bottom"/>
            <w:hideMark/>
          </w:tcPr>
          <w:p w14:paraId="12EBCD97"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7B3AE6C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19</w:t>
            </w:r>
          </w:p>
        </w:tc>
        <w:tc>
          <w:tcPr>
            <w:tcW w:w="2426" w:type="dxa"/>
            <w:gridSpan w:val="4"/>
            <w:tcBorders>
              <w:top w:val="nil"/>
              <w:left w:val="nil"/>
              <w:bottom w:val="nil"/>
              <w:right w:val="nil"/>
            </w:tcBorders>
            <w:shd w:val="clear" w:color="auto" w:fill="auto"/>
            <w:noWrap/>
            <w:vAlign w:val="center"/>
            <w:hideMark/>
          </w:tcPr>
          <w:p w14:paraId="1DB55B9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2.68</w:t>
            </w:r>
          </w:p>
        </w:tc>
        <w:tc>
          <w:tcPr>
            <w:tcW w:w="581" w:type="dxa"/>
            <w:tcBorders>
              <w:top w:val="nil"/>
              <w:left w:val="nil"/>
              <w:bottom w:val="nil"/>
              <w:right w:val="nil"/>
            </w:tcBorders>
            <w:shd w:val="clear" w:color="auto" w:fill="auto"/>
            <w:noWrap/>
            <w:vAlign w:val="bottom"/>
            <w:hideMark/>
          </w:tcPr>
          <w:p w14:paraId="51872896"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492CEAF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82.61</w:t>
            </w:r>
          </w:p>
        </w:tc>
      </w:tr>
      <w:tr w:rsidR="004B6278" w:rsidRPr="00703A27" w14:paraId="39EAED15"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74C5F54A"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Computer equipment &amp; services</w:t>
            </w:r>
          </w:p>
        </w:tc>
        <w:tc>
          <w:tcPr>
            <w:tcW w:w="325" w:type="dxa"/>
            <w:tcBorders>
              <w:top w:val="nil"/>
              <w:left w:val="nil"/>
              <w:bottom w:val="nil"/>
              <w:right w:val="nil"/>
            </w:tcBorders>
            <w:shd w:val="clear" w:color="auto" w:fill="auto"/>
            <w:noWrap/>
            <w:vAlign w:val="center"/>
            <w:hideMark/>
          </w:tcPr>
          <w:p w14:paraId="696008CC"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0A603254"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2777648F"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225</w:t>
            </w:r>
          </w:p>
        </w:tc>
        <w:tc>
          <w:tcPr>
            <w:tcW w:w="1192" w:type="dxa"/>
            <w:gridSpan w:val="2"/>
            <w:tcBorders>
              <w:top w:val="nil"/>
              <w:left w:val="nil"/>
              <w:bottom w:val="nil"/>
              <w:right w:val="nil"/>
            </w:tcBorders>
            <w:shd w:val="clear" w:color="auto" w:fill="auto"/>
            <w:noWrap/>
            <w:vAlign w:val="center"/>
            <w:hideMark/>
          </w:tcPr>
          <w:p w14:paraId="2A59839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24.75</w:t>
            </w:r>
          </w:p>
        </w:tc>
        <w:tc>
          <w:tcPr>
            <w:tcW w:w="971" w:type="dxa"/>
            <w:gridSpan w:val="3"/>
            <w:tcBorders>
              <w:top w:val="nil"/>
              <w:left w:val="nil"/>
              <w:bottom w:val="nil"/>
              <w:right w:val="nil"/>
            </w:tcBorders>
            <w:shd w:val="clear" w:color="auto" w:fill="auto"/>
            <w:noWrap/>
            <w:vAlign w:val="bottom"/>
            <w:hideMark/>
          </w:tcPr>
          <w:p w14:paraId="4719EFD4"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491265C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173</w:t>
            </w:r>
          </w:p>
        </w:tc>
        <w:tc>
          <w:tcPr>
            <w:tcW w:w="2426" w:type="dxa"/>
            <w:gridSpan w:val="4"/>
            <w:tcBorders>
              <w:top w:val="nil"/>
              <w:left w:val="nil"/>
              <w:bottom w:val="nil"/>
              <w:right w:val="nil"/>
            </w:tcBorders>
            <w:shd w:val="clear" w:color="auto" w:fill="auto"/>
            <w:noWrap/>
            <w:vAlign w:val="center"/>
            <w:hideMark/>
          </w:tcPr>
          <w:p w14:paraId="61D7E50D"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24.37</w:t>
            </w:r>
          </w:p>
        </w:tc>
        <w:tc>
          <w:tcPr>
            <w:tcW w:w="581" w:type="dxa"/>
            <w:tcBorders>
              <w:top w:val="nil"/>
              <w:left w:val="nil"/>
              <w:bottom w:val="nil"/>
              <w:right w:val="nil"/>
            </w:tcBorders>
            <w:shd w:val="clear" w:color="auto" w:fill="auto"/>
            <w:noWrap/>
            <w:vAlign w:val="bottom"/>
            <w:hideMark/>
          </w:tcPr>
          <w:p w14:paraId="327B086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34FF1C3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76.89</w:t>
            </w:r>
          </w:p>
        </w:tc>
      </w:tr>
      <w:tr w:rsidR="004B6278" w:rsidRPr="00703A27" w14:paraId="4AD1BF47"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04961CD1"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Electronic equipment</w:t>
            </w:r>
          </w:p>
        </w:tc>
        <w:tc>
          <w:tcPr>
            <w:tcW w:w="325" w:type="dxa"/>
            <w:tcBorders>
              <w:top w:val="nil"/>
              <w:left w:val="nil"/>
              <w:bottom w:val="nil"/>
              <w:right w:val="nil"/>
            </w:tcBorders>
            <w:shd w:val="clear" w:color="auto" w:fill="auto"/>
            <w:noWrap/>
            <w:vAlign w:val="center"/>
            <w:hideMark/>
          </w:tcPr>
          <w:p w14:paraId="0DDC3DC5"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3A6BA1B4"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4E275C1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63</w:t>
            </w:r>
          </w:p>
        </w:tc>
        <w:tc>
          <w:tcPr>
            <w:tcW w:w="1192" w:type="dxa"/>
            <w:gridSpan w:val="2"/>
            <w:tcBorders>
              <w:top w:val="nil"/>
              <w:left w:val="nil"/>
              <w:bottom w:val="nil"/>
              <w:right w:val="nil"/>
            </w:tcBorders>
            <w:shd w:val="clear" w:color="auto" w:fill="auto"/>
            <w:noWrap/>
            <w:vAlign w:val="center"/>
            <w:hideMark/>
          </w:tcPr>
          <w:p w14:paraId="5703E4A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6.93</w:t>
            </w:r>
          </w:p>
        </w:tc>
        <w:tc>
          <w:tcPr>
            <w:tcW w:w="971" w:type="dxa"/>
            <w:gridSpan w:val="3"/>
            <w:tcBorders>
              <w:top w:val="nil"/>
              <w:left w:val="nil"/>
              <w:bottom w:val="nil"/>
              <w:right w:val="nil"/>
            </w:tcBorders>
            <w:shd w:val="clear" w:color="auto" w:fill="auto"/>
            <w:noWrap/>
            <w:vAlign w:val="bottom"/>
            <w:hideMark/>
          </w:tcPr>
          <w:p w14:paraId="4B6874EC"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015A64CB"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53</w:t>
            </w:r>
          </w:p>
        </w:tc>
        <w:tc>
          <w:tcPr>
            <w:tcW w:w="2426" w:type="dxa"/>
            <w:gridSpan w:val="4"/>
            <w:tcBorders>
              <w:top w:val="nil"/>
              <w:left w:val="nil"/>
              <w:bottom w:val="nil"/>
              <w:right w:val="nil"/>
            </w:tcBorders>
            <w:shd w:val="clear" w:color="auto" w:fill="auto"/>
            <w:noWrap/>
            <w:vAlign w:val="center"/>
            <w:hideMark/>
          </w:tcPr>
          <w:p w14:paraId="03D9782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7.46</w:t>
            </w:r>
          </w:p>
        </w:tc>
        <w:tc>
          <w:tcPr>
            <w:tcW w:w="581" w:type="dxa"/>
            <w:tcBorders>
              <w:top w:val="nil"/>
              <w:left w:val="nil"/>
              <w:bottom w:val="nil"/>
              <w:right w:val="nil"/>
            </w:tcBorders>
            <w:shd w:val="clear" w:color="auto" w:fill="auto"/>
            <w:noWrap/>
            <w:vAlign w:val="bottom"/>
            <w:hideMark/>
          </w:tcPr>
          <w:p w14:paraId="48E3DAD8"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684F71E8"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84.13</w:t>
            </w:r>
          </w:p>
        </w:tc>
      </w:tr>
      <w:tr w:rsidR="004B6278" w:rsidRPr="00703A27" w14:paraId="325D9C9C" w14:textId="77777777" w:rsidTr="00A772B3">
        <w:trPr>
          <w:gridAfter w:val="3"/>
          <w:wAfter w:w="2024" w:type="dxa"/>
          <w:trHeight w:val="900"/>
        </w:trPr>
        <w:tc>
          <w:tcPr>
            <w:tcW w:w="2321" w:type="dxa"/>
            <w:tcBorders>
              <w:top w:val="nil"/>
              <w:left w:val="nil"/>
              <w:bottom w:val="nil"/>
              <w:right w:val="nil"/>
            </w:tcBorders>
            <w:shd w:val="clear" w:color="auto" w:fill="auto"/>
            <w:noWrap/>
            <w:vAlign w:val="center"/>
            <w:hideMark/>
          </w:tcPr>
          <w:p w14:paraId="6BA3D324"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Transportation &amp; public utilities</w:t>
            </w:r>
          </w:p>
        </w:tc>
        <w:tc>
          <w:tcPr>
            <w:tcW w:w="325" w:type="dxa"/>
            <w:tcBorders>
              <w:top w:val="nil"/>
              <w:left w:val="nil"/>
              <w:bottom w:val="nil"/>
              <w:right w:val="nil"/>
            </w:tcBorders>
            <w:shd w:val="clear" w:color="auto" w:fill="auto"/>
            <w:noWrap/>
            <w:vAlign w:val="center"/>
            <w:hideMark/>
          </w:tcPr>
          <w:p w14:paraId="06E80FCE"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63C28A0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39354652"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47</w:t>
            </w:r>
          </w:p>
        </w:tc>
        <w:tc>
          <w:tcPr>
            <w:tcW w:w="1192" w:type="dxa"/>
            <w:gridSpan w:val="2"/>
            <w:tcBorders>
              <w:top w:val="nil"/>
              <w:left w:val="nil"/>
              <w:bottom w:val="nil"/>
              <w:right w:val="nil"/>
            </w:tcBorders>
            <w:shd w:val="clear" w:color="auto" w:fill="auto"/>
            <w:noWrap/>
            <w:vAlign w:val="center"/>
            <w:hideMark/>
          </w:tcPr>
          <w:p w14:paraId="4BD7783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5.17</w:t>
            </w:r>
          </w:p>
        </w:tc>
        <w:tc>
          <w:tcPr>
            <w:tcW w:w="971" w:type="dxa"/>
            <w:gridSpan w:val="3"/>
            <w:tcBorders>
              <w:top w:val="nil"/>
              <w:left w:val="nil"/>
              <w:bottom w:val="nil"/>
              <w:right w:val="nil"/>
            </w:tcBorders>
            <w:shd w:val="clear" w:color="auto" w:fill="auto"/>
            <w:noWrap/>
            <w:vAlign w:val="bottom"/>
            <w:hideMark/>
          </w:tcPr>
          <w:p w14:paraId="242C2B01"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4D7A885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42</w:t>
            </w:r>
          </w:p>
        </w:tc>
        <w:tc>
          <w:tcPr>
            <w:tcW w:w="2426" w:type="dxa"/>
            <w:gridSpan w:val="4"/>
            <w:tcBorders>
              <w:top w:val="nil"/>
              <w:left w:val="nil"/>
              <w:bottom w:val="nil"/>
              <w:right w:val="nil"/>
            </w:tcBorders>
            <w:shd w:val="clear" w:color="auto" w:fill="auto"/>
            <w:noWrap/>
            <w:vAlign w:val="center"/>
            <w:hideMark/>
          </w:tcPr>
          <w:p w14:paraId="70CDA70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5.92</w:t>
            </w:r>
          </w:p>
        </w:tc>
        <w:tc>
          <w:tcPr>
            <w:tcW w:w="581" w:type="dxa"/>
            <w:tcBorders>
              <w:top w:val="nil"/>
              <w:left w:val="nil"/>
              <w:bottom w:val="nil"/>
              <w:right w:val="nil"/>
            </w:tcBorders>
            <w:shd w:val="clear" w:color="auto" w:fill="auto"/>
            <w:noWrap/>
            <w:vAlign w:val="bottom"/>
            <w:hideMark/>
          </w:tcPr>
          <w:p w14:paraId="1C8CC80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5FE369C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89.36</w:t>
            </w:r>
          </w:p>
        </w:tc>
      </w:tr>
      <w:tr w:rsidR="004B6278" w:rsidRPr="00703A27" w14:paraId="10EADF16"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4C4DD1AE"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Scientific instruments</w:t>
            </w:r>
          </w:p>
        </w:tc>
        <w:tc>
          <w:tcPr>
            <w:tcW w:w="325" w:type="dxa"/>
            <w:tcBorders>
              <w:top w:val="nil"/>
              <w:left w:val="nil"/>
              <w:bottom w:val="nil"/>
              <w:right w:val="nil"/>
            </w:tcBorders>
            <w:shd w:val="clear" w:color="auto" w:fill="auto"/>
            <w:noWrap/>
            <w:vAlign w:val="center"/>
            <w:hideMark/>
          </w:tcPr>
          <w:p w14:paraId="6071E536"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3CE2FBC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6AE2541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64</w:t>
            </w:r>
          </w:p>
        </w:tc>
        <w:tc>
          <w:tcPr>
            <w:tcW w:w="1192" w:type="dxa"/>
            <w:gridSpan w:val="2"/>
            <w:tcBorders>
              <w:top w:val="nil"/>
              <w:left w:val="nil"/>
              <w:bottom w:val="nil"/>
              <w:right w:val="nil"/>
            </w:tcBorders>
            <w:shd w:val="clear" w:color="auto" w:fill="auto"/>
            <w:noWrap/>
            <w:vAlign w:val="center"/>
            <w:hideMark/>
          </w:tcPr>
          <w:p w14:paraId="07BFE84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7.04</w:t>
            </w:r>
          </w:p>
        </w:tc>
        <w:tc>
          <w:tcPr>
            <w:tcW w:w="971" w:type="dxa"/>
            <w:gridSpan w:val="3"/>
            <w:tcBorders>
              <w:top w:val="nil"/>
              <w:left w:val="nil"/>
              <w:bottom w:val="nil"/>
              <w:right w:val="nil"/>
            </w:tcBorders>
            <w:shd w:val="clear" w:color="auto" w:fill="auto"/>
            <w:noWrap/>
            <w:vAlign w:val="bottom"/>
            <w:hideMark/>
          </w:tcPr>
          <w:p w14:paraId="683F5019"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5FF0BA8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48</w:t>
            </w:r>
          </w:p>
        </w:tc>
        <w:tc>
          <w:tcPr>
            <w:tcW w:w="2426" w:type="dxa"/>
            <w:gridSpan w:val="4"/>
            <w:tcBorders>
              <w:top w:val="nil"/>
              <w:left w:val="nil"/>
              <w:bottom w:val="nil"/>
              <w:right w:val="nil"/>
            </w:tcBorders>
            <w:shd w:val="clear" w:color="auto" w:fill="auto"/>
            <w:noWrap/>
            <w:vAlign w:val="center"/>
            <w:hideMark/>
          </w:tcPr>
          <w:p w14:paraId="3130B904"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6.76</w:t>
            </w:r>
          </w:p>
        </w:tc>
        <w:tc>
          <w:tcPr>
            <w:tcW w:w="581" w:type="dxa"/>
            <w:tcBorders>
              <w:top w:val="nil"/>
              <w:left w:val="nil"/>
              <w:bottom w:val="nil"/>
              <w:right w:val="nil"/>
            </w:tcBorders>
            <w:shd w:val="clear" w:color="auto" w:fill="auto"/>
            <w:noWrap/>
            <w:vAlign w:val="bottom"/>
            <w:hideMark/>
          </w:tcPr>
          <w:p w14:paraId="35369E7A"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0B6A87DD"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75.00</w:t>
            </w:r>
          </w:p>
        </w:tc>
      </w:tr>
      <w:tr w:rsidR="004B6278" w:rsidRPr="00703A27" w14:paraId="39DCA4AD"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1D7D1281"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Wholesale trade</w:t>
            </w:r>
          </w:p>
        </w:tc>
        <w:tc>
          <w:tcPr>
            <w:tcW w:w="325" w:type="dxa"/>
            <w:tcBorders>
              <w:top w:val="nil"/>
              <w:left w:val="nil"/>
              <w:bottom w:val="nil"/>
              <w:right w:val="nil"/>
            </w:tcBorders>
            <w:shd w:val="clear" w:color="auto" w:fill="auto"/>
            <w:noWrap/>
            <w:vAlign w:val="center"/>
            <w:hideMark/>
          </w:tcPr>
          <w:p w14:paraId="623BAB97"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7E3F135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54D5A3A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20</w:t>
            </w:r>
          </w:p>
        </w:tc>
        <w:tc>
          <w:tcPr>
            <w:tcW w:w="1192" w:type="dxa"/>
            <w:gridSpan w:val="2"/>
            <w:tcBorders>
              <w:top w:val="nil"/>
              <w:left w:val="nil"/>
              <w:bottom w:val="nil"/>
              <w:right w:val="nil"/>
            </w:tcBorders>
            <w:shd w:val="clear" w:color="auto" w:fill="auto"/>
            <w:noWrap/>
            <w:vAlign w:val="center"/>
            <w:hideMark/>
          </w:tcPr>
          <w:p w14:paraId="22F34C2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2.20</w:t>
            </w:r>
          </w:p>
        </w:tc>
        <w:tc>
          <w:tcPr>
            <w:tcW w:w="971" w:type="dxa"/>
            <w:gridSpan w:val="3"/>
            <w:tcBorders>
              <w:top w:val="nil"/>
              <w:left w:val="nil"/>
              <w:bottom w:val="nil"/>
              <w:right w:val="nil"/>
            </w:tcBorders>
            <w:shd w:val="clear" w:color="auto" w:fill="auto"/>
            <w:noWrap/>
            <w:vAlign w:val="bottom"/>
            <w:hideMark/>
          </w:tcPr>
          <w:p w14:paraId="6ABD46E3"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7A5560A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19</w:t>
            </w:r>
          </w:p>
        </w:tc>
        <w:tc>
          <w:tcPr>
            <w:tcW w:w="2426" w:type="dxa"/>
            <w:gridSpan w:val="4"/>
            <w:tcBorders>
              <w:top w:val="nil"/>
              <w:left w:val="nil"/>
              <w:bottom w:val="nil"/>
              <w:right w:val="nil"/>
            </w:tcBorders>
            <w:shd w:val="clear" w:color="auto" w:fill="auto"/>
            <w:noWrap/>
            <w:vAlign w:val="center"/>
            <w:hideMark/>
          </w:tcPr>
          <w:p w14:paraId="386AFAD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2.68</w:t>
            </w:r>
          </w:p>
        </w:tc>
        <w:tc>
          <w:tcPr>
            <w:tcW w:w="581" w:type="dxa"/>
            <w:tcBorders>
              <w:top w:val="nil"/>
              <w:left w:val="nil"/>
              <w:bottom w:val="nil"/>
              <w:right w:val="nil"/>
            </w:tcBorders>
            <w:shd w:val="clear" w:color="auto" w:fill="auto"/>
            <w:noWrap/>
            <w:vAlign w:val="bottom"/>
            <w:hideMark/>
          </w:tcPr>
          <w:p w14:paraId="7B258E86"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6AD9A004"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95.00</w:t>
            </w:r>
          </w:p>
        </w:tc>
      </w:tr>
      <w:tr w:rsidR="004B6278" w:rsidRPr="00703A27" w14:paraId="09D34F1D" w14:textId="77777777" w:rsidTr="00A772B3">
        <w:trPr>
          <w:gridAfter w:val="3"/>
          <w:wAfter w:w="2024" w:type="dxa"/>
          <w:trHeight w:val="600"/>
        </w:trPr>
        <w:tc>
          <w:tcPr>
            <w:tcW w:w="2321" w:type="dxa"/>
            <w:tcBorders>
              <w:top w:val="nil"/>
              <w:left w:val="nil"/>
              <w:bottom w:val="nil"/>
              <w:right w:val="nil"/>
            </w:tcBorders>
            <w:shd w:val="clear" w:color="auto" w:fill="auto"/>
            <w:noWrap/>
            <w:vAlign w:val="center"/>
            <w:hideMark/>
          </w:tcPr>
          <w:p w14:paraId="60A657F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Retail trade</w:t>
            </w:r>
          </w:p>
        </w:tc>
        <w:tc>
          <w:tcPr>
            <w:tcW w:w="325" w:type="dxa"/>
            <w:tcBorders>
              <w:top w:val="nil"/>
              <w:left w:val="nil"/>
              <w:bottom w:val="nil"/>
              <w:right w:val="nil"/>
            </w:tcBorders>
            <w:shd w:val="clear" w:color="auto" w:fill="auto"/>
            <w:noWrap/>
            <w:vAlign w:val="center"/>
            <w:hideMark/>
          </w:tcPr>
          <w:p w14:paraId="688A6843"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389B39BD"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3602DF1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57</w:t>
            </w:r>
          </w:p>
        </w:tc>
        <w:tc>
          <w:tcPr>
            <w:tcW w:w="1192" w:type="dxa"/>
            <w:gridSpan w:val="2"/>
            <w:tcBorders>
              <w:top w:val="nil"/>
              <w:left w:val="nil"/>
              <w:bottom w:val="nil"/>
              <w:right w:val="nil"/>
            </w:tcBorders>
            <w:shd w:val="clear" w:color="auto" w:fill="auto"/>
            <w:noWrap/>
            <w:vAlign w:val="center"/>
            <w:hideMark/>
          </w:tcPr>
          <w:p w14:paraId="2735C15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6.27</w:t>
            </w:r>
          </w:p>
        </w:tc>
        <w:tc>
          <w:tcPr>
            <w:tcW w:w="971" w:type="dxa"/>
            <w:gridSpan w:val="3"/>
            <w:tcBorders>
              <w:top w:val="nil"/>
              <w:left w:val="nil"/>
              <w:bottom w:val="nil"/>
              <w:right w:val="nil"/>
            </w:tcBorders>
            <w:shd w:val="clear" w:color="auto" w:fill="auto"/>
            <w:noWrap/>
            <w:vAlign w:val="bottom"/>
            <w:hideMark/>
          </w:tcPr>
          <w:p w14:paraId="5445DDDF"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175D9C9D"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50</w:t>
            </w:r>
          </w:p>
        </w:tc>
        <w:tc>
          <w:tcPr>
            <w:tcW w:w="2426" w:type="dxa"/>
            <w:gridSpan w:val="4"/>
            <w:tcBorders>
              <w:top w:val="nil"/>
              <w:left w:val="nil"/>
              <w:bottom w:val="nil"/>
              <w:right w:val="nil"/>
            </w:tcBorders>
            <w:shd w:val="clear" w:color="auto" w:fill="auto"/>
            <w:noWrap/>
            <w:vAlign w:val="center"/>
            <w:hideMark/>
          </w:tcPr>
          <w:p w14:paraId="7D4DFC63"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7.04</w:t>
            </w:r>
          </w:p>
        </w:tc>
        <w:tc>
          <w:tcPr>
            <w:tcW w:w="581" w:type="dxa"/>
            <w:tcBorders>
              <w:top w:val="nil"/>
              <w:left w:val="nil"/>
              <w:bottom w:val="nil"/>
              <w:right w:val="nil"/>
            </w:tcBorders>
            <w:shd w:val="clear" w:color="auto" w:fill="auto"/>
            <w:noWrap/>
            <w:vAlign w:val="bottom"/>
            <w:hideMark/>
          </w:tcPr>
          <w:p w14:paraId="33D85B80"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0E3B08F5"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87.72</w:t>
            </w:r>
          </w:p>
        </w:tc>
      </w:tr>
      <w:tr w:rsidR="004B6278" w:rsidRPr="00703A27" w14:paraId="6111130A"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0A8EB02E"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Entertainment services</w:t>
            </w:r>
          </w:p>
        </w:tc>
        <w:tc>
          <w:tcPr>
            <w:tcW w:w="325" w:type="dxa"/>
            <w:tcBorders>
              <w:top w:val="nil"/>
              <w:left w:val="nil"/>
              <w:bottom w:val="nil"/>
              <w:right w:val="nil"/>
            </w:tcBorders>
            <w:shd w:val="clear" w:color="auto" w:fill="auto"/>
            <w:noWrap/>
            <w:vAlign w:val="center"/>
            <w:hideMark/>
          </w:tcPr>
          <w:p w14:paraId="1F09815F"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16A44684"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3731E216"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14</w:t>
            </w:r>
          </w:p>
        </w:tc>
        <w:tc>
          <w:tcPr>
            <w:tcW w:w="1192" w:type="dxa"/>
            <w:gridSpan w:val="2"/>
            <w:tcBorders>
              <w:top w:val="nil"/>
              <w:left w:val="nil"/>
              <w:bottom w:val="nil"/>
              <w:right w:val="nil"/>
            </w:tcBorders>
            <w:shd w:val="clear" w:color="auto" w:fill="auto"/>
            <w:noWrap/>
            <w:vAlign w:val="center"/>
            <w:hideMark/>
          </w:tcPr>
          <w:p w14:paraId="0FBB3F4F"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1.54</w:t>
            </w:r>
          </w:p>
        </w:tc>
        <w:tc>
          <w:tcPr>
            <w:tcW w:w="971" w:type="dxa"/>
            <w:gridSpan w:val="3"/>
            <w:tcBorders>
              <w:top w:val="nil"/>
              <w:left w:val="nil"/>
              <w:bottom w:val="nil"/>
              <w:right w:val="nil"/>
            </w:tcBorders>
            <w:shd w:val="clear" w:color="auto" w:fill="auto"/>
            <w:noWrap/>
            <w:vAlign w:val="bottom"/>
            <w:hideMark/>
          </w:tcPr>
          <w:p w14:paraId="1D7880F5"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32F806E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12</w:t>
            </w:r>
          </w:p>
        </w:tc>
        <w:tc>
          <w:tcPr>
            <w:tcW w:w="2426" w:type="dxa"/>
            <w:gridSpan w:val="4"/>
            <w:tcBorders>
              <w:top w:val="nil"/>
              <w:left w:val="nil"/>
              <w:bottom w:val="nil"/>
              <w:right w:val="nil"/>
            </w:tcBorders>
            <w:shd w:val="clear" w:color="auto" w:fill="auto"/>
            <w:noWrap/>
            <w:vAlign w:val="center"/>
            <w:hideMark/>
          </w:tcPr>
          <w:p w14:paraId="702CB157"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1.69</w:t>
            </w:r>
          </w:p>
        </w:tc>
        <w:tc>
          <w:tcPr>
            <w:tcW w:w="581" w:type="dxa"/>
            <w:tcBorders>
              <w:top w:val="nil"/>
              <w:left w:val="nil"/>
              <w:bottom w:val="nil"/>
              <w:right w:val="nil"/>
            </w:tcBorders>
            <w:shd w:val="clear" w:color="auto" w:fill="auto"/>
            <w:noWrap/>
            <w:vAlign w:val="bottom"/>
            <w:hideMark/>
          </w:tcPr>
          <w:p w14:paraId="7D9C3B02"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6D90A4D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85.71</w:t>
            </w:r>
          </w:p>
        </w:tc>
      </w:tr>
      <w:tr w:rsidR="004B6278" w:rsidRPr="00703A27" w14:paraId="1F570389" w14:textId="77777777" w:rsidTr="00A772B3">
        <w:trPr>
          <w:gridAfter w:val="3"/>
          <w:wAfter w:w="2024" w:type="dxa"/>
          <w:trHeight w:val="300"/>
        </w:trPr>
        <w:tc>
          <w:tcPr>
            <w:tcW w:w="2321" w:type="dxa"/>
            <w:tcBorders>
              <w:top w:val="nil"/>
              <w:left w:val="nil"/>
              <w:bottom w:val="nil"/>
              <w:right w:val="nil"/>
            </w:tcBorders>
            <w:shd w:val="clear" w:color="auto" w:fill="auto"/>
            <w:noWrap/>
            <w:vAlign w:val="center"/>
            <w:hideMark/>
          </w:tcPr>
          <w:p w14:paraId="67144A5C"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Health services</w:t>
            </w:r>
          </w:p>
        </w:tc>
        <w:tc>
          <w:tcPr>
            <w:tcW w:w="325" w:type="dxa"/>
            <w:tcBorders>
              <w:top w:val="nil"/>
              <w:left w:val="nil"/>
              <w:bottom w:val="nil"/>
              <w:right w:val="nil"/>
            </w:tcBorders>
            <w:shd w:val="clear" w:color="auto" w:fill="auto"/>
            <w:noWrap/>
            <w:vAlign w:val="center"/>
            <w:hideMark/>
          </w:tcPr>
          <w:p w14:paraId="1075A290"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nil"/>
              <w:right w:val="nil"/>
            </w:tcBorders>
            <w:shd w:val="clear" w:color="auto" w:fill="auto"/>
            <w:vAlign w:val="center"/>
            <w:hideMark/>
          </w:tcPr>
          <w:p w14:paraId="2F0560BB"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7C5CAD3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22</w:t>
            </w:r>
          </w:p>
        </w:tc>
        <w:tc>
          <w:tcPr>
            <w:tcW w:w="1192" w:type="dxa"/>
            <w:gridSpan w:val="2"/>
            <w:tcBorders>
              <w:top w:val="nil"/>
              <w:left w:val="nil"/>
              <w:bottom w:val="nil"/>
              <w:right w:val="nil"/>
            </w:tcBorders>
            <w:shd w:val="clear" w:color="auto" w:fill="auto"/>
            <w:noWrap/>
            <w:vAlign w:val="center"/>
            <w:hideMark/>
          </w:tcPr>
          <w:p w14:paraId="0A6D00A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2.42</w:t>
            </w:r>
          </w:p>
        </w:tc>
        <w:tc>
          <w:tcPr>
            <w:tcW w:w="971" w:type="dxa"/>
            <w:gridSpan w:val="3"/>
            <w:tcBorders>
              <w:top w:val="nil"/>
              <w:left w:val="nil"/>
              <w:bottom w:val="nil"/>
              <w:right w:val="nil"/>
            </w:tcBorders>
            <w:shd w:val="clear" w:color="auto" w:fill="auto"/>
            <w:noWrap/>
            <w:vAlign w:val="bottom"/>
            <w:hideMark/>
          </w:tcPr>
          <w:p w14:paraId="12BFB89A"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6019B7EC"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18</w:t>
            </w:r>
          </w:p>
        </w:tc>
        <w:tc>
          <w:tcPr>
            <w:tcW w:w="2426" w:type="dxa"/>
            <w:gridSpan w:val="4"/>
            <w:tcBorders>
              <w:top w:val="nil"/>
              <w:left w:val="nil"/>
              <w:bottom w:val="nil"/>
              <w:right w:val="nil"/>
            </w:tcBorders>
            <w:shd w:val="clear" w:color="auto" w:fill="auto"/>
            <w:noWrap/>
            <w:vAlign w:val="center"/>
            <w:hideMark/>
          </w:tcPr>
          <w:p w14:paraId="55B1B99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2.54</w:t>
            </w:r>
          </w:p>
        </w:tc>
        <w:tc>
          <w:tcPr>
            <w:tcW w:w="581" w:type="dxa"/>
            <w:tcBorders>
              <w:top w:val="nil"/>
              <w:left w:val="nil"/>
              <w:bottom w:val="nil"/>
              <w:right w:val="nil"/>
            </w:tcBorders>
            <w:shd w:val="clear" w:color="auto" w:fill="auto"/>
            <w:noWrap/>
            <w:vAlign w:val="bottom"/>
            <w:hideMark/>
          </w:tcPr>
          <w:p w14:paraId="1E2AB6EC"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67B82B03"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81.82</w:t>
            </w:r>
          </w:p>
        </w:tc>
      </w:tr>
      <w:tr w:rsidR="004B6278" w:rsidRPr="00703A27" w14:paraId="7AFC329C" w14:textId="77777777" w:rsidTr="00A772B3">
        <w:trPr>
          <w:gridAfter w:val="3"/>
          <w:wAfter w:w="2024" w:type="dxa"/>
          <w:trHeight w:val="300"/>
        </w:trPr>
        <w:tc>
          <w:tcPr>
            <w:tcW w:w="2646" w:type="dxa"/>
            <w:gridSpan w:val="2"/>
            <w:tcBorders>
              <w:top w:val="nil"/>
              <w:left w:val="nil"/>
              <w:bottom w:val="nil"/>
              <w:right w:val="nil"/>
            </w:tcBorders>
            <w:shd w:val="clear" w:color="auto" w:fill="auto"/>
            <w:noWrap/>
            <w:vAlign w:val="center"/>
            <w:hideMark/>
          </w:tcPr>
          <w:p w14:paraId="682F5265"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Engineering &amp; Management Services</w:t>
            </w:r>
          </w:p>
        </w:tc>
        <w:tc>
          <w:tcPr>
            <w:tcW w:w="756" w:type="dxa"/>
            <w:tcBorders>
              <w:top w:val="nil"/>
              <w:left w:val="nil"/>
              <w:bottom w:val="nil"/>
              <w:right w:val="nil"/>
            </w:tcBorders>
            <w:shd w:val="clear" w:color="auto" w:fill="auto"/>
            <w:vAlign w:val="center"/>
            <w:hideMark/>
          </w:tcPr>
          <w:p w14:paraId="0742772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nil"/>
              <w:right w:val="nil"/>
            </w:tcBorders>
            <w:shd w:val="clear" w:color="auto" w:fill="auto"/>
            <w:noWrap/>
            <w:vAlign w:val="center"/>
            <w:hideMark/>
          </w:tcPr>
          <w:p w14:paraId="1BE0AF5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11</w:t>
            </w:r>
          </w:p>
        </w:tc>
        <w:tc>
          <w:tcPr>
            <w:tcW w:w="1192" w:type="dxa"/>
            <w:gridSpan w:val="2"/>
            <w:tcBorders>
              <w:top w:val="nil"/>
              <w:left w:val="nil"/>
              <w:bottom w:val="nil"/>
              <w:right w:val="nil"/>
            </w:tcBorders>
            <w:shd w:val="clear" w:color="auto" w:fill="auto"/>
            <w:noWrap/>
            <w:vAlign w:val="center"/>
            <w:hideMark/>
          </w:tcPr>
          <w:p w14:paraId="15B25BB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1.21</w:t>
            </w:r>
          </w:p>
        </w:tc>
        <w:tc>
          <w:tcPr>
            <w:tcW w:w="971" w:type="dxa"/>
            <w:gridSpan w:val="3"/>
            <w:tcBorders>
              <w:top w:val="nil"/>
              <w:left w:val="nil"/>
              <w:bottom w:val="nil"/>
              <w:right w:val="nil"/>
            </w:tcBorders>
            <w:shd w:val="clear" w:color="auto" w:fill="auto"/>
            <w:noWrap/>
            <w:vAlign w:val="bottom"/>
            <w:hideMark/>
          </w:tcPr>
          <w:p w14:paraId="76764D08"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nil"/>
              <w:right w:val="nil"/>
            </w:tcBorders>
            <w:shd w:val="clear" w:color="auto" w:fill="auto"/>
            <w:noWrap/>
            <w:vAlign w:val="center"/>
            <w:hideMark/>
          </w:tcPr>
          <w:p w14:paraId="337610E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11</w:t>
            </w:r>
          </w:p>
        </w:tc>
        <w:tc>
          <w:tcPr>
            <w:tcW w:w="2426" w:type="dxa"/>
            <w:gridSpan w:val="4"/>
            <w:tcBorders>
              <w:top w:val="nil"/>
              <w:left w:val="nil"/>
              <w:bottom w:val="nil"/>
              <w:right w:val="nil"/>
            </w:tcBorders>
            <w:shd w:val="clear" w:color="auto" w:fill="auto"/>
            <w:noWrap/>
            <w:vAlign w:val="center"/>
            <w:hideMark/>
          </w:tcPr>
          <w:p w14:paraId="53738EC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1.55</w:t>
            </w:r>
          </w:p>
        </w:tc>
        <w:tc>
          <w:tcPr>
            <w:tcW w:w="581" w:type="dxa"/>
            <w:tcBorders>
              <w:top w:val="nil"/>
              <w:left w:val="nil"/>
              <w:bottom w:val="nil"/>
              <w:right w:val="nil"/>
            </w:tcBorders>
            <w:shd w:val="clear" w:color="auto" w:fill="auto"/>
            <w:noWrap/>
            <w:vAlign w:val="bottom"/>
            <w:hideMark/>
          </w:tcPr>
          <w:p w14:paraId="1339B48D"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nil"/>
              <w:right w:val="nil"/>
            </w:tcBorders>
            <w:shd w:val="clear" w:color="auto" w:fill="auto"/>
            <w:noWrap/>
            <w:vAlign w:val="center"/>
            <w:hideMark/>
          </w:tcPr>
          <w:p w14:paraId="27D03E8B"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100.00</w:t>
            </w:r>
          </w:p>
        </w:tc>
      </w:tr>
      <w:tr w:rsidR="004B6278" w:rsidRPr="00703A27" w14:paraId="13AF5748" w14:textId="77777777" w:rsidTr="00A772B3">
        <w:trPr>
          <w:gridAfter w:val="3"/>
          <w:wAfter w:w="2024" w:type="dxa"/>
          <w:trHeight w:val="847"/>
        </w:trPr>
        <w:tc>
          <w:tcPr>
            <w:tcW w:w="2321" w:type="dxa"/>
            <w:tcBorders>
              <w:top w:val="nil"/>
              <w:left w:val="nil"/>
              <w:right w:val="nil"/>
            </w:tcBorders>
            <w:shd w:val="clear" w:color="auto" w:fill="auto"/>
            <w:noWrap/>
            <w:vAlign w:val="center"/>
            <w:hideMark/>
          </w:tcPr>
          <w:p w14:paraId="382E7BE4"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All others</w:t>
            </w:r>
          </w:p>
        </w:tc>
        <w:tc>
          <w:tcPr>
            <w:tcW w:w="325" w:type="dxa"/>
            <w:tcBorders>
              <w:top w:val="nil"/>
              <w:left w:val="nil"/>
              <w:right w:val="nil"/>
            </w:tcBorders>
            <w:shd w:val="clear" w:color="auto" w:fill="auto"/>
            <w:noWrap/>
            <w:vAlign w:val="center"/>
            <w:hideMark/>
          </w:tcPr>
          <w:p w14:paraId="6A539EFC"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right w:val="nil"/>
            </w:tcBorders>
            <w:shd w:val="clear" w:color="auto" w:fill="auto"/>
            <w:vAlign w:val="center"/>
            <w:hideMark/>
          </w:tcPr>
          <w:p w14:paraId="1CDCB351"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right w:val="nil"/>
            </w:tcBorders>
            <w:shd w:val="clear" w:color="auto" w:fill="auto"/>
            <w:noWrap/>
            <w:vAlign w:val="center"/>
            <w:hideMark/>
          </w:tcPr>
          <w:p w14:paraId="59D7DDF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41</w:t>
            </w:r>
          </w:p>
        </w:tc>
        <w:tc>
          <w:tcPr>
            <w:tcW w:w="1192" w:type="dxa"/>
            <w:gridSpan w:val="2"/>
            <w:tcBorders>
              <w:top w:val="nil"/>
              <w:left w:val="nil"/>
              <w:right w:val="nil"/>
            </w:tcBorders>
            <w:shd w:val="clear" w:color="auto" w:fill="auto"/>
            <w:noWrap/>
            <w:vAlign w:val="center"/>
            <w:hideMark/>
          </w:tcPr>
          <w:p w14:paraId="496B9876"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4.51</w:t>
            </w:r>
          </w:p>
        </w:tc>
        <w:tc>
          <w:tcPr>
            <w:tcW w:w="971" w:type="dxa"/>
            <w:gridSpan w:val="3"/>
            <w:tcBorders>
              <w:top w:val="nil"/>
              <w:left w:val="nil"/>
              <w:right w:val="nil"/>
            </w:tcBorders>
            <w:shd w:val="clear" w:color="auto" w:fill="auto"/>
            <w:noWrap/>
            <w:vAlign w:val="bottom"/>
            <w:hideMark/>
          </w:tcPr>
          <w:p w14:paraId="3FC4BC23"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right w:val="nil"/>
            </w:tcBorders>
            <w:shd w:val="clear" w:color="auto" w:fill="auto"/>
            <w:noWrap/>
            <w:vAlign w:val="center"/>
            <w:hideMark/>
          </w:tcPr>
          <w:p w14:paraId="79725950"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38</w:t>
            </w:r>
          </w:p>
        </w:tc>
        <w:tc>
          <w:tcPr>
            <w:tcW w:w="2426" w:type="dxa"/>
            <w:gridSpan w:val="4"/>
            <w:tcBorders>
              <w:top w:val="nil"/>
              <w:left w:val="nil"/>
              <w:right w:val="nil"/>
            </w:tcBorders>
            <w:shd w:val="clear" w:color="auto" w:fill="auto"/>
            <w:noWrap/>
            <w:vAlign w:val="center"/>
            <w:hideMark/>
          </w:tcPr>
          <w:p w14:paraId="32D940A8"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5.35</w:t>
            </w:r>
          </w:p>
        </w:tc>
        <w:tc>
          <w:tcPr>
            <w:tcW w:w="581" w:type="dxa"/>
            <w:tcBorders>
              <w:top w:val="nil"/>
              <w:left w:val="nil"/>
              <w:right w:val="nil"/>
            </w:tcBorders>
            <w:shd w:val="clear" w:color="auto" w:fill="auto"/>
            <w:noWrap/>
            <w:vAlign w:val="bottom"/>
            <w:hideMark/>
          </w:tcPr>
          <w:p w14:paraId="53924AC4"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right w:val="nil"/>
            </w:tcBorders>
            <w:shd w:val="clear" w:color="auto" w:fill="auto"/>
            <w:noWrap/>
            <w:vAlign w:val="center"/>
            <w:hideMark/>
          </w:tcPr>
          <w:p w14:paraId="2E4B23F6"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92.68</w:t>
            </w:r>
          </w:p>
        </w:tc>
      </w:tr>
      <w:tr w:rsidR="004B6278" w:rsidRPr="00703A27" w14:paraId="4C1FC41A" w14:textId="77777777" w:rsidTr="00A772B3">
        <w:trPr>
          <w:gridAfter w:val="3"/>
          <w:wAfter w:w="2024" w:type="dxa"/>
          <w:trHeight w:val="226"/>
        </w:trPr>
        <w:tc>
          <w:tcPr>
            <w:tcW w:w="2321" w:type="dxa"/>
            <w:tcBorders>
              <w:top w:val="nil"/>
              <w:left w:val="nil"/>
              <w:bottom w:val="single" w:sz="4" w:space="0" w:color="auto"/>
              <w:right w:val="nil"/>
            </w:tcBorders>
            <w:shd w:val="clear" w:color="auto" w:fill="auto"/>
            <w:noWrap/>
            <w:vAlign w:val="center"/>
            <w:hideMark/>
          </w:tcPr>
          <w:p w14:paraId="48B42080"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Total</w:t>
            </w:r>
          </w:p>
        </w:tc>
        <w:tc>
          <w:tcPr>
            <w:tcW w:w="325" w:type="dxa"/>
            <w:tcBorders>
              <w:top w:val="nil"/>
              <w:left w:val="nil"/>
              <w:bottom w:val="single" w:sz="4" w:space="0" w:color="auto"/>
              <w:right w:val="nil"/>
            </w:tcBorders>
            <w:shd w:val="clear" w:color="auto" w:fill="auto"/>
            <w:noWrap/>
            <w:vAlign w:val="center"/>
            <w:hideMark/>
          </w:tcPr>
          <w:p w14:paraId="414FA2F2"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756" w:type="dxa"/>
            <w:tcBorders>
              <w:top w:val="nil"/>
              <w:left w:val="nil"/>
              <w:bottom w:val="single" w:sz="4" w:space="0" w:color="auto"/>
              <w:right w:val="nil"/>
            </w:tcBorders>
            <w:shd w:val="clear" w:color="auto" w:fill="auto"/>
            <w:vAlign w:val="center"/>
            <w:hideMark/>
          </w:tcPr>
          <w:p w14:paraId="34C32C0E"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 </w:t>
            </w:r>
          </w:p>
        </w:tc>
        <w:tc>
          <w:tcPr>
            <w:tcW w:w="709" w:type="dxa"/>
            <w:tcBorders>
              <w:top w:val="nil"/>
              <w:left w:val="nil"/>
              <w:bottom w:val="single" w:sz="4" w:space="0" w:color="auto"/>
              <w:right w:val="nil"/>
            </w:tcBorders>
            <w:shd w:val="clear" w:color="auto" w:fill="auto"/>
            <w:noWrap/>
            <w:vAlign w:val="center"/>
            <w:hideMark/>
          </w:tcPr>
          <w:p w14:paraId="3E7DEEB3"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909</w:t>
            </w:r>
          </w:p>
        </w:tc>
        <w:tc>
          <w:tcPr>
            <w:tcW w:w="1192" w:type="dxa"/>
            <w:gridSpan w:val="2"/>
            <w:tcBorders>
              <w:top w:val="nil"/>
              <w:left w:val="nil"/>
              <w:bottom w:val="single" w:sz="4" w:space="0" w:color="auto"/>
              <w:right w:val="nil"/>
            </w:tcBorders>
            <w:shd w:val="clear" w:color="auto" w:fill="auto"/>
            <w:noWrap/>
            <w:vAlign w:val="center"/>
            <w:hideMark/>
          </w:tcPr>
          <w:p w14:paraId="003B2C29"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100</w:t>
            </w:r>
          </w:p>
        </w:tc>
        <w:tc>
          <w:tcPr>
            <w:tcW w:w="971" w:type="dxa"/>
            <w:gridSpan w:val="3"/>
            <w:tcBorders>
              <w:top w:val="nil"/>
              <w:left w:val="nil"/>
              <w:bottom w:val="single" w:sz="4" w:space="0" w:color="auto"/>
              <w:right w:val="nil"/>
            </w:tcBorders>
            <w:shd w:val="clear" w:color="auto" w:fill="auto"/>
            <w:noWrap/>
            <w:vAlign w:val="bottom"/>
            <w:hideMark/>
          </w:tcPr>
          <w:p w14:paraId="7919E048"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851" w:type="dxa"/>
            <w:tcBorders>
              <w:top w:val="nil"/>
              <w:left w:val="nil"/>
              <w:bottom w:val="single" w:sz="4" w:space="0" w:color="auto"/>
              <w:right w:val="nil"/>
            </w:tcBorders>
            <w:shd w:val="clear" w:color="auto" w:fill="auto"/>
            <w:noWrap/>
            <w:vAlign w:val="center"/>
            <w:hideMark/>
          </w:tcPr>
          <w:p w14:paraId="70BE1D9F"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710</w:t>
            </w:r>
          </w:p>
        </w:tc>
        <w:tc>
          <w:tcPr>
            <w:tcW w:w="2426" w:type="dxa"/>
            <w:gridSpan w:val="4"/>
            <w:tcBorders>
              <w:top w:val="nil"/>
              <w:left w:val="nil"/>
              <w:bottom w:val="single" w:sz="4" w:space="0" w:color="auto"/>
              <w:right w:val="nil"/>
            </w:tcBorders>
            <w:shd w:val="clear" w:color="auto" w:fill="auto"/>
            <w:noWrap/>
            <w:vAlign w:val="bottom"/>
            <w:hideMark/>
          </w:tcPr>
          <w:p w14:paraId="4883418A"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100</w:t>
            </w:r>
          </w:p>
        </w:tc>
        <w:tc>
          <w:tcPr>
            <w:tcW w:w="581" w:type="dxa"/>
            <w:tcBorders>
              <w:top w:val="nil"/>
              <w:left w:val="nil"/>
              <w:bottom w:val="single" w:sz="4" w:space="0" w:color="auto"/>
              <w:right w:val="nil"/>
            </w:tcBorders>
            <w:shd w:val="clear" w:color="auto" w:fill="auto"/>
            <w:noWrap/>
            <w:vAlign w:val="bottom"/>
            <w:hideMark/>
          </w:tcPr>
          <w:p w14:paraId="6E7630CF" w14:textId="77777777" w:rsidR="004B6278" w:rsidRPr="00703A27" w:rsidRDefault="004B6278" w:rsidP="00583CE2">
            <w:pPr>
              <w:rPr>
                <w:rFonts w:eastAsia="Times New Roman"/>
                <w:color w:val="000000"/>
                <w:sz w:val="20"/>
                <w:szCs w:val="20"/>
              </w:rPr>
            </w:pPr>
            <w:r w:rsidRPr="00703A27">
              <w:rPr>
                <w:rFonts w:eastAsia="Times New Roman"/>
                <w:color w:val="000000"/>
                <w:sz w:val="20"/>
                <w:szCs w:val="20"/>
              </w:rPr>
              <w:t> </w:t>
            </w:r>
          </w:p>
        </w:tc>
        <w:tc>
          <w:tcPr>
            <w:tcW w:w="2410" w:type="dxa"/>
            <w:gridSpan w:val="4"/>
            <w:tcBorders>
              <w:top w:val="nil"/>
              <w:left w:val="nil"/>
              <w:bottom w:val="single" w:sz="4" w:space="0" w:color="auto"/>
              <w:right w:val="nil"/>
            </w:tcBorders>
            <w:shd w:val="clear" w:color="auto" w:fill="auto"/>
            <w:noWrap/>
            <w:vAlign w:val="center"/>
            <w:hideMark/>
          </w:tcPr>
          <w:p w14:paraId="473B61B2" w14:textId="77777777" w:rsidR="004B6278" w:rsidRPr="00703A27" w:rsidRDefault="004B6278" w:rsidP="00583CE2">
            <w:pPr>
              <w:jc w:val="center"/>
              <w:rPr>
                <w:rFonts w:eastAsia="Times New Roman"/>
                <w:color w:val="000000"/>
                <w:sz w:val="20"/>
                <w:szCs w:val="20"/>
              </w:rPr>
            </w:pPr>
            <w:r w:rsidRPr="00703A27">
              <w:rPr>
                <w:rFonts w:eastAsia="Times New Roman"/>
                <w:color w:val="000000"/>
                <w:sz w:val="20"/>
                <w:szCs w:val="20"/>
              </w:rPr>
              <w:t>78.11</w:t>
            </w:r>
          </w:p>
        </w:tc>
      </w:tr>
      <w:tr w:rsidR="00D94396" w:rsidRPr="000912EF" w14:paraId="628D9948" w14:textId="77777777" w:rsidTr="00A772B3">
        <w:trPr>
          <w:gridAfter w:val="1"/>
          <w:wAfter w:w="7" w:type="dxa"/>
          <w:trHeight w:val="300"/>
        </w:trPr>
        <w:tc>
          <w:tcPr>
            <w:tcW w:w="14559" w:type="dxa"/>
            <w:gridSpan w:val="21"/>
            <w:tcBorders>
              <w:top w:val="single" w:sz="4" w:space="0" w:color="auto"/>
              <w:left w:val="nil"/>
              <w:bottom w:val="single" w:sz="4" w:space="0" w:color="auto"/>
              <w:right w:val="nil"/>
            </w:tcBorders>
            <w:shd w:val="clear" w:color="auto" w:fill="auto"/>
            <w:noWrap/>
            <w:vAlign w:val="center"/>
          </w:tcPr>
          <w:p w14:paraId="79B2FC7F" w14:textId="60E221FB" w:rsidR="00D94396" w:rsidRPr="00195130" w:rsidRDefault="00D94396" w:rsidP="00583CE2">
            <w:pPr>
              <w:ind w:firstLine="462"/>
              <w:jc w:val="both"/>
              <w:rPr>
                <w:rFonts w:eastAsia="Times New Roman"/>
                <w:color w:val="000000"/>
                <w:sz w:val="20"/>
                <w:szCs w:val="20"/>
              </w:rPr>
            </w:pPr>
            <w:r w:rsidRPr="00195130">
              <w:rPr>
                <w:rFonts w:eastAsia="Times New Roman"/>
                <w:color w:val="000000"/>
                <w:sz w:val="20"/>
                <w:szCs w:val="20"/>
              </w:rPr>
              <w:t xml:space="preserve">This table presents the distribution of our full sample of 909 IPOs between 2005 and 2017 in </w:t>
            </w:r>
            <w:r w:rsidR="00CB3B3A">
              <w:rPr>
                <w:rFonts w:eastAsia="Times New Roman"/>
                <w:color w:val="000000"/>
                <w:sz w:val="20"/>
                <w:szCs w:val="20"/>
              </w:rPr>
              <w:t>terms</w:t>
            </w:r>
            <w:r w:rsidRPr="00195130">
              <w:rPr>
                <w:rFonts w:eastAsia="Times New Roman"/>
                <w:color w:val="000000"/>
                <w:sz w:val="20"/>
                <w:szCs w:val="20"/>
              </w:rPr>
              <w:t xml:space="preserve"> of number of IPOs, number of IPOs receiving initial comment letters and proportion of IPOs receiving initial comment letters. Panel A present the sample distribution by filing year of initial S-1 filing. Panel B present the sample distribution by industry as classified by two-digits SIC code.</w:t>
            </w:r>
          </w:p>
        </w:tc>
      </w:tr>
    </w:tbl>
    <w:p w14:paraId="23BD4149" w14:textId="77777777" w:rsidR="00D94396" w:rsidRDefault="00D94396" w:rsidP="00F91520">
      <w:pPr>
        <w:pStyle w:val="Heading1"/>
        <w:rPr>
          <w:rFonts w:ascii="Times New Roman" w:hAnsi="Times New Roman" w:cs="Times New Roman"/>
          <w:b/>
          <w:color w:val="000000" w:themeColor="text1"/>
          <w:sz w:val="24"/>
          <w:szCs w:val="24"/>
          <w:lang w:eastAsia="en-US"/>
        </w:rPr>
        <w:sectPr w:rsidR="00D94396" w:rsidSect="00C734DC">
          <w:pgSz w:w="16838" w:h="11906" w:orient="landscape"/>
          <w:pgMar w:top="1276" w:right="1440" w:bottom="993" w:left="1440" w:header="708" w:footer="708" w:gutter="0"/>
          <w:cols w:space="708"/>
          <w:docGrid w:linePitch="360"/>
        </w:sectPr>
      </w:pPr>
    </w:p>
    <w:p w14:paraId="6D2708D3" w14:textId="3DAA132A" w:rsidR="00D94396" w:rsidRPr="000912EF" w:rsidRDefault="00D94396" w:rsidP="00D94396">
      <w:pPr>
        <w:pStyle w:val="Caption"/>
        <w:rPr>
          <w:b/>
          <w:i w:val="0"/>
          <w:color w:val="000000" w:themeColor="text1"/>
          <w:sz w:val="24"/>
          <w:szCs w:val="24"/>
        </w:rPr>
      </w:pPr>
      <w:bookmarkStart w:id="53" w:name="_Toc7375493"/>
      <w:r w:rsidRPr="000912EF">
        <w:rPr>
          <w:b/>
          <w:i w:val="0"/>
          <w:color w:val="000000" w:themeColor="text1"/>
          <w:sz w:val="24"/>
          <w:szCs w:val="24"/>
        </w:rPr>
        <w:lastRenderedPageBreak/>
        <w:t xml:space="preserve">Table </w:t>
      </w:r>
      <w:r w:rsidR="00174399">
        <w:rPr>
          <w:b/>
          <w:i w:val="0"/>
          <w:color w:val="000000" w:themeColor="text1"/>
          <w:sz w:val="24"/>
          <w:szCs w:val="24"/>
        </w:rPr>
        <w:t>4</w:t>
      </w:r>
      <w:r w:rsidRPr="000912EF">
        <w:rPr>
          <w:b/>
          <w:i w:val="0"/>
          <w:color w:val="000000" w:themeColor="text1"/>
          <w:sz w:val="24"/>
          <w:szCs w:val="24"/>
        </w:rPr>
        <w:t>. Descriptive statistics of SEC review attributes</w:t>
      </w:r>
      <w:bookmarkEnd w:id="53"/>
    </w:p>
    <w:tbl>
      <w:tblPr>
        <w:tblW w:w="14330" w:type="dxa"/>
        <w:tblLook w:val="04A0" w:firstRow="1" w:lastRow="0" w:firstColumn="1" w:lastColumn="0" w:noHBand="0" w:noVBand="1"/>
      </w:tblPr>
      <w:tblGrid>
        <w:gridCol w:w="4253"/>
        <w:gridCol w:w="2409"/>
        <w:gridCol w:w="960"/>
        <w:gridCol w:w="2159"/>
        <w:gridCol w:w="960"/>
        <w:gridCol w:w="1875"/>
        <w:gridCol w:w="1707"/>
        <w:gridCol w:w="7"/>
      </w:tblGrid>
      <w:tr w:rsidR="00FF50E3" w:rsidRPr="000912EF" w14:paraId="7ED1EBBE" w14:textId="77777777" w:rsidTr="00FF50E3">
        <w:trPr>
          <w:trHeight w:val="300"/>
        </w:trPr>
        <w:tc>
          <w:tcPr>
            <w:tcW w:w="14330" w:type="dxa"/>
            <w:gridSpan w:val="8"/>
            <w:tcBorders>
              <w:top w:val="single" w:sz="4" w:space="0" w:color="auto"/>
              <w:left w:val="nil"/>
              <w:bottom w:val="nil"/>
              <w:right w:val="nil"/>
            </w:tcBorders>
            <w:shd w:val="clear" w:color="auto" w:fill="auto"/>
            <w:noWrap/>
            <w:vAlign w:val="bottom"/>
          </w:tcPr>
          <w:p w14:paraId="43C53012" w14:textId="7C9BE38A" w:rsidR="00FF50E3" w:rsidRPr="00FF50E3" w:rsidRDefault="00FF50E3" w:rsidP="00FF50E3">
            <w:pPr>
              <w:rPr>
                <w:rFonts w:eastAsia="Times New Roman"/>
                <w:b/>
                <w:color w:val="000000"/>
                <w:sz w:val="22"/>
                <w:szCs w:val="22"/>
              </w:rPr>
            </w:pPr>
            <w:r>
              <w:rPr>
                <w:rFonts w:eastAsia="Times New Roman"/>
                <w:b/>
                <w:color w:val="000000"/>
                <w:sz w:val="22"/>
                <w:szCs w:val="22"/>
              </w:rPr>
              <w:t>Panel A. Summary descriptive statistics of the SEC review attributes</w:t>
            </w:r>
          </w:p>
        </w:tc>
      </w:tr>
      <w:tr w:rsidR="00D94396" w:rsidRPr="000912EF" w14:paraId="3FF19B21" w14:textId="77777777" w:rsidTr="00FF50E3">
        <w:trPr>
          <w:gridAfter w:val="1"/>
          <w:wAfter w:w="7" w:type="dxa"/>
          <w:trHeight w:val="300"/>
        </w:trPr>
        <w:tc>
          <w:tcPr>
            <w:tcW w:w="4253" w:type="dxa"/>
            <w:tcBorders>
              <w:top w:val="single" w:sz="4" w:space="0" w:color="auto"/>
              <w:left w:val="nil"/>
              <w:bottom w:val="nil"/>
              <w:right w:val="nil"/>
            </w:tcBorders>
            <w:shd w:val="clear" w:color="auto" w:fill="auto"/>
            <w:noWrap/>
            <w:vAlign w:val="bottom"/>
            <w:hideMark/>
          </w:tcPr>
          <w:p w14:paraId="0D8A6524" w14:textId="77777777" w:rsidR="00D94396" w:rsidRPr="000912EF" w:rsidRDefault="00D94396" w:rsidP="00583CE2">
            <w:pPr>
              <w:rPr>
                <w:rFonts w:eastAsia="Times New Roman"/>
                <w:color w:val="000000"/>
                <w:sz w:val="22"/>
                <w:szCs w:val="22"/>
              </w:rPr>
            </w:pPr>
            <w:r w:rsidRPr="000912EF">
              <w:rPr>
                <w:rFonts w:eastAsia="Times New Roman"/>
                <w:color w:val="000000"/>
                <w:sz w:val="22"/>
                <w:szCs w:val="22"/>
              </w:rPr>
              <w:t> </w:t>
            </w:r>
          </w:p>
        </w:tc>
        <w:tc>
          <w:tcPr>
            <w:tcW w:w="2409" w:type="dxa"/>
            <w:tcBorders>
              <w:top w:val="single" w:sz="4" w:space="0" w:color="auto"/>
              <w:left w:val="nil"/>
              <w:bottom w:val="single" w:sz="4" w:space="0" w:color="auto"/>
              <w:right w:val="nil"/>
            </w:tcBorders>
            <w:shd w:val="clear" w:color="auto" w:fill="auto"/>
            <w:noWrap/>
            <w:vAlign w:val="bottom"/>
            <w:hideMark/>
          </w:tcPr>
          <w:p w14:paraId="1156CB81" w14:textId="77777777" w:rsidR="00D94396" w:rsidRPr="00FF50E3" w:rsidRDefault="00D94396" w:rsidP="00583CE2">
            <w:pPr>
              <w:jc w:val="center"/>
              <w:rPr>
                <w:rFonts w:eastAsia="Times New Roman"/>
                <w:b/>
                <w:color w:val="000000"/>
                <w:sz w:val="22"/>
                <w:szCs w:val="22"/>
              </w:rPr>
            </w:pPr>
            <w:r w:rsidRPr="00FF50E3">
              <w:rPr>
                <w:rFonts w:eastAsia="Times New Roman"/>
                <w:b/>
                <w:color w:val="000000"/>
                <w:sz w:val="22"/>
                <w:szCs w:val="22"/>
              </w:rPr>
              <w:t>N</w:t>
            </w:r>
          </w:p>
        </w:tc>
        <w:tc>
          <w:tcPr>
            <w:tcW w:w="960" w:type="dxa"/>
            <w:tcBorders>
              <w:top w:val="single" w:sz="4" w:space="0" w:color="auto"/>
              <w:left w:val="nil"/>
              <w:bottom w:val="single" w:sz="4" w:space="0" w:color="auto"/>
              <w:right w:val="nil"/>
            </w:tcBorders>
            <w:shd w:val="clear" w:color="auto" w:fill="auto"/>
            <w:noWrap/>
            <w:vAlign w:val="bottom"/>
            <w:hideMark/>
          </w:tcPr>
          <w:p w14:paraId="49C9DAE5" w14:textId="77777777" w:rsidR="00D94396" w:rsidRPr="00FF50E3" w:rsidRDefault="00D94396" w:rsidP="00583CE2">
            <w:pPr>
              <w:jc w:val="center"/>
              <w:rPr>
                <w:rFonts w:eastAsia="Times New Roman"/>
                <w:b/>
                <w:color w:val="000000"/>
                <w:sz w:val="22"/>
                <w:szCs w:val="22"/>
              </w:rPr>
            </w:pPr>
            <w:r w:rsidRPr="00FF50E3">
              <w:rPr>
                <w:rFonts w:eastAsia="Times New Roman"/>
                <w:b/>
                <w:color w:val="000000"/>
                <w:sz w:val="22"/>
                <w:szCs w:val="22"/>
              </w:rPr>
              <w:t>Mean</w:t>
            </w:r>
          </w:p>
        </w:tc>
        <w:tc>
          <w:tcPr>
            <w:tcW w:w="2159" w:type="dxa"/>
            <w:tcBorders>
              <w:top w:val="single" w:sz="4" w:space="0" w:color="auto"/>
              <w:left w:val="nil"/>
              <w:bottom w:val="single" w:sz="4" w:space="0" w:color="auto"/>
              <w:right w:val="nil"/>
            </w:tcBorders>
            <w:shd w:val="clear" w:color="auto" w:fill="auto"/>
            <w:noWrap/>
            <w:vAlign w:val="bottom"/>
            <w:hideMark/>
          </w:tcPr>
          <w:p w14:paraId="5FDF6486" w14:textId="77777777" w:rsidR="00D94396" w:rsidRPr="00FF50E3" w:rsidRDefault="00D94396" w:rsidP="00583CE2">
            <w:pPr>
              <w:jc w:val="center"/>
              <w:rPr>
                <w:rFonts w:eastAsia="Times New Roman"/>
                <w:b/>
                <w:color w:val="000000"/>
                <w:sz w:val="22"/>
                <w:szCs w:val="22"/>
              </w:rPr>
            </w:pPr>
            <w:r w:rsidRPr="00FF50E3">
              <w:rPr>
                <w:rFonts w:eastAsia="Times New Roman"/>
                <w:b/>
                <w:color w:val="000000"/>
                <w:sz w:val="22"/>
                <w:szCs w:val="22"/>
              </w:rPr>
              <w:t>p1</w:t>
            </w:r>
          </w:p>
        </w:tc>
        <w:tc>
          <w:tcPr>
            <w:tcW w:w="960" w:type="dxa"/>
            <w:tcBorders>
              <w:top w:val="single" w:sz="4" w:space="0" w:color="auto"/>
              <w:left w:val="nil"/>
              <w:bottom w:val="single" w:sz="4" w:space="0" w:color="auto"/>
              <w:right w:val="nil"/>
            </w:tcBorders>
            <w:shd w:val="clear" w:color="auto" w:fill="auto"/>
            <w:noWrap/>
            <w:vAlign w:val="bottom"/>
            <w:hideMark/>
          </w:tcPr>
          <w:p w14:paraId="182040A6" w14:textId="77777777" w:rsidR="00D94396" w:rsidRPr="00FF50E3" w:rsidRDefault="00D94396" w:rsidP="00583CE2">
            <w:pPr>
              <w:jc w:val="center"/>
              <w:rPr>
                <w:rFonts w:eastAsia="Times New Roman"/>
                <w:b/>
                <w:color w:val="000000"/>
                <w:sz w:val="22"/>
                <w:szCs w:val="22"/>
              </w:rPr>
            </w:pPr>
            <w:r w:rsidRPr="00FF50E3">
              <w:rPr>
                <w:rFonts w:eastAsia="Times New Roman"/>
                <w:b/>
                <w:color w:val="000000"/>
                <w:sz w:val="22"/>
                <w:szCs w:val="22"/>
              </w:rPr>
              <w:t>p50</w:t>
            </w:r>
          </w:p>
        </w:tc>
        <w:tc>
          <w:tcPr>
            <w:tcW w:w="1875" w:type="dxa"/>
            <w:tcBorders>
              <w:top w:val="single" w:sz="4" w:space="0" w:color="auto"/>
              <w:left w:val="nil"/>
              <w:bottom w:val="single" w:sz="4" w:space="0" w:color="auto"/>
              <w:right w:val="nil"/>
            </w:tcBorders>
            <w:shd w:val="clear" w:color="auto" w:fill="auto"/>
            <w:noWrap/>
            <w:vAlign w:val="bottom"/>
            <w:hideMark/>
          </w:tcPr>
          <w:p w14:paraId="285CDD39" w14:textId="77777777" w:rsidR="00D94396" w:rsidRPr="00FF50E3" w:rsidRDefault="00D94396" w:rsidP="00583CE2">
            <w:pPr>
              <w:jc w:val="center"/>
              <w:rPr>
                <w:rFonts w:eastAsia="Times New Roman"/>
                <w:b/>
                <w:color w:val="000000"/>
                <w:sz w:val="22"/>
                <w:szCs w:val="22"/>
              </w:rPr>
            </w:pPr>
            <w:r w:rsidRPr="00FF50E3">
              <w:rPr>
                <w:rFonts w:eastAsia="Times New Roman"/>
                <w:b/>
                <w:color w:val="000000"/>
                <w:sz w:val="22"/>
                <w:szCs w:val="22"/>
              </w:rPr>
              <w:t>p99</w:t>
            </w:r>
          </w:p>
        </w:tc>
        <w:tc>
          <w:tcPr>
            <w:tcW w:w="1707" w:type="dxa"/>
            <w:tcBorders>
              <w:top w:val="single" w:sz="4" w:space="0" w:color="auto"/>
              <w:left w:val="nil"/>
              <w:bottom w:val="single" w:sz="4" w:space="0" w:color="auto"/>
              <w:right w:val="nil"/>
            </w:tcBorders>
            <w:shd w:val="clear" w:color="auto" w:fill="auto"/>
            <w:noWrap/>
            <w:vAlign w:val="bottom"/>
            <w:hideMark/>
          </w:tcPr>
          <w:p w14:paraId="0D9FA109" w14:textId="77777777" w:rsidR="00D94396" w:rsidRPr="00FF50E3" w:rsidRDefault="00D94396" w:rsidP="00583CE2">
            <w:pPr>
              <w:jc w:val="center"/>
              <w:rPr>
                <w:rFonts w:eastAsia="Times New Roman"/>
                <w:b/>
                <w:color w:val="000000"/>
                <w:sz w:val="22"/>
                <w:szCs w:val="22"/>
              </w:rPr>
            </w:pPr>
            <w:r w:rsidRPr="00FF50E3">
              <w:rPr>
                <w:rFonts w:eastAsia="Times New Roman"/>
                <w:b/>
                <w:color w:val="000000"/>
                <w:sz w:val="22"/>
                <w:szCs w:val="22"/>
              </w:rPr>
              <w:t>S.D.</w:t>
            </w:r>
          </w:p>
        </w:tc>
      </w:tr>
      <w:tr w:rsidR="00D94396" w:rsidRPr="000912EF" w14:paraId="09C2CEA5" w14:textId="77777777" w:rsidTr="00FF50E3">
        <w:trPr>
          <w:gridAfter w:val="1"/>
          <w:wAfter w:w="7" w:type="dxa"/>
          <w:trHeight w:val="300"/>
        </w:trPr>
        <w:tc>
          <w:tcPr>
            <w:tcW w:w="4253" w:type="dxa"/>
            <w:tcBorders>
              <w:top w:val="nil"/>
              <w:left w:val="nil"/>
              <w:bottom w:val="nil"/>
              <w:right w:val="nil"/>
            </w:tcBorders>
            <w:shd w:val="clear" w:color="auto" w:fill="auto"/>
            <w:noWrap/>
            <w:vAlign w:val="bottom"/>
            <w:hideMark/>
          </w:tcPr>
          <w:p w14:paraId="32D9180E" w14:textId="28AC100E" w:rsidR="00D94396" w:rsidRPr="000912EF" w:rsidRDefault="00210988" w:rsidP="00583CE2">
            <w:pPr>
              <w:rPr>
                <w:rFonts w:eastAsia="Times New Roman"/>
                <w:color w:val="000000"/>
                <w:sz w:val="22"/>
                <w:szCs w:val="22"/>
              </w:rPr>
            </w:pPr>
            <w:r>
              <w:rPr>
                <w:rFonts w:eastAsia="Times New Roman"/>
                <w:color w:val="000000"/>
                <w:sz w:val="22"/>
                <w:szCs w:val="22"/>
              </w:rPr>
              <w:t>Duration</w:t>
            </w:r>
          </w:p>
        </w:tc>
        <w:tc>
          <w:tcPr>
            <w:tcW w:w="2409" w:type="dxa"/>
            <w:tcBorders>
              <w:top w:val="nil"/>
              <w:left w:val="nil"/>
              <w:bottom w:val="nil"/>
              <w:right w:val="nil"/>
            </w:tcBorders>
            <w:shd w:val="clear" w:color="auto" w:fill="auto"/>
            <w:noWrap/>
            <w:vAlign w:val="bottom"/>
            <w:hideMark/>
          </w:tcPr>
          <w:p w14:paraId="4D7CAD7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909</w:t>
            </w:r>
          </w:p>
        </w:tc>
        <w:tc>
          <w:tcPr>
            <w:tcW w:w="960" w:type="dxa"/>
            <w:tcBorders>
              <w:top w:val="nil"/>
              <w:left w:val="nil"/>
              <w:bottom w:val="nil"/>
              <w:right w:val="nil"/>
            </w:tcBorders>
            <w:shd w:val="clear" w:color="auto" w:fill="auto"/>
            <w:noWrap/>
            <w:vAlign w:val="bottom"/>
            <w:hideMark/>
          </w:tcPr>
          <w:p w14:paraId="4317D35F"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120.11</w:t>
            </w:r>
          </w:p>
        </w:tc>
        <w:tc>
          <w:tcPr>
            <w:tcW w:w="2159" w:type="dxa"/>
            <w:tcBorders>
              <w:top w:val="nil"/>
              <w:left w:val="nil"/>
              <w:bottom w:val="nil"/>
              <w:right w:val="nil"/>
            </w:tcBorders>
            <w:shd w:val="clear" w:color="auto" w:fill="auto"/>
            <w:noWrap/>
            <w:vAlign w:val="bottom"/>
            <w:hideMark/>
          </w:tcPr>
          <w:p w14:paraId="0414CA3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25</w:t>
            </w:r>
          </w:p>
        </w:tc>
        <w:tc>
          <w:tcPr>
            <w:tcW w:w="960" w:type="dxa"/>
            <w:tcBorders>
              <w:top w:val="nil"/>
              <w:left w:val="nil"/>
              <w:bottom w:val="nil"/>
              <w:right w:val="nil"/>
            </w:tcBorders>
            <w:shd w:val="clear" w:color="auto" w:fill="auto"/>
            <w:noWrap/>
            <w:vAlign w:val="bottom"/>
            <w:hideMark/>
          </w:tcPr>
          <w:p w14:paraId="2C9F6120"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w:t>
            </w:r>
          </w:p>
        </w:tc>
        <w:tc>
          <w:tcPr>
            <w:tcW w:w="1875" w:type="dxa"/>
            <w:tcBorders>
              <w:top w:val="nil"/>
              <w:left w:val="nil"/>
              <w:bottom w:val="nil"/>
              <w:right w:val="nil"/>
            </w:tcBorders>
            <w:shd w:val="clear" w:color="auto" w:fill="auto"/>
            <w:noWrap/>
            <w:vAlign w:val="bottom"/>
            <w:hideMark/>
          </w:tcPr>
          <w:p w14:paraId="795DCFBB"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689</w:t>
            </w:r>
          </w:p>
        </w:tc>
        <w:tc>
          <w:tcPr>
            <w:tcW w:w="1707" w:type="dxa"/>
            <w:tcBorders>
              <w:top w:val="nil"/>
              <w:left w:val="nil"/>
              <w:bottom w:val="nil"/>
              <w:right w:val="nil"/>
            </w:tcBorders>
            <w:shd w:val="clear" w:color="auto" w:fill="auto"/>
            <w:noWrap/>
            <w:vAlign w:val="bottom"/>
            <w:hideMark/>
          </w:tcPr>
          <w:p w14:paraId="1EF7213C"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136.14</w:t>
            </w:r>
          </w:p>
        </w:tc>
      </w:tr>
      <w:tr w:rsidR="00D94396" w:rsidRPr="000912EF" w14:paraId="019F371D" w14:textId="77777777" w:rsidTr="00FF50E3">
        <w:trPr>
          <w:gridAfter w:val="1"/>
          <w:wAfter w:w="7" w:type="dxa"/>
          <w:trHeight w:val="300"/>
        </w:trPr>
        <w:tc>
          <w:tcPr>
            <w:tcW w:w="4253" w:type="dxa"/>
            <w:tcBorders>
              <w:top w:val="nil"/>
              <w:left w:val="nil"/>
              <w:right w:val="nil"/>
            </w:tcBorders>
            <w:shd w:val="clear" w:color="auto" w:fill="auto"/>
            <w:noWrap/>
            <w:vAlign w:val="bottom"/>
            <w:hideMark/>
          </w:tcPr>
          <w:p w14:paraId="117E4D3C" w14:textId="427DE36E" w:rsidR="00D94396" w:rsidRPr="000912EF" w:rsidRDefault="00210988" w:rsidP="00583CE2">
            <w:pPr>
              <w:rPr>
                <w:rFonts w:eastAsia="Times New Roman"/>
                <w:color w:val="000000"/>
                <w:sz w:val="22"/>
                <w:szCs w:val="22"/>
              </w:rPr>
            </w:pPr>
            <w:r>
              <w:rPr>
                <w:rFonts w:eastAsia="Times New Roman"/>
                <w:color w:val="000000"/>
                <w:sz w:val="22"/>
                <w:szCs w:val="22"/>
              </w:rPr>
              <w:t>Letters</w:t>
            </w:r>
          </w:p>
        </w:tc>
        <w:tc>
          <w:tcPr>
            <w:tcW w:w="2409" w:type="dxa"/>
            <w:tcBorders>
              <w:top w:val="nil"/>
              <w:left w:val="nil"/>
              <w:right w:val="nil"/>
            </w:tcBorders>
            <w:shd w:val="clear" w:color="auto" w:fill="auto"/>
            <w:noWrap/>
            <w:vAlign w:val="bottom"/>
            <w:hideMark/>
          </w:tcPr>
          <w:p w14:paraId="3565C09A"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909</w:t>
            </w:r>
          </w:p>
        </w:tc>
        <w:tc>
          <w:tcPr>
            <w:tcW w:w="960" w:type="dxa"/>
            <w:tcBorders>
              <w:top w:val="nil"/>
              <w:left w:val="nil"/>
              <w:right w:val="nil"/>
            </w:tcBorders>
            <w:shd w:val="clear" w:color="auto" w:fill="auto"/>
            <w:noWrap/>
            <w:vAlign w:val="bottom"/>
            <w:hideMark/>
          </w:tcPr>
          <w:p w14:paraId="1B9AAA9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2.77</w:t>
            </w:r>
          </w:p>
        </w:tc>
        <w:tc>
          <w:tcPr>
            <w:tcW w:w="2159" w:type="dxa"/>
            <w:tcBorders>
              <w:top w:val="nil"/>
              <w:left w:val="nil"/>
              <w:right w:val="nil"/>
            </w:tcBorders>
            <w:shd w:val="clear" w:color="auto" w:fill="auto"/>
            <w:noWrap/>
            <w:vAlign w:val="bottom"/>
            <w:hideMark/>
          </w:tcPr>
          <w:p w14:paraId="178E2F41"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0</w:t>
            </w:r>
          </w:p>
        </w:tc>
        <w:tc>
          <w:tcPr>
            <w:tcW w:w="960" w:type="dxa"/>
            <w:tcBorders>
              <w:top w:val="nil"/>
              <w:left w:val="nil"/>
              <w:right w:val="nil"/>
            </w:tcBorders>
            <w:shd w:val="clear" w:color="auto" w:fill="auto"/>
            <w:noWrap/>
            <w:vAlign w:val="bottom"/>
            <w:hideMark/>
          </w:tcPr>
          <w:p w14:paraId="44B79B64"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3</w:t>
            </w:r>
          </w:p>
        </w:tc>
        <w:tc>
          <w:tcPr>
            <w:tcW w:w="1875" w:type="dxa"/>
            <w:tcBorders>
              <w:top w:val="nil"/>
              <w:left w:val="nil"/>
              <w:right w:val="nil"/>
            </w:tcBorders>
            <w:shd w:val="clear" w:color="auto" w:fill="auto"/>
            <w:noWrap/>
            <w:vAlign w:val="bottom"/>
            <w:hideMark/>
          </w:tcPr>
          <w:p w14:paraId="52D12FC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w:t>
            </w:r>
          </w:p>
        </w:tc>
        <w:tc>
          <w:tcPr>
            <w:tcW w:w="1707" w:type="dxa"/>
            <w:tcBorders>
              <w:top w:val="nil"/>
              <w:left w:val="nil"/>
              <w:right w:val="nil"/>
            </w:tcBorders>
            <w:shd w:val="clear" w:color="auto" w:fill="auto"/>
            <w:noWrap/>
            <w:vAlign w:val="bottom"/>
            <w:hideMark/>
          </w:tcPr>
          <w:p w14:paraId="3E23E1EE"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2.06</w:t>
            </w:r>
          </w:p>
        </w:tc>
      </w:tr>
      <w:tr w:rsidR="00D94396" w:rsidRPr="000912EF" w14:paraId="2CD4B608" w14:textId="77777777" w:rsidTr="00FF50E3">
        <w:trPr>
          <w:gridAfter w:val="1"/>
          <w:wAfter w:w="7" w:type="dxa"/>
          <w:trHeight w:val="300"/>
        </w:trPr>
        <w:tc>
          <w:tcPr>
            <w:tcW w:w="4253" w:type="dxa"/>
            <w:tcBorders>
              <w:top w:val="nil"/>
              <w:left w:val="nil"/>
              <w:bottom w:val="single" w:sz="4" w:space="0" w:color="auto"/>
              <w:right w:val="nil"/>
            </w:tcBorders>
            <w:shd w:val="clear" w:color="auto" w:fill="auto"/>
            <w:noWrap/>
            <w:vAlign w:val="bottom"/>
            <w:hideMark/>
          </w:tcPr>
          <w:p w14:paraId="54120A3B" w14:textId="20D3D552" w:rsidR="00D94396" w:rsidRPr="000912EF" w:rsidRDefault="00210988" w:rsidP="00583CE2">
            <w:pPr>
              <w:rPr>
                <w:rFonts w:eastAsia="Times New Roman"/>
                <w:color w:val="000000"/>
                <w:sz w:val="22"/>
                <w:szCs w:val="22"/>
              </w:rPr>
            </w:pPr>
            <w:r>
              <w:rPr>
                <w:rFonts w:eastAsia="Times New Roman"/>
                <w:color w:val="000000"/>
                <w:sz w:val="22"/>
                <w:szCs w:val="22"/>
              </w:rPr>
              <w:t>Comments</w:t>
            </w:r>
          </w:p>
        </w:tc>
        <w:tc>
          <w:tcPr>
            <w:tcW w:w="2409" w:type="dxa"/>
            <w:tcBorders>
              <w:top w:val="nil"/>
              <w:left w:val="nil"/>
              <w:bottom w:val="single" w:sz="4" w:space="0" w:color="auto"/>
              <w:right w:val="nil"/>
            </w:tcBorders>
            <w:shd w:val="clear" w:color="auto" w:fill="auto"/>
            <w:noWrap/>
            <w:vAlign w:val="bottom"/>
            <w:hideMark/>
          </w:tcPr>
          <w:p w14:paraId="531F6A33"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909</w:t>
            </w:r>
          </w:p>
        </w:tc>
        <w:tc>
          <w:tcPr>
            <w:tcW w:w="960" w:type="dxa"/>
            <w:tcBorders>
              <w:top w:val="nil"/>
              <w:left w:val="nil"/>
              <w:bottom w:val="single" w:sz="4" w:space="0" w:color="auto"/>
              <w:right w:val="nil"/>
            </w:tcBorders>
            <w:shd w:val="clear" w:color="auto" w:fill="auto"/>
            <w:noWrap/>
            <w:vAlign w:val="bottom"/>
            <w:hideMark/>
          </w:tcPr>
          <w:p w14:paraId="773A19FD" w14:textId="77777777" w:rsidR="00D94396" w:rsidRPr="000912EF" w:rsidRDefault="00D94396" w:rsidP="00583CE2">
            <w:pPr>
              <w:jc w:val="center"/>
              <w:rPr>
                <w:rFonts w:eastAsia="Times New Roman"/>
                <w:color w:val="000000"/>
                <w:sz w:val="22"/>
                <w:szCs w:val="22"/>
              </w:rPr>
            </w:pPr>
            <w:r>
              <w:rPr>
                <w:rFonts w:eastAsia="Times New Roman"/>
                <w:color w:val="000000"/>
                <w:sz w:val="22"/>
                <w:szCs w:val="22"/>
              </w:rPr>
              <w:t>26.63</w:t>
            </w:r>
          </w:p>
        </w:tc>
        <w:tc>
          <w:tcPr>
            <w:tcW w:w="2159" w:type="dxa"/>
            <w:tcBorders>
              <w:top w:val="nil"/>
              <w:left w:val="nil"/>
              <w:bottom w:val="single" w:sz="4" w:space="0" w:color="auto"/>
              <w:right w:val="nil"/>
            </w:tcBorders>
            <w:shd w:val="clear" w:color="auto" w:fill="auto"/>
            <w:noWrap/>
            <w:vAlign w:val="bottom"/>
            <w:hideMark/>
          </w:tcPr>
          <w:p w14:paraId="0B03FB98"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0</w:t>
            </w:r>
          </w:p>
        </w:tc>
        <w:tc>
          <w:tcPr>
            <w:tcW w:w="960" w:type="dxa"/>
            <w:tcBorders>
              <w:top w:val="nil"/>
              <w:left w:val="nil"/>
              <w:bottom w:val="single" w:sz="4" w:space="0" w:color="auto"/>
              <w:right w:val="nil"/>
            </w:tcBorders>
            <w:shd w:val="clear" w:color="auto" w:fill="auto"/>
            <w:noWrap/>
            <w:vAlign w:val="bottom"/>
            <w:hideMark/>
          </w:tcPr>
          <w:p w14:paraId="32D7B34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22</w:t>
            </w:r>
          </w:p>
        </w:tc>
        <w:tc>
          <w:tcPr>
            <w:tcW w:w="1875" w:type="dxa"/>
            <w:tcBorders>
              <w:top w:val="nil"/>
              <w:left w:val="nil"/>
              <w:bottom w:val="single" w:sz="4" w:space="0" w:color="auto"/>
              <w:right w:val="nil"/>
            </w:tcBorders>
            <w:shd w:val="clear" w:color="auto" w:fill="auto"/>
            <w:noWrap/>
            <w:vAlign w:val="bottom"/>
            <w:hideMark/>
          </w:tcPr>
          <w:p w14:paraId="1805D2C9" w14:textId="77777777" w:rsidR="00D94396" w:rsidRPr="000912EF" w:rsidRDefault="00D94396" w:rsidP="00583CE2">
            <w:pPr>
              <w:jc w:val="center"/>
              <w:rPr>
                <w:rFonts w:eastAsia="Times New Roman"/>
                <w:color w:val="000000"/>
                <w:sz w:val="22"/>
                <w:szCs w:val="22"/>
              </w:rPr>
            </w:pPr>
            <w:r w:rsidRPr="000912EF">
              <w:rPr>
                <w:rFonts w:eastAsia="Times New Roman"/>
                <w:color w:val="000000"/>
                <w:sz w:val="22"/>
                <w:szCs w:val="22"/>
              </w:rPr>
              <w:t>88</w:t>
            </w:r>
          </w:p>
        </w:tc>
        <w:tc>
          <w:tcPr>
            <w:tcW w:w="1707" w:type="dxa"/>
            <w:tcBorders>
              <w:top w:val="nil"/>
              <w:left w:val="nil"/>
              <w:bottom w:val="single" w:sz="4" w:space="0" w:color="auto"/>
              <w:right w:val="nil"/>
            </w:tcBorders>
            <w:shd w:val="clear" w:color="auto" w:fill="auto"/>
            <w:noWrap/>
            <w:vAlign w:val="bottom"/>
            <w:hideMark/>
          </w:tcPr>
          <w:p w14:paraId="327425A3" w14:textId="77777777" w:rsidR="00D94396" w:rsidRPr="000912EF" w:rsidRDefault="00D94396" w:rsidP="00583CE2">
            <w:pPr>
              <w:jc w:val="center"/>
              <w:rPr>
                <w:rFonts w:eastAsia="Times New Roman"/>
                <w:color w:val="000000"/>
                <w:sz w:val="22"/>
                <w:szCs w:val="22"/>
              </w:rPr>
            </w:pPr>
            <w:r>
              <w:rPr>
                <w:rFonts w:eastAsia="Times New Roman"/>
                <w:color w:val="000000"/>
                <w:sz w:val="22"/>
                <w:szCs w:val="22"/>
              </w:rPr>
              <w:t>26.25</w:t>
            </w:r>
          </w:p>
        </w:tc>
      </w:tr>
    </w:tbl>
    <w:p w14:paraId="4E9CDCC1" w14:textId="539B0FCA" w:rsidR="00D94396" w:rsidRDefault="00D94396" w:rsidP="00D94396">
      <w:pPr>
        <w:pStyle w:val="Caption"/>
        <w:rPr>
          <w:b/>
          <w:i w:val="0"/>
          <w:color w:val="000000" w:themeColor="text1"/>
          <w:sz w:val="24"/>
          <w:szCs w:val="24"/>
        </w:rPr>
      </w:pPr>
    </w:p>
    <w:tbl>
      <w:tblPr>
        <w:tblW w:w="14317" w:type="dxa"/>
        <w:tblLook w:val="04A0" w:firstRow="1" w:lastRow="0" w:firstColumn="1" w:lastColumn="0" w:noHBand="0" w:noVBand="1"/>
      </w:tblPr>
      <w:tblGrid>
        <w:gridCol w:w="2694"/>
        <w:gridCol w:w="567"/>
        <w:gridCol w:w="944"/>
        <w:gridCol w:w="684"/>
        <w:gridCol w:w="1065"/>
        <w:gridCol w:w="1228"/>
        <w:gridCol w:w="943"/>
        <w:gridCol w:w="271"/>
        <w:gridCol w:w="821"/>
        <w:gridCol w:w="754"/>
        <w:gridCol w:w="932"/>
        <w:gridCol w:w="6"/>
        <w:gridCol w:w="514"/>
        <w:gridCol w:w="6"/>
        <w:gridCol w:w="998"/>
        <w:gridCol w:w="754"/>
        <w:gridCol w:w="1136"/>
      </w:tblGrid>
      <w:tr w:rsidR="00D94396" w:rsidRPr="00C478C9" w14:paraId="5B63EA74" w14:textId="77777777" w:rsidTr="00FF50E3">
        <w:trPr>
          <w:trHeight w:val="80"/>
        </w:trPr>
        <w:tc>
          <w:tcPr>
            <w:tcW w:w="14317" w:type="dxa"/>
            <w:gridSpan w:val="17"/>
            <w:tcBorders>
              <w:left w:val="nil"/>
              <w:bottom w:val="single" w:sz="4" w:space="0" w:color="auto"/>
              <w:right w:val="nil"/>
            </w:tcBorders>
            <w:shd w:val="clear" w:color="auto" w:fill="auto"/>
            <w:noWrap/>
            <w:vAlign w:val="bottom"/>
            <w:hideMark/>
          </w:tcPr>
          <w:p w14:paraId="72CDC74E" w14:textId="0035FBFF" w:rsidR="00D94396" w:rsidRPr="00FF50E3" w:rsidRDefault="00FF50E3" w:rsidP="00583CE2">
            <w:pPr>
              <w:rPr>
                <w:rFonts w:eastAsia="Times New Roman"/>
                <w:b/>
                <w:bCs/>
                <w:color w:val="000000"/>
                <w:sz w:val="22"/>
                <w:szCs w:val="22"/>
              </w:rPr>
            </w:pPr>
            <w:r w:rsidRPr="00FF50E3">
              <w:rPr>
                <w:rFonts w:eastAsia="Times New Roman"/>
                <w:b/>
                <w:bCs/>
                <w:color w:val="000000"/>
                <w:sz w:val="22"/>
                <w:szCs w:val="22"/>
              </w:rPr>
              <w:t>Panel B</w:t>
            </w:r>
            <w:r w:rsidR="00D94396" w:rsidRPr="00FF50E3">
              <w:rPr>
                <w:rFonts w:eastAsia="Times New Roman"/>
                <w:b/>
                <w:bCs/>
                <w:color w:val="000000"/>
                <w:sz w:val="22"/>
                <w:szCs w:val="22"/>
              </w:rPr>
              <w:t>. Descriptive statistics of SEC review attributes by year</w:t>
            </w:r>
          </w:p>
        </w:tc>
      </w:tr>
      <w:tr w:rsidR="00D94396" w:rsidRPr="00C478C9" w14:paraId="01129BEC" w14:textId="77777777" w:rsidTr="00FF50E3">
        <w:trPr>
          <w:trHeight w:val="300"/>
        </w:trPr>
        <w:tc>
          <w:tcPr>
            <w:tcW w:w="3261" w:type="dxa"/>
            <w:gridSpan w:val="2"/>
            <w:tcBorders>
              <w:top w:val="nil"/>
              <w:left w:val="nil"/>
              <w:bottom w:val="single" w:sz="4" w:space="0" w:color="auto"/>
              <w:right w:val="nil"/>
            </w:tcBorders>
            <w:shd w:val="clear" w:color="auto" w:fill="auto"/>
            <w:noWrap/>
            <w:vAlign w:val="bottom"/>
            <w:hideMark/>
          </w:tcPr>
          <w:p w14:paraId="23264C5E"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Year</w:t>
            </w:r>
          </w:p>
        </w:tc>
        <w:tc>
          <w:tcPr>
            <w:tcW w:w="944" w:type="dxa"/>
            <w:tcBorders>
              <w:top w:val="nil"/>
              <w:left w:val="nil"/>
              <w:bottom w:val="nil"/>
              <w:right w:val="nil"/>
            </w:tcBorders>
            <w:shd w:val="clear" w:color="auto" w:fill="auto"/>
            <w:vAlign w:val="bottom"/>
            <w:hideMark/>
          </w:tcPr>
          <w:p w14:paraId="0F4C7F07" w14:textId="77777777" w:rsidR="00D94396" w:rsidRPr="00C478C9" w:rsidRDefault="00D94396" w:rsidP="00583CE2">
            <w:pPr>
              <w:jc w:val="center"/>
              <w:rPr>
                <w:rFonts w:eastAsia="Times New Roman"/>
                <w:b/>
                <w:bCs/>
                <w:color w:val="000000"/>
                <w:sz w:val="22"/>
                <w:szCs w:val="22"/>
              </w:rPr>
            </w:pPr>
          </w:p>
        </w:tc>
        <w:tc>
          <w:tcPr>
            <w:tcW w:w="684" w:type="dxa"/>
            <w:tcBorders>
              <w:top w:val="nil"/>
              <w:left w:val="nil"/>
              <w:bottom w:val="single" w:sz="4" w:space="0" w:color="auto"/>
              <w:right w:val="nil"/>
            </w:tcBorders>
            <w:shd w:val="clear" w:color="auto" w:fill="auto"/>
            <w:vAlign w:val="bottom"/>
            <w:hideMark/>
          </w:tcPr>
          <w:p w14:paraId="04B1F0F6"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N</w:t>
            </w:r>
          </w:p>
        </w:tc>
        <w:tc>
          <w:tcPr>
            <w:tcW w:w="1065" w:type="dxa"/>
            <w:tcBorders>
              <w:top w:val="nil"/>
              <w:left w:val="nil"/>
              <w:bottom w:val="nil"/>
              <w:right w:val="nil"/>
            </w:tcBorders>
            <w:shd w:val="clear" w:color="auto" w:fill="auto"/>
            <w:vAlign w:val="bottom"/>
            <w:hideMark/>
          </w:tcPr>
          <w:p w14:paraId="3975B06F" w14:textId="77777777" w:rsidR="00D94396" w:rsidRPr="00C478C9" w:rsidRDefault="00D94396" w:rsidP="00583CE2">
            <w:pPr>
              <w:jc w:val="center"/>
              <w:rPr>
                <w:rFonts w:eastAsia="Times New Roman"/>
                <w:b/>
                <w:bCs/>
                <w:color w:val="000000"/>
                <w:sz w:val="22"/>
                <w:szCs w:val="22"/>
              </w:rPr>
            </w:pPr>
          </w:p>
        </w:tc>
        <w:tc>
          <w:tcPr>
            <w:tcW w:w="2171" w:type="dxa"/>
            <w:gridSpan w:val="2"/>
            <w:tcBorders>
              <w:top w:val="nil"/>
              <w:left w:val="nil"/>
              <w:bottom w:val="single" w:sz="4" w:space="0" w:color="auto"/>
              <w:right w:val="nil"/>
            </w:tcBorders>
            <w:shd w:val="clear" w:color="auto" w:fill="auto"/>
            <w:vAlign w:val="bottom"/>
            <w:hideMark/>
          </w:tcPr>
          <w:p w14:paraId="72FE6C76"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Duration</w:t>
            </w:r>
          </w:p>
        </w:tc>
        <w:tc>
          <w:tcPr>
            <w:tcW w:w="271" w:type="dxa"/>
            <w:tcBorders>
              <w:top w:val="nil"/>
              <w:left w:val="nil"/>
              <w:bottom w:val="nil"/>
              <w:right w:val="nil"/>
            </w:tcBorders>
            <w:shd w:val="clear" w:color="auto" w:fill="auto"/>
            <w:vAlign w:val="bottom"/>
            <w:hideMark/>
          </w:tcPr>
          <w:p w14:paraId="2593D86A" w14:textId="77777777" w:rsidR="00D94396" w:rsidRPr="00C478C9" w:rsidRDefault="00D94396" w:rsidP="00583CE2">
            <w:pPr>
              <w:jc w:val="center"/>
              <w:rPr>
                <w:rFonts w:eastAsia="Times New Roman"/>
                <w:b/>
                <w:bCs/>
                <w:color w:val="000000"/>
                <w:sz w:val="22"/>
                <w:szCs w:val="22"/>
              </w:rPr>
            </w:pPr>
          </w:p>
        </w:tc>
        <w:tc>
          <w:tcPr>
            <w:tcW w:w="2507" w:type="dxa"/>
            <w:gridSpan w:val="3"/>
            <w:tcBorders>
              <w:top w:val="nil"/>
              <w:left w:val="nil"/>
              <w:bottom w:val="single" w:sz="4" w:space="0" w:color="auto"/>
              <w:right w:val="nil"/>
            </w:tcBorders>
            <w:shd w:val="clear" w:color="auto" w:fill="auto"/>
            <w:vAlign w:val="center"/>
            <w:hideMark/>
          </w:tcPr>
          <w:p w14:paraId="33E22390" w14:textId="63C16471" w:rsidR="00D94396" w:rsidRPr="00C478C9" w:rsidRDefault="00210988" w:rsidP="00583CE2">
            <w:pPr>
              <w:jc w:val="center"/>
              <w:rPr>
                <w:rFonts w:eastAsia="Times New Roman"/>
                <w:b/>
                <w:bCs/>
                <w:color w:val="000000"/>
                <w:sz w:val="22"/>
                <w:szCs w:val="22"/>
              </w:rPr>
            </w:pPr>
            <w:r>
              <w:rPr>
                <w:rFonts w:eastAsia="Times New Roman"/>
                <w:b/>
                <w:bCs/>
                <w:color w:val="000000"/>
                <w:sz w:val="22"/>
                <w:szCs w:val="22"/>
              </w:rPr>
              <w:t>Letters</w:t>
            </w:r>
          </w:p>
        </w:tc>
        <w:tc>
          <w:tcPr>
            <w:tcW w:w="520" w:type="dxa"/>
            <w:gridSpan w:val="2"/>
            <w:tcBorders>
              <w:top w:val="nil"/>
              <w:left w:val="nil"/>
              <w:bottom w:val="nil"/>
              <w:right w:val="nil"/>
            </w:tcBorders>
            <w:shd w:val="clear" w:color="auto" w:fill="auto"/>
            <w:vAlign w:val="center"/>
            <w:hideMark/>
          </w:tcPr>
          <w:p w14:paraId="057B28FA" w14:textId="77777777" w:rsidR="00D94396" w:rsidRPr="00C478C9" w:rsidRDefault="00D94396" w:rsidP="00583CE2">
            <w:pPr>
              <w:jc w:val="center"/>
              <w:rPr>
                <w:rFonts w:eastAsia="Times New Roman"/>
                <w:b/>
                <w:bCs/>
                <w:color w:val="000000"/>
                <w:sz w:val="22"/>
                <w:szCs w:val="22"/>
              </w:rPr>
            </w:pPr>
          </w:p>
        </w:tc>
        <w:tc>
          <w:tcPr>
            <w:tcW w:w="2894" w:type="dxa"/>
            <w:gridSpan w:val="4"/>
            <w:tcBorders>
              <w:top w:val="nil"/>
              <w:left w:val="nil"/>
              <w:bottom w:val="single" w:sz="4" w:space="0" w:color="auto"/>
              <w:right w:val="nil"/>
            </w:tcBorders>
            <w:shd w:val="clear" w:color="auto" w:fill="auto"/>
            <w:vAlign w:val="bottom"/>
            <w:hideMark/>
          </w:tcPr>
          <w:p w14:paraId="60DFB43E" w14:textId="401A5CDE" w:rsidR="00D94396" w:rsidRPr="00C478C9" w:rsidRDefault="00210988" w:rsidP="00583CE2">
            <w:pPr>
              <w:jc w:val="center"/>
              <w:rPr>
                <w:rFonts w:eastAsia="Times New Roman"/>
                <w:b/>
                <w:bCs/>
                <w:color w:val="000000"/>
                <w:sz w:val="22"/>
                <w:szCs w:val="22"/>
              </w:rPr>
            </w:pPr>
            <w:r>
              <w:rPr>
                <w:rFonts w:eastAsia="Times New Roman"/>
                <w:b/>
                <w:bCs/>
                <w:color w:val="000000"/>
                <w:sz w:val="22"/>
                <w:szCs w:val="22"/>
              </w:rPr>
              <w:t>Comments</w:t>
            </w:r>
          </w:p>
        </w:tc>
      </w:tr>
      <w:tr w:rsidR="00D94396" w:rsidRPr="00C478C9" w14:paraId="3DE84080" w14:textId="77777777" w:rsidTr="00FF50E3">
        <w:trPr>
          <w:trHeight w:val="300"/>
        </w:trPr>
        <w:tc>
          <w:tcPr>
            <w:tcW w:w="2694" w:type="dxa"/>
            <w:tcBorders>
              <w:top w:val="nil"/>
              <w:left w:val="nil"/>
              <w:bottom w:val="nil"/>
              <w:right w:val="nil"/>
            </w:tcBorders>
            <w:shd w:val="clear" w:color="auto" w:fill="auto"/>
            <w:vAlign w:val="bottom"/>
            <w:hideMark/>
          </w:tcPr>
          <w:p w14:paraId="41F467B4" w14:textId="77777777" w:rsidR="00D94396" w:rsidRPr="00C478C9" w:rsidRDefault="00D94396" w:rsidP="00583CE2">
            <w:pPr>
              <w:jc w:val="center"/>
              <w:rPr>
                <w:rFonts w:eastAsia="Times New Roman"/>
                <w:b/>
                <w:bCs/>
                <w:color w:val="000000"/>
                <w:sz w:val="22"/>
                <w:szCs w:val="22"/>
              </w:rPr>
            </w:pPr>
          </w:p>
        </w:tc>
        <w:tc>
          <w:tcPr>
            <w:tcW w:w="567" w:type="dxa"/>
            <w:tcBorders>
              <w:top w:val="nil"/>
              <w:left w:val="nil"/>
              <w:bottom w:val="nil"/>
              <w:right w:val="nil"/>
            </w:tcBorders>
            <w:shd w:val="clear" w:color="auto" w:fill="auto"/>
            <w:noWrap/>
            <w:vAlign w:val="bottom"/>
            <w:hideMark/>
          </w:tcPr>
          <w:p w14:paraId="583B3C5B" w14:textId="77777777" w:rsidR="00D94396" w:rsidRPr="00C478C9" w:rsidRDefault="00D94396" w:rsidP="00583CE2">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73875DCD" w14:textId="77777777" w:rsidR="00D94396" w:rsidRPr="00C478C9" w:rsidRDefault="00D94396" w:rsidP="00583CE2">
            <w:pPr>
              <w:rPr>
                <w:rFonts w:eastAsia="Times New Roman"/>
                <w:sz w:val="20"/>
                <w:szCs w:val="20"/>
              </w:rPr>
            </w:pPr>
          </w:p>
        </w:tc>
        <w:tc>
          <w:tcPr>
            <w:tcW w:w="684" w:type="dxa"/>
            <w:tcBorders>
              <w:top w:val="nil"/>
              <w:left w:val="nil"/>
              <w:bottom w:val="nil"/>
              <w:right w:val="nil"/>
            </w:tcBorders>
            <w:shd w:val="clear" w:color="auto" w:fill="auto"/>
            <w:noWrap/>
            <w:vAlign w:val="bottom"/>
            <w:hideMark/>
          </w:tcPr>
          <w:p w14:paraId="2B266D25" w14:textId="77777777" w:rsidR="00D94396" w:rsidRPr="00C478C9" w:rsidRDefault="00D94396" w:rsidP="00583CE2">
            <w:pPr>
              <w:jc w:val="center"/>
              <w:rPr>
                <w:rFonts w:eastAsia="Times New Roman"/>
                <w:sz w:val="20"/>
                <w:szCs w:val="20"/>
              </w:rPr>
            </w:pPr>
          </w:p>
        </w:tc>
        <w:tc>
          <w:tcPr>
            <w:tcW w:w="1065" w:type="dxa"/>
            <w:tcBorders>
              <w:top w:val="nil"/>
              <w:left w:val="nil"/>
              <w:bottom w:val="nil"/>
              <w:right w:val="nil"/>
            </w:tcBorders>
            <w:shd w:val="clear" w:color="auto" w:fill="auto"/>
            <w:noWrap/>
            <w:vAlign w:val="bottom"/>
            <w:hideMark/>
          </w:tcPr>
          <w:p w14:paraId="7C35FF07" w14:textId="77777777" w:rsidR="00D94396" w:rsidRPr="00C478C9" w:rsidRDefault="00D94396" w:rsidP="00583CE2">
            <w:pPr>
              <w:rPr>
                <w:rFonts w:eastAsia="Times New Roman"/>
                <w:sz w:val="20"/>
                <w:szCs w:val="20"/>
              </w:rPr>
            </w:pPr>
          </w:p>
        </w:tc>
        <w:tc>
          <w:tcPr>
            <w:tcW w:w="1228" w:type="dxa"/>
            <w:tcBorders>
              <w:top w:val="nil"/>
              <w:left w:val="nil"/>
              <w:bottom w:val="single" w:sz="4" w:space="0" w:color="auto"/>
              <w:right w:val="nil"/>
            </w:tcBorders>
            <w:shd w:val="clear" w:color="auto" w:fill="auto"/>
            <w:noWrap/>
            <w:vAlign w:val="bottom"/>
            <w:hideMark/>
          </w:tcPr>
          <w:p w14:paraId="3E85A089"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Mean</w:t>
            </w:r>
          </w:p>
        </w:tc>
        <w:tc>
          <w:tcPr>
            <w:tcW w:w="943" w:type="dxa"/>
            <w:tcBorders>
              <w:top w:val="nil"/>
              <w:left w:val="nil"/>
              <w:bottom w:val="single" w:sz="4" w:space="0" w:color="auto"/>
              <w:right w:val="nil"/>
            </w:tcBorders>
            <w:shd w:val="clear" w:color="auto" w:fill="auto"/>
            <w:noWrap/>
            <w:vAlign w:val="bottom"/>
            <w:hideMark/>
          </w:tcPr>
          <w:p w14:paraId="276C7E50"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Median</w:t>
            </w:r>
          </w:p>
        </w:tc>
        <w:tc>
          <w:tcPr>
            <w:tcW w:w="271" w:type="dxa"/>
            <w:tcBorders>
              <w:top w:val="nil"/>
              <w:left w:val="nil"/>
              <w:bottom w:val="nil"/>
              <w:right w:val="nil"/>
            </w:tcBorders>
            <w:shd w:val="clear" w:color="auto" w:fill="auto"/>
            <w:noWrap/>
            <w:vAlign w:val="bottom"/>
            <w:hideMark/>
          </w:tcPr>
          <w:p w14:paraId="0836950A" w14:textId="77777777" w:rsidR="00D94396" w:rsidRPr="00C478C9" w:rsidRDefault="00D94396" w:rsidP="00583CE2">
            <w:pPr>
              <w:jc w:val="center"/>
              <w:rPr>
                <w:rFonts w:eastAsia="Times New Roman"/>
                <w:b/>
                <w:bCs/>
                <w:color w:val="000000"/>
                <w:sz w:val="22"/>
                <w:szCs w:val="22"/>
              </w:rPr>
            </w:pPr>
          </w:p>
        </w:tc>
        <w:tc>
          <w:tcPr>
            <w:tcW w:w="821" w:type="dxa"/>
            <w:tcBorders>
              <w:top w:val="nil"/>
              <w:left w:val="nil"/>
              <w:bottom w:val="single" w:sz="4" w:space="0" w:color="auto"/>
              <w:right w:val="nil"/>
            </w:tcBorders>
            <w:shd w:val="clear" w:color="auto" w:fill="auto"/>
            <w:noWrap/>
            <w:vAlign w:val="bottom"/>
            <w:hideMark/>
          </w:tcPr>
          <w:p w14:paraId="3100492C"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Totals</w:t>
            </w:r>
          </w:p>
        </w:tc>
        <w:tc>
          <w:tcPr>
            <w:tcW w:w="754" w:type="dxa"/>
            <w:tcBorders>
              <w:top w:val="nil"/>
              <w:left w:val="nil"/>
              <w:bottom w:val="single" w:sz="4" w:space="0" w:color="auto"/>
              <w:right w:val="nil"/>
            </w:tcBorders>
            <w:shd w:val="clear" w:color="auto" w:fill="auto"/>
            <w:noWrap/>
            <w:vAlign w:val="bottom"/>
            <w:hideMark/>
          </w:tcPr>
          <w:p w14:paraId="7303DAB9"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Mean</w:t>
            </w:r>
          </w:p>
        </w:tc>
        <w:tc>
          <w:tcPr>
            <w:tcW w:w="938" w:type="dxa"/>
            <w:gridSpan w:val="2"/>
            <w:tcBorders>
              <w:top w:val="nil"/>
              <w:left w:val="nil"/>
              <w:bottom w:val="single" w:sz="4" w:space="0" w:color="auto"/>
              <w:right w:val="nil"/>
            </w:tcBorders>
            <w:shd w:val="clear" w:color="auto" w:fill="auto"/>
            <w:noWrap/>
            <w:vAlign w:val="bottom"/>
            <w:hideMark/>
          </w:tcPr>
          <w:p w14:paraId="75EADED2"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Median</w:t>
            </w:r>
          </w:p>
        </w:tc>
        <w:tc>
          <w:tcPr>
            <w:tcW w:w="520" w:type="dxa"/>
            <w:gridSpan w:val="2"/>
            <w:tcBorders>
              <w:top w:val="nil"/>
              <w:left w:val="nil"/>
              <w:bottom w:val="nil"/>
              <w:right w:val="nil"/>
            </w:tcBorders>
            <w:shd w:val="clear" w:color="auto" w:fill="auto"/>
            <w:noWrap/>
            <w:vAlign w:val="bottom"/>
            <w:hideMark/>
          </w:tcPr>
          <w:p w14:paraId="4E73029E" w14:textId="77777777" w:rsidR="00D94396" w:rsidRPr="00C478C9" w:rsidRDefault="00D94396" w:rsidP="00583CE2">
            <w:pPr>
              <w:jc w:val="center"/>
              <w:rPr>
                <w:rFonts w:eastAsia="Times New Roman"/>
                <w:b/>
                <w:bCs/>
                <w:color w:val="000000"/>
                <w:sz w:val="22"/>
                <w:szCs w:val="22"/>
              </w:rPr>
            </w:pPr>
          </w:p>
        </w:tc>
        <w:tc>
          <w:tcPr>
            <w:tcW w:w="998" w:type="dxa"/>
            <w:tcBorders>
              <w:top w:val="nil"/>
              <w:left w:val="nil"/>
              <w:bottom w:val="single" w:sz="4" w:space="0" w:color="auto"/>
              <w:right w:val="nil"/>
            </w:tcBorders>
            <w:shd w:val="clear" w:color="auto" w:fill="auto"/>
            <w:noWrap/>
            <w:vAlign w:val="bottom"/>
            <w:hideMark/>
          </w:tcPr>
          <w:p w14:paraId="2D3849A2"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Totals</w:t>
            </w:r>
          </w:p>
        </w:tc>
        <w:tc>
          <w:tcPr>
            <w:tcW w:w="754" w:type="dxa"/>
            <w:tcBorders>
              <w:top w:val="nil"/>
              <w:left w:val="nil"/>
              <w:bottom w:val="single" w:sz="4" w:space="0" w:color="auto"/>
              <w:right w:val="nil"/>
            </w:tcBorders>
            <w:shd w:val="clear" w:color="auto" w:fill="auto"/>
            <w:noWrap/>
            <w:vAlign w:val="bottom"/>
            <w:hideMark/>
          </w:tcPr>
          <w:p w14:paraId="636D8458"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Mean</w:t>
            </w:r>
          </w:p>
        </w:tc>
        <w:tc>
          <w:tcPr>
            <w:tcW w:w="1136" w:type="dxa"/>
            <w:tcBorders>
              <w:top w:val="nil"/>
              <w:left w:val="nil"/>
              <w:bottom w:val="single" w:sz="4" w:space="0" w:color="auto"/>
              <w:right w:val="nil"/>
            </w:tcBorders>
            <w:shd w:val="clear" w:color="auto" w:fill="auto"/>
            <w:noWrap/>
            <w:vAlign w:val="bottom"/>
            <w:hideMark/>
          </w:tcPr>
          <w:p w14:paraId="7B7B2285"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Median</w:t>
            </w:r>
          </w:p>
        </w:tc>
      </w:tr>
      <w:tr w:rsidR="00D94396" w:rsidRPr="00C478C9" w14:paraId="3E5B4254"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11FF55D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2005</w:t>
            </w:r>
          </w:p>
        </w:tc>
        <w:tc>
          <w:tcPr>
            <w:tcW w:w="944" w:type="dxa"/>
            <w:tcBorders>
              <w:top w:val="nil"/>
              <w:left w:val="nil"/>
              <w:bottom w:val="nil"/>
              <w:right w:val="nil"/>
            </w:tcBorders>
            <w:shd w:val="clear" w:color="auto" w:fill="auto"/>
            <w:noWrap/>
            <w:vAlign w:val="center"/>
            <w:hideMark/>
          </w:tcPr>
          <w:p w14:paraId="0B8C6C01"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518088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57</w:t>
            </w:r>
          </w:p>
        </w:tc>
        <w:tc>
          <w:tcPr>
            <w:tcW w:w="1065" w:type="dxa"/>
            <w:tcBorders>
              <w:top w:val="nil"/>
              <w:left w:val="nil"/>
              <w:bottom w:val="nil"/>
              <w:right w:val="nil"/>
            </w:tcBorders>
            <w:shd w:val="clear" w:color="auto" w:fill="auto"/>
            <w:noWrap/>
            <w:vAlign w:val="bottom"/>
            <w:hideMark/>
          </w:tcPr>
          <w:p w14:paraId="260B01CD"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0F50CD2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129.04</w:t>
            </w:r>
          </w:p>
        </w:tc>
        <w:tc>
          <w:tcPr>
            <w:tcW w:w="943" w:type="dxa"/>
            <w:tcBorders>
              <w:top w:val="nil"/>
              <w:left w:val="nil"/>
              <w:bottom w:val="nil"/>
              <w:right w:val="nil"/>
            </w:tcBorders>
            <w:shd w:val="clear" w:color="auto" w:fill="auto"/>
            <w:noWrap/>
            <w:vAlign w:val="center"/>
            <w:hideMark/>
          </w:tcPr>
          <w:p w14:paraId="29DADCB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108.00</w:t>
            </w:r>
          </w:p>
        </w:tc>
        <w:tc>
          <w:tcPr>
            <w:tcW w:w="271" w:type="dxa"/>
            <w:tcBorders>
              <w:top w:val="nil"/>
              <w:left w:val="nil"/>
              <w:bottom w:val="nil"/>
              <w:right w:val="nil"/>
            </w:tcBorders>
            <w:shd w:val="clear" w:color="auto" w:fill="auto"/>
            <w:noWrap/>
            <w:vAlign w:val="center"/>
            <w:hideMark/>
          </w:tcPr>
          <w:p w14:paraId="4C51E48B"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7CB98BB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152</w:t>
            </w:r>
          </w:p>
        </w:tc>
        <w:tc>
          <w:tcPr>
            <w:tcW w:w="754" w:type="dxa"/>
            <w:tcBorders>
              <w:top w:val="nil"/>
              <w:left w:val="nil"/>
              <w:bottom w:val="nil"/>
              <w:right w:val="nil"/>
            </w:tcBorders>
            <w:shd w:val="clear" w:color="auto" w:fill="auto"/>
            <w:noWrap/>
            <w:vAlign w:val="center"/>
            <w:hideMark/>
          </w:tcPr>
          <w:p w14:paraId="75313EB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2.67</w:t>
            </w:r>
          </w:p>
        </w:tc>
        <w:tc>
          <w:tcPr>
            <w:tcW w:w="938" w:type="dxa"/>
            <w:gridSpan w:val="2"/>
            <w:tcBorders>
              <w:top w:val="nil"/>
              <w:left w:val="nil"/>
              <w:bottom w:val="nil"/>
              <w:right w:val="nil"/>
            </w:tcBorders>
            <w:shd w:val="clear" w:color="auto" w:fill="auto"/>
            <w:noWrap/>
            <w:vAlign w:val="center"/>
            <w:hideMark/>
          </w:tcPr>
          <w:p w14:paraId="7D4114C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center"/>
            <w:hideMark/>
          </w:tcPr>
          <w:p w14:paraId="44C80092"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47CAC3D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2526</w:t>
            </w:r>
          </w:p>
        </w:tc>
        <w:tc>
          <w:tcPr>
            <w:tcW w:w="754" w:type="dxa"/>
            <w:tcBorders>
              <w:top w:val="nil"/>
              <w:left w:val="nil"/>
              <w:bottom w:val="nil"/>
              <w:right w:val="nil"/>
            </w:tcBorders>
            <w:shd w:val="clear" w:color="auto" w:fill="auto"/>
            <w:noWrap/>
            <w:vAlign w:val="center"/>
            <w:hideMark/>
          </w:tcPr>
          <w:p w14:paraId="48C90BE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44.32</w:t>
            </w:r>
          </w:p>
        </w:tc>
        <w:tc>
          <w:tcPr>
            <w:tcW w:w="1136" w:type="dxa"/>
            <w:tcBorders>
              <w:top w:val="nil"/>
              <w:left w:val="nil"/>
              <w:bottom w:val="nil"/>
              <w:right w:val="nil"/>
            </w:tcBorders>
            <w:shd w:val="clear" w:color="auto" w:fill="auto"/>
            <w:noWrap/>
            <w:vAlign w:val="center"/>
            <w:hideMark/>
          </w:tcPr>
          <w:p w14:paraId="63DA076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50.00</w:t>
            </w:r>
          </w:p>
        </w:tc>
      </w:tr>
      <w:tr w:rsidR="00D94396" w:rsidRPr="00C478C9" w14:paraId="6D486007"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4E0C5BA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2006</w:t>
            </w:r>
          </w:p>
        </w:tc>
        <w:tc>
          <w:tcPr>
            <w:tcW w:w="944" w:type="dxa"/>
            <w:tcBorders>
              <w:top w:val="nil"/>
              <w:left w:val="nil"/>
              <w:bottom w:val="nil"/>
              <w:right w:val="nil"/>
            </w:tcBorders>
            <w:shd w:val="clear" w:color="auto" w:fill="auto"/>
            <w:noWrap/>
            <w:vAlign w:val="center"/>
            <w:hideMark/>
          </w:tcPr>
          <w:p w14:paraId="4B259014"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7B152AC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103</w:t>
            </w:r>
          </w:p>
        </w:tc>
        <w:tc>
          <w:tcPr>
            <w:tcW w:w="1065" w:type="dxa"/>
            <w:tcBorders>
              <w:top w:val="nil"/>
              <w:left w:val="nil"/>
              <w:bottom w:val="nil"/>
              <w:right w:val="nil"/>
            </w:tcBorders>
            <w:shd w:val="clear" w:color="auto" w:fill="auto"/>
            <w:noWrap/>
            <w:vAlign w:val="bottom"/>
            <w:hideMark/>
          </w:tcPr>
          <w:p w14:paraId="7615FFA2"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44FCDBA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130.09</w:t>
            </w:r>
          </w:p>
        </w:tc>
        <w:tc>
          <w:tcPr>
            <w:tcW w:w="943" w:type="dxa"/>
            <w:tcBorders>
              <w:top w:val="nil"/>
              <w:left w:val="nil"/>
              <w:bottom w:val="nil"/>
              <w:right w:val="nil"/>
            </w:tcBorders>
            <w:shd w:val="clear" w:color="auto" w:fill="auto"/>
            <w:noWrap/>
            <w:vAlign w:val="center"/>
            <w:hideMark/>
          </w:tcPr>
          <w:p w14:paraId="338405A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107.00</w:t>
            </w:r>
          </w:p>
        </w:tc>
        <w:tc>
          <w:tcPr>
            <w:tcW w:w="271" w:type="dxa"/>
            <w:tcBorders>
              <w:top w:val="nil"/>
              <w:left w:val="nil"/>
              <w:bottom w:val="nil"/>
              <w:right w:val="nil"/>
            </w:tcBorders>
            <w:shd w:val="clear" w:color="auto" w:fill="auto"/>
            <w:noWrap/>
            <w:vAlign w:val="center"/>
            <w:hideMark/>
          </w:tcPr>
          <w:p w14:paraId="6ADA1CBA"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4C8D00D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353</w:t>
            </w:r>
          </w:p>
        </w:tc>
        <w:tc>
          <w:tcPr>
            <w:tcW w:w="754" w:type="dxa"/>
            <w:tcBorders>
              <w:top w:val="nil"/>
              <w:left w:val="nil"/>
              <w:bottom w:val="nil"/>
              <w:right w:val="nil"/>
            </w:tcBorders>
            <w:shd w:val="clear" w:color="auto" w:fill="auto"/>
            <w:noWrap/>
            <w:vAlign w:val="center"/>
            <w:hideMark/>
          </w:tcPr>
          <w:p w14:paraId="5865CF8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3.43</w:t>
            </w:r>
          </w:p>
        </w:tc>
        <w:tc>
          <w:tcPr>
            <w:tcW w:w="938" w:type="dxa"/>
            <w:gridSpan w:val="2"/>
            <w:tcBorders>
              <w:top w:val="nil"/>
              <w:left w:val="nil"/>
              <w:bottom w:val="nil"/>
              <w:right w:val="nil"/>
            </w:tcBorders>
            <w:shd w:val="clear" w:color="auto" w:fill="auto"/>
            <w:noWrap/>
            <w:vAlign w:val="center"/>
            <w:hideMark/>
          </w:tcPr>
          <w:p w14:paraId="54D8752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center"/>
            <w:hideMark/>
          </w:tcPr>
          <w:p w14:paraId="0F13D2C2"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068911A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5015</w:t>
            </w:r>
          </w:p>
        </w:tc>
        <w:tc>
          <w:tcPr>
            <w:tcW w:w="754" w:type="dxa"/>
            <w:tcBorders>
              <w:top w:val="nil"/>
              <w:left w:val="nil"/>
              <w:bottom w:val="nil"/>
              <w:right w:val="nil"/>
            </w:tcBorders>
            <w:shd w:val="clear" w:color="auto" w:fill="auto"/>
            <w:noWrap/>
            <w:vAlign w:val="center"/>
            <w:hideMark/>
          </w:tcPr>
          <w:p w14:paraId="5377F25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48.69</w:t>
            </w:r>
          </w:p>
        </w:tc>
        <w:tc>
          <w:tcPr>
            <w:tcW w:w="1136" w:type="dxa"/>
            <w:tcBorders>
              <w:top w:val="nil"/>
              <w:left w:val="nil"/>
              <w:bottom w:val="nil"/>
              <w:right w:val="nil"/>
            </w:tcBorders>
            <w:shd w:val="clear" w:color="auto" w:fill="auto"/>
            <w:noWrap/>
            <w:vAlign w:val="center"/>
            <w:hideMark/>
          </w:tcPr>
          <w:p w14:paraId="3B98BAF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52.00</w:t>
            </w:r>
          </w:p>
        </w:tc>
      </w:tr>
      <w:tr w:rsidR="00D94396" w:rsidRPr="00C478C9" w14:paraId="7E15D129"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0C98DA6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2007</w:t>
            </w:r>
          </w:p>
        </w:tc>
        <w:tc>
          <w:tcPr>
            <w:tcW w:w="944" w:type="dxa"/>
            <w:tcBorders>
              <w:top w:val="nil"/>
              <w:left w:val="nil"/>
              <w:bottom w:val="nil"/>
              <w:right w:val="nil"/>
            </w:tcBorders>
            <w:shd w:val="clear" w:color="auto" w:fill="auto"/>
            <w:noWrap/>
            <w:vAlign w:val="center"/>
            <w:hideMark/>
          </w:tcPr>
          <w:p w14:paraId="5EFEECE4"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74D2DA5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94</w:t>
            </w:r>
          </w:p>
        </w:tc>
        <w:tc>
          <w:tcPr>
            <w:tcW w:w="1065" w:type="dxa"/>
            <w:tcBorders>
              <w:top w:val="nil"/>
              <w:left w:val="nil"/>
              <w:bottom w:val="nil"/>
              <w:right w:val="nil"/>
            </w:tcBorders>
            <w:shd w:val="clear" w:color="auto" w:fill="auto"/>
            <w:noWrap/>
            <w:vAlign w:val="bottom"/>
            <w:hideMark/>
          </w:tcPr>
          <w:p w14:paraId="5810256F"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7E78F2B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149.90</w:t>
            </w:r>
          </w:p>
        </w:tc>
        <w:tc>
          <w:tcPr>
            <w:tcW w:w="943" w:type="dxa"/>
            <w:tcBorders>
              <w:top w:val="nil"/>
              <w:left w:val="nil"/>
              <w:bottom w:val="nil"/>
              <w:right w:val="nil"/>
            </w:tcBorders>
            <w:shd w:val="clear" w:color="auto" w:fill="auto"/>
            <w:noWrap/>
            <w:vAlign w:val="center"/>
            <w:hideMark/>
          </w:tcPr>
          <w:p w14:paraId="0103EC5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100.00</w:t>
            </w:r>
          </w:p>
        </w:tc>
        <w:tc>
          <w:tcPr>
            <w:tcW w:w="271" w:type="dxa"/>
            <w:tcBorders>
              <w:top w:val="nil"/>
              <w:left w:val="nil"/>
              <w:bottom w:val="nil"/>
              <w:right w:val="nil"/>
            </w:tcBorders>
            <w:shd w:val="clear" w:color="auto" w:fill="auto"/>
            <w:noWrap/>
            <w:vAlign w:val="center"/>
            <w:hideMark/>
          </w:tcPr>
          <w:p w14:paraId="0E8F60C3"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2D7FDC6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325</w:t>
            </w:r>
          </w:p>
        </w:tc>
        <w:tc>
          <w:tcPr>
            <w:tcW w:w="754" w:type="dxa"/>
            <w:tcBorders>
              <w:top w:val="nil"/>
              <w:left w:val="nil"/>
              <w:bottom w:val="nil"/>
              <w:right w:val="nil"/>
            </w:tcBorders>
            <w:shd w:val="clear" w:color="auto" w:fill="auto"/>
            <w:noWrap/>
            <w:vAlign w:val="center"/>
            <w:hideMark/>
          </w:tcPr>
          <w:p w14:paraId="1D3820C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3.46</w:t>
            </w:r>
          </w:p>
        </w:tc>
        <w:tc>
          <w:tcPr>
            <w:tcW w:w="938" w:type="dxa"/>
            <w:gridSpan w:val="2"/>
            <w:tcBorders>
              <w:top w:val="nil"/>
              <w:left w:val="nil"/>
              <w:bottom w:val="nil"/>
              <w:right w:val="nil"/>
            </w:tcBorders>
            <w:shd w:val="clear" w:color="auto" w:fill="auto"/>
            <w:noWrap/>
            <w:vAlign w:val="center"/>
            <w:hideMark/>
          </w:tcPr>
          <w:p w14:paraId="0D4EF01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center"/>
            <w:hideMark/>
          </w:tcPr>
          <w:p w14:paraId="285E5AFF"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46D5AB4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3963</w:t>
            </w:r>
          </w:p>
        </w:tc>
        <w:tc>
          <w:tcPr>
            <w:tcW w:w="754" w:type="dxa"/>
            <w:tcBorders>
              <w:top w:val="nil"/>
              <w:left w:val="nil"/>
              <w:bottom w:val="nil"/>
              <w:right w:val="nil"/>
            </w:tcBorders>
            <w:shd w:val="clear" w:color="auto" w:fill="auto"/>
            <w:noWrap/>
            <w:vAlign w:val="center"/>
            <w:hideMark/>
          </w:tcPr>
          <w:p w14:paraId="0E18EC0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42.16</w:t>
            </w:r>
          </w:p>
        </w:tc>
        <w:tc>
          <w:tcPr>
            <w:tcW w:w="1136" w:type="dxa"/>
            <w:tcBorders>
              <w:top w:val="nil"/>
              <w:left w:val="nil"/>
              <w:bottom w:val="nil"/>
              <w:right w:val="nil"/>
            </w:tcBorders>
            <w:shd w:val="clear" w:color="auto" w:fill="auto"/>
            <w:noWrap/>
            <w:vAlign w:val="center"/>
            <w:hideMark/>
          </w:tcPr>
          <w:p w14:paraId="6D234B8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44.50</w:t>
            </w:r>
          </w:p>
        </w:tc>
      </w:tr>
      <w:tr w:rsidR="00D94396" w:rsidRPr="00C478C9" w14:paraId="7223D642"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2605FE9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2008</w:t>
            </w:r>
          </w:p>
        </w:tc>
        <w:tc>
          <w:tcPr>
            <w:tcW w:w="944" w:type="dxa"/>
            <w:tcBorders>
              <w:top w:val="nil"/>
              <w:left w:val="nil"/>
              <w:bottom w:val="nil"/>
              <w:right w:val="nil"/>
            </w:tcBorders>
            <w:shd w:val="clear" w:color="auto" w:fill="auto"/>
            <w:noWrap/>
            <w:vAlign w:val="center"/>
            <w:hideMark/>
          </w:tcPr>
          <w:p w14:paraId="4F05BC74"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A1B8BC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19</w:t>
            </w:r>
          </w:p>
        </w:tc>
        <w:tc>
          <w:tcPr>
            <w:tcW w:w="1065" w:type="dxa"/>
            <w:tcBorders>
              <w:top w:val="nil"/>
              <w:left w:val="nil"/>
              <w:bottom w:val="nil"/>
              <w:right w:val="nil"/>
            </w:tcBorders>
            <w:shd w:val="clear" w:color="auto" w:fill="auto"/>
            <w:noWrap/>
            <w:vAlign w:val="bottom"/>
            <w:hideMark/>
          </w:tcPr>
          <w:p w14:paraId="7DCF1342"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0C22B86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426.00</w:t>
            </w:r>
          </w:p>
        </w:tc>
        <w:tc>
          <w:tcPr>
            <w:tcW w:w="943" w:type="dxa"/>
            <w:tcBorders>
              <w:top w:val="nil"/>
              <w:left w:val="nil"/>
              <w:bottom w:val="nil"/>
              <w:right w:val="nil"/>
            </w:tcBorders>
            <w:shd w:val="clear" w:color="auto" w:fill="auto"/>
            <w:noWrap/>
            <w:vAlign w:val="center"/>
            <w:hideMark/>
          </w:tcPr>
          <w:p w14:paraId="2B07F5D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427.00</w:t>
            </w:r>
          </w:p>
        </w:tc>
        <w:tc>
          <w:tcPr>
            <w:tcW w:w="271" w:type="dxa"/>
            <w:tcBorders>
              <w:top w:val="nil"/>
              <w:left w:val="nil"/>
              <w:bottom w:val="nil"/>
              <w:right w:val="nil"/>
            </w:tcBorders>
            <w:shd w:val="clear" w:color="auto" w:fill="auto"/>
            <w:noWrap/>
            <w:vAlign w:val="center"/>
            <w:hideMark/>
          </w:tcPr>
          <w:p w14:paraId="6B6F376F"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24AE809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93</w:t>
            </w:r>
          </w:p>
        </w:tc>
        <w:tc>
          <w:tcPr>
            <w:tcW w:w="754" w:type="dxa"/>
            <w:tcBorders>
              <w:top w:val="nil"/>
              <w:left w:val="nil"/>
              <w:bottom w:val="nil"/>
              <w:right w:val="nil"/>
            </w:tcBorders>
            <w:shd w:val="clear" w:color="auto" w:fill="auto"/>
            <w:noWrap/>
            <w:vAlign w:val="center"/>
            <w:hideMark/>
          </w:tcPr>
          <w:p w14:paraId="558887B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4.89</w:t>
            </w:r>
          </w:p>
        </w:tc>
        <w:tc>
          <w:tcPr>
            <w:tcW w:w="938" w:type="dxa"/>
            <w:gridSpan w:val="2"/>
            <w:tcBorders>
              <w:top w:val="nil"/>
              <w:left w:val="nil"/>
              <w:bottom w:val="nil"/>
              <w:right w:val="nil"/>
            </w:tcBorders>
            <w:shd w:val="clear" w:color="auto" w:fill="auto"/>
            <w:noWrap/>
            <w:vAlign w:val="center"/>
            <w:hideMark/>
          </w:tcPr>
          <w:p w14:paraId="71CB1CF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5.00</w:t>
            </w:r>
          </w:p>
        </w:tc>
        <w:tc>
          <w:tcPr>
            <w:tcW w:w="520" w:type="dxa"/>
            <w:gridSpan w:val="2"/>
            <w:tcBorders>
              <w:top w:val="nil"/>
              <w:left w:val="nil"/>
              <w:bottom w:val="nil"/>
              <w:right w:val="nil"/>
            </w:tcBorders>
            <w:shd w:val="clear" w:color="auto" w:fill="auto"/>
            <w:noWrap/>
            <w:vAlign w:val="center"/>
            <w:hideMark/>
          </w:tcPr>
          <w:p w14:paraId="182242DD"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756BCEC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846</w:t>
            </w:r>
          </w:p>
        </w:tc>
        <w:tc>
          <w:tcPr>
            <w:tcW w:w="754" w:type="dxa"/>
            <w:tcBorders>
              <w:top w:val="nil"/>
              <w:left w:val="nil"/>
              <w:bottom w:val="nil"/>
              <w:right w:val="nil"/>
            </w:tcBorders>
            <w:shd w:val="clear" w:color="auto" w:fill="auto"/>
            <w:noWrap/>
            <w:vAlign w:val="center"/>
            <w:hideMark/>
          </w:tcPr>
          <w:p w14:paraId="43E7C45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44.53</w:t>
            </w:r>
          </w:p>
        </w:tc>
        <w:tc>
          <w:tcPr>
            <w:tcW w:w="1136" w:type="dxa"/>
            <w:tcBorders>
              <w:top w:val="nil"/>
              <w:left w:val="nil"/>
              <w:bottom w:val="nil"/>
              <w:right w:val="nil"/>
            </w:tcBorders>
            <w:shd w:val="clear" w:color="auto" w:fill="auto"/>
            <w:noWrap/>
            <w:vAlign w:val="center"/>
            <w:hideMark/>
          </w:tcPr>
          <w:p w14:paraId="2D640BC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42.00</w:t>
            </w:r>
          </w:p>
        </w:tc>
      </w:tr>
      <w:tr w:rsidR="00D94396" w:rsidRPr="00C478C9" w14:paraId="226873EC"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63DF987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2009</w:t>
            </w:r>
          </w:p>
        </w:tc>
        <w:tc>
          <w:tcPr>
            <w:tcW w:w="944" w:type="dxa"/>
            <w:tcBorders>
              <w:top w:val="nil"/>
              <w:left w:val="nil"/>
              <w:bottom w:val="nil"/>
              <w:right w:val="nil"/>
            </w:tcBorders>
            <w:shd w:val="clear" w:color="auto" w:fill="auto"/>
            <w:noWrap/>
            <w:vAlign w:val="center"/>
            <w:hideMark/>
          </w:tcPr>
          <w:p w14:paraId="13E7E146"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41B9F31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41</w:t>
            </w:r>
          </w:p>
        </w:tc>
        <w:tc>
          <w:tcPr>
            <w:tcW w:w="1065" w:type="dxa"/>
            <w:tcBorders>
              <w:top w:val="nil"/>
              <w:left w:val="nil"/>
              <w:bottom w:val="nil"/>
              <w:right w:val="nil"/>
            </w:tcBorders>
            <w:shd w:val="clear" w:color="auto" w:fill="auto"/>
            <w:noWrap/>
            <w:vAlign w:val="bottom"/>
            <w:hideMark/>
          </w:tcPr>
          <w:p w14:paraId="15AF0608"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76872A7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144.85</w:t>
            </w:r>
          </w:p>
        </w:tc>
        <w:tc>
          <w:tcPr>
            <w:tcW w:w="943" w:type="dxa"/>
            <w:tcBorders>
              <w:top w:val="nil"/>
              <w:left w:val="nil"/>
              <w:bottom w:val="nil"/>
              <w:right w:val="nil"/>
            </w:tcBorders>
            <w:shd w:val="clear" w:color="auto" w:fill="auto"/>
            <w:noWrap/>
            <w:vAlign w:val="center"/>
            <w:hideMark/>
          </w:tcPr>
          <w:p w14:paraId="3A75BF1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105.00</w:t>
            </w:r>
          </w:p>
        </w:tc>
        <w:tc>
          <w:tcPr>
            <w:tcW w:w="271" w:type="dxa"/>
            <w:tcBorders>
              <w:top w:val="nil"/>
              <w:left w:val="nil"/>
              <w:bottom w:val="nil"/>
              <w:right w:val="nil"/>
            </w:tcBorders>
            <w:shd w:val="clear" w:color="auto" w:fill="auto"/>
            <w:noWrap/>
            <w:vAlign w:val="center"/>
            <w:hideMark/>
          </w:tcPr>
          <w:p w14:paraId="5231EDA4"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60767D3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165</w:t>
            </w:r>
          </w:p>
        </w:tc>
        <w:tc>
          <w:tcPr>
            <w:tcW w:w="754" w:type="dxa"/>
            <w:tcBorders>
              <w:top w:val="nil"/>
              <w:left w:val="nil"/>
              <w:bottom w:val="nil"/>
              <w:right w:val="nil"/>
            </w:tcBorders>
            <w:shd w:val="clear" w:color="auto" w:fill="auto"/>
            <w:noWrap/>
            <w:vAlign w:val="center"/>
            <w:hideMark/>
          </w:tcPr>
          <w:p w14:paraId="3CADF87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4.02</w:t>
            </w:r>
          </w:p>
        </w:tc>
        <w:tc>
          <w:tcPr>
            <w:tcW w:w="938" w:type="dxa"/>
            <w:gridSpan w:val="2"/>
            <w:tcBorders>
              <w:top w:val="nil"/>
              <w:left w:val="nil"/>
              <w:bottom w:val="nil"/>
              <w:right w:val="nil"/>
            </w:tcBorders>
            <w:shd w:val="clear" w:color="auto" w:fill="auto"/>
            <w:noWrap/>
            <w:vAlign w:val="center"/>
            <w:hideMark/>
          </w:tcPr>
          <w:p w14:paraId="7921355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c>
          <w:tcPr>
            <w:tcW w:w="520" w:type="dxa"/>
            <w:gridSpan w:val="2"/>
            <w:tcBorders>
              <w:top w:val="nil"/>
              <w:left w:val="nil"/>
              <w:bottom w:val="nil"/>
              <w:right w:val="nil"/>
            </w:tcBorders>
            <w:shd w:val="clear" w:color="auto" w:fill="auto"/>
            <w:noWrap/>
            <w:vAlign w:val="center"/>
            <w:hideMark/>
          </w:tcPr>
          <w:p w14:paraId="0A07EAC1"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6CC59EB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1644</w:t>
            </w:r>
          </w:p>
        </w:tc>
        <w:tc>
          <w:tcPr>
            <w:tcW w:w="754" w:type="dxa"/>
            <w:tcBorders>
              <w:top w:val="nil"/>
              <w:left w:val="nil"/>
              <w:bottom w:val="nil"/>
              <w:right w:val="nil"/>
            </w:tcBorders>
            <w:shd w:val="clear" w:color="auto" w:fill="auto"/>
            <w:noWrap/>
            <w:vAlign w:val="center"/>
            <w:hideMark/>
          </w:tcPr>
          <w:p w14:paraId="7467B47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40.10</w:t>
            </w:r>
          </w:p>
        </w:tc>
        <w:tc>
          <w:tcPr>
            <w:tcW w:w="1136" w:type="dxa"/>
            <w:tcBorders>
              <w:top w:val="nil"/>
              <w:left w:val="nil"/>
              <w:bottom w:val="nil"/>
              <w:right w:val="nil"/>
            </w:tcBorders>
            <w:shd w:val="clear" w:color="auto" w:fill="auto"/>
            <w:noWrap/>
            <w:vAlign w:val="center"/>
            <w:hideMark/>
          </w:tcPr>
          <w:p w14:paraId="49822F9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37.00</w:t>
            </w:r>
          </w:p>
        </w:tc>
      </w:tr>
      <w:tr w:rsidR="00D94396" w:rsidRPr="00C478C9" w14:paraId="7F64377B"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1C33E3D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2010</w:t>
            </w:r>
          </w:p>
        </w:tc>
        <w:tc>
          <w:tcPr>
            <w:tcW w:w="944" w:type="dxa"/>
            <w:tcBorders>
              <w:top w:val="nil"/>
              <w:left w:val="nil"/>
              <w:bottom w:val="nil"/>
              <w:right w:val="nil"/>
            </w:tcBorders>
            <w:shd w:val="clear" w:color="auto" w:fill="auto"/>
            <w:noWrap/>
            <w:vAlign w:val="center"/>
            <w:hideMark/>
          </w:tcPr>
          <w:p w14:paraId="0DB7ED3F"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64154A5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66</w:t>
            </w:r>
          </w:p>
        </w:tc>
        <w:tc>
          <w:tcPr>
            <w:tcW w:w="1065" w:type="dxa"/>
            <w:tcBorders>
              <w:top w:val="nil"/>
              <w:left w:val="nil"/>
              <w:bottom w:val="nil"/>
              <w:right w:val="nil"/>
            </w:tcBorders>
            <w:shd w:val="clear" w:color="auto" w:fill="auto"/>
            <w:noWrap/>
            <w:vAlign w:val="bottom"/>
            <w:hideMark/>
          </w:tcPr>
          <w:p w14:paraId="1FD13416"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37C7F2F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217.08</w:t>
            </w:r>
          </w:p>
        </w:tc>
        <w:tc>
          <w:tcPr>
            <w:tcW w:w="943" w:type="dxa"/>
            <w:tcBorders>
              <w:top w:val="nil"/>
              <w:left w:val="nil"/>
              <w:bottom w:val="nil"/>
              <w:right w:val="nil"/>
            </w:tcBorders>
            <w:shd w:val="clear" w:color="auto" w:fill="auto"/>
            <w:noWrap/>
            <w:vAlign w:val="center"/>
            <w:hideMark/>
          </w:tcPr>
          <w:p w14:paraId="0CC1498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124.50</w:t>
            </w:r>
          </w:p>
        </w:tc>
        <w:tc>
          <w:tcPr>
            <w:tcW w:w="271" w:type="dxa"/>
            <w:tcBorders>
              <w:top w:val="nil"/>
              <w:left w:val="nil"/>
              <w:bottom w:val="nil"/>
              <w:right w:val="nil"/>
            </w:tcBorders>
            <w:shd w:val="clear" w:color="auto" w:fill="auto"/>
            <w:noWrap/>
            <w:vAlign w:val="center"/>
            <w:hideMark/>
          </w:tcPr>
          <w:p w14:paraId="6E2D5D75"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5D6746E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284</w:t>
            </w:r>
          </w:p>
        </w:tc>
        <w:tc>
          <w:tcPr>
            <w:tcW w:w="754" w:type="dxa"/>
            <w:tcBorders>
              <w:top w:val="nil"/>
              <w:left w:val="nil"/>
              <w:bottom w:val="nil"/>
              <w:right w:val="nil"/>
            </w:tcBorders>
            <w:shd w:val="clear" w:color="auto" w:fill="auto"/>
            <w:noWrap/>
            <w:vAlign w:val="center"/>
            <w:hideMark/>
          </w:tcPr>
          <w:p w14:paraId="5E18711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4.30</w:t>
            </w:r>
          </w:p>
        </w:tc>
        <w:tc>
          <w:tcPr>
            <w:tcW w:w="938" w:type="dxa"/>
            <w:gridSpan w:val="2"/>
            <w:tcBorders>
              <w:top w:val="nil"/>
              <w:left w:val="nil"/>
              <w:bottom w:val="nil"/>
              <w:right w:val="nil"/>
            </w:tcBorders>
            <w:shd w:val="clear" w:color="auto" w:fill="auto"/>
            <w:noWrap/>
            <w:vAlign w:val="center"/>
            <w:hideMark/>
          </w:tcPr>
          <w:p w14:paraId="6AB8A49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c>
          <w:tcPr>
            <w:tcW w:w="520" w:type="dxa"/>
            <w:gridSpan w:val="2"/>
            <w:tcBorders>
              <w:top w:val="nil"/>
              <w:left w:val="nil"/>
              <w:bottom w:val="nil"/>
              <w:right w:val="nil"/>
            </w:tcBorders>
            <w:shd w:val="clear" w:color="auto" w:fill="auto"/>
            <w:noWrap/>
            <w:vAlign w:val="center"/>
            <w:hideMark/>
          </w:tcPr>
          <w:p w14:paraId="488F88D4"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4581018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2855</w:t>
            </w:r>
          </w:p>
        </w:tc>
        <w:tc>
          <w:tcPr>
            <w:tcW w:w="754" w:type="dxa"/>
            <w:tcBorders>
              <w:top w:val="nil"/>
              <w:left w:val="nil"/>
              <w:bottom w:val="nil"/>
              <w:right w:val="nil"/>
            </w:tcBorders>
            <w:shd w:val="clear" w:color="auto" w:fill="auto"/>
            <w:noWrap/>
            <w:vAlign w:val="center"/>
            <w:hideMark/>
          </w:tcPr>
          <w:p w14:paraId="0124BA6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43.26</w:t>
            </w:r>
          </w:p>
        </w:tc>
        <w:tc>
          <w:tcPr>
            <w:tcW w:w="1136" w:type="dxa"/>
            <w:tcBorders>
              <w:top w:val="nil"/>
              <w:left w:val="nil"/>
              <w:bottom w:val="nil"/>
              <w:right w:val="nil"/>
            </w:tcBorders>
            <w:shd w:val="clear" w:color="auto" w:fill="auto"/>
            <w:noWrap/>
            <w:vAlign w:val="center"/>
            <w:hideMark/>
          </w:tcPr>
          <w:p w14:paraId="79103F9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44.00</w:t>
            </w:r>
          </w:p>
        </w:tc>
      </w:tr>
      <w:tr w:rsidR="00D94396" w:rsidRPr="00C478C9" w14:paraId="12725163"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42B154E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2011</w:t>
            </w:r>
          </w:p>
        </w:tc>
        <w:tc>
          <w:tcPr>
            <w:tcW w:w="944" w:type="dxa"/>
            <w:tcBorders>
              <w:top w:val="nil"/>
              <w:left w:val="nil"/>
              <w:bottom w:val="nil"/>
              <w:right w:val="nil"/>
            </w:tcBorders>
            <w:shd w:val="clear" w:color="auto" w:fill="auto"/>
            <w:noWrap/>
            <w:vAlign w:val="center"/>
            <w:hideMark/>
          </w:tcPr>
          <w:p w14:paraId="28131F6D"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00A9559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68</w:t>
            </w:r>
          </w:p>
        </w:tc>
        <w:tc>
          <w:tcPr>
            <w:tcW w:w="1065" w:type="dxa"/>
            <w:tcBorders>
              <w:top w:val="nil"/>
              <w:left w:val="nil"/>
              <w:bottom w:val="nil"/>
              <w:right w:val="nil"/>
            </w:tcBorders>
            <w:shd w:val="clear" w:color="auto" w:fill="auto"/>
            <w:noWrap/>
            <w:vAlign w:val="bottom"/>
            <w:hideMark/>
          </w:tcPr>
          <w:p w14:paraId="7B455626"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2E06D6E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188.47</w:t>
            </w:r>
          </w:p>
        </w:tc>
        <w:tc>
          <w:tcPr>
            <w:tcW w:w="943" w:type="dxa"/>
            <w:tcBorders>
              <w:top w:val="nil"/>
              <w:left w:val="nil"/>
              <w:bottom w:val="nil"/>
              <w:right w:val="nil"/>
            </w:tcBorders>
            <w:shd w:val="clear" w:color="auto" w:fill="auto"/>
            <w:noWrap/>
            <w:vAlign w:val="center"/>
            <w:hideMark/>
          </w:tcPr>
          <w:p w14:paraId="576F654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144.50</w:t>
            </w:r>
          </w:p>
        </w:tc>
        <w:tc>
          <w:tcPr>
            <w:tcW w:w="271" w:type="dxa"/>
            <w:tcBorders>
              <w:top w:val="nil"/>
              <w:left w:val="nil"/>
              <w:bottom w:val="nil"/>
              <w:right w:val="nil"/>
            </w:tcBorders>
            <w:shd w:val="clear" w:color="auto" w:fill="auto"/>
            <w:noWrap/>
            <w:vAlign w:val="center"/>
            <w:hideMark/>
          </w:tcPr>
          <w:p w14:paraId="678C9327"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16F63AE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305</w:t>
            </w:r>
          </w:p>
        </w:tc>
        <w:tc>
          <w:tcPr>
            <w:tcW w:w="754" w:type="dxa"/>
            <w:tcBorders>
              <w:top w:val="nil"/>
              <w:left w:val="nil"/>
              <w:bottom w:val="nil"/>
              <w:right w:val="nil"/>
            </w:tcBorders>
            <w:shd w:val="clear" w:color="auto" w:fill="auto"/>
            <w:noWrap/>
            <w:vAlign w:val="center"/>
            <w:hideMark/>
          </w:tcPr>
          <w:p w14:paraId="7F3D78F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4.49</w:t>
            </w:r>
          </w:p>
        </w:tc>
        <w:tc>
          <w:tcPr>
            <w:tcW w:w="938" w:type="dxa"/>
            <w:gridSpan w:val="2"/>
            <w:tcBorders>
              <w:top w:val="nil"/>
              <w:left w:val="nil"/>
              <w:bottom w:val="nil"/>
              <w:right w:val="nil"/>
            </w:tcBorders>
            <w:shd w:val="clear" w:color="auto" w:fill="auto"/>
            <w:noWrap/>
            <w:vAlign w:val="center"/>
            <w:hideMark/>
          </w:tcPr>
          <w:p w14:paraId="7455A00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c>
          <w:tcPr>
            <w:tcW w:w="520" w:type="dxa"/>
            <w:gridSpan w:val="2"/>
            <w:tcBorders>
              <w:top w:val="nil"/>
              <w:left w:val="nil"/>
              <w:bottom w:val="nil"/>
              <w:right w:val="nil"/>
            </w:tcBorders>
            <w:shd w:val="clear" w:color="auto" w:fill="auto"/>
            <w:noWrap/>
            <w:vAlign w:val="center"/>
            <w:hideMark/>
          </w:tcPr>
          <w:p w14:paraId="13E8E45E"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688DAA0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2994</w:t>
            </w:r>
          </w:p>
        </w:tc>
        <w:tc>
          <w:tcPr>
            <w:tcW w:w="754" w:type="dxa"/>
            <w:tcBorders>
              <w:top w:val="nil"/>
              <w:left w:val="nil"/>
              <w:bottom w:val="nil"/>
              <w:right w:val="nil"/>
            </w:tcBorders>
            <w:shd w:val="clear" w:color="auto" w:fill="auto"/>
            <w:noWrap/>
            <w:vAlign w:val="center"/>
            <w:hideMark/>
          </w:tcPr>
          <w:p w14:paraId="1DC1FF5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44.03</w:t>
            </w:r>
          </w:p>
        </w:tc>
        <w:tc>
          <w:tcPr>
            <w:tcW w:w="1136" w:type="dxa"/>
            <w:tcBorders>
              <w:top w:val="nil"/>
              <w:left w:val="nil"/>
              <w:bottom w:val="nil"/>
              <w:right w:val="nil"/>
            </w:tcBorders>
            <w:shd w:val="clear" w:color="auto" w:fill="auto"/>
            <w:noWrap/>
            <w:vAlign w:val="center"/>
            <w:hideMark/>
          </w:tcPr>
          <w:p w14:paraId="366D195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43.00</w:t>
            </w:r>
          </w:p>
        </w:tc>
      </w:tr>
      <w:tr w:rsidR="00D94396" w:rsidRPr="00C478C9" w14:paraId="4812ABA1"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46A9059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2012</w:t>
            </w:r>
          </w:p>
        </w:tc>
        <w:tc>
          <w:tcPr>
            <w:tcW w:w="944" w:type="dxa"/>
            <w:tcBorders>
              <w:top w:val="nil"/>
              <w:left w:val="nil"/>
              <w:bottom w:val="nil"/>
              <w:right w:val="nil"/>
            </w:tcBorders>
            <w:shd w:val="clear" w:color="auto" w:fill="auto"/>
            <w:noWrap/>
            <w:vAlign w:val="center"/>
            <w:hideMark/>
          </w:tcPr>
          <w:p w14:paraId="5D47C499"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54E068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41</w:t>
            </w:r>
          </w:p>
        </w:tc>
        <w:tc>
          <w:tcPr>
            <w:tcW w:w="1065" w:type="dxa"/>
            <w:tcBorders>
              <w:top w:val="nil"/>
              <w:left w:val="nil"/>
              <w:bottom w:val="nil"/>
              <w:right w:val="nil"/>
            </w:tcBorders>
            <w:shd w:val="clear" w:color="auto" w:fill="auto"/>
            <w:noWrap/>
            <w:vAlign w:val="bottom"/>
            <w:hideMark/>
          </w:tcPr>
          <w:p w14:paraId="3D5C9CC4"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24F6E87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131.41</w:t>
            </w:r>
          </w:p>
        </w:tc>
        <w:tc>
          <w:tcPr>
            <w:tcW w:w="943" w:type="dxa"/>
            <w:tcBorders>
              <w:top w:val="nil"/>
              <w:left w:val="nil"/>
              <w:bottom w:val="nil"/>
              <w:right w:val="nil"/>
            </w:tcBorders>
            <w:shd w:val="clear" w:color="auto" w:fill="auto"/>
            <w:noWrap/>
            <w:vAlign w:val="center"/>
            <w:hideMark/>
          </w:tcPr>
          <w:p w14:paraId="2F41E2B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108.00</w:t>
            </w:r>
          </w:p>
        </w:tc>
        <w:tc>
          <w:tcPr>
            <w:tcW w:w="271" w:type="dxa"/>
            <w:tcBorders>
              <w:top w:val="nil"/>
              <w:left w:val="nil"/>
              <w:bottom w:val="nil"/>
              <w:right w:val="nil"/>
            </w:tcBorders>
            <w:shd w:val="clear" w:color="auto" w:fill="auto"/>
            <w:noWrap/>
            <w:vAlign w:val="center"/>
            <w:hideMark/>
          </w:tcPr>
          <w:p w14:paraId="0DA3887C"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55B7B62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141</w:t>
            </w:r>
          </w:p>
        </w:tc>
        <w:tc>
          <w:tcPr>
            <w:tcW w:w="754" w:type="dxa"/>
            <w:tcBorders>
              <w:top w:val="nil"/>
              <w:left w:val="nil"/>
              <w:bottom w:val="nil"/>
              <w:right w:val="nil"/>
            </w:tcBorders>
            <w:shd w:val="clear" w:color="auto" w:fill="auto"/>
            <w:noWrap/>
            <w:vAlign w:val="center"/>
            <w:hideMark/>
          </w:tcPr>
          <w:p w14:paraId="03D36CA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3.44</w:t>
            </w:r>
          </w:p>
        </w:tc>
        <w:tc>
          <w:tcPr>
            <w:tcW w:w="938" w:type="dxa"/>
            <w:gridSpan w:val="2"/>
            <w:tcBorders>
              <w:top w:val="nil"/>
              <w:left w:val="nil"/>
              <w:bottom w:val="nil"/>
              <w:right w:val="nil"/>
            </w:tcBorders>
            <w:shd w:val="clear" w:color="auto" w:fill="auto"/>
            <w:noWrap/>
            <w:vAlign w:val="center"/>
            <w:hideMark/>
          </w:tcPr>
          <w:p w14:paraId="60FC19E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center"/>
            <w:hideMark/>
          </w:tcPr>
          <w:p w14:paraId="4279DD6D"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58306EC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1269</w:t>
            </w:r>
          </w:p>
        </w:tc>
        <w:tc>
          <w:tcPr>
            <w:tcW w:w="754" w:type="dxa"/>
            <w:tcBorders>
              <w:top w:val="nil"/>
              <w:left w:val="nil"/>
              <w:bottom w:val="nil"/>
              <w:right w:val="nil"/>
            </w:tcBorders>
            <w:shd w:val="clear" w:color="auto" w:fill="auto"/>
            <w:noWrap/>
            <w:vAlign w:val="center"/>
            <w:hideMark/>
          </w:tcPr>
          <w:p w14:paraId="5516630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30.95</w:t>
            </w:r>
          </w:p>
        </w:tc>
        <w:tc>
          <w:tcPr>
            <w:tcW w:w="1136" w:type="dxa"/>
            <w:tcBorders>
              <w:top w:val="nil"/>
              <w:left w:val="nil"/>
              <w:bottom w:val="nil"/>
              <w:right w:val="nil"/>
            </w:tcBorders>
            <w:shd w:val="clear" w:color="auto" w:fill="auto"/>
            <w:noWrap/>
            <w:vAlign w:val="center"/>
            <w:hideMark/>
          </w:tcPr>
          <w:p w14:paraId="56E270E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37.00</w:t>
            </w:r>
          </w:p>
        </w:tc>
      </w:tr>
      <w:tr w:rsidR="00D94396" w:rsidRPr="00C478C9" w14:paraId="20045095"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0F4F2B8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2013</w:t>
            </w:r>
          </w:p>
        </w:tc>
        <w:tc>
          <w:tcPr>
            <w:tcW w:w="944" w:type="dxa"/>
            <w:tcBorders>
              <w:top w:val="nil"/>
              <w:left w:val="nil"/>
              <w:bottom w:val="nil"/>
              <w:right w:val="nil"/>
            </w:tcBorders>
            <w:shd w:val="clear" w:color="auto" w:fill="auto"/>
            <w:noWrap/>
            <w:vAlign w:val="center"/>
            <w:hideMark/>
          </w:tcPr>
          <w:p w14:paraId="6B45FDC2"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7724F74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114</w:t>
            </w:r>
          </w:p>
        </w:tc>
        <w:tc>
          <w:tcPr>
            <w:tcW w:w="1065" w:type="dxa"/>
            <w:tcBorders>
              <w:top w:val="nil"/>
              <w:left w:val="nil"/>
              <w:bottom w:val="nil"/>
              <w:right w:val="nil"/>
            </w:tcBorders>
            <w:shd w:val="clear" w:color="auto" w:fill="auto"/>
            <w:noWrap/>
            <w:vAlign w:val="bottom"/>
            <w:hideMark/>
          </w:tcPr>
          <w:p w14:paraId="602E7B83"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7245370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63.58</w:t>
            </w:r>
          </w:p>
        </w:tc>
        <w:tc>
          <w:tcPr>
            <w:tcW w:w="943" w:type="dxa"/>
            <w:tcBorders>
              <w:top w:val="nil"/>
              <w:left w:val="nil"/>
              <w:bottom w:val="nil"/>
              <w:right w:val="nil"/>
            </w:tcBorders>
            <w:shd w:val="clear" w:color="auto" w:fill="auto"/>
            <w:noWrap/>
            <w:vAlign w:val="center"/>
            <w:hideMark/>
          </w:tcPr>
          <w:p w14:paraId="645C79E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44.50</w:t>
            </w:r>
          </w:p>
        </w:tc>
        <w:tc>
          <w:tcPr>
            <w:tcW w:w="271" w:type="dxa"/>
            <w:tcBorders>
              <w:top w:val="nil"/>
              <w:left w:val="nil"/>
              <w:bottom w:val="nil"/>
              <w:right w:val="nil"/>
            </w:tcBorders>
            <w:shd w:val="clear" w:color="auto" w:fill="auto"/>
            <w:noWrap/>
            <w:vAlign w:val="center"/>
            <w:hideMark/>
          </w:tcPr>
          <w:p w14:paraId="4ABD9106"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6571618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240</w:t>
            </w:r>
          </w:p>
        </w:tc>
        <w:tc>
          <w:tcPr>
            <w:tcW w:w="754" w:type="dxa"/>
            <w:tcBorders>
              <w:top w:val="nil"/>
              <w:left w:val="nil"/>
              <w:bottom w:val="nil"/>
              <w:right w:val="nil"/>
            </w:tcBorders>
            <w:shd w:val="clear" w:color="auto" w:fill="auto"/>
            <w:noWrap/>
            <w:vAlign w:val="center"/>
            <w:hideMark/>
          </w:tcPr>
          <w:p w14:paraId="49B85E4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2.11</w:t>
            </w:r>
          </w:p>
        </w:tc>
        <w:tc>
          <w:tcPr>
            <w:tcW w:w="938" w:type="dxa"/>
            <w:gridSpan w:val="2"/>
            <w:tcBorders>
              <w:top w:val="nil"/>
              <w:left w:val="nil"/>
              <w:bottom w:val="nil"/>
              <w:right w:val="nil"/>
            </w:tcBorders>
            <w:shd w:val="clear" w:color="auto" w:fill="auto"/>
            <w:noWrap/>
            <w:vAlign w:val="center"/>
            <w:hideMark/>
          </w:tcPr>
          <w:p w14:paraId="41058D8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w:t>
            </w:r>
          </w:p>
        </w:tc>
        <w:tc>
          <w:tcPr>
            <w:tcW w:w="520" w:type="dxa"/>
            <w:gridSpan w:val="2"/>
            <w:tcBorders>
              <w:top w:val="nil"/>
              <w:left w:val="nil"/>
              <w:bottom w:val="nil"/>
              <w:right w:val="nil"/>
            </w:tcBorders>
            <w:shd w:val="clear" w:color="auto" w:fill="auto"/>
            <w:noWrap/>
            <w:vAlign w:val="center"/>
            <w:hideMark/>
          </w:tcPr>
          <w:p w14:paraId="0D1355AE"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39CA9B5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1274</w:t>
            </w:r>
          </w:p>
        </w:tc>
        <w:tc>
          <w:tcPr>
            <w:tcW w:w="754" w:type="dxa"/>
            <w:tcBorders>
              <w:top w:val="nil"/>
              <w:left w:val="nil"/>
              <w:bottom w:val="nil"/>
              <w:right w:val="nil"/>
            </w:tcBorders>
            <w:shd w:val="clear" w:color="auto" w:fill="auto"/>
            <w:noWrap/>
            <w:vAlign w:val="center"/>
            <w:hideMark/>
          </w:tcPr>
          <w:p w14:paraId="2CB591F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11.18</w:t>
            </w:r>
          </w:p>
        </w:tc>
        <w:tc>
          <w:tcPr>
            <w:tcW w:w="1136" w:type="dxa"/>
            <w:tcBorders>
              <w:top w:val="nil"/>
              <w:left w:val="nil"/>
              <w:bottom w:val="nil"/>
              <w:right w:val="nil"/>
            </w:tcBorders>
            <w:shd w:val="clear" w:color="auto" w:fill="auto"/>
            <w:noWrap/>
            <w:vAlign w:val="center"/>
            <w:hideMark/>
          </w:tcPr>
          <w:p w14:paraId="4CACE61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r>
      <w:tr w:rsidR="00D94396" w:rsidRPr="00C478C9" w14:paraId="3718D7A6"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6094358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2014</w:t>
            </w:r>
          </w:p>
        </w:tc>
        <w:tc>
          <w:tcPr>
            <w:tcW w:w="944" w:type="dxa"/>
            <w:tcBorders>
              <w:top w:val="nil"/>
              <w:left w:val="nil"/>
              <w:bottom w:val="nil"/>
              <w:right w:val="nil"/>
            </w:tcBorders>
            <w:shd w:val="clear" w:color="auto" w:fill="auto"/>
            <w:noWrap/>
            <w:vAlign w:val="center"/>
            <w:hideMark/>
          </w:tcPr>
          <w:p w14:paraId="30D55361"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02EC8EF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123</w:t>
            </w:r>
          </w:p>
        </w:tc>
        <w:tc>
          <w:tcPr>
            <w:tcW w:w="1065" w:type="dxa"/>
            <w:tcBorders>
              <w:top w:val="nil"/>
              <w:left w:val="nil"/>
              <w:bottom w:val="nil"/>
              <w:right w:val="nil"/>
            </w:tcBorders>
            <w:shd w:val="clear" w:color="auto" w:fill="auto"/>
            <w:noWrap/>
            <w:vAlign w:val="bottom"/>
            <w:hideMark/>
          </w:tcPr>
          <w:p w14:paraId="4834CA88"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2C4A9D7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73.46</w:t>
            </w:r>
          </w:p>
        </w:tc>
        <w:tc>
          <w:tcPr>
            <w:tcW w:w="943" w:type="dxa"/>
            <w:tcBorders>
              <w:top w:val="nil"/>
              <w:left w:val="nil"/>
              <w:bottom w:val="nil"/>
              <w:right w:val="nil"/>
            </w:tcBorders>
            <w:shd w:val="clear" w:color="auto" w:fill="auto"/>
            <w:noWrap/>
            <w:vAlign w:val="center"/>
            <w:hideMark/>
          </w:tcPr>
          <w:p w14:paraId="4588022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42.00</w:t>
            </w:r>
          </w:p>
        </w:tc>
        <w:tc>
          <w:tcPr>
            <w:tcW w:w="271" w:type="dxa"/>
            <w:tcBorders>
              <w:top w:val="nil"/>
              <w:left w:val="nil"/>
              <w:bottom w:val="nil"/>
              <w:right w:val="nil"/>
            </w:tcBorders>
            <w:shd w:val="clear" w:color="auto" w:fill="auto"/>
            <w:noWrap/>
            <w:vAlign w:val="center"/>
            <w:hideMark/>
          </w:tcPr>
          <w:p w14:paraId="0DC83C50"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55BE72D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203</w:t>
            </w:r>
          </w:p>
        </w:tc>
        <w:tc>
          <w:tcPr>
            <w:tcW w:w="754" w:type="dxa"/>
            <w:tcBorders>
              <w:top w:val="nil"/>
              <w:left w:val="nil"/>
              <w:bottom w:val="nil"/>
              <w:right w:val="nil"/>
            </w:tcBorders>
            <w:shd w:val="clear" w:color="auto" w:fill="auto"/>
            <w:noWrap/>
            <w:vAlign w:val="center"/>
            <w:hideMark/>
          </w:tcPr>
          <w:p w14:paraId="0649BC7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1.65</w:t>
            </w:r>
          </w:p>
        </w:tc>
        <w:tc>
          <w:tcPr>
            <w:tcW w:w="938" w:type="dxa"/>
            <w:gridSpan w:val="2"/>
            <w:tcBorders>
              <w:top w:val="nil"/>
              <w:left w:val="nil"/>
              <w:bottom w:val="nil"/>
              <w:right w:val="nil"/>
            </w:tcBorders>
            <w:shd w:val="clear" w:color="auto" w:fill="auto"/>
            <w:noWrap/>
            <w:vAlign w:val="center"/>
            <w:hideMark/>
          </w:tcPr>
          <w:p w14:paraId="55D0DB5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1.00</w:t>
            </w:r>
          </w:p>
        </w:tc>
        <w:tc>
          <w:tcPr>
            <w:tcW w:w="520" w:type="dxa"/>
            <w:gridSpan w:val="2"/>
            <w:tcBorders>
              <w:top w:val="nil"/>
              <w:left w:val="nil"/>
              <w:bottom w:val="nil"/>
              <w:right w:val="nil"/>
            </w:tcBorders>
            <w:shd w:val="clear" w:color="auto" w:fill="auto"/>
            <w:noWrap/>
            <w:vAlign w:val="center"/>
            <w:hideMark/>
          </w:tcPr>
          <w:p w14:paraId="487B1023"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3426FAC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990</w:t>
            </w:r>
          </w:p>
        </w:tc>
        <w:tc>
          <w:tcPr>
            <w:tcW w:w="754" w:type="dxa"/>
            <w:tcBorders>
              <w:top w:val="nil"/>
              <w:left w:val="nil"/>
              <w:bottom w:val="nil"/>
              <w:right w:val="nil"/>
            </w:tcBorders>
            <w:shd w:val="clear" w:color="auto" w:fill="auto"/>
            <w:noWrap/>
            <w:vAlign w:val="center"/>
            <w:hideMark/>
          </w:tcPr>
          <w:p w14:paraId="566EE1D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8.05</w:t>
            </w:r>
          </w:p>
        </w:tc>
        <w:tc>
          <w:tcPr>
            <w:tcW w:w="1136" w:type="dxa"/>
            <w:tcBorders>
              <w:top w:val="nil"/>
              <w:left w:val="nil"/>
              <w:bottom w:val="nil"/>
              <w:right w:val="nil"/>
            </w:tcBorders>
            <w:shd w:val="clear" w:color="auto" w:fill="auto"/>
            <w:noWrap/>
            <w:vAlign w:val="center"/>
            <w:hideMark/>
          </w:tcPr>
          <w:p w14:paraId="76DA7DC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w:t>
            </w:r>
          </w:p>
        </w:tc>
      </w:tr>
      <w:tr w:rsidR="00D94396" w:rsidRPr="00C478C9" w14:paraId="79BA2069"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4F15BB5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2015</w:t>
            </w:r>
          </w:p>
        </w:tc>
        <w:tc>
          <w:tcPr>
            <w:tcW w:w="944" w:type="dxa"/>
            <w:tcBorders>
              <w:top w:val="nil"/>
              <w:left w:val="nil"/>
              <w:bottom w:val="nil"/>
              <w:right w:val="nil"/>
            </w:tcBorders>
            <w:shd w:val="clear" w:color="auto" w:fill="auto"/>
            <w:noWrap/>
            <w:vAlign w:val="center"/>
            <w:hideMark/>
          </w:tcPr>
          <w:p w14:paraId="0FC1EA9B"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1D51ED8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78</w:t>
            </w:r>
          </w:p>
        </w:tc>
        <w:tc>
          <w:tcPr>
            <w:tcW w:w="1065" w:type="dxa"/>
            <w:tcBorders>
              <w:top w:val="nil"/>
              <w:left w:val="nil"/>
              <w:bottom w:val="nil"/>
              <w:right w:val="nil"/>
            </w:tcBorders>
            <w:shd w:val="clear" w:color="auto" w:fill="auto"/>
            <w:noWrap/>
            <w:vAlign w:val="bottom"/>
            <w:hideMark/>
          </w:tcPr>
          <w:p w14:paraId="6B128792"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40E7CDF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73.14</w:t>
            </w:r>
          </w:p>
        </w:tc>
        <w:tc>
          <w:tcPr>
            <w:tcW w:w="943" w:type="dxa"/>
            <w:tcBorders>
              <w:top w:val="nil"/>
              <w:left w:val="nil"/>
              <w:bottom w:val="nil"/>
              <w:right w:val="nil"/>
            </w:tcBorders>
            <w:shd w:val="clear" w:color="auto" w:fill="auto"/>
            <w:noWrap/>
            <w:vAlign w:val="center"/>
            <w:hideMark/>
          </w:tcPr>
          <w:p w14:paraId="17D58C8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37.00</w:t>
            </w:r>
          </w:p>
        </w:tc>
        <w:tc>
          <w:tcPr>
            <w:tcW w:w="271" w:type="dxa"/>
            <w:tcBorders>
              <w:top w:val="nil"/>
              <w:left w:val="nil"/>
              <w:bottom w:val="nil"/>
              <w:right w:val="nil"/>
            </w:tcBorders>
            <w:shd w:val="clear" w:color="auto" w:fill="auto"/>
            <w:noWrap/>
            <w:vAlign w:val="center"/>
            <w:hideMark/>
          </w:tcPr>
          <w:p w14:paraId="767C9398"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243720C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134</w:t>
            </w:r>
          </w:p>
        </w:tc>
        <w:tc>
          <w:tcPr>
            <w:tcW w:w="754" w:type="dxa"/>
            <w:tcBorders>
              <w:top w:val="nil"/>
              <w:left w:val="nil"/>
              <w:bottom w:val="nil"/>
              <w:right w:val="nil"/>
            </w:tcBorders>
            <w:shd w:val="clear" w:color="auto" w:fill="auto"/>
            <w:noWrap/>
            <w:vAlign w:val="center"/>
            <w:hideMark/>
          </w:tcPr>
          <w:p w14:paraId="71F18E8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1.72</w:t>
            </w:r>
          </w:p>
        </w:tc>
        <w:tc>
          <w:tcPr>
            <w:tcW w:w="938" w:type="dxa"/>
            <w:gridSpan w:val="2"/>
            <w:tcBorders>
              <w:top w:val="nil"/>
              <w:left w:val="nil"/>
              <w:bottom w:val="nil"/>
              <w:right w:val="nil"/>
            </w:tcBorders>
            <w:shd w:val="clear" w:color="auto" w:fill="auto"/>
            <w:noWrap/>
            <w:vAlign w:val="center"/>
            <w:hideMark/>
          </w:tcPr>
          <w:p w14:paraId="5AF5537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1.00</w:t>
            </w:r>
          </w:p>
        </w:tc>
        <w:tc>
          <w:tcPr>
            <w:tcW w:w="520" w:type="dxa"/>
            <w:gridSpan w:val="2"/>
            <w:tcBorders>
              <w:top w:val="nil"/>
              <w:left w:val="nil"/>
              <w:bottom w:val="nil"/>
              <w:right w:val="nil"/>
            </w:tcBorders>
            <w:shd w:val="clear" w:color="auto" w:fill="auto"/>
            <w:noWrap/>
            <w:vAlign w:val="center"/>
            <w:hideMark/>
          </w:tcPr>
          <w:p w14:paraId="108EE8B3"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5581DBE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311</w:t>
            </w:r>
          </w:p>
        </w:tc>
        <w:tc>
          <w:tcPr>
            <w:tcW w:w="754" w:type="dxa"/>
            <w:tcBorders>
              <w:top w:val="nil"/>
              <w:left w:val="nil"/>
              <w:bottom w:val="nil"/>
              <w:right w:val="nil"/>
            </w:tcBorders>
            <w:shd w:val="clear" w:color="auto" w:fill="auto"/>
            <w:noWrap/>
            <w:vAlign w:val="center"/>
            <w:hideMark/>
          </w:tcPr>
          <w:p w14:paraId="71DE856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3.99</w:t>
            </w:r>
          </w:p>
        </w:tc>
        <w:tc>
          <w:tcPr>
            <w:tcW w:w="1136" w:type="dxa"/>
            <w:tcBorders>
              <w:top w:val="nil"/>
              <w:left w:val="nil"/>
              <w:bottom w:val="nil"/>
              <w:right w:val="nil"/>
            </w:tcBorders>
            <w:shd w:val="clear" w:color="auto" w:fill="auto"/>
            <w:noWrap/>
            <w:vAlign w:val="center"/>
            <w:hideMark/>
          </w:tcPr>
          <w:p w14:paraId="00AFF79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1.00</w:t>
            </w:r>
          </w:p>
        </w:tc>
      </w:tr>
      <w:tr w:rsidR="00D94396" w:rsidRPr="00C478C9" w14:paraId="7B2A6A87"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747A641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2016</w:t>
            </w:r>
          </w:p>
        </w:tc>
        <w:tc>
          <w:tcPr>
            <w:tcW w:w="944" w:type="dxa"/>
            <w:tcBorders>
              <w:top w:val="nil"/>
              <w:left w:val="nil"/>
              <w:bottom w:val="nil"/>
              <w:right w:val="nil"/>
            </w:tcBorders>
            <w:shd w:val="clear" w:color="auto" w:fill="auto"/>
            <w:noWrap/>
            <w:vAlign w:val="center"/>
            <w:hideMark/>
          </w:tcPr>
          <w:p w14:paraId="165DB23A"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38B0AA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58</w:t>
            </w:r>
          </w:p>
        </w:tc>
        <w:tc>
          <w:tcPr>
            <w:tcW w:w="1065" w:type="dxa"/>
            <w:tcBorders>
              <w:top w:val="nil"/>
              <w:left w:val="nil"/>
              <w:bottom w:val="nil"/>
              <w:right w:val="nil"/>
            </w:tcBorders>
            <w:shd w:val="clear" w:color="auto" w:fill="auto"/>
            <w:noWrap/>
            <w:vAlign w:val="bottom"/>
            <w:hideMark/>
          </w:tcPr>
          <w:p w14:paraId="28246942"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17E6D27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69.90</w:t>
            </w:r>
          </w:p>
        </w:tc>
        <w:tc>
          <w:tcPr>
            <w:tcW w:w="943" w:type="dxa"/>
            <w:tcBorders>
              <w:top w:val="nil"/>
              <w:left w:val="nil"/>
              <w:bottom w:val="nil"/>
              <w:right w:val="nil"/>
            </w:tcBorders>
            <w:shd w:val="clear" w:color="auto" w:fill="auto"/>
            <w:noWrap/>
            <w:vAlign w:val="center"/>
            <w:hideMark/>
          </w:tcPr>
          <w:p w14:paraId="0D2599C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36.00</w:t>
            </w:r>
          </w:p>
        </w:tc>
        <w:tc>
          <w:tcPr>
            <w:tcW w:w="271" w:type="dxa"/>
            <w:tcBorders>
              <w:top w:val="nil"/>
              <w:left w:val="nil"/>
              <w:bottom w:val="nil"/>
              <w:right w:val="nil"/>
            </w:tcBorders>
            <w:shd w:val="clear" w:color="auto" w:fill="auto"/>
            <w:noWrap/>
            <w:vAlign w:val="center"/>
            <w:hideMark/>
          </w:tcPr>
          <w:p w14:paraId="7689C3CE"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1E29A57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82</w:t>
            </w:r>
          </w:p>
        </w:tc>
        <w:tc>
          <w:tcPr>
            <w:tcW w:w="754" w:type="dxa"/>
            <w:tcBorders>
              <w:top w:val="nil"/>
              <w:left w:val="nil"/>
              <w:bottom w:val="nil"/>
              <w:right w:val="nil"/>
            </w:tcBorders>
            <w:shd w:val="clear" w:color="auto" w:fill="auto"/>
            <w:noWrap/>
            <w:vAlign w:val="center"/>
            <w:hideMark/>
          </w:tcPr>
          <w:p w14:paraId="3EBE2C0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1.41</w:t>
            </w:r>
          </w:p>
        </w:tc>
        <w:tc>
          <w:tcPr>
            <w:tcW w:w="938" w:type="dxa"/>
            <w:gridSpan w:val="2"/>
            <w:tcBorders>
              <w:top w:val="nil"/>
              <w:left w:val="nil"/>
              <w:bottom w:val="nil"/>
              <w:right w:val="nil"/>
            </w:tcBorders>
            <w:shd w:val="clear" w:color="auto" w:fill="auto"/>
            <w:noWrap/>
            <w:vAlign w:val="center"/>
            <w:hideMark/>
          </w:tcPr>
          <w:p w14:paraId="20AC32A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1.00</w:t>
            </w:r>
          </w:p>
        </w:tc>
        <w:tc>
          <w:tcPr>
            <w:tcW w:w="520" w:type="dxa"/>
            <w:gridSpan w:val="2"/>
            <w:tcBorders>
              <w:top w:val="nil"/>
              <w:left w:val="nil"/>
              <w:bottom w:val="nil"/>
              <w:right w:val="nil"/>
            </w:tcBorders>
            <w:shd w:val="clear" w:color="auto" w:fill="auto"/>
            <w:noWrap/>
            <w:vAlign w:val="center"/>
            <w:hideMark/>
          </w:tcPr>
          <w:p w14:paraId="091F30C5"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0C9EA6B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379</w:t>
            </w:r>
          </w:p>
        </w:tc>
        <w:tc>
          <w:tcPr>
            <w:tcW w:w="754" w:type="dxa"/>
            <w:tcBorders>
              <w:top w:val="nil"/>
              <w:left w:val="nil"/>
              <w:bottom w:val="nil"/>
              <w:right w:val="nil"/>
            </w:tcBorders>
            <w:shd w:val="clear" w:color="auto" w:fill="auto"/>
            <w:noWrap/>
            <w:vAlign w:val="center"/>
            <w:hideMark/>
          </w:tcPr>
          <w:p w14:paraId="3D6EC0A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6.53</w:t>
            </w:r>
          </w:p>
        </w:tc>
        <w:tc>
          <w:tcPr>
            <w:tcW w:w="1136" w:type="dxa"/>
            <w:tcBorders>
              <w:top w:val="nil"/>
              <w:left w:val="nil"/>
              <w:bottom w:val="nil"/>
              <w:right w:val="nil"/>
            </w:tcBorders>
            <w:shd w:val="clear" w:color="auto" w:fill="auto"/>
            <w:noWrap/>
            <w:vAlign w:val="center"/>
            <w:hideMark/>
          </w:tcPr>
          <w:p w14:paraId="5CE292E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w:t>
            </w:r>
          </w:p>
        </w:tc>
      </w:tr>
      <w:tr w:rsidR="00D94396" w:rsidRPr="00C478C9" w14:paraId="7AD5AA5B"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2545A93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2017</w:t>
            </w:r>
          </w:p>
        </w:tc>
        <w:tc>
          <w:tcPr>
            <w:tcW w:w="944" w:type="dxa"/>
            <w:tcBorders>
              <w:top w:val="nil"/>
              <w:left w:val="nil"/>
              <w:bottom w:val="nil"/>
              <w:right w:val="nil"/>
            </w:tcBorders>
            <w:shd w:val="clear" w:color="auto" w:fill="auto"/>
            <w:noWrap/>
            <w:vAlign w:val="center"/>
            <w:hideMark/>
          </w:tcPr>
          <w:p w14:paraId="7C7A6E16"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7FDE358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47</w:t>
            </w:r>
          </w:p>
        </w:tc>
        <w:tc>
          <w:tcPr>
            <w:tcW w:w="1065" w:type="dxa"/>
            <w:tcBorders>
              <w:top w:val="nil"/>
              <w:left w:val="nil"/>
              <w:bottom w:val="nil"/>
              <w:right w:val="nil"/>
            </w:tcBorders>
            <w:shd w:val="clear" w:color="auto" w:fill="auto"/>
            <w:noWrap/>
            <w:vAlign w:val="bottom"/>
            <w:hideMark/>
          </w:tcPr>
          <w:p w14:paraId="0AB87FD8"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630D486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36.79</w:t>
            </w:r>
          </w:p>
        </w:tc>
        <w:tc>
          <w:tcPr>
            <w:tcW w:w="943" w:type="dxa"/>
            <w:tcBorders>
              <w:top w:val="nil"/>
              <w:left w:val="nil"/>
              <w:bottom w:val="nil"/>
              <w:right w:val="nil"/>
            </w:tcBorders>
            <w:shd w:val="clear" w:color="auto" w:fill="auto"/>
            <w:noWrap/>
            <w:vAlign w:val="center"/>
            <w:hideMark/>
          </w:tcPr>
          <w:p w14:paraId="0FA057F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27.00</w:t>
            </w:r>
          </w:p>
        </w:tc>
        <w:tc>
          <w:tcPr>
            <w:tcW w:w="271" w:type="dxa"/>
            <w:tcBorders>
              <w:top w:val="nil"/>
              <w:left w:val="nil"/>
              <w:bottom w:val="nil"/>
              <w:right w:val="nil"/>
            </w:tcBorders>
            <w:shd w:val="clear" w:color="auto" w:fill="auto"/>
            <w:noWrap/>
            <w:vAlign w:val="center"/>
            <w:hideMark/>
          </w:tcPr>
          <w:p w14:paraId="155B5475"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6BC3C90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41</w:t>
            </w:r>
          </w:p>
        </w:tc>
        <w:tc>
          <w:tcPr>
            <w:tcW w:w="754" w:type="dxa"/>
            <w:tcBorders>
              <w:top w:val="nil"/>
              <w:left w:val="nil"/>
              <w:bottom w:val="nil"/>
              <w:right w:val="nil"/>
            </w:tcBorders>
            <w:shd w:val="clear" w:color="auto" w:fill="auto"/>
            <w:noWrap/>
            <w:vAlign w:val="center"/>
            <w:hideMark/>
          </w:tcPr>
          <w:p w14:paraId="5104A23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0.87</w:t>
            </w:r>
          </w:p>
        </w:tc>
        <w:tc>
          <w:tcPr>
            <w:tcW w:w="938" w:type="dxa"/>
            <w:gridSpan w:val="2"/>
            <w:tcBorders>
              <w:top w:val="nil"/>
              <w:left w:val="nil"/>
              <w:bottom w:val="nil"/>
              <w:right w:val="nil"/>
            </w:tcBorders>
            <w:shd w:val="clear" w:color="auto" w:fill="auto"/>
            <w:noWrap/>
            <w:vAlign w:val="center"/>
            <w:hideMark/>
          </w:tcPr>
          <w:p w14:paraId="39CFA4C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0.00</w:t>
            </w:r>
          </w:p>
        </w:tc>
        <w:tc>
          <w:tcPr>
            <w:tcW w:w="520" w:type="dxa"/>
            <w:gridSpan w:val="2"/>
            <w:tcBorders>
              <w:top w:val="nil"/>
              <w:left w:val="nil"/>
              <w:bottom w:val="nil"/>
              <w:right w:val="nil"/>
            </w:tcBorders>
            <w:shd w:val="clear" w:color="auto" w:fill="auto"/>
            <w:noWrap/>
            <w:vAlign w:val="center"/>
            <w:hideMark/>
          </w:tcPr>
          <w:p w14:paraId="6DF1DBE8"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728E3D2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139</w:t>
            </w:r>
          </w:p>
        </w:tc>
        <w:tc>
          <w:tcPr>
            <w:tcW w:w="754" w:type="dxa"/>
            <w:tcBorders>
              <w:top w:val="nil"/>
              <w:left w:val="nil"/>
              <w:bottom w:val="nil"/>
              <w:right w:val="nil"/>
            </w:tcBorders>
            <w:shd w:val="clear" w:color="auto" w:fill="auto"/>
            <w:noWrap/>
            <w:vAlign w:val="center"/>
            <w:hideMark/>
          </w:tcPr>
          <w:p w14:paraId="55CCF45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2.96</w:t>
            </w:r>
          </w:p>
        </w:tc>
        <w:tc>
          <w:tcPr>
            <w:tcW w:w="1136" w:type="dxa"/>
            <w:tcBorders>
              <w:top w:val="nil"/>
              <w:left w:val="nil"/>
              <w:bottom w:val="nil"/>
              <w:right w:val="nil"/>
            </w:tcBorders>
            <w:shd w:val="clear" w:color="auto" w:fill="auto"/>
            <w:noWrap/>
            <w:vAlign w:val="center"/>
            <w:hideMark/>
          </w:tcPr>
          <w:p w14:paraId="32C641C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0.00</w:t>
            </w:r>
          </w:p>
        </w:tc>
      </w:tr>
      <w:tr w:rsidR="00D94396" w:rsidRPr="00C478C9" w14:paraId="0FA173D3" w14:textId="77777777" w:rsidTr="00FF50E3">
        <w:trPr>
          <w:trHeight w:val="300"/>
        </w:trPr>
        <w:tc>
          <w:tcPr>
            <w:tcW w:w="3261" w:type="dxa"/>
            <w:gridSpan w:val="2"/>
            <w:tcBorders>
              <w:top w:val="nil"/>
              <w:left w:val="nil"/>
              <w:bottom w:val="nil"/>
              <w:right w:val="nil"/>
            </w:tcBorders>
            <w:shd w:val="clear" w:color="auto" w:fill="auto"/>
            <w:noWrap/>
            <w:vAlign w:val="center"/>
            <w:hideMark/>
          </w:tcPr>
          <w:p w14:paraId="71F56110"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Totals</w:t>
            </w:r>
          </w:p>
        </w:tc>
        <w:tc>
          <w:tcPr>
            <w:tcW w:w="944" w:type="dxa"/>
            <w:tcBorders>
              <w:top w:val="nil"/>
              <w:left w:val="nil"/>
              <w:bottom w:val="nil"/>
              <w:right w:val="nil"/>
            </w:tcBorders>
            <w:shd w:val="clear" w:color="auto" w:fill="auto"/>
            <w:noWrap/>
            <w:vAlign w:val="center"/>
            <w:hideMark/>
          </w:tcPr>
          <w:p w14:paraId="6D999454" w14:textId="77777777" w:rsidR="00D94396" w:rsidRPr="00C478C9" w:rsidRDefault="00D94396"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hideMark/>
          </w:tcPr>
          <w:p w14:paraId="37DC3B8C"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909</w:t>
            </w:r>
          </w:p>
        </w:tc>
        <w:tc>
          <w:tcPr>
            <w:tcW w:w="1065" w:type="dxa"/>
            <w:tcBorders>
              <w:top w:val="nil"/>
              <w:left w:val="nil"/>
              <w:bottom w:val="nil"/>
              <w:right w:val="nil"/>
            </w:tcBorders>
            <w:shd w:val="clear" w:color="auto" w:fill="auto"/>
            <w:noWrap/>
            <w:vAlign w:val="bottom"/>
            <w:hideMark/>
          </w:tcPr>
          <w:p w14:paraId="16E54C65" w14:textId="77777777" w:rsidR="00D94396" w:rsidRPr="00C478C9" w:rsidRDefault="00D94396"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hideMark/>
          </w:tcPr>
          <w:p w14:paraId="75B06CB2"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120.11</w:t>
            </w:r>
          </w:p>
        </w:tc>
        <w:tc>
          <w:tcPr>
            <w:tcW w:w="943" w:type="dxa"/>
            <w:tcBorders>
              <w:top w:val="nil"/>
              <w:left w:val="nil"/>
              <w:bottom w:val="nil"/>
              <w:right w:val="nil"/>
            </w:tcBorders>
            <w:shd w:val="clear" w:color="auto" w:fill="auto"/>
            <w:noWrap/>
            <w:vAlign w:val="center"/>
            <w:hideMark/>
          </w:tcPr>
          <w:p w14:paraId="0C46D6BD"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90.00</w:t>
            </w:r>
          </w:p>
        </w:tc>
        <w:tc>
          <w:tcPr>
            <w:tcW w:w="271" w:type="dxa"/>
            <w:tcBorders>
              <w:top w:val="nil"/>
              <w:left w:val="nil"/>
              <w:bottom w:val="nil"/>
              <w:right w:val="nil"/>
            </w:tcBorders>
            <w:shd w:val="clear" w:color="auto" w:fill="auto"/>
            <w:noWrap/>
            <w:vAlign w:val="center"/>
            <w:hideMark/>
          </w:tcPr>
          <w:p w14:paraId="14A8BDB2" w14:textId="77777777" w:rsidR="00D94396" w:rsidRPr="00C478C9" w:rsidRDefault="00D94396"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hideMark/>
          </w:tcPr>
          <w:p w14:paraId="28820F83"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2518</w:t>
            </w:r>
          </w:p>
        </w:tc>
        <w:tc>
          <w:tcPr>
            <w:tcW w:w="754" w:type="dxa"/>
            <w:tcBorders>
              <w:top w:val="nil"/>
              <w:left w:val="nil"/>
              <w:bottom w:val="nil"/>
              <w:right w:val="nil"/>
            </w:tcBorders>
            <w:shd w:val="clear" w:color="auto" w:fill="auto"/>
            <w:noWrap/>
            <w:vAlign w:val="center"/>
            <w:hideMark/>
          </w:tcPr>
          <w:p w14:paraId="2099D0C2"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2.77</w:t>
            </w:r>
          </w:p>
        </w:tc>
        <w:tc>
          <w:tcPr>
            <w:tcW w:w="938" w:type="dxa"/>
            <w:gridSpan w:val="2"/>
            <w:tcBorders>
              <w:top w:val="nil"/>
              <w:left w:val="nil"/>
              <w:bottom w:val="nil"/>
              <w:right w:val="nil"/>
            </w:tcBorders>
            <w:shd w:val="clear" w:color="auto" w:fill="auto"/>
            <w:noWrap/>
            <w:vAlign w:val="center"/>
            <w:hideMark/>
          </w:tcPr>
          <w:p w14:paraId="47EA76D8"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3.00</w:t>
            </w:r>
          </w:p>
        </w:tc>
        <w:tc>
          <w:tcPr>
            <w:tcW w:w="520" w:type="dxa"/>
            <w:gridSpan w:val="2"/>
            <w:tcBorders>
              <w:top w:val="nil"/>
              <w:left w:val="nil"/>
              <w:bottom w:val="nil"/>
              <w:right w:val="nil"/>
            </w:tcBorders>
            <w:shd w:val="clear" w:color="auto" w:fill="auto"/>
            <w:noWrap/>
            <w:vAlign w:val="center"/>
            <w:hideMark/>
          </w:tcPr>
          <w:p w14:paraId="08DE2A8B" w14:textId="77777777" w:rsidR="00D94396" w:rsidRPr="00C478C9" w:rsidRDefault="00D94396"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hideMark/>
          </w:tcPr>
          <w:p w14:paraId="4E12C374"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24205</w:t>
            </w:r>
          </w:p>
        </w:tc>
        <w:tc>
          <w:tcPr>
            <w:tcW w:w="754" w:type="dxa"/>
            <w:tcBorders>
              <w:top w:val="nil"/>
              <w:left w:val="nil"/>
              <w:bottom w:val="nil"/>
              <w:right w:val="nil"/>
            </w:tcBorders>
            <w:shd w:val="clear" w:color="auto" w:fill="auto"/>
            <w:noWrap/>
            <w:vAlign w:val="center"/>
            <w:hideMark/>
          </w:tcPr>
          <w:p w14:paraId="40E11261"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26.63</w:t>
            </w:r>
          </w:p>
        </w:tc>
        <w:tc>
          <w:tcPr>
            <w:tcW w:w="1136" w:type="dxa"/>
            <w:tcBorders>
              <w:top w:val="nil"/>
              <w:left w:val="nil"/>
              <w:bottom w:val="nil"/>
              <w:right w:val="nil"/>
            </w:tcBorders>
            <w:shd w:val="clear" w:color="auto" w:fill="auto"/>
            <w:noWrap/>
            <w:vAlign w:val="center"/>
            <w:hideMark/>
          </w:tcPr>
          <w:p w14:paraId="158AF9E5"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22.00</w:t>
            </w:r>
          </w:p>
        </w:tc>
      </w:tr>
      <w:tr w:rsidR="00703A27" w:rsidRPr="00C478C9" w14:paraId="50557176" w14:textId="77777777" w:rsidTr="00FF50E3">
        <w:trPr>
          <w:trHeight w:val="300"/>
        </w:trPr>
        <w:tc>
          <w:tcPr>
            <w:tcW w:w="3261" w:type="dxa"/>
            <w:gridSpan w:val="2"/>
            <w:tcBorders>
              <w:top w:val="nil"/>
              <w:left w:val="nil"/>
              <w:bottom w:val="nil"/>
              <w:right w:val="nil"/>
            </w:tcBorders>
            <w:shd w:val="clear" w:color="auto" w:fill="auto"/>
            <w:noWrap/>
            <w:vAlign w:val="center"/>
          </w:tcPr>
          <w:p w14:paraId="5EFE6642" w14:textId="77777777" w:rsidR="00703A27" w:rsidRPr="00C478C9" w:rsidRDefault="00703A27" w:rsidP="00583CE2">
            <w:pPr>
              <w:jc w:val="center"/>
              <w:rPr>
                <w:rFonts w:eastAsia="Times New Roman"/>
                <w:i/>
                <w:iCs/>
                <w:color w:val="000000"/>
                <w:sz w:val="22"/>
                <w:szCs w:val="22"/>
              </w:rPr>
            </w:pPr>
          </w:p>
        </w:tc>
        <w:tc>
          <w:tcPr>
            <w:tcW w:w="944" w:type="dxa"/>
            <w:tcBorders>
              <w:top w:val="nil"/>
              <w:left w:val="nil"/>
              <w:bottom w:val="nil"/>
              <w:right w:val="nil"/>
            </w:tcBorders>
            <w:shd w:val="clear" w:color="auto" w:fill="auto"/>
            <w:noWrap/>
            <w:vAlign w:val="center"/>
          </w:tcPr>
          <w:p w14:paraId="60A5D0AF" w14:textId="77777777" w:rsidR="00703A27" w:rsidRPr="00C478C9" w:rsidRDefault="00703A27"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tcPr>
          <w:p w14:paraId="5443BA31" w14:textId="77777777" w:rsidR="00703A27" w:rsidRPr="00C478C9" w:rsidRDefault="00703A27" w:rsidP="00583CE2">
            <w:pPr>
              <w:jc w:val="center"/>
              <w:rPr>
                <w:rFonts w:eastAsia="Times New Roman"/>
                <w:i/>
                <w:iCs/>
                <w:color w:val="000000"/>
                <w:sz w:val="22"/>
                <w:szCs w:val="22"/>
              </w:rPr>
            </w:pPr>
          </w:p>
        </w:tc>
        <w:tc>
          <w:tcPr>
            <w:tcW w:w="1065" w:type="dxa"/>
            <w:tcBorders>
              <w:top w:val="nil"/>
              <w:left w:val="nil"/>
              <w:bottom w:val="nil"/>
              <w:right w:val="nil"/>
            </w:tcBorders>
            <w:shd w:val="clear" w:color="auto" w:fill="auto"/>
            <w:noWrap/>
            <w:vAlign w:val="bottom"/>
          </w:tcPr>
          <w:p w14:paraId="454AC3DD" w14:textId="77777777" w:rsidR="00703A27" w:rsidRPr="00C478C9" w:rsidRDefault="00703A27"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tcPr>
          <w:p w14:paraId="6048DBDC" w14:textId="77777777" w:rsidR="00703A27" w:rsidRPr="00C478C9" w:rsidRDefault="00703A27" w:rsidP="00583CE2">
            <w:pPr>
              <w:jc w:val="center"/>
              <w:rPr>
                <w:rFonts w:eastAsia="Times New Roman"/>
                <w:i/>
                <w:iCs/>
                <w:color w:val="000000"/>
                <w:sz w:val="22"/>
                <w:szCs w:val="22"/>
              </w:rPr>
            </w:pPr>
          </w:p>
        </w:tc>
        <w:tc>
          <w:tcPr>
            <w:tcW w:w="943" w:type="dxa"/>
            <w:tcBorders>
              <w:top w:val="nil"/>
              <w:left w:val="nil"/>
              <w:bottom w:val="nil"/>
              <w:right w:val="nil"/>
            </w:tcBorders>
            <w:shd w:val="clear" w:color="auto" w:fill="auto"/>
            <w:noWrap/>
            <w:vAlign w:val="center"/>
          </w:tcPr>
          <w:p w14:paraId="66277A4F" w14:textId="77777777" w:rsidR="00703A27" w:rsidRPr="00C478C9" w:rsidRDefault="00703A27" w:rsidP="00583CE2">
            <w:pPr>
              <w:jc w:val="center"/>
              <w:rPr>
                <w:rFonts w:eastAsia="Times New Roman"/>
                <w:i/>
                <w:iCs/>
                <w:color w:val="000000"/>
                <w:sz w:val="22"/>
                <w:szCs w:val="22"/>
              </w:rPr>
            </w:pPr>
          </w:p>
        </w:tc>
        <w:tc>
          <w:tcPr>
            <w:tcW w:w="271" w:type="dxa"/>
            <w:tcBorders>
              <w:top w:val="nil"/>
              <w:left w:val="nil"/>
              <w:bottom w:val="nil"/>
              <w:right w:val="nil"/>
            </w:tcBorders>
            <w:shd w:val="clear" w:color="auto" w:fill="auto"/>
            <w:noWrap/>
            <w:vAlign w:val="center"/>
          </w:tcPr>
          <w:p w14:paraId="138C1E6A" w14:textId="77777777" w:rsidR="00703A27" w:rsidRPr="00C478C9" w:rsidRDefault="00703A27"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tcPr>
          <w:p w14:paraId="017789B3"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61EA4C8D" w14:textId="77777777" w:rsidR="00703A27" w:rsidRPr="00C478C9" w:rsidRDefault="00703A27" w:rsidP="00583CE2">
            <w:pPr>
              <w:jc w:val="center"/>
              <w:rPr>
                <w:rFonts w:eastAsia="Times New Roman"/>
                <w:i/>
                <w:iCs/>
                <w:color w:val="000000"/>
                <w:sz w:val="22"/>
                <w:szCs w:val="22"/>
              </w:rPr>
            </w:pPr>
          </w:p>
        </w:tc>
        <w:tc>
          <w:tcPr>
            <w:tcW w:w="938" w:type="dxa"/>
            <w:gridSpan w:val="2"/>
            <w:tcBorders>
              <w:top w:val="nil"/>
              <w:left w:val="nil"/>
              <w:bottom w:val="nil"/>
              <w:right w:val="nil"/>
            </w:tcBorders>
            <w:shd w:val="clear" w:color="auto" w:fill="auto"/>
            <w:noWrap/>
            <w:vAlign w:val="center"/>
          </w:tcPr>
          <w:p w14:paraId="7487A3B9" w14:textId="77777777" w:rsidR="00703A27" w:rsidRPr="00C478C9" w:rsidRDefault="00703A27" w:rsidP="00583CE2">
            <w:pPr>
              <w:jc w:val="center"/>
              <w:rPr>
                <w:rFonts w:eastAsia="Times New Roman"/>
                <w:i/>
                <w:iCs/>
                <w:color w:val="000000"/>
                <w:sz w:val="22"/>
                <w:szCs w:val="22"/>
              </w:rPr>
            </w:pPr>
          </w:p>
        </w:tc>
        <w:tc>
          <w:tcPr>
            <w:tcW w:w="520" w:type="dxa"/>
            <w:gridSpan w:val="2"/>
            <w:tcBorders>
              <w:top w:val="nil"/>
              <w:left w:val="nil"/>
              <w:bottom w:val="nil"/>
              <w:right w:val="nil"/>
            </w:tcBorders>
            <w:shd w:val="clear" w:color="auto" w:fill="auto"/>
            <w:noWrap/>
            <w:vAlign w:val="center"/>
          </w:tcPr>
          <w:p w14:paraId="12A0E818" w14:textId="77777777" w:rsidR="00703A27" w:rsidRPr="00C478C9" w:rsidRDefault="00703A27"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tcPr>
          <w:p w14:paraId="41F4AC2C"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627DEA73" w14:textId="77777777" w:rsidR="00703A27" w:rsidRPr="00C478C9" w:rsidRDefault="00703A27" w:rsidP="00583CE2">
            <w:pPr>
              <w:jc w:val="center"/>
              <w:rPr>
                <w:rFonts w:eastAsia="Times New Roman"/>
                <w:i/>
                <w:iCs/>
                <w:color w:val="000000"/>
                <w:sz w:val="22"/>
                <w:szCs w:val="22"/>
              </w:rPr>
            </w:pPr>
          </w:p>
        </w:tc>
        <w:tc>
          <w:tcPr>
            <w:tcW w:w="1136" w:type="dxa"/>
            <w:tcBorders>
              <w:top w:val="nil"/>
              <w:left w:val="nil"/>
              <w:bottom w:val="nil"/>
              <w:right w:val="nil"/>
            </w:tcBorders>
            <w:shd w:val="clear" w:color="auto" w:fill="auto"/>
            <w:noWrap/>
            <w:vAlign w:val="center"/>
          </w:tcPr>
          <w:p w14:paraId="13982F26" w14:textId="77777777" w:rsidR="00703A27" w:rsidRPr="00C478C9" w:rsidRDefault="00703A27" w:rsidP="00583CE2">
            <w:pPr>
              <w:jc w:val="center"/>
              <w:rPr>
                <w:rFonts w:eastAsia="Times New Roman"/>
                <w:i/>
                <w:iCs/>
                <w:color w:val="000000"/>
                <w:sz w:val="22"/>
                <w:szCs w:val="22"/>
              </w:rPr>
            </w:pPr>
          </w:p>
        </w:tc>
      </w:tr>
      <w:tr w:rsidR="00703A27" w:rsidRPr="00C478C9" w14:paraId="659FD666" w14:textId="77777777" w:rsidTr="00FF50E3">
        <w:trPr>
          <w:trHeight w:val="300"/>
        </w:trPr>
        <w:tc>
          <w:tcPr>
            <w:tcW w:w="3261" w:type="dxa"/>
            <w:gridSpan w:val="2"/>
            <w:tcBorders>
              <w:top w:val="nil"/>
              <w:left w:val="nil"/>
              <w:bottom w:val="nil"/>
              <w:right w:val="nil"/>
            </w:tcBorders>
            <w:shd w:val="clear" w:color="auto" w:fill="auto"/>
            <w:noWrap/>
            <w:vAlign w:val="center"/>
          </w:tcPr>
          <w:p w14:paraId="3AB4A8BC" w14:textId="77777777" w:rsidR="00703A27" w:rsidRPr="00C478C9" w:rsidRDefault="00703A27" w:rsidP="00583CE2">
            <w:pPr>
              <w:jc w:val="center"/>
              <w:rPr>
                <w:rFonts w:eastAsia="Times New Roman"/>
                <w:i/>
                <w:iCs/>
                <w:color w:val="000000"/>
                <w:sz w:val="22"/>
                <w:szCs w:val="22"/>
              </w:rPr>
            </w:pPr>
          </w:p>
        </w:tc>
        <w:tc>
          <w:tcPr>
            <w:tcW w:w="944" w:type="dxa"/>
            <w:tcBorders>
              <w:top w:val="nil"/>
              <w:left w:val="nil"/>
              <w:bottom w:val="nil"/>
              <w:right w:val="nil"/>
            </w:tcBorders>
            <w:shd w:val="clear" w:color="auto" w:fill="auto"/>
            <w:noWrap/>
            <w:vAlign w:val="center"/>
          </w:tcPr>
          <w:p w14:paraId="3FBA08AB" w14:textId="77777777" w:rsidR="00703A27" w:rsidRPr="00C478C9" w:rsidRDefault="00703A27"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tcPr>
          <w:p w14:paraId="5EEB4FD3" w14:textId="77777777" w:rsidR="00703A27" w:rsidRPr="00C478C9" w:rsidRDefault="00703A27" w:rsidP="00583CE2">
            <w:pPr>
              <w:jc w:val="center"/>
              <w:rPr>
                <w:rFonts w:eastAsia="Times New Roman"/>
                <w:i/>
                <w:iCs/>
                <w:color w:val="000000"/>
                <w:sz w:val="22"/>
                <w:szCs w:val="22"/>
              </w:rPr>
            </w:pPr>
          </w:p>
        </w:tc>
        <w:tc>
          <w:tcPr>
            <w:tcW w:w="1065" w:type="dxa"/>
            <w:tcBorders>
              <w:top w:val="nil"/>
              <w:left w:val="nil"/>
              <w:bottom w:val="nil"/>
              <w:right w:val="nil"/>
            </w:tcBorders>
            <w:shd w:val="clear" w:color="auto" w:fill="auto"/>
            <w:noWrap/>
            <w:vAlign w:val="bottom"/>
          </w:tcPr>
          <w:p w14:paraId="04624B57" w14:textId="77777777" w:rsidR="00703A27" w:rsidRPr="00C478C9" w:rsidRDefault="00703A27"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tcPr>
          <w:p w14:paraId="49F0FB7B" w14:textId="77777777" w:rsidR="00703A27" w:rsidRPr="00C478C9" w:rsidRDefault="00703A27" w:rsidP="00583CE2">
            <w:pPr>
              <w:jc w:val="center"/>
              <w:rPr>
                <w:rFonts w:eastAsia="Times New Roman"/>
                <w:i/>
                <w:iCs/>
                <w:color w:val="000000"/>
                <w:sz w:val="22"/>
                <w:szCs w:val="22"/>
              </w:rPr>
            </w:pPr>
          </w:p>
        </w:tc>
        <w:tc>
          <w:tcPr>
            <w:tcW w:w="943" w:type="dxa"/>
            <w:tcBorders>
              <w:top w:val="nil"/>
              <w:left w:val="nil"/>
              <w:bottom w:val="nil"/>
              <w:right w:val="nil"/>
            </w:tcBorders>
            <w:shd w:val="clear" w:color="auto" w:fill="auto"/>
            <w:noWrap/>
            <w:vAlign w:val="center"/>
          </w:tcPr>
          <w:p w14:paraId="3CEC8456" w14:textId="77777777" w:rsidR="00703A27" w:rsidRPr="00C478C9" w:rsidRDefault="00703A27" w:rsidP="00583CE2">
            <w:pPr>
              <w:jc w:val="center"/>
              <w:rPr>
                <w:rFonts w:eastAsia="Times New Roman"/>
                <w:i/>
                <w:iCs/>
                <w:color w:val="000000"/>
                <w:sz w:val="22"/>
                <w:szCs w:val="22"/>
              </w:rPr>
            </w:pPr>
          </w:p>
        </w:tc>
        <w:tc>
          <w:tcPr>
            <w:tcW w:w="271" w:type="dxa"/>
            <w:tcBorders>
              <w:top w:val="nil"/>
              <w:left w:val="nil"/>
              <w:bottom w:val="nil"/>
              <w:right w:val="nil"/>
            </w:tcBorders>
            <w:shd w:val="clear" w:color="auto" w:fill="auto"/>
            <w:noWrap/>
            <w:vAlign w:val="center"/>
          </w:tcPr>
          <w:p w14:paraId="589DAB3C" w14:textId="77777777" w:rsidR="00703A27" w:rsidRPr="00C478C9" w:rsidRDefault="00703A27"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tcPr>
          <w:p w14:paraId="33BF0E64"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4397D3E4" w14:textId="77777777" w:rsidR="00703A27" w:rsidRPr="00C478C9" w:rsidRDefault="00703A27" w:rsidP="00583CE2">
            <w:pPr>
              <w:jc w:val="center"/>
              <w:rPr>
                <w:rFonts w:eastAsia="Times New Roman"/>
                <w:i/>
                <w:iCs/>
                <w:color w:val="000000"/>
                <w:sz w:val="22"/>
                <w:szCs w:val="22"/>
              </w:rPr>
            </w:pPr>
          </w:p>
        </w:tc>
        <w:tc>
          <w:tcPr>
            <w:tcW w:w="938" w:type="dxa"/>
            <w:gridSpan w:val="2"/>
            <w:tcBorders>
              <w:top w:val="nil"/>
              <w:left w:val="nil"/>
              <w:bottom w:val="nil"/>
              <w:right w:val="nil"/>
            </w:tcBorders>
            <w:shd w:val="clear" w:color="auto" w:fill="auto"/>
            <w:noWrap/>
            <w:vAlign w:val="center"/>
          </w:tcPr>
          <w:p w14:paraId="32A8A932" w14:textId="77777777" w:rsidR="00703A27" w:rsidRPr="00C478C9" w:rsidRDefault="00703A27" w:rsidP="00583CE2">
            <w:pPr>
              <w:jc w:val="center"/>
              <w:rPr>
                <w:rFonts w:eastAsia="Times New Roman"/>
                <w:i/>
                <w:iCs/>
                <w:color w:val="000000"/>
                <w:sz w:val="22"/>
                <w:szCs w:val="22"/>
              </w:rPr>
            </w:pPr>
          </w:p>
        </w:tc>
        <w:tc>
          <w:tcPr>
            <w:tcW w:w="520" w:type="dxa"/>
            <w:gridSpan w:val="2"/>
            <w:tcBorders>
              <w:top w:val="nil"/>
              <w:left w:val="nil"/>
              <w:bottom w:val="nil"/>
              <w:right w:val="nil"/>
            </w:tcBorders>
            <w:shd w:val="clear" w:color="auto" w:fill="auto"/>
            <w:noWrap/>
            <w:vAlign w:val="center"/>
          </w:tcPr>
          <w:p w14:paraId="0B6FB510" w14:textId="77777777" w:rsidR="00703A27" w:rsidRPr="00C478C9" w:rsidRDefault="00703A27"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tcPr>
          <w:p w14:paraId="5781EEBE"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2EB0D740" w14:textId="77777777" w:rsidR="00703A27" w:rsidRPr="00C478C9" w:rsidRDefault="00703A27" w:rsidP="00583CE2">
            <w:pPr>
              <w:jc w:val="center"/>
              <w:rPr>
                <w:rFonts w:eastAsia="Times New Roman"/>
                <w:i/>
                <w:iCs/>
                <w:color w:val="000000"/>
                <w:sz w:val="22"/>
                <w:szCs w:val="22"/>
              </w:rPr>
            </w:pPr>
          </w:p>
        </w:tc>
        <w:tc>
          <w:tcPr>
            <w:tcW w:w="1136" w:type="dxa"/>
            <w:tcBorders>
              <w:top w:val="nil"/>
              <w:left w:val="nil"/>
              <w:bottom w:val="nil"/>
              <w:right w:val="nil"/>
            </w:tcBorders>
            <w:shd w:val="clear" w:color="auto" w:fill="auto"/>
            <w:noWrap/>
            <w:vAlign w:val="center"/>
          </w:tcPr>
          <w:p w14:paraId="513E7F20" w14:textId="77777777" w:rsidR="00703A27" w:rsidRPr="00C478C9" w:rsidRDefault="00703A27" w:rsidP="00583CE2">
            <w:pPr>
              <w:jc w:val="center"/>
              <w:rPr>
                <w:rFonts w:eastAsia="Times New Roman"/>
                <w:i/>
                <w:iCs/>
                <w:color w:val="000000"/>
                <w:sz w:val="22"/>
                <w:szCs w:val="22"/>
              </w:rPr>
            </w:pPr>
          </w:p>
        </w:tc>
      </w:tr>
      <w:tr w:rsidR="00703A27" w:rsidRPr="00C478C9" w14:paraId="42A5A94A" w14:textId="77777777" w:rsidTr="00FF50E3">
        <w:trPr>
          <w:trHeight w:val="300"/>
        </w:trPr>
        <w:tc>
          <w:tcPr>
            <w:tcW w:w="3261" w:type="dxa"/>
            <w:gridSpan w:val="2"/>
            <w:tcBorders>
              <w:top w:val="nil"/>
              <w:left w:val="nil"/>
              <w:bottom w:val="nil"/>
              <w:right w:val="nil"/>
            </w:tcBorders>
            <w:shd w:val="clear" w:color="auto" w:fill="auto"/>
            <w:noWrap/>
            <w:vAlign w:val="center"/>
          </w:tcPr>
          <w:p w14:paraId="140FFA87" w14:textId="77777777" w:rsidR="00703A27" w:rsidRPr="00C478C9" w:rsidRDefault="00703A27" w:rsidP="00583CE2">
            <w:pPr>
              <w:jc w:val="center"/>
              <w:rPr>
                <w:rFonts w:eastAsia="Times New Roman"/>
                <w:i/>
                <w:iCs/>
                <w:color w:val="000000"/>
                <w:sz w:val="22"/>
                <w:szCs w:val="22"/>
              </w:rPr>
            </w:pPr>
          </w:p>
        </w:tc>
        <w:tc>
          <w:tcPr>
            <w:tcW w:w="944" w:type="dxa"/>
            <w:tcBorders>
              <w:top w:val="nil"/>
              <w:left w:val="nil"/>
              <w:bottom w:val="nil"/>
              <w:right w:val="nil"/>
            </w:tcBorders>
            <w:shd w:val="clear" w:color="auto" w:fill="auto"/>
            <w:noWrap/>
            <w:vAlign w:val="center"/>
          </w:tcPr>
          <w:p w14:paraId="440AD74C" w14:textId="77777777" w:rsidR="00703A27" w:rsidRPr="00C478C9" w:rsidRDefault="00703A27"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tcPr>
          <w:p w14:paraId="6EF258AC" w14:textId="77777777" w:rsidR="00703A27" w:rsidRPr="00C478C9" w:rsidRDefault="00703A27" w:rsidP="00583CE2">
            <w:pPr>
              <w:jc w:val="center"/>
              <w:rPr>
                <w:rFonts w:eastAsia="Times New Roman"/>
                <w:i/>
                <w:iCs/>
                <w:color w:val="000000"/>
                <w:sz w:val="22"/>
                <w:szCs w:val="22"/>
              </w:rPr>
            </w:pPr>
          </w:p>
        </w:tc>
        <w:tc>
          <w:tcPr>
            <w:tcW w:w="1065" w:type="dxa"/>
            <w:tcBorders>
              <w:top w:val="nil"/>
              <w:left w:val="nil"/>
              <w:bottom w:val="nil"/>
              <w:right w:val="nil"/>
            </w:tcBorders>
            <w:shd w:val="clear" w:color="auto" w:fill="auto"/>
            <w:noWrap/>
            <w:vAlign w:val="bottom"/>
          </w:tcPr>
          <w:p w14:paraId="6240A50F" w14:textId="77777777" w:rsidR="00703A27" w:rsidRPr="00C478C9" w:rsidRDefault="00703A27"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tcPr>
          <w:p w14:paraId="650923E9" w14:textId="77777777" w:rsidR="00703A27" w:rsidRPr="00C478C9" w:rsidRDefault="00703A27" w:rsidP="00583CE2">
            <w:pPr>
              <w:jc w:val="center"/>
              <w:rPr>
                <w:rFonts w:eastAsia="Times New Roman"/>
                <w:i/>
                <w:iCs/>
                <w:color w:val="000000"/>
                <w:sz w:val="22"/>
                <w:szCs w:val="22"/>
              </w:rPr>
            </w:pPr>
          </w:p>
        </w:tc>
        <w:tc>
          <w:tcPr>
            <w:tcW w:w="943" w:type="dxa"/>
            <w:tcBorders>
              <w:top w:val="nil"/>
              <w:left w:val="nil"/>
              <w:bottom w:val="nil"/>
              <w:right w:val="nil"/>
            </w:tcBorders>
            <w:shd w:val="clear" w:color="auto" w:fill="auto"/>
            <w:noWrap/>
            <w:vAlign w:val="center"/>
          </w:tcPr>
          <w:p w14:paraId="2AB39E54" w14:textId="77777777" w:rsidR="00703A27" w:rsidRPr="00C478C9" w:rsidRDefault="00703A27" w:rsidP="00583CE2">
            <w:pPr>
              <w:jc w:val="center"/>
              <w:rPr>
                <w:rFonts w:eastAsia="Times New Roman"/>
                <w:i/>
                <w:iCs/>
                <w:color w:val="000000"/>
                <w:sz w:val="22"/>
                <w:szCs w:val="22"/>
              </w:rPr>
            </w:pPr>
          </w:p>
        </w:tc>
        <w:tc>
          <w:tcPr>
            <w:tcW w:w="271" w:type="dxa"/>
            <w:tcBorders>
              <w:top w:val="nil"/>
              <w:left w:val="nil"/>
              <w:bottom w:val="nil"/>
              <w:right w:val="nil"/>
            </w:tcBorders>
            <w:shd w:val="clear" w:color="auto" w:fill="auto"/>
            <w:noWrap/>
            <w:vAlign w:val="center"/>
          </w:tcPr>
          <w:p w14:paraId="47CDB995" w14:textId="77777777" w:rsidR="00703A27" w:rsidRPr="00C478C9" w:rsidRDefault="00703A27"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tcPr>
          <w:p w14:paraId="3A556464"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78F9334E" w14:textId="77777777" w:rsidR="00703A27" w:rsidRPr="00C478C9" w:rsidRDefault="00703A27" w:rsidP="00583CE2">
            <w:pPr>
              <w:jc w:val="center"/>
              <w:rPr>
                <w:rFonts w:eastAsia="Times New Roman"/>
                <w:i/>
                <w:iCs/>
                <w:color w:val="000000"/>
                <w:sz w:val="22"/>
                <w:szCs w:val="22"/>
              </w:rPr>
            </w:pPr>
          </w:p>
        </w:tc>
        <w:tc>
          <w:tcPr>
            <w:tcW w:w="938" w:type="dxa"/>
            <w:gridSpan w:val="2"/>
            <w:tcBorders>
              <w:top w:val="nil"/>
              <w:left w:val="nil"/>
              <w:bottom w:val="nil"/>
              <w:right w:val="nil"/>
            </w:tcBorders>
            <w:shd w:val="clear" w:color="auto" w:fill="auto"/>
            <w:noWrap/>
            <w:vAlign w:val="center"/>
          </w:tcPr>
          <w:p w14:paraId="0B323585" w14:textId="77777777" w:rsidR="00703A27" w:rsidRPr="00C478C9" w:rsidRDefault="00703A27" w:rsidP="00583CE2">
            <w:pPr>
              <w:jc w:val="center"/>
              <w:rPr>
                <w:rFonts w:eastAsia="Times New Roman"/>
                <w:i/>
                <w:iCs/>
                <w:color w:val="000000"/>
                <w:sz w:val="22"/>
                <w:szCs w:val="22"/>
              </w:rPr>
            </w:pPr>
          </w:p>
        </w:tc>
        <w:tc>
          <w:tcPr>
            <w:tcW w:w="520" w:type="dxa"/>
            <w:gridSpan w:val="2"/>
            <w:tcBorders>
              <w:top w:val="nil"/>
              <w:left w:val="nil"/>
              <w:bottom w:val="nil"/>
              <w:right w:val="nil"/>
            </w:tcBorders>
            <w:shd w:val="clear" w:color="auto" w:fill="auto"/>
            <w:noWrap/>
            <w:vAlign w:val="center"/>
          </w:tcPr>
          <w:p w14:paraId="203BDE4C" w14:textId="77777777" w:rsidR="00703A27" w:rsidRPr="00C478C9" w:rsidRDefault="00703A27"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tcPr>
          <w:p w14:paraId="33CBDF2E"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2F3DABD2" w14:textId="77777777" w:rsidR="00703A27" w:rsidRPr="00C478C9" w:rsidRDefault="00703A27" w:rsidP="00583CE2">
            <w:pPr>
              <w:jc w:val="center"/>
              <w:rPr>
                <w:rFonts w:eastAsia="Times New Roman"/>
                <w:i/>
                <w:iCs/>
                <w:color w:val="000000"/>
                <w:sz w:val="22"/>
                <w:szCs w:val="22"/>
              </w:rPr>
            </w:pPr>
          </w:p>
        </w:tc>
        <w:tc>
          <w:tcPr>
            <w:tcW w:w="1136" w:type="dxa"/>
            <w:tcBorders>
              <w:top w:val="nil"/>
              <w:left w:val="nil"/>
              <w:bottom w:val="nil"/>
              <w:right w:val="nil"/>
            </w:tcBorders>
            <w:shd w:val="clear" w:color="auto" w:fill="auto"/>
            <w:noWrap/>
            <w:vAlign w:val="center"/>
          </w:tcPr>
          <w:p w14:paraId="6BF57566" w14:textId="77777777" w:rsidR="00703A27" w:rsidRPr="00C478C9" w:rsidRDefault="00703A27" w:rsidP="00583CE2">
            <w:pPr>
              <w:jc w:val="center"/>
              <w:rPr>
                <w:rFonts w:eastAsia="Times New Roman"/>
                <w:i/>
                <w:iCs/>
                <w:color w:val="000000"/>
                <w:sz w:val="22"/>
                <w:szCs w:val="22"/>
              </w:rPr>
            </w:pPr>
          </w:p>
        </w:tc>
      </w:tr>
      <w:tr w:rsidR="00703A27" w:rsidRPr="00C478C9" w14:paraId="589668BC" w14:textId="77777777" w:rsidTr="00FF50E3">
        <w:trPr>
          <w:trHeight w:val="300"/>
        </w:trPr>
        <w:tc>
          <w:tcPr>
            <w:tcW w:w="3261" w:type="dxa"/>
            <w:gridSpan w:val="2"/>
            <w:tcBorders>
              <w:top w:val="nil"/>
              <w:left w:val="nil"/>
              <w:bottom w:val="nil"/>
              <w:right w:val="nil"/>
            </w:tcBorders>
            <w:shd w:val="clear" w:color="auto" w:fill="auto"/>
            <w:noWrap/>
            <w:vAlign w:val="center"/>
          </w:tcPr>
          <w:p w14:paraId="33C69827" w14:textId="77777777" w:rsidR="00703A27" w:rsidRPr="00C478C9" w:rsidRDefault="00703A27" w:rsidP="00583CE2">
            <w:pPr>
              <w:jc w:val="center"/>
              <w:rPr>
                <w:rFonts w:eastAsia="Times New Roman"/>
                <w:i/>
                <w:iCs/>
                <w:color w:val="000000"/>
                <w:sz w:val="22"/>
                <w:szCs w:val="22"/>
              </w:rPr>
            </w:pPr>
          </w:p>
        </w:tc>
        <w:tc>
          <w:tcPr>
            <w:tcW w:w="944" w:type="dxa"/>
            <w:tcBorders>
              <w:top w:val="nil"/>
              <w:left w:val="nil"/>
              <w:bottom w:val="nil"/>
              <w:right w:val="nil"/>
            </w:tcBorders>
            <w:shd w:val="clear" w:color="auto" w:fill="auto"/>
            <w:noWrap/>
            <w:vAlign w:val="center"/>
          </w:tcPr>
          <w:p w14:paraId="64C7EFED" w14:textId="77777777" w:rsidR="00703A27" w:rsidRPr="00C478C9" w:rsidRDefault="00703A27"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tcPr>
          <w:p w14:paraId="654C362E" w14:textId="77777777" w:rsidR="00703A27" w:rsidRPr="00C478C9" w:rsidRDefault="00703A27" w:rsidP="00583CE2">
            <w:pPr>
              <w:jc w:val="center"/>
              <w:rPr>
                <w:rFonts w:eastAsia="Times New Roman"/>
                <w:i/>
                <w:iCs/>
                <w:color w:val="000000"/>
                <w:sz w:val="22"/>
                <w:szCs w:val="22"/>
              </w:rPr>
            </w:pPr>
          </w:p>
        </w:tc>
        <w:tc>
          <w:tcPr>
            <w:tcW w:w="1065" w:type="dxa"/>
            <w:tcBorders>
              <w:top w:val="nil"/>
              <w:left w:val="nil"/>
              <w:bottom w:val="nil"/>
              <w:right w:val="nil"/>
            </w:tcBorders>
            <w:shd w:val="clear" w:color="auto" w:fill="auto"/>
            <w:noWrap/>
            <w:vAlign w:val="bottom"/>
          </w:tcPr>
          <w:p w14:paraId="37C76FCF" w14:textId="77777777" w:rsidR="00703A27" w:rsidRPr="00C478C9" w:rsidRDefault="00703A27"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tcPr>
          <w:p w14:paraId="79191DA8" w14:textId="77777777" w:rsidR="00703A27" w:rsidRPr="00C478C9" w:rsidRDefault="00703A27" w:rsidP="00583CE2">
            <w:pPr>
              <w:jc w:val="center"/>
              <w:rPr>
                <w:rFonts w:eastAsia="Times New Roman"/>
                <w:i/>
                <w:iCs/>
                <w:color w:val="000000"/>
                <w:sz w:val="22"/>
                <w:szCs w:val="22"/>
              </w:rPr>
            </w:pPr>
          </w:p>
        </w:tc>
        <w:tc>
          <w:tcPr>
            <w:tcW w:w="943" w:type="dxa"/>
            <w:tcBorders>
              <w:top w:val="nil"/>
              <w:left w:val="nil"/>
              <w:bottom w:val="nil"/>
              <w:right w:val="nil"/>
            </w:tcBorders>
            <w:shd w:val="clear" w:color="auto" w:fill="auto"/>
            <w:noWrap/>
            <w:vAlign w:val="center"/>
          </w:tcPr>
          <w:p w14:paraId="53939E7B" w14:textId="77777777" w:rsidR="00703A27" w:rsidRPr="00C478C9" w:rsidRDefault="00703A27" w:rsidP="00583CE2">
            <w:pPr>
              <w:jc w:val="center"/>
              <w:rPr>
                <w:rFonts w:eastAsia="Times New Roman"/>
                <w:i/>
                <w:iCs/>
                <w:color w:val="000000"/>
                <w:sz w:val="22"/>
                <w:szCs w:val="22"/>
              </w:rPr>
            </w:pPr>
          </w:p>
        </w:tc>
        <w:tc>
          <w:tcPr>
            <w:tcW w:w="271" w:type="dxa"/>
            <w:tcBorders>
              <w:top w:val="nil"/>
              <w:left w:val="nil"/>
              <w:bottom w:val="nil"/>
              <w:right w:val="nil"/>
            </w:tcBorders>
            <w:shd w:val="clear" w:color="auto" w:fill="auto"/>
            <w:noWrap/>
            <w:vAlign w:val="center"/>
          </w:tcPr>
          <w:p w14:paraId="6133B69D" w14:textId="77777777" w:rsidR="00703A27" w:rsidRPr="00C478C9" w:rsidRDefault="00703A27"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tcPr>
          <w:p w14:paraId="17F18E63"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28F02E47" w14:textId="77777777" w:rsidR="00703A27" w:rsidRPr="00C478C9" w:rsidRDefault="00703A27" w:rsidP="00583CE2">
            <w:pPr>
              <w:jc w:val="center"/>
              <w:rPr>
                <w:rFonts w:eastAsia="Times New Roman"/>
                <w:i/>
                <w:iCs/>
                <w:color w:val="000000"/>
                <w:sz w:val="22"/>
                <w:szCs w:val="22"/>
              </w:rPr>
            </w:pPr>
          </w:p>
        </w:tc>
        <w:tc>
          <w:tcPr>
            <w:tcW w:w="938" w:type="dxa"/>
            <w:gridSpan w:val="2"/>
            <w:tcBorders>
              <w:top w:val="nil"/>
              <w:left w:val="nil"/>
              <w:bottom w:val="nil"/>
              <w:right w:val="nil"/>
            </w:tcBorders>
            <w:shd w:val="clear" w:color="auto" w:fill="auto"/>
            <w:noWrap/>
            <w:vAlign w:val="center"/>
          </w:tcPr>
          <w:p w14:paraId="212C2A1E" w14:textId="77777777" w:rsidR="00703A27" w:rsidRPr="00C478C9" w:rsidRDefault="00703A27" w:rsidP="00583CE2">
            <w:pPr>
              <w:jc w:val="center"/>
              <w:rPr>
                <w:rFonts w:eastAsia="Times New Roman"/>
                <w:i/>
                <w:iCs/>
                <w:color w:val="000000"/>
                <w:sz w:val="22"/>
                <w:szCs w:val="22"/>
              </w:rPr>
            </w:pPr>
          </w:p>
        </w:tc>
        <w:tc>
          <w:tcPr>
            <w:tcW w:w="520" w:type="dxa"/>
            <w:gridSpan w:val="2"/>
            <w:tcBorders>
              <w:top w:val="nil"/>
              <w:left w:val="nil"/>
              <w:bottom w:val="nil"/>
              <w:right w:val="nil"/>
            </w:tcBorders>
            <w:shd w:val="clear" w:color="auto" w:fill="auto"/>
            <w:noWrap/>
            <w:vAlign w:val="center"/>
          </w:tcPr>
          <w:p w14:paraId="36588FF3" w14:textId="77777777" w:rsidR="00703A27" w:rsidRPr="00C478C9" w:rsidRDefault="00703A27"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tcPr>
          <w:p w14:paraId="7E9728F4"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080B0404" w14:textId="77777777" w:rsidR="00703A27" w:rsidRPr="00C478C9" w:rsidRDefault="00703A27" w:rsidP="00583CE2">
            <w:pPr>
              <w:jc w:val="center"/>
              <w:rPr>
                <w:rFonts w:eastAsia="Times New Roman"/>
                <w:i/>
                <w:iCs/>
                <w:color w:val="000000"/>
                <w:sz w:val="22"/>
                <w:szCs w:val="22"/>
              </w:rPr>
            </w:pPr>
          </w:p>
        </w:tc>
        <w:tc>
          <w:tcPr>
            <w:tcW w:w="1136" w:type="dxa"/>
            <w:tcBorders>
              <w:top w:val="nil"/>
              <w:left w:val="nil"/>
              <w:bottom w:val="nil"/>
              <w:right w:val="nil"/>
            </w:tcBorders>
            <w:shd w:val="clear" w:color="auto" w:fill="auto"/>
            <w:noWrap/>
            <w:vAlign w:val="center"/>
          </w:tcPr>
          <w:p w14:paraId="29A5CC2B" w14:textId="77777777" w:rsidR="00703A27" w:rsidRPr="00C478C9" w:rsidRDefault="00703A27" w:rsidP="00583CE2">
            <w:pPr>
              <w:jc w:val="center"/>
              <w:rPr>
                <w:rFonts w:eastAsia="Times New Roman"/>
                <w:i/>
                <w:iCs/>
                <w:color w:val="000000"/>
                <w:sz w:val="22"/>
                <w:szCs w:val="22"/>
              </w:rPr>
            </w:pPr>
          </w:p>
        </w:tc>
      </w:tr>
      <w:tr w:rsidR="00703A27" w:rsidRPr="00C478C9" w14:paraId="2CDBDAEA" w14:textId="77777777" w:rsidTr="00FF50E3">
        <w:trPr>
          <w:trHeight w:val="300"/>
        </w:trPr>
        <w:tc>
          <w:tcPr>
            <w:tcW w:w="3261" w:type="dxa"/>
            <w:gridSpan w:val="2"/>
            <w:tcBorders>
              <w:top w:val="nil"/>
              <w:left w:val="nil"/>
              <w:bottom w:val="nil"/>
              <w:right w:val="nil"/>
            </w:tcBorders>
            <w:shd w:val="clear" w:color="auto" w:fill="auto"/>
            <w:noWrap/>
            <w:vAlign w:val="center"/>
          </w:tcPr>
          <w:p w14:paraId="43F6FA16" w14:textId="77777777" w:rsidR="00703A27" w:rsidRPr="00C478C9" w:rsidRDefault="00703A27" w:rsidP="00583CE2">
            <w:pPr>
              <w:jc w:val="center"/>
              <w:rPr>
                <w:rFonts w:eastAsia="Times New Roman"/>
                <w:i/>
                <w:iCs/>
                <w:color w:val="000000"/>
                <w:sz w:val="22"/>
                <w:szCs w:val="22"/>
              </w:rPr>
            </w:pPr>
          </w:p>
        </w:tc>
        <w:tc>
          <w:tcPr>
            <w:tcW w:w="944" w:type="dxa"/>
            <w:tcBorders>
              <w:top w:val="nil"/>
              <w:left w:val="nil"/>
              <w:bottom w:val="nil"/>
              <w:right w:val="nil"/>
            </w:tcBorders>
            <w:shd w:val="clear" w:color="auto" w:fill="auto"/>
            <w:noWrap/>
            <w:vAlign w:val="center"/>
          </w:tcPr>
          <w:p w14:paraId="74E4FC40" w14:textId="77777777" w:rsidR="00703A27" w:rsidRPr="00C478C9" w:rsidRDefault="00703A27"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tcPr>
          <w:p w14:paraId="0FAE106C" w14:textId="77777777" w:rsidR="00703A27" w:rsidRPr="00C478C9" w:rsidRDefault="00703A27" w:rsidP="00583CE2">
            <w:pPr>
              <w:jc w:val="center"/>
              <w:rPr>
                <w:rFonts w:eastAsia="Times New Roman"/>
                <w:i/>
                <w:iCs/>
                <w:color w:val="000000"/>
                <w:sz w:val="22"/>
                <w:szCs w:val="22"/>
              </w:rPr>
            </w:pPr>
          </w:p>
        </w:tc>
        <w:tc>
          <w:tcPr>
            <w:tcW w:w="1065" w:type="dxa"/>
            <w:tcBorders>
              <w:top w:val="nil"/>
              <w:left w:val="nil"/>
              <w:bottom w:val="nil"/>
              <w:right w:val="nil"/>
            </w:tcBorders>
            <w:shd w:val="clear" w:color="auto" w:fill="auto"/>
            <w:noWrap/>
            <w:vAlign w:val="bottom"/>
          </w:tcPr>
          <w:p w14:paraId="23B8CBBD" w14:textId="77777777" w:rsidR="00703A27" w:rsidRPr="00C478C9" w:rsidRDefault="00703A27"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tcPr>
          <w:p w14:paraId="036CD699" w14:textId="77777777" w:rsidR="00703A27" w:rsidRPr="00C478C9" w:rsidRDefault="00703A27" w:rsidP="00583CE2">
            <w:pPr>
              <w:jc w:val="center"/>
              <w:rPr>
                <w:rFonts w:eastAsia="Times New Roman"/>
                <w:i/>
                <w:iCs/>
                <w:color w:val="000000"/>
                <w:sz w:val="22"/>
                <w:szCs w:val="22"/>
              </w:rPr>
            </w:pPr>
          </w:p>
        </w:tc>
        <w:tc>
          <w:tcPr>
            <w:tcW w:w="943" w:type="dxa"/>
            <w:tcBorders>
              <w:top w:val="nil"/>
              <w:left w:val="nil"/>
              <w:bottom w:val="nil"/>
              <w:right w:val="nil"/>
            </w:tcBorders>
            <w:shd w:val="clear" w:color="auto" w:fill="auto"/>
            <w:noWrap/>
            <w:vAlign w:val="center"/>
          </w:tcPr>
          <w:p w14:paraId="01716342" w14:textId="77777777" w:rsidR="00703A27" w:rsidRPr="00C478C9" w:rsidRDefault="00703A27" w:rsidP="00583CE2">
            <w:pPr>
              <w:jc w:val="center"/>
              <w:rPr>
                <w:rFonts w:eastAsia="Times New Roman"/>
                <w:i/>
                <w:iCs/>
                <w:color w:val="000000"/>
                <w:sz w:val="22"/>
                <w:szCs w:val="22"/>
              </w:rPr>
            </w:pPr>
          </w:p>
        </w:tc>
        <w:tc>
          <w:tcPr>
            <w:tcW w:w="271" w:type="dxa"/>
            <w:tcBorders>
              <w:top w:val="nil"/>
              <w:left w:val="nil"/>
              <w:bottom w:val="nil"/>
              <w:right w:val="nil"/>
            </w:tcBorders>
            <w:shd w:val="clear" w:color="auto" w:fill="auto"/>
            <w:noWrap/>
            <w:vAlign w:val="center"/>
          </w:tcPr>
          <w:p w14:paraId="75F98CE0" w14:textId="77777777" w:rsidR="00703A27" w:rsidRPr="00C478C9" w:rsidRDefault="00703A27"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tcPr>
          <w:p w14:paraId="019E6C89"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35B665DD" w14:textId="77777777" w:rsidR="00703A27" w:rsidRPr="00C478C9" w:rsidRDefault="00703A27" w:rsidP="00583CE2">
            <w:pPr>
              <w:jc w:val="center"/>
              <w:rPr>
                <w:rFonts w:eastAsia="Times New Roman"/>
                <w:i/>
                <w:iCs/>
                <w:color w:val="000000"/>
                <w:sz w:val="22"/>
                <w:szCs w:val="22"/>
              </w:rPr>
            </w:pPr>
          </w:p>
        </w:tc>
        <w:tc>
          <w:tcPr>
            <w:tcW w:w="938" w:type="dxa"/>
            <w:gridSpan w:val="2"/>
            <w:tcBorders>
              <w:top w:val="nil"/>
              <w:left w:val="nil"/>
              <w:bottom w:val="nil"/>
              <w:right w:val="nil"/>
            </w:tcBorders>
            <w:shd w:val="clear" w:color="auto" w:fill="auto"/>
            <w:noWrap/>
            <w:vAlign w:val="center"/>
          </w:tcPr>
          <w:p w14:paraId="316E9B91" w14:textId="77777777" w:rsidR="00703A27" w:rsidRPr="00C478C9" w:rsidRDefault="00703A27" w:rsidP="00583CE2">
            <w:pPr>
              <w:jc w:val="center"/>
              <w:rPr>
                <w:rFonts w:eastAsia="Times New Roman"/>
                <w:i/>
                <w:iCs/>
                <w:color w:val="000000"/>
                <w:sz w:val="22"/>
                <w:szCs w:val="22"/>
              </w:rPr>
            </w:pPr>
          </w:p>
        </w:tc>
        <w:tc>
          <w:tcPr>
            <w:tcW w:w="520" w:type="dxa"/>
            <w:gridSpan w:val="2"/>
            <w:tcBorders>
              <w:top w:val="nil"/>
              <w:left w:val="nil"/>
              <w:bottom w:val="nil"/>
              <w:right w:val="nil"/>
            </w:tcBorders>
            <w:shd w:val="clear" w:color="auto" w:fill="auto"/>
            <w:noWrap/>
            <w:vAlign w:val="center"/>
          </w:tcPr>
          <w:p w14:paraId="7B52C52A" w14:textId="77777777" w:rsidR="00703A27" w:rsidRPr="00C478C9" w:rsidRDefault="00703A27"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tcPr>
          <w:p w14:paraId="3162E501" w14:textId="77777777" w:rsidR="00703A27" w:rsidRPr="00C478C9" w:rsidRDefault="00703A27"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tcPr>
          <w:p w14:paraId="39F81DDF" w14:textId="77777777" w:rsidR="00703A27" w:rsidRPr="00C478C9" w:rsidRDefault="00703A27" w:rsidP="00583CE2">
            <w:pPr>
              <w:jc w:val="center"/>
              <w:rPr>
                <w:rFonts w:eastAsia="Times New Roman"/>
                <w:i/>
                <w:iCs/>
                <w:color w:val="000000"/>
                <w:sz w:val="22"/>
                <w:szCs w:val="22"/>
              </w:rPr>
            </w:pPr>
          </w:p>
        </w:tc>
        <w:tc>
          <w:tcPr>
            <w:tcW w:w="1136" w:type="dxa"/>
            <w:tcBorders>
              <w:top w:val="nil"/>
              <w:left w:val="nil"/>
              <w:bottom w:val="nil"/>
              <w:right w:val="nil"/>
            </w:tcBorders>
            <w:shd w:val="clear" w:color="auto" w:fill="auto"/>
            <w:noWrap/>
            <w:vAlign w:val="center"/>
          </w:tcPr>
          <w:p w14:paraId="7E9ECAED" w14:textId="77777777" w:rsidR="00703A27" w:rsidRPr="00C478C9" w:rsidRDefault="00703A27" w:rsidP="00583CE2">
            <w:pPr>
              <w:jc w:val="center"/>
              <w:rPr>
                <w:rFonts w:eastAsia="Times New Roman"/>
                <w:i/>
                <w:iCs/>
                <w:color w:val="000000"/>
                <w:sz w:val="22"/>
                <w:szCs w:val="22"/>
              </w:rPr>
            </w:pPr>
          </w:p>
        </w:tc>
      </w:tr>
      <w:tr w:rsidR="00D94396" w:rsidRPr="00C478C9" w14:paraId="56910FAA" w14:textId="77777777" w:rsidTr="00FF50E3">
        <w:trPr>
          <w:trHeight w:val="300"/>
        </w:trPr>
        <w:tc>
          <w:tcPr>
            <w:tcW w:w="14317" w:type="dxa"/>
            <w:gridSpan w:val="17"/>
            <w:tcBorders>
              <w:top w:val="nil"/>
              <w:left w:val="nil"/>
              <w:bottom w:val="nil"/>
              <w:right w:val="nil"/>
            </w:tcBorders>
            <w:shd w:val="clear" w:color="auto" w:fill="auto"/>
            <w:noWrap/>
            <w:vAlign w:val="bottom"/>
            <w:hideMark/>
          </w:tcPr>
          <w:p w14:paraId="3FE530E1" w14:textId="05259FF3" w:rsidR="00D94396" w:rsidRPr="00C478C9" w:rsidRDefault="00FF50E3" w:rsidP="00583CE2">
            <w:pPr>
              <w:rPr>
                <w:rFonts w:eastAsia="Times New Roman"/>
                <w:b/>
                <w:bCs/>
                <w:color w:val="000000"/>
                <w:sz w:val="22"/>
                <w:szCs w:val="22"/>
                <w:u w:val="single"/>
              </w:rPr>
            </w:pPr>
            <w:r>
              <w:rPr>
                <w:rFonts w:eastAsia="Times New Roman"/>
                <w:b/>
                <w:bCs/>
                <w:color w:val="000000"/>
                <w:sz w:val="22"/>
                <w:szCs w:val="22"/>
                <w:u w:val="single"/>
              </w:rPr>
              <w:lastRenderedPageBreak/>
              <w:t>Panel C</w:t>
            </w:r>
            <w:r w:rsidR="00D94396" w:rsidRPr="00C478C9">
              <w:rPr>
                <w:rFonts w:eastAsia="Times New Roman"/>
                <w:b/>
                <w:bCs/>
                <w:color w:val="000000"/>
                <w:sz w:val="22"/>
                <w:szCs w:val="22"/>
                <w:u w:val="single"/>
              </w:rPr>
              <w:t>. Descriptive statistics of SEC review attributes by industry</w:t>
            </w:r>
          </w:p>
        </w:tc>
      </w:tr>
      <w:tr w:rsidR="00D94396" w:rsidRPr="00C478C9" w14:paraId="50980C9A" w14:textId="77777777" w:rsidTr="00FF50E3">
        <w:trPr>
          <w:trHeight w:val="300"/>
        </w:trPr>
        <w:tc>
          <w:tcPr>
            <w:tcW w:w="3261" w:type="dxa"/>
            <w:gridSpan w:val="2"/>
            <w:tcBorders>
              <w:top w:val="nil"/>
              <w:left w:val="nil"/>
              <w:bottom w:val="single" w:sz="4" w:space="0" w:color="auto"/>
              <w:right w:val="nil"/>
            </w:tcBorders>
            <w:shd w:val="clear" w:color="auto" w:fill="auto"/>
            <w:noWrap/>
            <w:vAlign w:val="bottom"/>
            <w:hideMark/>
          </w:tcPr>
          <w:p w14:paraId="1612C421"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Industry</w:t>
            </w:r>
          </w:p>
        </w:tc>
        <w:tc>
          <w:tcPr>
            <w:tcW w:w="944" w:type="dxa"/>
            <w:tcBorders>
              <w:top w:val="nil"/>
              <w:left w:val="nil"/>
              <w:bottom w:val="nil"/>
              <w:right w:val="nil"/>
            </w:tcBorders>
            <w:shd w:val="clear" w:color="auto" w:fill="auto"/>
            <w:vAlign w:val="bottom"/>
            <w:hideMark/>
          </w:tcPr>
          <w:p w14:paraId="68FAD185" w14:textId="77777777" w:rsidR="00D94396" w:rsidRPr="00C478C9" w:rsidRDefault="00D94396" w:rsidP="00583CE2">
            <w:pPr>
              <w:jc w:val="center"/>
              <w:rPr>
                <w:rFonts w:eastAsia="Times New Roman"/>
                <w:b/>
                <w:bCs/>
                <w:color w:val="000000"/>
                <w:sz w:val="22"/>
                <w:szCs w:val="22"/>
              </w:rPr>
            </w:pPr>
          </w:p>
        </w:tc>
        <w:tc>
          <w:tcPr>
            <w:tcW w:w="684" w:type="dxa"/>
            <w:tcBorders>
              <w:top w:val="nil"/>
              <w:left w:val="nil"/>
              <w:bottom w:val="single" w:sz="4" w:space="0" w:color="auto"/>
              <w:right w:val="nil"/>
            </w:tcBorders>
            <w:shd w:val="clear" w:color="auto" w:fill="auto"/>
            <w:vAlign w:val="bottom"/>
            <w:hideMark/>
          </w:tcPr>
          <w:p w14:paraId="7944C99C"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N</w:t>
            </w:r>
          </w:p>
        </w:tc>
        <w:tc>
          <w:tcPr>
            <w:tcW w:w="1065" w:type="dxa"/>
            <w:tcBorders>
              <w:top w:val="nil"/>
              <w:left w:val="nil"/>
              <w:bottom w:val="nil"/>
              <w:right w:val="nil"/>
            </w:tcBorders>
            <w:shd w:val="clear" w:color="auto" w:fill="auto"/>
            <w:vAlign w:val="bottom"/>
            <w:hideMark/>
          </w:tcPr>
          <w:p w14:paraId="5EF74DE5" w14:textId="77777777" w:rsidR="00D94396" w:rsidRPr="00C478C9" w:rsidRDefault="00D94396" w:rsidP="00583CE2">
            <w:pPr>
              <w:jc w:val="center"/>
              <w:rPr>
                <w:rFonts w:eastAsia="Times New Roman"/>
                <w:b/>
                <w:bCs/>
                <w:color w:val="000000"/>
                <w:sz w:val="22"/>
                <w:szCs w:val="22"/>
              </w:rPr>
            </w:pPr>
          </w:p>
        </w:tc>
        <w:tc>
          <w:tcPr>
            <w:tcW w:w="2171" w:type="dxa"/>
            <w:gridSpan w:val="2"/>
            <w:tcBorders>
              <w:top w:val="nil"/>
              <w:left w:val="nil"/>
              <w:bottom w:val="single" w:sz="4" w:space="0" w:color="auto"/>
              <w:right w:val="nil"/>
            </w:tcBorders>
            <w:shd w:val="clear" w:color="auto" w:fill="auto"/>
            <w:vAlign w:val="bottom"/>
            <w:hideMark/>
          </w:tcPr>
          <w:p w14:paraId="50743D81"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Duration</w:t>
            </w:r>
          </w:p>
        </w:tc>
        <w:tc>
          <w:tcPr>
            <w:tcW w:w="271" w:type="dxa"/>
            <w:tcBorders>
              <w:top w:val="nil"/>
              <w:left w:val="nil"/>
              <w:bottom w:val="nil"/>
              <w:right w:val="nil"/>
            </w:tcBorders>
            <w:shd w:val="clear" w:color="auto" w:fill="auto"/>
            <w:vAlign w:val="bottom"/>
            <w:hideMark/>
          </w:tcPr>
          <w:p w14:paraId="16686C9C" w14:textId="77777777" w:rsidR="00D94396" w:rsidRPr="00C478C9" w:rsidRDefault="00D94396" w:rsidP="00583CE2">
            <w:pPr>
              <w:jc w:val="center"/>
              <w:rPr>
                <w:rFonts w:eastAsia="Times New Roman"/>
                <w:b/>
                <w:bCs/>
                <w:color w:val="000000"/>
                <w:sz w:val="22"/>
                <w:szCs w:val="22"/>
              </w:rPr>
            </w:pPr>
          </w:p>
        </w:tc>
        <w:tc>
          <w:tcPr>
            <w:tcW w:w="2507" w:type="dxa"/>
            <w:gridSpan w:val="3"/>
            <w:tcBorders>
              <w:top w:val="nil"/>
              <w:left w:val="nil"/>
              <w:bottom w:val="single" w:sz="4" w:space="0" w:color="auto"/>
              <w:right w:val="nil"/>
            </w:tcBorders>
            <w:shd w:val="clear" w:color="auto" w:fill="auto"/>
            <w:vAlign w:val="center"/>
            <w:hideMark/>
          </w:tcPr>
          <w:p w14:paraId="3F1B61FB" w14:textId="717EA993" w:rsidR="00D94396" w:rsidRPr="00C478C9" w:rsidRDefault="00210988" w:rsidP="00583CE2">
            <w:pPr>
              <w:jc w:val="center"/>
              <w:rPr>
                <w:rFonts w:eastAsia="Times New Roman"/>
                <w:b/>
                <w:bCs/>
                <w:color w:val="000000"/>
                <w:sz w:val="22"/>
                <w:szCs w:val="22"/>
              </w:rPr>
            </w:pPr>
            <w:r>
              <w:rPr>
                <w:rFonts w:eastAsia="Times New Roman"/>
                <w:b/>
                <w:bCs/>
                <w:color w:val="000000"/>
                <w:sz w:val="22"/>
                <w:szCs w:val="22"/>
              </w:rPr>
              <w:t>Letters</w:t>
            </w:r>
          </w:p>
        </w:tc>
        <w:tc>
          <w:tcPr>
            <w:tcW w:w="520" w:type="dxa"/>
            <w:gridSpan w:val="2"/>
            <w:tcBorders>
              <w:top w:val="nil"/>
              <w:left w:val="nil"/>
              <w:bottom w:val="nil"/>
              <w:right w:val="nil"/>
            </w:tcBorders>
            <w:shd w:val="clear" w:color="auto" w:fill="auto"/>
            <w:vAlign w:val="center"/>
            <w:hideMark/>
          </w:tcPr>
          <w:p w14:paraId="188AB4B3" w14:textId="77777777" w:rsidR="00D94396" w:rsidRPr="00C478C9" w:rsidRDefault="00D94396" w:rsidP="00583CE2">
            <w:pPr>
              <w:jc w:val="center"/>
              <w:rPr>
                <w:rFonts w:eastAsia="Times New Roman"/>
                <w:b/>
                <w:bCs/>
                <w:color w:val="000000"/>
                <w:sz w:val="22"/>
                <w:szCs w:val="22"/>
              </w:rPr>
            </w:pPr>
          </w:p>
        </w:tc>
        <w:tc>
          <w:tcPr>
            <w:tcW w:w="2894" w:type="dxa"/>
            <w:gridSpan w:val="4"/>
            <w:tcBorders>
              <w:top w:val="nil"/>
              <w:left w:val="nil"/>
              <w:bottom w:val="single" w:sz="4" w:space="0" w:color="auto"/>
              <w:right w:val="nil"/>
            </w:tcBorders>
            <w:shd w:val="clear" w:color="auto" w:fill="auto"/>
            <w:vAlign w:val="bottom"/>
            <w:hideMark/>
          </w:tcPr>
          <w:p w14:paraId="1C42FAB1" w14:textId="11BE4D06" w:rsidR="00D94396" w:rsidRPr="00C478C9" w:rsidRDefault="00210988" w:rsidP="00583CE2">
            <w:pPr>
              <w:jc w:val="center"/>
              <w:rPr>
                <w:rFonts w:eastAsia="Times New Roman"/>
                <w:b/>
                <w:bCs/>
                <w:color w:val="000000"/>
                <w:sz w:val="22"/>
                <w:szCs w:val="22"/>
              </w:rPr>
            </w:pPr>
            <w:r>
              <w:rPr>
                <w:rFonts w:eastAsia="Times New Roman"/>
                <w:b/>
                <w:bCs/>
                <w:color w:val="000000"/>
                <w:sz w:val="22"/>
                <w:szCs w:val="22"/>
              </w:rPr>
              <w:t>Comments</w:t>
            </w:r>
          </w:p>
        </w:tc>
      </w:tr>
      <w:tr w:rsidR="00D94396" w:rsidRPr="00C478C9" w14:paraId="63BB07E0" w14:textId="77777777" w:rsidTr="00FF50E3">
        <w:trPr>
          <w:trHeight w:val="300"/>
        </w:trPr>
        <w:tc>
          <w:tcPr>
            <w:tcW w:w="2694" w:type="dxa"/>
            <w:tcBorders>
              <w:top w:val="nil"/>
              <w:left w:val="nil"/>
              <w:bottom w:val="nil"/>
              <w:right w:val="nil"/>
            </w:tcBorders>
            <w:shd w:val="clear" w:color="auto" w:fill="auto"/>
            <w:vAlign w:val="bottom"/>
            <w:hideMark/>
          </w:tcPr>
          <w:p w14:paraId="7428418A" w14:textId="77777777" w:rsidR="00D94396" w:rsidRPr="00C478C9" w:rsidRDefault="00D94396" w:rsidP="00583CE2">
            <w:pPr>
              <w:jc w:val="center"/>
              <w:rPr>
                <w:rFonts w:eastAsia="Times New Roman"/>
                <w:b/>
                <w:bCs/>
                <w:color w:val="000000"/>
                <w:sz w:val="22"/>
                <w:szCs w:val="22"/>
              </w:rPr>
            </w:pPr>
          </w:p>
        </w:tc>
        <w:tc>
          <w:tcPr>
            <w:tcW w:w="567" w:type="dxa"/>
            <w:tcBorders>
              <w:top w:val="nil"/>
              <w:left w:val="nil"/>
              <w:bottom w:val="nil"/>
              <w:right w:val="nil"/>
            </w:tcBorders>
            <w:shd w:val="clear" w:color="auto" w:fill="auto"/>
            <w:noWrap/>
            <w:vAlign w:val="bottom"/>
            <w:hideMark/>
          </w:tcPr>
          <w:p w14:paraId="476743EB" w14:textId="77777777" w:rsidR="00D94396" w:rsidRPr="00C478C9" w:rsidRDefault="00D94396" w:rsidP="00583CE2">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5FA560B7" w14:textId="77777777" w:rsidR="00D94396" w:rsidRPr="00C478C9" w:rsidRDefault="00D94396" w:rsidP="00583CE2">
            <w:pPr>
              <w:rPr>
                <w:rFonts w:eastAsia="Times New Roman"/>
                <w:sz w:val="20"/>
                <w:szCs w:val="20"/>
              </w:rPr>
            </w:pPr>
          </w:p>
        </w:tc>
        <w:tc>
          <w:tcPr>
            <w:tcW w:w="684" w:type="dxa"/>
            <w:tcBorders>
              <w:top w:val="nil"/>
              <w:left w:val="nil"/>
              <w:bottom w:val="nil"/>
              <w:right w:val="nil"/>
            </w:tcBorders>
            <w:shd w:val="clear" w:color="auto" w:fill="auto"/>
            <w:noWrap/>
            <w:vAlign w:val="bottom"/>
            <w:hideMark/>
          </w:tcPr>
          <w:p w14:paraId="667C3E38" w14:textId="77777777" w:rsidR="00D94396" w:rsidRPr="00C478C9" w:rsidRDefault="00D94396" w:rsidP="00583CE2">
            <w:pPr>
              <w:jc w:val="center"/>
              <w:rPr>
                <w:rFonts w:eastAsia="Times New Roman"/>
                <w:sz w:val="20"/>
                <w:szCs w:val="20"/>
              </w:rPr>
            </w:pPr>
          </w:p>
        </w:tc>
        <w:tc>
          <w:tcPr>
            <w:tcW w:w="1065" w:type="dxa"/>
            <w:tcBorders>
              <w:top w:val="nil"/>
              <w:left w:val="nil"/>
              <w:bottom w:val="nil"/>
              <w:right w:val="nil"/>
            </w:tcBorders>
            <w:shd w:val="clear" w:color="auto" w:fill="auto"/>
            <w:noWrap/>
            <w:vAlign w:val="bottom"/>
            <w:hideMark/>
          </w:tcPr>
          <w:p w14:paraId="476BE035" w14:textId="77777777" w:rsidR="00D94396" w:rsidRPr="00C478C9" w:rsidRDefault="00D94396" w:rsidP="00583CE2">
            <w:pPr>
              <w:rPr>
                <w:rFonts w:eastAsia="Times New Roman"/>
                <w:sz w:val="20"/>
                <w:szCs w:val="20"/>
              </w:rPr>
            </w:pPr>
          </w:p>
        </w:tc>
        <w:tc>
          <w:tcPr>
            <w:tcW w:w="1228" w:type="dxa"/>
            <w:tcBorders>
              <w:top w:val="nil"/>
              <w:left w:val="nil"/>
              <w:bottom w:val="single" w:sz="4" w:space="0" w:color="auto"/>
              <w:right w:val="nil"/>
            </w:tcBorders>
            <w:shd w:val="clear" w:color="auto" w:fill="auto"/>
            <w:noWrap/>
            <w:vAlign w:val="bottom"/>
            <w:hideMark/>
          </w:tcPr>
          <w:p w14:paraId="10852062"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Mean</w:t>
            </w:r>
          </w:p>
        </w:tc>
        <w:tc>
          <w:tcPr>
            <w:tcW w:w="943" w:type="dxa"/>
            <w:tcBorders>
              <w:top w:val="nil"/>
              <w:left w:val="nil"/>
              <w:bottom w:val="single" w:sz="4" w:space="0" w:color="auto"/>
              <w:right w:val="nil"/>
            </w:tcBorders>
            <w:shd w:val="clear" w:color="auto" w:fill="auto"/>
            <w:noWrap/>
            <w:vAlign w:val="bottom"/>
            <w:hideMark/>
          </w:tcPr>
          <w:p w14:paraId="5E37FBE2"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Median</w:t>
            </w:r>
          </w:p>
        </w:tc>
        <w:tc>
          <w:tcPr>
            <w:tcW w:w="271" w:type="dxa"/>
            <w:tcBorders>
              <w:top w:val="nil"/>
              <w:left w:val="nil"/>
              <w:bottom w:val="nil"/>
              <w:right w:val="nil"/>
            </w:tcBorders>
            <w:shd w:val="clear" w:color="auto" w:fill="auto"/>
            <w:noWrap/>
            <w:vAlign w:val="bottom"/>
            <w:hideMark/>
          </w:tcPr>
          <w:p w14:paraId="24C6F45B" w14:textId="77777777" w:rsidR="00D94396" w:rsidRPr="00C478C9" w:rsidRDefault="00D94396" w:rsidP="00583CE2">
            <w:pPr>
              <w:jc w:val="center"/>
              <w:rPr>
                <w:rFonts w:eastAsia="Times New Roman"/>
                <w:b/>
                <w:bCs/>
                <w:color w:val="000000"/>
                <w:sz w:val="22"/>
                <w:szCs w:val="22"/>
              </w:rPr>
            </w:pPr>
          </w:p>
        </w:tc>
        <w:tc>
          <w:tcPr>
            <w:tcW w:w="821" w:type="dxa"/>
            <w:tcBorders>
              <w:top w:val="nil"/>
              <w:left w:val="nil"/>
              <w:bottom w:val="single" w:sz="4" w:space="0" w:color="auto"/>
              <w:right w:val="nil"/>
            </w:tcBorders>
            <w:shd w:val="clear" w:color="auto" w:fill="auto"/>
            <w:noWrap/>
            <w:vAlign w:val="bottom"/>
            <w:hideMark/>
          </w:tcPr>
          <w:p w14:paraId="7F990612"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Totals</w:t>
            </w:r>
          </w:p>
        </w:tc>
        <w:tc>
          <w:tcPr>
            <w:tcW w:w="754" w:type="dxa"/>
            <w:tcBorders>
              <w:top w:val="nil"/>
              <w:left w:val="nil"/>
              <w:bottom w:val="single" w:sz="4" w:space="0" w:color="auto"/>
              <w:right w:val="nil"/>
            </w:tcBorders>
            <w:shd w:val="clear" w:color="auto" w:fill="auto"/>
            <w:noWrap/>
            <w:vAlign w:val="bottom"/>
            <w:hideMark/>
          </w:tcPr>
          <w:p w14:paraId="2C8AD787"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Mean</w:t>
            </w:r>
          </w:p>
        </w:tc>
        <w:tc>
          <w:tcPr>
            <w:tcW w:w="938" w:type="dxa"/>
            <w:gridSpan w:val="2"/>
            <w:tcBorders>
              <w:top w:val="nil"/>
              <w:left w:val="nil"/>
              <w:bottom w:val="single" w:sz="4" w:space="0" w:color="auto"/>
              <w:right w:val="nil"/>
            </w:tcBorders>
            <w:shd w:val="clear" w:color="auto" w:fill="auto"/>
            <w:noWrap/>
            <w:vAlign w:val="bottom"/>
            <w:hideMark/>
          </w:tcPr>
          <w:p w14:paraId="657B1A9A"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Median</w:t>
            </w:r>
          </w:p>
        </w:tc>
        <w:tc>
          <w:tcPr>
            <w:tcW w:w="520" w:type="dxa"/>
            <w:gridSpan w:val="2"/>
            <w:tcBorders>
              <w:top w:val="nil"/>
              <w:left w:val="nil"/>
              <w:bottom w:val="nil"/>
              <w:right w:val="nil"/>
            </w:tcBorders>
            <w:shd w:val="clear" w:color="auto" w:fill="auto"/>
            <w:noWrap/>
            <w:vAlign w:val="bottom"/>
            <w:hideMark/>
          </w:tcPr>
          <w:p w14:paraId="3EB86781" w14:textId="77777777" w:rsidR="00D94396" w:rsidRPr="00C478C9" w:rsidRDefault="00D94396" w:rsidP="00583CE2">
            <w:pPr>
              <w:jc w:val="center"/>
              <w:rPr>
                <w:rFonts w:eastAsia="Times New Roman"/>
                <w:b/>
                <w:bCs/>
                <w:color w:val="000000"/>
                <w:sz w:val="22"/>
                <w:szCs w:val="22"/>
              </w:rPr>
            </w:pPr>
          </w:p>
        </w:tc>
        <w:tc>
          <w:tcPr>
            <w:tcW w:w="998" w:type="dxa"/>
            <w:tcBorders>
              <w:top w:val="nil"/>
              <w:left w:val="nil"/>
              <w:bottom w:val="single" w:sz="4" w:space="0" w:color="auto"/>
              <w:right w:val="nil"/>
            </w:tcBorders>
            <w:shd w:val="clear" w:color="auto" w:fill="auto"/>
            <w:noWrap/>
            <w:vAlign w:val="bottom"/>
            <w:hideMark/>
          </w:tcPr>
          <w:p w14:paraId="4367865F"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Totals</w:t>
            </w:r>
          </w:p>
        </w:tc>
        <w:tc>
          <w:tcPr>
            <w:tcW w:w="754" w:type="dxa"/>
            <w:tcBorders>
              <w:top w:val="nil"/>
              <w:left w:val="nil"/>
              <w:bottom w:val="single" w:sz="4" w:space="0" w:color="auto"/>
              <w:right w:val="nil"/>
            </w:tcBorders>
            <w:shd w:val="clear" w:color="auto" w:fill="auto"/>
            <w:noWrap/>
            <w:vAlign w:val="bottom"/>
            <w:hideMark/>
          </w:tcPr>
          <w:p w14:paraId="759AC16D"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Mean</w:t>
            </w:r>
          </w:p>
        </w:tc>
        <w:tc>
          <w:tcPr>
            <w:tcW w:w="1136" w:type="dxa"/>
            <w:tcBorders>
              <w:top w:val="nil"/>
              <w:left w:val="nil"/>
              <w:bottom w:val="single" w:sz="4" w:space="0" w:color="auto"/>
              <w:right w:val="nil"/>
            </w:tcBorders>
            <w:shd w:val="clear" w:color="auto" w:fill="auto"/>
            <w:noWrap/>
            <w:vAlign w:val="bottom"/>
            <w:hideMark/>
          </w:tcPr>
          <w:p w14:paraId="4CFB6769" w14:textId="77777777" w:rsidR="00D94396" w:rsidRPr="00C478C9" w:rsidRDefault="00D94396" w:rsidP="00583CE2">
            <w:pPr>
              <w:jc w:val="center"/>
              <w:rPr>
                <w:rFonts w:eastAsia="Times New Roman"/>
                <w:b/>
                <w:bCs/>
                <w:color w:val="000000"/>
                <w:sz w:val="22"/>
                <w:szCs w:val="22"/>
              </w:rPr>
            </w:pPr>
            <w:r w:rsidRPr="00C478C9">
              <w:rPr>
                <w:rFonts w:eastAsia="Times New Roman"/>
                <w:b/>
                <w:bCs/>
                <w:color w:val="000000"/>
                <w:sz w:val="22"/>
                <w:szCs w:val="22"/>
              </w:rPr>
              <w:t>Median</w:t>
            </w:r>
          </w:p>
        </w:tc>
      </w:tr>
      <w:tr w:rsidR="00D94396" w:rsidRPr="00C478C9" w14:paraId="5C6923BF" w14:textId="77777777" w:rsidTr="00FF50E3">
        <w:trPr>
          <w:trHeight w:val="300"/>
        </w:trPr>
        <w:tc>
          <w:tcPr>
            <w:tcW w:w="3261" w:type="dxa"/>
            <w:gridSpan w:val="2"/>
            <w:tcBorders>
              <w:top w:val="nil"/>
              <w:left w:val="nil"/>
              <w:bottom w:val="nil"/>
              <w:right w:val="nil"/>
            </w:tcBorders>
            <w:shd w:val="clear" w:color="auto" w:fill="auto"/>
            <w:vAlign w:val="center"/>
            <w:hideMark/>
          </w:tcPr>
          <w:p w14:paraId="192A095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Oil and Gas</w:t>
            </w:r>
          </w:p>
        </w:tc>
        <w:tc>
          <w:tcPr>
            <w:tcW w:w="944" w:type="dxa"/>
            <w:tcBorders>
              <w:top w:val="nil"/>
              <w:left w:val="nil"/>
              <w:bottom w:val="nil"/>
              <w:right w:val="nil"/>
            </w:tcBorders>
            <w:shd w:val="clear" w:color="auto" w:fill="auto"/>
            <w:noWrap/>
            <w:vAlign w:val="bottom"/>
            <w:hideMark/>
          </w:tcPr>
          <w:p w14:paraId="7CB46CAC"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30B9F32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39</w:t>
            </w:r>
          </w:p>
        </w:tc>
        <w:tc>
          <w:tcPr>
            <w:tcW w:w="1065" w:type="dxa"/>
            <w:tcBorders>
              <w:top w:val="nil"/>
              <w:left w:val="nil"/>
              <w:bottom w:val="nil"/>
              <w:right w:val="nil"/>
            </w:tcBorders>
            <w:shd w:val="clear" w:color="auto" w:fill="auto"/>
            <w:noWrap/>
            <w:vAlign w:val="bottom"/>
            <w:hideMark/>
          </w:tcPr>
          <w:p w14:paraId="68B2E661"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323CF9B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114.69</w:t>
            </w:r>
          </w:p>
        </w:tc>
        <w:tc>
          <w:tcPr>
            <w:tcW w:w="943" w:type="dxa"/>
            <w:tcBorders>
              <w:top w:val="nil"/>
              <w:left w:val="nil"/>
              <w:bottom w:val="nil"/>
              <w:right w:val="nil"/>
            </w:tcBorders>
            <w:shd w:val="clear" w:color="auto" w:fill="auto"/>
            <w:noWrap/>
            <w:vAlign w:val="center"/>
            <w:hideMark/>
          </w:tcPr>
          <w:p w14:paraId="6843EF1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104.00</w:t>
            </w:r>
          </w:p>
        </w:tc>
        <w:tc>
          <w:tcPr>
            <w:tcW w:w="271" w:type="dxa"/>
            <w:tcBorders>
              <w:top w:val="nil"/>
              <w:left w:val="nil"/>
              <w:bottom w:val="nil"/>
              <w:right w:val="nil"/>
            </w:tcBorders>
            <w:shd w:val="clear" w:color="auto" w:fill="auto"/>
            <w:noWrap/>
            <w:vAlign w:val="bottom"/>
            <w:hideMark/>
          </w:tcPr>
          <w:p w14:paraId="11372B02"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0C79985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113</w:t>
            </w:r>
          </w:p>
        </w:tc>
        <w:tc>
          <w:tcPr>
            <w:tcW w:w="754" w:type="dxa"/>
            <w:tcBorders>
              <w:top w:val="nil"/>
              <w:left w:val="nil"/>
              <w:bottom w:val="nil"/>
              <w:right w:val="nil"/>
            </w:tcBorders>
            <w:shd w:val="clear" w:color="auto" w:fill="auto"/>
            <w:noWrap/>
            <w:vAlign w:val="center"/>
            <w:hideMark/>
          </w:tcPr>
          <w:p w14:paraId="2FD4EB7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2.90</w:t>
            </w:r>
          </w:p>
        </w:tc>
        <w:tc>
          <w:tcPr>
            <w:tcW w:w="938" w:type="dxa"/>
            <w:gridSpan w:val="2"/>
            <w:tcBorders>
              <w:top w:val="nil"/>
              <w:left w:val="nil"/>
              <w:bottom w:val="nil"/>
              <w:right w:val="nil"/>
            </w:tcBorders>
            <w:shd w:val="clear" w:color="auto" w:fill="auto"/>
            <w:noWrap/>
            <w:vAlign w:val="center"/>
            <w:hideMark/>
          </w:tcPr>
          <w:p w14:paraId="1659E2C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115D24F7"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3D5FCE3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1239</w:t>
            </w:r>
          </w:p>
        </w:tc>
        <w:tc>
          <w:tcPr>
            <w:tcW w:w="754" w:type="dxa"/>
            <w:tcBorders>
              <w:top w:val="nil"/>
              <w:left w:val="nil"/>
              <w:bottom w:val="nil"/>
              <w:right w:val="nil"/>
            </w:tcBorders>
            <w:shd w:val="clear" w:color="auto" w:fill="auto"/>
            <w:noWrap/>
            <w:vAlign w:val="center"/>
            <w:hideMark/>
          </w:tcPr>
          <w:p w14:paraId="1F767CC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31.77</w:t>
            </w:r>
          </w:p>
        </w:tc>
        <w:tc>
          <w:tcPr>
            <w:tcW w:w="1136" w:type="dxa"/>
            <w:tcBorders>
              <w:top w:val="nil"/>
              <w:left w:val="nil"/>
              <w:bottom w:val="nil"/>
              <w:right w:val="nil"/>
            </w:tcBorders>
            <w:shd w:val="clear" w:color="auto" w:fill="auto"/>
            <w:noWrap/>
            <w:vAlign w:val="center"/>
            <w:hideMark/>
          </w:tcPr>
          <w:p w14:paraId="1F9CC61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37.00</w:t>
            </w:r>
          </w:p>
        </w:tc>
      </w:tr>
      <w:tr w:rsidR="00D94396" w:rsidRPr="00C478C9" w14:paraId="7A4B3D5D" w14:textId="77777777" w:rsidTr="00FF50E3">
        <w:trPr>
          <w:trHeight w:val="300"/>
        </w:trPr>
        <w:tc>
          <w:tcPr>
            <w:tcW w:w="3261" w:type="dxa"/>
            <w:gridSpan w:val="2"/>
            <w:tcBorders>
              <w:top w:val="nil"/>
              <w:left w:val="nil"/>
              <w:bottom w:val="nil"/>
              <w:right w:val="nil"/>
            </w:tcBorders>
            <w:shd w:val="clear" w:color="auto" w:fill="auto"/>
            <w:vAlign w:val="center"/>
            <w:hideMark/>
          </w:tcPr>
          <w:p w14:paraId="488D2EB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Food products</w:t>
            </w:r>
          </w:p>
        </w:tc>
        <w:tc>
          <w:tcPr>
            <w:tcW w:w="944" w:type="dxa"/>
            <w:tcBorders>
              <w:top w:val="nil"/>
              <w:left w:val="nil"/>
              <w:bottom w:val="nil"/>
              <w:right w:val="nil"/>
            </w:tcBorders>
            <w:shd w:val="clear" w:color="auto" w:fill="auto"/>
            <w:noWrap/>
            <w:vAlign w:val="bottom"/>
            <w:hideMark/>
          </w:tcPr>
          <w:p w14:paraId="6B467554"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090FF69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w:t>
            </w:r>
          </w:p>
        </w:tc>
        <w:tc>
          <w:tcPr>
            <w:tcW w:w="1065" w:type="dxa"/>
            <w:tcBorders>
              <w:top w:val="nil"/>
              <w:left w:val="nil"/>
              <w:bottom w:val="nil"/>
              <w:right w:val="nil"/>
            </w:tcBorders>
            <w:shd w:val="clear" w:color="auto" w:fill="auto"/>
            <w:noWrap/>
            <w:vAlign w:val="bottom"/>
            <w:hideMark/>
          </w:tcPr>
          <w:p w14:paraId="447438C1"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39B2108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108.63</w:t>
            </w:r>
          </w:p>
        </w:tc>
        <w:tc>
          <w:tcPr>
            <w:tcW w:w="943" w:type="dxa"/>
            <w:tcBorders>
              <w:top w:val="nil"/>
              <w:left w:val="nil"/>
              <w:bottom w:val="nil"/>
              <w:right w:val="nil"/>
            </w:tcBorders>
            <w:shd w:val="clear" w:color="auto" w:fill="auto"/>
            <w:noWrap/>
            <w:vAlign w:val="center"/>
            <w:hideMark/>
          </w:tcPr>
          <w:p w14:paraId="7F31627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96.00</w:t>
            </w:r>
          </w:p>
        </w:tc>
        <w:tc>
          <w:tcPr>
            <w:tcW w:w="271" w:type="dxa"/>
            <w:tcBorders>
              <w:top w:val="nil"/>
              <w:left w:val="nil"/>
              <w:bottom w:val="nil"/>
              <w:right w:val="nil"/>
            </w:tcBorders>
            <w:shd w:val="clear" w:color="auto" w:fill="auto"/>
            <w:noWrap/>
            <w:vAlign w:val="bottom"/>
            <w:hideMark/>
          </w:tcPr>
          <w:p w14:paraId="249B2B06"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6FCE5D3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w:t>
            </w:r>
          </w:p>
        </w:tc>
        <w:tc>
          <w:tcPr>
            <w:tcW w:w="754" w:type="dxa"/>
            <w:tcBorders>
              <w:top w:val="nil"/>
              <w:left w:val="nil"/>
              <w:bottom w:val="nil"/>
              <w:right w:val="nil"/>
            </w:tcBorders>
            <w:shd w:val="clear" w:color="auto" w:fill="auto"/>
            <w:noWrap/>
            <w:vAlign w:val="center"/>
            <w:hideMark/>
          </w:tcPr>
          <w:p w14:paraId="5ADB179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3.25</w:t>
            </w:r>
          </w:p>
        </w:tc>
        <w:tc>
          <w:tcPr>
            <w:tcW w:w="938" w:type="dxa"/>
            <w:gridSpan w:val="2"/>
            <w:tcBorders>
              <w:top w:val="nil"/>
              <w:left w:val="nil"/>
              <w:bottom w:val="nil"/>
              <w:right w:val="nil"/>
            </w:tcBorders>
            <w:shd w:val="clear" w:color="auto" w:fill="auto"/>
            <w:noWrap/>
            <w:vAlign w:val="center"/>
            <w:hideMark/>
          </w:tcPr>
          <w:p w14:paraId="2224EB9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2.50</w:t>
            </w:r>
          </w:p>
        </w:tc>
        <w:tc>
          <w:tcPr>
            <w:tcW w:w="520" w:type="dxa"/>
            <w:gridSpan w:val="2"/>
            <w:tcBorders>
              <w:top w:val="nil"/>
              <w:left w:val="nil"/>
              <w:bottom w:val="nil"/>
              <w:right w:val="nil"/>
            </w:tcBorders>
            <w:shd w:val="clear" w:color="auto" w:fill="auto"/>
            <w:noWrap/>
            <w:vAlign w:val="bottom"/>
            <w:hideMark/>
          </w:tcPr>
          <w:p w14:paraId="7D6E3992"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08A387B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207</w:t>
            </w:r>
          </w:p>
        </w:tc>
        <w:tc>
          <w:tcPr>
            <w:tcW w:w="754" w:type="dxa"/>
            <w:tcBorders>
              <w:top w:val="nil"/>
              <w:left w:val="nil"/>
              <w:bottom w:val="nil"/>
              <w:right w:val="nil"/>
            </w:tcBorders>
            <w:shd w:val="clear" w:color="auto" w:fill="auto"/>
            <w:noWrap/>
            <w:vAlign w:val="center"/>
            <w:hideMark/>
          </w:tcPr>
          <w:p w14:paraId="0499F35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25.88</w:t>
            </w:r>
          </w:p>
        </w:tc>
        <w:tc>
          <w:tcPr>
            <w:tcW w:w="1136" w:type="dxa"/>
            <w:tcBorders>
              <w:top w:val="nil"/>
              <w:left w:val="nil"/>
              <w:bottom w:val="nil"/>
              <w:right w:val="nil"/>
            </w:tcBorders>
            <w:shd w:val="clear" w:color="auto" w:fill="auto"/>
            <w:noWrap/>
            <w:vAlign w:val="center"/>
            <w:hideMark/>
          </w:tcPr>
          <w:p w14:paraId="2119EAA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28.00</w:t>
            </w:r>
          </w:p>
        </w:tc>
      </w:tr>
      <w:tr w:rsidR="00D94396" w:rsidRPr="00C478C9" w14:paraId="35E835DE" w14:textId="77777777" w:rsidTr="00FF50E3">
        <w:trPr>
          <w:trHeight w:val="300"/>
        </w:trPr>
        <w:tc>
          <w:tcPr>
            <w:tcW w:w="3261" w:type="dxa"/>
            <w:gridSpan w:val="2"/>
            <w:tcBorders>
              <w:top w:val="nil"/>
              <w:left w:val="nil"/>
              <w:bottom w:val="nil"/>
              <w:right w:val="nil"/>
            </w:tcBorders>
            <w:shd w:val="clear" w:color="auto" w:fill="auto"/>
            <w:vAlign w:val="center"/>
            <w:hideMark/>
          </w:tcPr>
          <w:p w14:paraId="337E03E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Paper and paper products</w:t>
            </w:r>
          </w:p>
        </w:tc>
        <w:tc>
          <w:tcPr>
            <w:tcW w:w="944" w:type="dxa"/>
            <w:tcBorders>
              <w:top w:val="nil"/>
              <w:left w:val="nil"/>
              <w:bottom w:val="nil"/>
              <w:right w:val="nil"/>
            </w:tcBorders>
            <w:shd w:val="clear" w:color="auto" w:fill="auto"/>
            <w:noWrap/>
            <w:vAlign w:val="bottom"/>
            <w:hideMark/>
          </w:tcPr>
          <w:p w14:paraId="0469B814"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66C778F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w:t>
            </w:r>
          </w:p>
        </w:tc>
        <w:tc>
          <w:tcPr>
            <w:tcW w:w="1065" w:type="dxa"/>
            <w:tcBorders>
              <w:top w:val="nil"/>
              <w:left w:val="nil"/>
              <w:bottom w:val="nil"/>
              <w:right w:val="nil"/>
            </w:tcBorders>
            <w:shd w:val="clear" w:color="auto" w:fill="auto"/>
            <w:noWrap/>
            <w:vAlign w:val="bottom"/>
            <w:hideMark/>
          </w:tcPr>
          <w:p w14:paraId="0D792B59"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7C80B9F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263.40</w:t>
            </w:r>
          </w:p>
        </w:tc>
        <w:tc>
          <w:tcPr>
            <w:tcW w:w="943" w:type="dxa"/>
            <w:tcBorders>
              <w:top w:val="nil"/>
              <w:left w:val="nil"/>
              <w:bottom w:val="nil"/>
              <w:right w:val="nil"/>
            </w:tcBorders>
            <w:shd w:val="clear" w:color="auto" w:fill="auto"/>
            <w:noWrap/>
            <w:vAlign w:val="center"/>
            <w:hideMark/>
          </w:tcPr>
          <w:p w14:paraId="716B214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131.50</w:t>
            </w:r>
          </w:p>
        </w:tc>
        <w:tc>
          <w:tcPr>
            <w:tcW w:w="271" w:type="dxa"/>
            <w:tcBorders>
              <w:top w:val="nil"/>
              <w:left w:val="nil"/>
              <w:bottom w:val="nil"/>
              <w:right w:val="nil"/>
            </w:tcBorders>
            <w:shd w:val="clear" w:color="auto" w:fill="auto"/>
            <w:noWrap/>
            <w:vAlign w:val="bottom"/>
            <w:hideMark/>
          </w:tcPr>
          <w:p w14:paraId="35E7A370"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1275DE0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w:t>
            </w:r>
          </w:p>
        </w:tc>
        <w:tc>
          <w:tcPr>
            <w:tcW w:w="754" w:type="dxa"/>
            <w:tcBorders>
              <w:top w:val="nil"/>
              <w:left w:val="nil"/>
              <w:bottom w:val="nil"/>
              <w:right w:val="nil"/>
            </w:tcBorders>
            <w:shd w:val="clear" w:color="auto" w:fill="auto"/>
            <w:noWrap/>
            <w:vAlign w:val="center"/>
            <w:hideMark/>
          </w:tcPr>
          <w:p w14:paraId="4ED359F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4.30</w:t>
            </w:r>
          </w:p>
        </w:tc>
        <w:tc>
          <w:tcPr>
            <w:tcW w:w="938" w:type="dxa"/>
            <w:gridSpan w:val="2"/>
            <w:tcBorders>
              <w:top w:val="nil"/>
              <w:left w:val="nil"/>
              <w:bottom w:val="nil"/>
              <w:right w:val="nil"/>
            </w:tcBorders>
            <w:shd w:val="clear" w:color="auto" w:fill="auto"/>
            <w:noWrap/>
            <w:vAlign w:val="center"/>
            <w:hideMark/>
          </w:tcPr>
          <w:p w14:paraId="1D2ED45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c>
          <w:tcPr>
            <w:tcW w:w="520" w:type="dxa"/>
            <w:gridSpan w:val="2"/>
            <w:tcBorders>
              <w:top w:val="nil"/>
              <w:left w:val="nil"/>
              <w:bottom w:val="nil"/>
              <w:right w:val="nil"/>
            </w:tcBorders>
            <w:shd w:val="clear" w:color="auto" w:fill="auto"/>
            <w:noWrap/>
            <w:vAlign w:val="bottom"/>
            <w:hideMark/>
          </w:tcPr>
          <w:p w14:paraId="2893BF68"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4722B10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452</w:t>
            </w:r>
          </w:p>
        </w:tc>
        <w:tc>
          <w:tcPr>
            <w:tcW w:w="754" w:type="dxa"/>
            <w:tcBorders>
              <w:top w:val="nil"/>
              <w:left w:val="nil"/>
              <w:bottom w:val="nil"/>
              <w:right w:val="nil"/>
            </w:tcBorders>
            <w:shd w:val="clear" w:color="auto" w:fill="auto"/>
            <w:noWrap/>
            <w:vAlign w:val="center"/>
            <w:hideMark/>
          </w:tcPr>
          <w:p w14:paraId="18EF296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45.20</w:t>
            </w:r>
          </w:p>
        </w:tc>
        <w:tc>
          <w:tcPr>
            <w:tcW w:w="1136" w:type="dxa"/>
            <w:tcBorders>
              <w:top w:val="nil"/>
              <w:left w:val="nil"/>
              <w:bottom w:val="nil"/>
              <w:right w:val="nil"/>
            </w:tcBorders>
            <w:shd w:val="clear" w:color="auto" w:fill="auto"/>
            <w:noWrap/>
            <w:vAlign w:val="center"/>
            <w:hideMark/>
          </w:tcPr>
          <w:p w14:paraId="2A12FFB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43.00</w:t>
            </w:r>
          </w:p>
        </w:tc>
      </w:tr>
      <w:tr w:rsidR="00D94396" w:rsidRPr="00C478C9" w14:paraId="2B5D9AA0" w14:textId="77777777" w:rsidTr="00FF50E3">
        <w:trPr>
          <w:trHeight w:val="300"/>
        </w:trPr>
        <w:tc>
          <w:tcPr>
            <w:tcW w:w="3261" w:type="dxa"/>
            <w:gridSpan w:val="2"/>
            <w:tcBorders>
              <w:top w:val="nil"/>
              <w:left w:val="nil"/>
              <w:bottom w:val="nil"/>
              <w:right w:val="nil"/>
            </w:tcBorders>
            <w:shd w:val="clear" w:color="auto" w:fill="auto"/>
            <w:vAlign w:val="center"/>
            <w:hideMark/>
          </w:tcPr>
          <w:p w14:paraId="2867563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Chemical products</w:t>
            </w:r>
          </w:p>
        </w:tc>
        <w:tc>
          <w:tcPr>
            <w:tcW w:w="944" w:type="dxa"/>
            <w:tcBorders>
              <w:top w:val="nil"/>
              <w:left w:val="nil"/>
              <w:bottom w:val="nil"/>
              <w:right w:val="nil"/>
            </w:tcBorders>
            <w:shd w:val="clear" w:color="auto" w:fill="auto"/>
            <w:noWrap/>
            <w:vAlign w:val="bottom"/>
            <w:hideMark/>
          </w:tcPr>
          <w:p w14:paraId="1F62A01F"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5A5849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265</w:t>
            </w:r>
          </w:p>
        </w:tc>
        <w:tc>
          <w:tcPr>
            <w:tcW w:w="1065" w:type="dxa"/>
            <w:tcBorders>
              <w:top w:val="nil"/>
              <w:left w:val="nil"/>
              <w:bottom w:val="nil"/>
              <w:right w:val="nil"/>
            </w:tcBorders>
            <w:shd w:val="clear" w:color="auto" w:fill="auto"/>
            <w:noWrap/>
            <w:vAlign w:val="bottom"/>
            <w:hideMark/>
          </w:tcPr>
          <w:p w14:paraId="59DBE7E6"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645C3CF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94.79</w:t>
            </w:r>
          </w:p>
        </w:tc>
        <w:tc>
          <w:tcPr>
            <w:tcW w:w="943" w:type="dxa"/>
            <w:tcBorders>
              <w:top w:val="nil"/>
              <w:left w:val="nil"/>
              <w:bottom w:val="nil"/>
              <w:right w:val="nil"/>
            </w:tcBorders>
            <w:shd w:val="clear" w:color="auto" w:fill="auto"/>
            <w:noWrap/>
            <w:vAlign w:val="center"/>
            <w:hideMark/>
          </w:tcPr>
          <w:p w14:paraId="419CBF5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53.00</w:t>
            </w:r>
          </w:p>
        </w:tc>
        <w:tc>
          <w:tcPr>
            <w:tcW w:w="271" w:type="dxa"/>
            <w:tcBorders>
              <w:top w:val="nil"/>
              <w:left w:val="nil"/>
              <w:bottom w:val="nil"/>
              <w:right w:val="nil"/>
            </w:tcBorders>
            <w:shd w:val="clear" w:color="auto" w:fill="auto"/>
            <w:noWrap/>
            <w:vAlign w:val="bottom"/>
            <w:hideMark/>
          </w:tcPr>
          <w:p w14:paraId="3564D84D"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78CAD33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548</w:t>
            </w:r>
          </w:p>
        </w:tc>
        <w:tc>
          <w:tcPr>
            <w:tcW w:w="754" w:type="dxa"/>
            <w:tcBorders>
              <w:top w:val="nil"/>
              <w:left w:val="nil"/>
              <w:bottom w:val="nil"/>
              <w:right w:val="nil"/>
            </w:tcBorders>
            <w:shd w:val="clear" w:color="auto" w:fill="auto"/>
            <w:noWrap/>
            <w:vAlign w:val="center"/>
            <w:hideMark/>
          </w:tcPr>
          <w:p w14:paraId="1814FB1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2.07</w:t>
            </w:r>
          </w:p>
        </w:tc>
        <w:tc>
          <w:tcPr>
            <w:tcW w:w="938" w:type="dxa"/>
            <w:gridSpan w:val="2"/>
            <w:tcBorders>
              <w:top w:val="nil"/>
              <w:left w:val="nil"/>
              <w:bottom w:val="nil"/>
              <w:right w:val="nil"/>
            </w:tcBorders>
            <w:shd w:val="clear" w:color="auto" w:fill="auto"/>
            <w:noWrap/>
            <w:vAlign w:val="center"/>
            <w:hideMark/>
          </w:tcPr>
          <w:p w14:paraId="77F221D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w:t>
            </w:r>
          </w:p>
        </w:tc>
        <w:tc>
          <w:tcPr>
            <w:tcW w:w="520" w:type="dxa"/>
            <w:gridSpan w:val="2"/>
            <w:tcBorders>
              <w:top w:val="nil"/>
              <w:left w:val="nil"/>
              <w:bottom w:val="nil"/>
              <w:right w:val="nil"/>
            </w:tcBorders>
            <w:shd w:val="clear" w:color="auto" w:fill="auto"/>
            <w:noWrap/>
            <w:vAlign w:val="bottom"/>
            <w:hideMark/>
          </w:tcPr>
          <w:p w14:paraId="1F08DF38"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32681E1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3904</w:t>
            </w:r>
          </w:p>
        </w:tc>
        <w:tc>
          <w:tcPr>
            <w:tcW w:w="754" w:type="dxa"/>
            <w:tcBorders>
              <w:top w:val="nil"/>
              <w:left w:val="nil"/>
              <w:bottom w:val="nil"/>
              <w:right w:val="nil"/>
            </w:tcBorders>
            <w:shd w:val="clear" w:color="auto" w:fill="auto"/>
            <w:noWrap/>
            <w:vAlign w:val="center"/>
            <w:hideMark/>
          </w:tcPr>
          <w:p w14:paraId="5F58364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14.73</w:t>
            </w:r>
          </w:p>
        </w:tc>
        <w:tc>
          <w:tcPr>
            <w:tcW w:w="1136" w:type="dxa"/>
            <w:tcBorders>
              <w:top w:val="nil"/>
              <w:left w:val="nil"/>
              <w:bottom w:val="nil"/>
              <w:right w:val="nil"/>
            </w:tcBorders>
            <w:shd w:val="clear" w:color="auto" w:fill="auto"/>
            <w:noWrap/>
            <w:vAlign w:val="center"/>
            <w:hideMark/>
          </w:tcPr>
          <w:p w14:paraId="5626D8F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r>
      <w:tr w:rsidR="00D94396" w:rsidRPr="00C478C9" w14:paraId="56F1C9BA" w14:textId="77777777" w:rsidTr="00FF50E3">
        <w:trPr>
          <w:trHeight w:val="300"/>
        </w:trPr>
        <w:tc>
          <w:tcPr>
            <w:tcW w:w="3261" w:type="dxa"/>
            <w:gridSpan w:val="2"/>
            <w:tcBorders>
              <w:top w:val="nil"/>
              <w:left w:val="nil"/>
              <w:bottom w:val="nil"/>
              <w:right w:val="nil"/>
            </w:tcBorders>
            <w:shd w:val="clear" w:color="auto" w:fill="auto"/>
            <w:vAlign w:val="center"/>
            <w:hideMark/>
          </w:tcPr>
          <w:p w14:paraId="4101B661" w14:textId="2CC584A6" w:rsidR="00D94396" w:rsidRPr="00C478C9" w:rsidRDefault="003B1139" w:rsidP="00583CE2">
            <w:pPr>
              <w:jc w:val="center"/>
              <w:rPr>
                <w:rFonts w:eastAsia="Times New Roman"/>
                <w:color w:val="000000"/>
                <w:sz w:val="22"/>
                <w:szCs w:val="22"/>
              </w:rPr>
            </w:pPr>
            <w:r>
              <w:rPr>
                <w:rFonts w:eastAsia="Times New Roman"/>
                <w:color w:val="000000"/>
                <w:sz w:val="22"/>
                <w:szCs w:val="22"/>
              </w:rPr>
              <w:t xml:space="preserve">Manufacturing </w:t>
            </w:r>
          </w:p>
        </w:tc>
        <w:tc>
          <w:tcPr>
            <w:tcW w:w="944" w:type="dxa"/>
            <w:tcBorders>
              <w:top w:val="nil"/>
              <w:left w:val="nil"/>
              <w:bottom w:val="nil"/>
              <w:right w:val="nil"/>
            </w:tcBorders>
            <w:shd w:val="clear" w:color="auto" w:fill="auto"/>
            <w:noWrap/>
            <w:vAlign w:val="bottom"/>
            <w:hideMark/>
          </w:tcPr>
          <w:p w14:paraId="79BE814D"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1C734D8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23</w:t>
            </w:r>
          </w:p>
        </w:tc>
        <w:tc>
          <w:tcPr>
            <w:tcW w:w="1065" w:type="dxa"/>
            <w:tcBorders>
              <w:top w:val="nil"/>
              <w:left w:val="nil"/>
              <w:bottom w:val="nil"/>
              <w:right w:val="nil"/>
            </w:tcBorders>
            <w:shd w:val="clear" w:color="auto" w:fill="auto"/>
            <w:noWrap/>
            <w:vAlign w:val="bottom"/>
            <w:hideMark/>
          </w:tcPr>
          <w:p w14:paraId="0E72E754"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6921317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163.52</w:t>
            </w:r>
          </w:p>
        </w:tc>
        <w:tc>
          <w:tcPr>
            <w:tcW w:w="943" w:type="dxa"/>
            <w:tcBorders>
              <w:top w:val="nil"/>
              <w:left w:val="nil"/>
              <w:bottom w:val="nil"/>
              <w:right w:val="nil"/>
            </w:tcBorders>
            <w:shd w:val="clear" w:color="auto" w:fill="auto"/>
            <w:noWrap/>
            <w:vAlign w:val="center"/>
            <w:hideMark/>
          </w:tcPr>
          <w:p w14:paraId="3973AC0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109.00</w:t>
            </w:r>
          </w:p>
        </w:tc>
        <w:tc>
          <w:tcPr>
            <w:tcW w:w="271" w:type="dxa"/>
            <w:tcBorders>
              <w:top w:val="nil"/>
              <w:left w:val="nil"/>
              <w:bottom w:val="nil"/>
              <w:right w:val="nil"/>
            </w:tcBorders>
            <w:shd w:val="clear" w:color="auto" w:fill="auto"/>
            <w:noWrap/>
            <w:vAlign w:val="bottom"/>
            <w:hideMark/>
          </w:tcPr>
          <w:p w14:paraId="259B3D72"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4F90FB0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88</w:t>
            </w:r>
          </w:p>
        </w:tc>
        <w:tc>
          <w:tcPr>
            <w:tcW w:w="754" w:type="dxa"/>
            <w:tcBorders>
              <w:top w:val="nil"/>
              <w:left w:val="nil"/>
              <w:bottom w:val="nil"/>
              <w:right w:val="nil"/>
            </w:tcBorders>
            <w:shd w:val="clear" w:color="auto" w:fill="auto"/>
            <w:noWrap/>
            <w:vAlign w:val="center"/>
            <w:hideMark/>
          </w:tcPr>
          <w:p w14:paraId="07FB39B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3.83</w:t>
            </w:r>
          </w:p>
        </w:tc>
        <w:tc>
          <w:tcPr>
            <w:tcW w:w="938" w:type="dxa"/>
            <w:gridSpan w:val="2"/>
            <w:tcBorders>
              <w:top w:val="nil"/>
              <w:left w:val="nil"/>
              <w:bottom w:val="nil"/>
              <w:right w:val="nil"/>
            </w:tcBorders>
            <w:shd w:val="clear" w:color="auto" w:fill="auto"/>
            <w:noWrap/>
            <w:vAlign w:val="center"/>
            <w:hideMark/>
          </w:tcPr>
          <w:p w14:paraId="4BE2438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c>
          <w:tcPr>
            <w:tcW w:w="520" w:type="dxa"/>
            <w:gridSpan w:val="2"/>
            <w:tcBorders>
              <w:top w:val="nil"/>
              <w:left w:val="nil"/>
              <w:bottom w:val="nil"/>
              <w:right w:val="nil"/>
            </w:tcBorders>
            <w:shd w:val="clear" w:color="auto" w:fill="auto"/>
            <w:noWrap/>
            <w:vAlign w:val="bottom"/>
            <w:hideMark/>
          </w:tcPr>
          <w:p w14:paraId="42464DCA"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1E2328D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952</w:t>
            </w:r>
          </w:p>
        </w:tc>
        <w:tc>
          <w:tcPr>
            <w:tcW w:w="754" w:type="dxa"/>
            <w:tcBorders>
              <w:top w:val="nil"/>
              <w:left w:val="nil"/>
              <w:bottom w:val="nil"/>
              <w:right w:val="nil"/>
            </w:tcBorders>
            <w:shd w:val="clear" w:color="auto" w:fill="auto"/>
            <w:noWrap/>
            <w:vAlign w:val="center"/>
            <w:hideMark/>
          </w:tcPr>
          <w:p w14:paraId="45E337A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41.39</w:t>
            </w:r>
          </w:p>
        </w:tc>
        <w:tc>
          <w:tcPr>
            <w:tcW w:w="1136" w:type="dxa"/>
            <w:tcBorders>
              <w:top w:val="nil"/>
              <w:left w:val="nil"/>
              <w:bottom w:val="nil"/>
              <w:right w:val="nil"/>
            </w:tcBorders>
            <w:shd w:val="clear" w:color="auto" w:fill="auto"/>
            <w:noWrap/>
            <w:vAlign w:val="center"/>
            <w:hideMark/>
          </w:tcPr>
          <w:p w14:paraId="38DB7A5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48.00</w:t>
            </w:r>
          </w:p>
        </w:tc>
      </w:tr>
      <w:tr w:rsidR="00D94396" w:rsidRPr="00C478C9" w14:paraId="3A2937C8" w14:textId="77777777" w:rsidTr="00FF50E3">
        <w:trPr>
          <w:trHeight w:val="600"/>
        </w:trPr>
        <w:tc>
          <w:tcPr>
            <w:tcW w:w="3261" w:type="dxa"/>
            <w:gridSpan w:val="2"/>
            <w:tcBorders>
              <w:top w:val="nil"/>
              <w:left w:val="nil"/>
              <w:bottom w:val="nil"/>
              <w:right w:val="nil"/>
            </w:tcBorders>
            <w:shd w:val="clear" w:color="auto" w:fill="auto"/>
            <w:vAlign w:val="center"/>
            <w:hideMark/>
          </w:tcPr>
          <w:p w14:paraId="14D4C82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Computer equipment &amp; services</w:t>
            </w:r>
          </w:p>
        </w:tc>
        <w:tc>
          <w:tcPr>
            <w:tcW w:w="944" w:type="dxa"/>
            <w:tcBorders>
              <w:top w:val="nil"/>
              <w:left w:val="nil"/>
              <w:bottom w:val="nil"/>
              <w:right w:val="nil"/>
            </w:tcBorders>
            <w:shd w:val="clear" w:color="auto" w:fill="auto"/>
            <w:noWrap/>
            <w:vAlign w:val="bottom"/>
            <w:hideMark/>
          </w:tcPr>
          <w:p w14:paraId="420F4301"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5E8A581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225</w:t>
            </w:r>
          </w:p>
        </w:tc>
        <w:tc>
          <w:tcPr>
            <w:tcW w:w="1065" w:type="dxa"/>
            <w:tcBorders>
              <w:top w:val="nil"/>
              <w:left w:val="nil"/>
              <w:bottom w:val="nil"/>
              <w:right w:val="nil"/>
            </w:tcBorders>
            <w:shd w:val="clear" w:color="auto" w:fill="auto"/>
            <w:noWrap/>
            <w:vAlign w:val="bottom"/>
            <w:hideMark/>
          </w:tcPr>
          <w:p w14:paraId="7C62B602"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71ED5F6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113.74</w:t>
            </w:r>
          </w:p>
        </w:tc>
        <w:tc>
          <w:tcPr>
            <w:tcW w:w="943" w:type="dxa"/>
            <w:tcBorders>
              <w:top w:val="nil"/>
              <w:left w:val="nil"/>
              <w:bottom w:val="nil"/>
              <w:right w:val="nil"/>
            </w:tcBorders>
            <w:shd w:val="clear" w:color="auto" w:fill="auto"/>
            <w:noWrap/>
            <w:vAlign w:val="center"/>
            <w:hideMark/>
          </w:tcPr>
          <w:p w14:paraId="3A71522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91.00</w:t>
            </w:r>
          </w:p>
        </w:tc>
        <w:tc>
          <w:tcPr>
            <w:tcW w:w="271" w:type="dxa"/>
            <w:tcBorders>
              <w:top w:val="nil"/>
              <w:left w:val="nil"/>
              <w:bottom w:val="nil"/>
              <w:right w:val="nil"/>
            </w:tcBorders>
            <w:shd w:val="clear" w:color="auto" w:fill="auto"/>
            <w:noWrap/>
            <w:vAlign w:val="bottom"/>
            <w:hideMark/>
          </w:tcPr>
          <w:p w14:paraId="28686487"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47E54CC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600</w:t>
            </w:r>
          </w:p>
        </w:tc>
        <w:tc>
          <w:tcPr>
            <w:tcW w:w="754" w:type="dxa"/>
            <w:tcBorders>
              <w:top w:val="nil"/>
              <w:left w:val="nil"/>
              <w:bottom w:val="nil"/>
              <w:right w:val="nil"/>
            </w:tcBorders>
            <w:shd w:val="clear" w:color="auto" w:fill="auto"/>
            <w:noWrap/>
            <w:vAlign w:val="center"/>
            <w:hideMark/>
          </w:tcPr>
          <w:p w14:paraId="42BF884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2.67</w:t>
            </w:r>
          </w:p>
        </w:tc>
        <w:tc>
          <w:tcPr>
            <w:tcW w:w="938" w:type="dxa"/>
            <w:gridSpan w:val="2"/>
            <w:tcBorders>
              <w:top w:val="nil"/>
              <w:left w:val="nil"/>
              <w:bottom w:val="nil"/>
              <w:right w:val="nil"/>
            </w:tcBorders>
            <w:shd w:val="clear" w:color="auto" w:fill="auto"/>
            <w:noWrap/>
            <w:vAlign w:val="center"/>
            <w:hideMark/>
          </w:tcPr>
          <w:p w14:paraId="48DBA35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2D155BFA"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277661D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5908</w:t>
            </w:r>
          </w:p>
        </w:tc>
        <w:tc>
          <w:tcPr>
            <w:tcW w:w="754" w:type="dxa"/>
            <w:tcBorders>
              <w:top w:val="nil"/>
              <w:left w:val="nil"/>
              <w:bottom w:val="nil"/>
              <w:right w:val="nil"/>
            </w:tcBorders>
            <w:shd w:val="clear" w:color="auto" w:fill="auto"/>
            <w:noWrap/>
            <w:vAlign w:val="center"/>
            <w:hideMark/>
          </w:tcPr>
          <w:p w14:paraId="0394045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25.80</w:t>
            </w:r>
          </w:p>
        </w:tc>
        <w:tc>
          <w:tcPr>
            <w:tcW w:w="1136" w:type="dxa"/>
            <w:tcBorders>
              <w:top w:val="nil"/>
              <w:left w:val="nil"/>
              <w:bottom w:val="nil"/>
              <w:right w:val="nil"/>
            </w:tcBorders>
            <w:shd w:val="clear" w:color="auto" w:fill="auto"/>
            <w:noWrap/>
            <w:vAlign w:val="center"/>
            <w:hideMark/>
          </w:tcPr>
          <w:p w14:paraId="60766C6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21.00</w:t>
            </w:r>
          </w:p>
        </w:tc>
      </w:tr>
      <w:tr w:rsidR="00D94396" w:rsidRPr="00C478C9" w14:paraId="60BC12A4" w14:textId="77777777" w:rsidTr="00FF50E3">
        <w:trPr>
          <w:trHeight w:val="300"/>
        </w:trPr>
        <w:tc>
          <w:tcPr>
            <w:tcW w:w="3261" w:type="dxa"/>
            <w:gridSpan w:val="2"/>
            <w:tcBorders>
              <w:top w:val="nil"/>
              <w:left w:val="nil"/>
              <w:bottom w:val="nil"/>
              <w:right w:val="nil"/>
            </w:tcBorders>
            <w:shd w:val="clear" w:color="auto" w:fill="auto"/>
            <w:vAlign w:val="center"/>
            <w:hideMark/>
          </w:tcPr>
          <w:p w14:paraId="5A4DCC5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Electronic equipment</w:t>
            </w:r>
          </w:p>
        </w:tc>
        <w:tc>
          <w:tcPr>
            <w:tcW w:w="944" w:type="dxa"/>
            <w:tcBorders>
              <w:top w:val="nil"/>
              <w:left w:val="nil"/>
              <w:bottom w:val="nil"/>
              <w:right w:val="nil"/>
            </w:tcBorders>
            <w:shd w:val="clear" w:color="auto" w:fill="auto"/>
            <w:noWrap/>
            <w:vAlign w:val="bottom"/>
            <w:hideMark/>
          </w:tcPr>
          <w:p w14:paraId="75A634BF"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0442743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63</w:t>
            </w:r>
          </w:p>
        </w:tc>
        <w:tc>
          <w:tcPr>
            <w:tcW w:w="1065" w:type="dxa"/>
            <w:tcBorders>
              <w:top w:val="nil"/>
              <w:left w:val="nil"/>
              <w:bottom w:val="nil"/>
              <w:right w:val="nil"/>
            </w:tcBorders>
            <w:shd w:val="clear" w:color="auto" w:fill="auto"/>
            <w:noWrap/>
            <w:vAlign w:val="bottom"/>
            <w:hideMark/>
          </w:tcPr>
          <w:p w14:paraId="0471C431"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1B804D9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136.57</w:t>
            </w:r>
          </w:p>
        </w:tc>
        <w:tc>
          <w:tcPr>
            <w:tcW w:w="943" w:type="dxa"/>
            <w:tcBorders>
              <w:top w:val="nil"/>
              <w:left w:val="nil"/>
              <w:bottom w:val="nil"/>
              <w:right w:val="nil"/>
            </w:tcBorders>
            <w:shd w:val="clear" w:color="auto" w:fill="auto"/>
            <w:noWrap/>
            <w:vAlign w:val="center"/>
            <w:hideMark/>
          </w:tcPr>
          <w:p w14:paraId="242D5FC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111.00</w:t>
            </w:r>
          </w:p>
        </w:tc>
        <w:tc>
          <w:tcPr>
            <w:tcW w:w="271" w:type="dxa"/>
            <w:tcBorders>
              <w:top w:val="nil"/>
              <w:left w:val="nil"/>
              <w:bottom w:val="nil"/>
              <w:right w:val="nil"/>
            </w:tcBorders>
            <w:shd w:val="clear" w:color="auto" w:fill="auto"/>
            <w:noWrap/>
            <w:vAlign w:val="bottom"/>
            <w:hideMark/>
          </w:tcPr>
          <w:p w14:paraId="7BBFA7BC"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0292C6B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204</w:t>
            </w:r>
          </w:p>
        </w:tc>
        <w:tc>
          <w:tcPr>
            <w:tcW w:w="754" w:type="dxa"/>
            <w:tcBorders>
              <w:top w:val="nil"/>
              <w:left w:val="nil"/>
              <w:bottom w:val="nil"/>
              <w:right w:val="nil"/>
            </w:tcBorders>
            <w:shd w:val="clear" w:color="auto" w:fill="auto"/>
            <w:noWrap/>
            <w:vAlign w:val="center"/>
            <w:hideMark/>
          </w:tcPr>
          <w:p w14:paraId="53DE383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3.24</w:t>
            </w:r>
          </w:p>
        </w:tc>
        <w:tc>
          <w:tcPr>
            <w:tcW w:w="938" w:type="dxa"/>
            <w:gridSpan w:val="2"/>
            <w:tcBorders>
              <w:top w:val="nil"/>
              <w:left w:val="nil"/>
              <w:bottom w:val="nil"/>
              <w:right w:val="nil"/>
            </w:tcBorders>
            <w:shd w:val="clear" w:color="auto" w:fill="auto"/>
            <w:noWrap/>
            <w:vAlign w:val="center"/>
            <w:hideMark/>
          </w:tcPr>
          <w:p w14:paraId="0F1F78B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4567C493"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38ED140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1975</w:t>
            </w:r>
          </w:p>
        </w:tc>
        <w:tc>
          <w:tcPr>
            <w:tcW w:w="754" w:type="dxa"/>
            <w:tcBorders>
              <w:top w:val="nil"/>
              <w:left w:val="nil"/>
              <w:bottom w:val="nil"/>
              <w:right w:val="nil"/>
            </w:tcBorders>
            <w:shd w:val="clear" w:color="auto" w:fill="auto"/>
            <w:noWrap/>
            <w:vAlign w:val="center"/>
            <w:hideMark/>
          </w:tcPr>
          <w:p w14:paraId="7A26BF4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31.35</w:t>
            </w:r>
          </w:p>
        </w:tc>
        <w:tc>
          <w:tcPr>
            <w:tcW w:w="1136" w:type="dxa"/>
            <w:tcBorders>
              <w:top w:val="nil"/>
              <w:left w:val="nil"/>
              <w:bottom w:val="nil"/>
              <w:right w:val="nil"/>
            </w:tcBorders>
            <w:shd w:val="clear" w:color="auto" w:fill="auto"/>
            <w:noWrap/>
            <w:vAlign w:val="center"/>
            <w:hideMark/>
          </w:tcPr>
          <w:p w14:paraId="3B84624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32.00</w:t>
            </w:r>
          </w:p>
        </w:tc>
      </w:tr>
      <w:tr w:rsidR="00D94396" w:rsidRPr="00C478C9" w14:paraId="662FC35B" w14:textId="77777777" w:rsidTr="00FF50E3">
        <w:trPr>
          <w:trHeight w:val="600"/>
        </w:trPr>
        <w:tc>
          <w:tcPr>
            <w:tcW w:w="3261" w:type="dxa"/>
            <w:gridSpan w:val="2"/>
            <w:tcBorders>
              <w:top w:val="nil"/>
              <w:left w:val="nil"/>
              <w:bottom w:val="nil"/>
              <w:right w:val="nil"/>
            </w:tcBorders>
            <w:shd w:val="clear" w:color="auto" w:fill="auto"/>
            <w:vAlign w:val="center"/>
            <w:hideMark/>
          </w:tcPr>
          <w:p w14:paraId="2A24024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Transportation &amp; public utilities</w:t>
            </w:r>
          </w:p>
        </w:tc>
        <w:tc>
          <w:tcPr>
            <w:tcW w:w="944" w:type="dxa"/>
            <w:tcBorders>
              <w:top w:val="nil"/>
              <w:left w:val="nil"/>
              <w:bottom w:val="nil"/>
              <w:right w:val="nil"/>
            </w:tcBorders>
            <w:shd w:val="clear" w:color="auto" w:fill="auto"/>
            <w:noWrap/>
            <w:vAlign w:val="bottom"/>
            <w:hideMark/>
          </w:tcPr>
          <w:p w14:paraId="427862CA"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1F72C90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47</w:t>
            </w:r>
          </w:p>
        </w:tc>
        <w:tc>
          <w:tcPr>
            <w:tcW w:w="1065" w:type="dxa"/>
            <w:tcBorders>
              <w:top w:val="nil"/>
              <w:left w:val="nil"/>
              <w:bottom w:val="nil"/>
              <w:right w:val="nil"/>
            </w:tcBorders>
            <w:shd w:val="clear" w:color="auto" w:fill="auto"/>
            <w:noWrap/>
            <w:vAlign w:val="bottom"/>
            <w:hideMark/>
          </w:tcPr>
          <w:p w14:paraId="11971618"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6C37568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169.55</w:t>
            </w:r>
          </w:p>
        </w:tc>
        <w:tc>
          <w:tcPr>
            <w:tcW w:w="943" w:type="dxa"/>
            <w:tcBorders>
              <w:top w:val="nil"/>
              <w:left w:val="nil"/>
              <w:bottom w:val="nil"/>
              <w:right w:val="nil"/>
            </w:tcBorders>
            <w:shd w:val="clear" w:color="auto" w:fill="auto"/>
            <w:noWrap/>
            <w:vAlign w:val="center"/>
            <w:hideMark/>
          </w:tcPr>
          <w:p w14:paraId="22007C8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107.00</w:t>
            </w:r>
          </w:p>
        </w:tc>
        <w:tc>
          <w:tcPr>
            <w:tcW w:w="271" w:type="dxa"/>
            <w:tcBorders>
              <w:top w:val="nil"/>
              <w:left w:val="nil"/>
              <w:bottom w:val="nil"/>
              <w:right w:val="nil"/>
            </w:tcBorders>
            <w:shd w:val="clear" w:color="auto" w:fill="auto"/>
            <w:noWrap/>
            <w:vAlign w:val="bottom"/>
            <w:hideMark/>
          </w:tcPr>
          <w:p w14:paraId="07B4F82B"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44A14FE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152</w:t>
            </w:r>
          </w:p>
        </w:tc>
        <w:tc>
          <w:tcPr>
            <w:tcW w:w="754" w:type="dxa"/>
            <w:tcBorders>
              <w:top w:val="nil"/>
              <w:left w:val="nil"/>
              <w:bottom w:val="nil"/>
              <w:right w:val="nil"/>
            </w:tcBorders>
            <w:shd w:val="clear" w:color="auto" w:fill="auto"/>
            <w:noWrap/>
            <w:vAlign w:val="center"/>
            <w:hideMark/>
          </w:tcPr>
          <w:p w14:paraId="7B83394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3.23</w:t>
            </w:r>
          </w:p>
        </w:tc>
        <w:tc>
          <w:tcPr>
            <w:tcW w:w="938" w:type="dxa"/>
            <w:gridSpan w:val="2"/>
            <w:tcBorders>
              <w:top w:val="nil"/>
              <w:left w:val="nil"/>
              <w:bottom w:val="nil"/>
              <w:right w:val="nil"/>
            </w:tcBorders>
            <w:shd w:val="clear" w:color="auto" w:fill="auto"/>
            <w:noWrap/>
            <w:vAlign w:val="center"/>
            <w:hideMark/>
          </w:tcPr>
          <w:p w14:paraId="7439CD0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687C97FB"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0EDF68C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1779</w:t>
            </w:r>
          </w:p>
        </w:tc>
        <w:tc>
          <w:tcPr>
            <w:tcW w:w="754" w:type="dxa"/>
            <w:tcBorders>
              <w:top w:val="nil"/>
              <w:left w:val="nil"/>
              <w:bottom w:val="nil"/>
              <w:right w:val="nil"/>
            </w:tcBorders>
            <w:shd w:val="clear" w:color="auto" w:fill="auto"/>
            <w:noWrap/>
            <w:vAlign w:val="center"/>
            <w:hideMark/>
          </w:tcPr>
          <w:p w14:paraId="2BC45A8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37.85</w:t>
            </w:r>
          </w:p>
        </w:tc>
        <w:tc>
          <w:tcPr>
            <w:tcW w:w="1136" w:type="dxa"/>
            <w:tcBorders>
              <w:top w:val="nil"/>
              <w:left w:val="nil"/>
              <w:bottom w:val="nil"/>
              <w:right w:val="nil"/>
            </w:tcBorders>
            <w:shd w:val="clear" w:color="auto" w:fill="auto"/>
            <w:noWrap/>
            <w:vAlign w:val="center"/>
            <w:hideMark/>
          </w:tcPr>
          <w:p w14:paraId="26D2205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41.00</w:t>
            </w:r>
          </w:p>
        </w:tc>
      </w:tr>
      <w:tr w:rsidR="00D94396" w:rsidRPr="00C478C9" w14:paraId="333906C0" w14:textId="77777777" w:rsidTr="00FF50E3">
        <w:trPr>
          <w:trHeight w:val="300"/>
        </w:trPr>
        <w:tc>
          <w:tcPr>
            <w:tcW w:w="3261" w:type="dxa"/>
            <w:gridSpan w:val="2"/>
            <w:tcBorders>
              <w:top w:val="nil"/>
              <w:left w:val="nil"/>
              <w:bottom w:val="nil"/>
              <w:right w:val="nil"/>
            </w:tcBorders>
            <w:shd w:val="clear" w:color="auto" w:fill="auto"/>
            <w:vAlign w:val="center"/>
            <w:hideMark/>
          </w:tcPr>
          <w:p w14:paraId="51666FC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Scientific instruments</w:t>
            </w:r>
          </w:p>
        </w:tc>
        <w:tc>
          <w:tcPr>
            <w:tcW w:w="944" w:type="dxa"/>
            <w:tcBorders>
              <w:top w:val="nil"/>
              <w:left w:val="nil"/>
              <w:bottom w:val="nil"/>
              <w:right w:val="nil"/>
            </w:tcBorders>
            <w:shd w:val="clear" w:color="auto" w:fill="auto"/>
            <w:noWrap/>
            <w:vAlign w:val="bottom"/>
            <w:hideMark/>
          </w:tcPr>
          <w:p w14:paraId="61DAC01E"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00919C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64</w:t>
            </w:r>
          </w:p>
        </w:tc>
        <w:tc>
          <w:tcPr>
            <w:tcW w:w="1065" w:type="dxa"/>
            <w:tcBorders>
              <w:top w:val="nil"/>
              <w:left w:val="nil"/>
              <w:bottom w:val="nil"/>
              <w:right w:val="nil"/>
            </w:tcBorders>
            <w:shd w:val="clear" w:color="auto" w:fill="auto"/>
            <w:noWrap/>
            <w:vAlign w:val="bottom"/>
            <w:hideMark/>
          </w:tcPr>
          <w:p w14:paraId="182F1A86"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62194CB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103.05</w:t>
            </w:r>
          </w:p>
        </w:tc>
        <w:tc>
          <w:tcPr>
            <w:tcW w:w="943" w:type="dxa"/>
            <w:tcBorders>
              <w:top w:val="nil"/>
              <w:left w:val="nil"/>
              <w:bottom w:val="nil"/>
              <w:right w:val="nil"/>
            </w:tcBorders>
            <w:shd w:val="clear" w:color="auto" w:fill="auto"/>
            <w:noWrap/>
            <w:vAlign w:val="center"/>
            <w:hideMark/>
          </w:tcPr>
          <w:p w14:paraId="7FA1C22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84.50</w:t>
            </w:r>
          </w:p>
        </w:tc>
        <w:tc>
          <w:tcPr>
            <w:tcW w:w="271" w:type="dxa"/>
            <w:tcBorders>
              <w:top w:val="nil"/>
              <w:left w:val="nil"/>
              <w:bottom w:val="nil"/>
              <w:right w:val="nil"/>
            </w:tcBorders>
            <w:shd w:val="clear" w:color="auto" w:fill="auto"/>
            <w:noWrap/>
            <w:vAlign w:val="bottom"/>
            <w:hideMark/>
          </w:tcPr>
          <w:p w14:paraId="7BA15329"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770050B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171</w:t>
            </w:r>
          </w:p>
        </w:tc>
        <w:tc>
          <w:tcPr>
            <w:tcW w:w="754" w:type="dxa"/>
            <w:tcBorders>
              <w:top w:val="nil"/>
              <w:left w:val="nil"/>
              <w:bottom w:val="nil"/>
              <w:right w:val="nil"/>
            </w:tcBorders>
            <w:shd w:val="clear" w:color="auto" w:fill="auto"/>
            <w:noWrap/>
            <w:vAlign w:val="center"/>
            <w:hideMark/>
          </w:tcPr>
          <w:p w14:paraId="622664C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2.67</w:t>
            </w:r>
          </w:p>
        </w:tc>
        <w:tc>
          <w:tcPr>
            <w:tcW w:w="938" w:type="dxa"/>
            <w:gridSpan w:val="2"/>
            <w:tcBorders>
              <w:top w:val="nil"/>
              <w:left w:val="nil"/>
              <w:bottom w:val="nil"/>
              <w:right w:val="nil"/>
            </w:tcBorders>
            <w:shd w:val="clear" w:color="auto" w:fill="auto"/>
            <w:noWrap/>
            <w:vAlign w:val="center"/>
            <w:hideMark/>
          </w:tcPr>
          <w:p w14:paraId="75F646A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2.00</w:t>
            </w:r>
          </w:p>
        </w:tc>
        <w:tc>
          <w:tcPr>
            <w:tcW w:w="520" w:type="dxa"/>
            <w:gridSpan w:val="2"/>
            <w:tcBorders>
              <w:top w:val="nil"/>
              <w:left w:val="nil"/>
              <w:bottom w:val="nil"/>
              <w:right w:val="nil"/>
            </w:tcBorders>
            <w:shd w:val="clear" w:color="auto" w:fill="auto"/>
            <w:noWrap/>
            <w:vAlign w:val="bottom"/>
            <w:hideMark/>
          </w:tcPr>
          <w:p w14:paraId="0401F66D"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5A57611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1824</w:t>
            </w:r>
          </w:p>
        </w:tc>
        <w:tc>
          <w:tcPr>
            <w:tcW w:w="754" w:type="dxa"/>
            <w:tcBorders>
              <w:top w:val="nil"/>
              <w:left w:val="nil"/>
              <w:bottom w:val="nil"/>
              <w:right w:val="nil"/>
            </w:tcBorders>
            <w:shd w:val="clear" w:color="auto" w:fill="auto"/>
            <w:noWrap/>
            <w:vAlign w:val="center"/>
            <w:hideMark/>
          </w:tcPr>
          <w:p w14:paraId="65341FE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28.50</w:t>
            </w:r>
          </w:p>
        </w:tc>
        <w:tc>
          <w:tcPr>
            <w:tcW w:w="1136" w:type="dxa"/>
            <w:tcBorders>
              <w:top w:val="nil"/>
              <w:left w:val="nil"/>
              <w:bottom w:val="nil"/>
              <w:right w:val="nil"/>
            </w:tcBorders>
            <w:shd w:val="clear" w:color="auto" w:fill="auto"/>
            <w:noWrap/>
            <w:vAlign w:val="center"/>
            <w:hideMark/>
          </w:tcPr>
          <w:p w14:paraId="1BB96A8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28.00</w:t>
            </w:r>
          </w:p>
        </w:tc>
      </w:tr>
      <w:tr w:rsidR="00D94396" w:rsidRPr="00C478C9" w14:paraId="5F6308FE" w14:textId="77777777" w:rsidTr="00FF50E3">
        <w:trPr>
          <w:trHeight w:val="300"/>
        </w:trPr>
        <w:tc>
          <w:tcPr>
            <w:tcW w:w="3261" w:type="dxa"/>
            <w:gridSpan w:val="2"/>
            <w:tcBorders>
              <w:top w:val="nil"/>
              <w:left w:val="nil"/>
              <w:bottom w:val="nil"/>
              <w:right w:val="nil"/>
            </w:tcBorders>
            <w:shd w:val="clear" w:color="auto" w:fill="auto"/>
            <w:vAlign w:val="center"/>
            <w:hideMark/>
          </w:tcPr>
          <w:p w14:paraId="2DC4CCB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Wholesale trade</w:t>
            </w:r>
          </w:p>
        </w:tc>
        <w:tc>
          <w:tcPr>
            <w:tcW w:w="944" w:type="dxa"/>
            <w:tcBorders>
              <w:top w:val="nil"/>
              <w:left w:val="nil"/>
              <w:bottom w:val="nil"/>
              <w:right w:val="nil"/>
            </w:tcBorders>
            <w:shd w:val="clear" w:color="auto" w:fill="auto"/>
            <w:noWrap/>
            <w:vAlign w:val="bottom"/>
            <w:hideMark/>
          </w:tcPr>
          <w:p w14:paraId="71ED6D14"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3C7E7CB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20</w:t>
            </w:r>
          </w:p>
        </w:tc>
        <w:tc>
          <w:tcPr>
            <w:tcW w:w="1065" w:type="dxa"/>
            <w:tcBorders>
              <w:top w:val="nil"/>
              <w:left w:val="nil"/>
              <w:bottom w:val="nil"/>
              <w:right w:val="nil"/>
            </w:tcBorders>
            <w:shd w:val="clear" w:color="auto" w:fill="auto"/>
            <w:noWrap/>
            <w:vAlign w:val="bottom"/>
            <w:hideMark/>
          </w:tcPr>
          <w:p w14:paraId="5B847531"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0390AF6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247.70</w:t>
            </w:r>
          </w:p>
        </w:tc>
        <w:tc>
          <w:tcPr>
            <w:tcW w:w="943" w:type="dxa"/>
            <w:tcBorders>
              <w:top w:val="nil"/>
              <w:left w:val="nil"/>
              <w:bottom w:val="nil"/>
              <w:right w:val="nil"/>
            </w:tcBorders>
            <w:shd w:val="clear" w:color="auto" w:fill="auto"/>
            <w:noWrap/>
            <w:vAlign w:val="center"/>
            <w:hideMark/>
          </w:tcPr>
          <w:p w14:paraId="60A674C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107.50</w:t>
            </w:r>
          </w:p>
        </w:tc>
        <w:tc>
          <w:tcPr>
            <w:tcW w:w="271" w:type="dxa"/>
            <w:tcBorders>
              <w:top w:val="nil"/>
              <w:left w:val="nil"/>
              <w:bottom w:val="nil"/>
              <w:right w:val="nil"/>
            </w:tcBorders>
            <w:shd w:val="clear" w:color="auto" w:fill="auto"/>
            <w:noWrap/>
            <w:vAlign w:val="bottom"/>
            <w:hideMark/>
          </w:tcPr>
          <w:p w14:paraId="6CDC1A57"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52EB601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78</w:t>
            </w:r>
          </w:p>
        </w:tc>
        <w:tc>
          <w:tcPr>
            <w:tcW w:w="754" w:type="dxa"/>
            <w:tcBorders>
              <w:top w:val="nil"/>
              <w:left w:val="nil"/>
              <w:bottom w:val="nil"/>
              <w:right w:val="nil"/>
            </w:tcBorders>
            <w:shd w:val="clear" w:color="auto" w:fill="auto"/>
            <w:noWrap/>
            <w:vAlign w:val="center"/>
            <w:hideMark/>
          </w:tcPr>
          <w:p w14:paraId="2AD1F5C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3.90</w:t>
            </w:r>
          </w:p>
        </w:tc>
        <w:tc>
          <w:tcPr>
            <w:tcW w:w="938" w:type="dxa"/>
            <w:gridSpan w:val="2"/>
            <w:tcBorders>
              <w:top w:val="nil"/>
              <w:left w:val="nil"/>
              <w:bottom w:val="nil"/>
              <w:right w:val="nil"/>
            </w:tcBorders>
            <w:shd w:val="clear" w:color="auto" w:fill="auto"/>
            <w:noWrap/>
            <w:vAlign w:val="center"/>
            <w:hideMark/>
          </w:tcPr>
          <w:p w14:paraId="53CF69B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5717DD82"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4999B55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735</w:t>
            </w:r>
          </w:p>
        </w:tc>
        <w:tc>
          <w:tcPr>
            <w:tcW w:w="754" w:type="dxa"/>
            <w:tcBorders>
              <w:top w:val="nil"/>
              <w:left w:val="nil"/>
              <w:bottom w:val="nil"/>
              <w:right w:val="nil"/>
            </w:tcBorders>
            <w:shd w:val="clear" w:color="auto" w:fill="auto"/>
            <w:noWrap/>
            <w:vAlign w:val="center"/>
            <w:hideMark/>
          </w:tcPr>
          <w:p w14:paraId="28CFBBA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36.75</w:t>
            </w:r>
          </w:p>
        </w:tc>
        <w:tc>
          <w:tcPr>
            <w:tcW w:w="1136" w:type="dxa"/>
            <w:tcBorders>
              <w:top w:val="nil"/>
              <w:left w:val="nil"/>
              <w:bottom w:val="nil"/>
              <w:right w:val="nil"/>
            </w:tcBorders>
            <w:shd w:val="clear" w:color="auto" w:fill="auto"/>
            <w:noWrap/>
            <w:vAlign w:val="center"/>
            <w:hideMark/>
          </w:tcPr>
          <w:p w14:paraId="445DD93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35.00</w:t>
            </w:r>
          </w:p>
        </w:tc>
      </w:tr>
      <w:tr w:rsidR="00D94396" w:rsidRPr="00C478C9" w14:paraId="2980BFF0" w14:textId="77777777" w:rsidTr="00FF50E3">
        <w:trPr>
          <w:trHeight w:val="300"/>
        </w:trPr>
        <w:tc>
          <w:tcPr>
            <w:tcW w:w="3261" w:type="dxa"/>
            <w:gridSpan w:val="2"/>
            <w:tcBorders>
              <w:top w:val="nil"/>
              <w:left w:val="nil"/>
              <w:bottom w:val="nil"/>
              <w:right w:val="nil"/>
            </w:tcBorders>
            <w:shd w:val="clear" w:color="auto" w:fill="auto"/>
            <w:vAlign w:val="center"/>
            <w:hideMark/>
          </w:tcPr>
          <w:p w14:paraId="755CD55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Retail trade</w:t>
            </w:r>
          </w:p>
        </w:tc>
        <w:tc>
          <w:tcPr>
            <w:tcW w:w="944" w:type="dxa"/>
            <w:tcBorders>
              <w:top w:val="nil"/>
              <w:left w:val="nil"/>
              <w:bottom w:val="nil"/>
              <w:right w:val="nil"/>
            </w:tcBorders>
            <w:shd w:val="clear" w:color="auto" w:fill="auto"/>
            <w:noWrap/>
            <w:vAlign w:val="bottom"/>
            <w:hideMark/>
          </w:tcPr>
          <w:p w14:paraId="05710EA6"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5D4BB80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57</w:t>
            </w:r>
          </w:p>
        </w:tc>
        <w:tc>
          <w:tcPr>
            <w:tcW w:w="1065" w:type="dxa"/>
            <w:tcBorders>
              <w:top w:val="nil"/>
              <w:left w:val="nil"/>
              <w:bottom w:val="nil"/>
              <w:right w:val="nil"/>
            </w:tcBorders>
            <w:shd w:val="clear" w:color="auto" w:fill="auto"/>
            <w:noWrap/>
            <w:vAlign w:val="bottom"/>
            <w:hideMark/>
          </w:tcPr>
          <w:p w14:paraId="3CDF56C2"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5F101A2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122.68</w:t>
            </w:r>
          </w:p>
        </w:tc>
        <w:tc>
          <w:tcPr>
            <w:tcW w:w="943" w:type="dxa"/>
            <w:tcBorders>
              <w:top w:val="nil"/>
              <w:left w:val="nil"/>
              <w:bottom w:val="nil"/>
              <w:right w:val="nil"/>
            </w:tcBorders>
            <w:shd w:val="clear" w:color="auto" w:fill="auto"/>
            <w:noWrap/>
            <w:vAlign w:val="center"/>
            <w:hideMark/>
          </w:tcPr>
          <w:p w14:paraId="07C75309"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92.00</w:t>
            </w:r>
          </w:p>
        </w:tc>
        <w:tc>
          <w:tcPr>
            <w:tcW w:w="271" w:type="dxa"/>
            <w:tcBorders>
              <w:top w:val="nil"/>
              <w:left w:val="nil"/>
              <w:bottom w:val="nil"/>
              <w:right w:val="nil"/>
            </w:tcBorders>
            <w:shd w:val="clear" w:color="auto" w:fill="auto"/>
            <w:noWrap/>
            <w:vAlign w:val="bottom"/>
            <w:hideMark/>
          </w:tcPr>
          <w:p w14:paraId="04C93B18"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36ECAB6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80</w:t>
            </w:r>
          </w:p>
        </w:tc>
        <w:tc>
          <w:tcPr>
            <w:tcW w:w="754" w:type="dxa"/>
            <w:tcBorders>
              <w:top w:val="nil"/>
              <w:left w:val="nil"/>
              <w:bottom w:val="nil"/>
              <w:right w:val="nil"/>
            </w:tcBorders>
            <w:shd w:val="clear" w:color="auto" w:fill="auto"/>
            <w:noWrap/>
            <w:vAlign w:val="center"/>
            <w:hideMark/>
          </w:tcPr>
          <w:p w14:paraId="3077BA2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3.46</w:t>
            </w:r>
          </w:p>
        </w:tc>
        <w:tc>
          <w:tcPr>
            <w:tcW w:w="938" w:type="dxa"/>
            <w:gridSpan w:val="2"/>
            <w:tcBorders>
              <w:top w:val="nil"/>
              <w:left w:val="nil"/>
              <w:bottom w:val="nil"/>
              <w:right w:val="nil"/>
            </w:tcBorders>
            <w:shd w:val="clear" w:color="auto" w:fill="auto"/>
            <w:noWrap/>
            <w:vAlign w:val="center"/>
            <w:hideMark/>
          </w:tcPr>
          <w:p w14:paraId="7C2C2A3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455BD8CB"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6F98BDB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2200</w:t>
            </w:r>
          </w:p>
        </w:tc>
        <w:tc>
          <w:tcPr>
            <w:tcW w:w="754" w:type="dxa"/>
            <w:tcBorders>
              <w:top w:val="nil"/>
              <w:left w:val="nil"/>
              <w:bottom w:val="nil"/>
              <w:right w:val="nil"/>
            </w:tcBorders>
            <w:shd w:val="clear" w:color="auto" w:fill="auto"/>
            <w:noWrap/>
            <w:vAlign w:val="center"/>
            <w:hideMark/>
          </w:tcPr>
          <w:p w14:paraId="51B3B4E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38.60</w:t>
            </w:r>
          </w:p>
        </w:tc>
        <w:tc>
          <w:tcPr>
            <w:tcW w:w="1136" w:type="dxa"/>
            <w:tcBorders>
              <w:top w:val="nil"/>
              <w:left w:val="nil"/>
              <w:bottom w:val="nil"/>
              <w:right w:val="nil"/>
            </w:tcBorders>
            <w:shd w:val="clear" w:color="auto" w:fill="auto"/>
            <w:noWrap/>
            <w:vAlign w:val="center"/>
            <w:hideMark/>
          </w:tcPr>
          <w:p w14:paraId="762FF96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42.00</w:t>
            </w:r>
          </w:p>
        </w:tc>
      </w:tr>
      <w:tr w:rsidR="00D94396" w:rsidRPr="00C478C9" w14:paraId="3E84EE8E" w14:textId="77777777" w:rsidTr="00FF50E3">
        <w:trPr>
          <w:trHeight w:val="300"/>
        </w:trPr>
        <w:tc>
          <w:tcPr>
            <w:tcW w:w="3261" w:type="dxa"/>
            <w:gridSpan w:val="2"/>
            <w:tcBorders>
              <w:top w:val="nil"/>
              <w:left w:val="nil"/>
              <w:bottom w:val="nil"/>
              <w:right w:val="nil"/>
            </w:tcBorders>
            <w:shd w:val="clear" w:color="auto" w:fill="auto"/>
            <w:vAlign w:val="center"/>
            <w:hideMark/>
          </w:tcPr>
          <w:p w14:paraId="4B501F0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Entertainment services</w:t>
            </w:r>
          </w:p>
        </w:tc>
        <w:tc>
          <w:tcPr>
            <w:tcW w:w="944" w:type="dxa"/>
            <w:tcBorders>
              <w:top w:val="nil"/>
              <w:left w:val="nil"/>
              <w:bottom w:val="nil"/>
              <w:right w:val="nil"/>
            </w:tcBorders>
            <w:shd w:val="clear" w:color="auto" w:fill="auto"/>
            <w:noWrap/>
            <w:vAlign w:val="bottom"/>
            <w:hideMark/>
          </w:tcPr>
          <w:p w14:paraId="5BC3E66D"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056BBFF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w:t>
            </w:r>
          </w:p>
        </w:tc>
        <w:tc>
          <w:tcPr>
            <w:tcW w:w="1065" w:type="dxa"/>
            <w:tcBorders>
              <w:top w:val="nil"/>
              <w:left w:val="nil"/>
              <w:bottom w:val="nil"/>
              <w:right w:val="nil"/>
            </w:tcBorders>
            <w:shd w:val="clear" w:color="auto" w:fill="auto"/>
            <w:noWrap/>
            <w:vAlign w:val="bottom"/>
            <w:hideMark/>
          </w:tcPr>
          <w:p w14:paraId="11B0FEF7"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4E320A1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97.29</w:t>
            </w:r>
          </w:p>
        </w:tc>
        <w:tc>
          <w:tcPr>
            <w:tcW w:w="943" w:type="dxa"/>
            <w:tcBorders>
              <w:top w:val="nil"/>
              <w:left w:val="nil"/>
              <w:bottom w:val="nil"/>
              <w:right w:val="nil"/>
            </w:tcBorders>
            <w:shd w:val="clear" w:color="auto" w:fill="auto"/>
            <w:noWrap/>
            <w:vAlign w:val="center"/>
            <w:hideMark/>
          </w:tcPr>
          <w:p w14:paraId="70BA15A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82.50</w:t>
            </w:r>
          </w:p>
        </w:tc>
        <w:tc>
          <w:tcPr>
            <w:tcW w:w="271" w:type="dxa"/>
            <w:tcBorders>
              <w:top w:val="nil"/>
              <w:left w:val="nil"/>
              <w:bottom w:val="nil"/>
              <w:right w:val="nil"/>
            </w:tcBorders>
            <w:shd w:val="clear" w:color="auto" w:fill="auto"/>
            <w:noWrap/>
            <w:vAlign w:val="bottom"/>
            <w:hideMark/>
          </w:tcPr>
          <w:p w14:paraId="2DDEA1AF"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50ED789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46</w:t>
            </w:r>
          </w:p>
        </w:tc>
        <w:tc>
          <w:tcPr>
            <w:tcW w:w="754" w:type="dxa"/>
            <w:tcBorders>
              <w:top w:val="nil"/>
              <w:left w:val="nil"/>
              <w:bottom w:val="nil"/>
              <w:right w:val="nil"/>
            </w:tcBorders>
            <w:shd w:val="clear" w:color="auto" w:fill="auto"/>
            <w:noWrap/>
            <w:vAlign w:val="center"/>
            <w:hideMark/>
          </w:tcPr>
          <w:p w14:paraId="4137ED4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3.29</w:t>
            </w:r>
          </w:p>
        </w:tc>
        <w:tc>
          <w:tcPr>
            <w:tcW w:w="938" w:type="dxa"/>
            <w:gridSpan w:val="2"/>
            <w:tcBorders>
              <w:top w:val="nil"/>
              <w:left w:val="nil"/>
              <w:bottom w:val="nil"/>
              <w:right w:val="nil"/>
            </w:tcBorders>
            <w:shd w:val="clear" w:color="auto" w:fill="auto"/>
            <w:noWrap/>
            <w:vAlign w:val="center"/>
            <w:hideMark/>
          </w:tcPr>
          <w:p w14:paraId="1997A8D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6A363D30"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3DD653E6"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494</w:t>
            </w:r>
          </w:p>
        </w:tc>
        <w:tc>
          <w:tcPr>
            <w:tcW w:w="754" w:type="dxa"/>
            <w:tcBorders>
              <w:top w:val="nil"/>
              <w:left w:val="nil"/>
              <w:bottom w:val="nil"/>
              <w:right w:val="nil"/>
            </w:tcBorders>
            <w:shd w:val="clear" w:color="auto" w:fill="auto"/>
            <w:noWrap/>
            <w:vAlign w:val="center"/>
            <w:hideMark/>
          </w:tcPr>
          <w:p w14:paraId="625D62E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35.29</w:t>
            </w:r>
          </w:p>
        </w:tc>
        <w:tc>
          <w:tcPr>
            <w:tcW w:w="1136" w:type="dxa"/>
            <w:tcBorders>
              <w:top w:val="nil"/>
              <w:left w:val="nil"/>
              <w:bottom w:val="nil"/>
              <w:right w:val="nil"/>
            </w:tcBorders>
            <w:shd w:val="clear" w:color="auto" w:fill="auto"/>
            <w:noWrap/>
            <w:vAlign w:val="center"/>
            <w:hideMark/>
          </w:tcPr>
          <w:p w14:paraId="33A7917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36.00</w:t>
            </w:r>
          </w:p>
        </w:tc>
      </w:tr>
      <w:tr w:rsidR="00D94396" w:rsidRPr="00C478C9" w14:paraId="4159A8FE" w14:textId="77777777" w:rsidTr="00FF50E3">
        <w:trPr>
          <w:trHeight w:val="300"/>
        </w:trPr>
        <w:tc>
          <w:tcPr>
            <w:tcW w:w="3261" w:type="dxa"/>
            <w:gridSpan w:val="2"/>
            <w:tcBorders>
              <w:top w:val="nil"/>
              <w:left w:val="nil"/>
              <w:bottom w:val="nil"/>
              <w:right w:val="nil"/>
            </w:tcBorders>
            <w:shd w:val="clear" w:color="auto" w:fill="auto"/>
            <w:vAlign w:val="center"/>
            <w:hideMark/>
          </w:tcPr>
          <w:p w14:paraId="0CC0936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Health services</w:t>
            </w:r>
          </w:p>
        </w:tc>
        <w:tc>
          <w:tcPr>
            <w:tcW w:w="944" w:type="dxa"/>
            <w:tcBorders>
              <w:top w:val="nil"/>
              <w:left w:val="nil"/>
              <w:bottom w:val="nil"/>
              <w:right w:val="nil"/>
            </w:tcBorders>
            <w:shd w:val="clear" w:color="auto" w:fill="auto"/>
            <w:noWrap/>
            <w:vAlign w:val="bottom"/>
            <w:hideMark/>
          </w:tcPr>
          <w:p w14:paraId="52E2C941"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614F945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22</w:t>
            </w:r>
          </w:p>
        </w:tc>
        <w:tc>
          <w:tcPr>
            <w:tcW w:w="1065" w:type="dxa"/>
            <w:tcBorders>
              <w:top w:val="nil"/>
              <w:left w:val="nil"/>
              <w:bottom w:val="nil"/>
              <w:right w:val="nil"/>
            </w:tcBorders>
            <w:shd w:val="clear" w:color="auto" w:fill="auto"/>
            <w:noWrap/>
            <w:vAlign w:val="bottom"/>
            <w:hideMark/>
          </w:tcPr>
          <w:p w14:paraId="44FB6DC8"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7CAF5BC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144.50</w:t>
            </w:r>
          </w:p>
        </w:tc>
        <w:tc>
          <w:tcPr>
            <w:tcW w:w="943" w:type="dxa"/>
            <w:tcBorders>
              <w:top w:val="nil"/>
              <w:left w:val="nil"/>
              <w:bottom w:val="nil"/>
              <w:right w:val="nil"/>
            </w:tcBorders>
            <w:shd w:val="clear" w:color="auto" w:fill="auto"/>
            <w:noWrap/>
            <w:vAlign w:val="center"/>
            <w:hideMark/>
          </w:tcPr>
          <w:p w14:paraId="6E6013F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90.50</w:t>
            </w:r>
          </w:p>
        </w:tc>
        <w:tc>
          <w:tcPr>
            <w:tcW w:w="271" w:type="dxa"/>
            <w:tcBorders>
              <w:top w:val="nil"/>
              <w:left w:val="nil"/>
              <w:bottom w:val="nil"/>
              <w:right w:val="nil"/>
            </w:tcBorders>
            <w:shd w:val="clear" w:color="auto" w:fill="auto"/>
            <w:noWrap/>
            <w:vAlign w:val="bottom"/>
            <w:hideMark/>
          </w:tcPr>
          <w:p w14:paraId="76EAD98C"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2AA8C294"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75</w:t>
            </w:r>
          </w:p>
        </w:tc>
        <w:tc>
          <w:tcPr>
            <w:tcW w:w="754" w:type="dxa"/>
            <w:tcBorders>
              <w:top w:val="nil"/>
              <w:left w:val="nil"/>
              <w:bottom w:val="nil"/>
              <w:right w:val="nil"/>
            </w:tcBorders>
            <w:shd w:val="clear" w:color="auto" w:fill="auto"/>
            <w:noWrap/>
            <w:vAlign w:val="center"/>
            <w:hideMark/>
          </w:tcPr>
          <w:p w14:paraId="273D5ED7"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3.41</w:t>
            </w:r>
          </w:p>
        </w:tc>
        <w:tc>
          <w:tcPr>
            <w:tcW w:w="938" w:type="dxa"/>
            <w:gridSpan w:val="2"/>
            <w:tcBorders>
              <w:top w:val="nil"/>
              <w:left w:val="nil"/>
              <w:bottom w:val="nil"/>
              <w:right w:val="nil"/>
            </w:tcBorders>
            <w:shd w:val="clear" w:color="auto" w:fill="auto"/>
            <w:noWrap/>
            <w:vAlign w:val="center"/>
            <w:hideMark/>
          </w:tcPr>
          <w:p w14:paraId="786C24F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67D3D14E"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44117D9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729</w:t>
            </w:r>
          </w:p>
        </w:tc>
        <w:tc>
          <w:tcPr>
            <w:tcW w:w="754" w:type="dxa"/>
            <w:tcBorders>
              <w:top w:val="nil"/>
              <w:left w:val="nil"/>
              <w:bottom w:val="nil"/>
              <w:right w:val="nil"/>
            </w:tcBorders>
            <w:shd w:val="clear" w:color="auto" w:fill="auto"/>
            <w:noWrap/>
            <w:vAlign w:val="center"/>
            <w:hideMark/>
          </w:tcPr>
          <w:p w14:paraId="6E0CFFE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33.14</w:t>
            </w:r>
          </w:p>
        </w:tc>
        <w:tc>
          <w:tcPr>
            <w:tcW w:w="1136" w:type="dxa"/>
            <w:tcBorders>
              <w:top w:val="nil"/>
              <w:left w:val="nil"/>
              <w:bottom w:val="nil"/>
              <w:right w:val="nil"/>
            </w:tcBorders>
            <w:shd w:val="clear" w:color="auto" w:fill="auto"/>
            <w:noWrap/>
            <w:vAlign w:val="center"/>
            <w:hideMark/>
          </w:tcPr>
          <w:p w14:paraId="03C1EAC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24.50</w:t>
            </w:r>
          </w:p>
        </w:tc>
      </w:tr>
      <w:tr w:rsidR="00D94396" w:rsidRPr="00C478C9" w14:paraId="340373C7" w14:textId="77777777" w:rsidTr="00FF50E3">
        <w:trPr>
          <w:trHeight w:val="600"/>
        </w:trPr>
        <w:tc>
          <w:tcPr>
            <w:tcW w:w="3261" w:type="dxa"/>
            <w:gridSpan w:val="2"/>
            <w:tcBorders>
              <w:top w:val="nil"/>
              <w:left w:val="nil"/>
              <w:bottom w:val="nil"/>
              <w:right w:val="nil"/>
            </w:tcBorders>
            <w:shd w:val="clear" w:color="auto" w:fill="auto"/>
            <w:vAlign w:val="center"/>
            <w:hideMark/>
          </w:tcPr>
          <w:p w14:paraId="27B4EF0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Engineering &amp; Management Services</w:t>
            </w:r>
          </w:p>
        </w:tc>
        <w:tc>
          <w:tcPr>
            <w:tcW w:w="944" w:type="dxa"/>
            <w:tcBorders>
              <w:top w:val="nil"/>
              <w:left w:val="nil"/>
              <w:bottom w:val="nil"/>
              <w:right w:val="nil"/>
            </w:tcBorders>
            <w:shd w:val="clear" w:color="auto" w:fill="auto"/>
            <w:noWrap/>
            <w:vAlign w:val="bottom"/>
            <w:hideMark/>
          </w:tcPr>
          <w:p w14:paraId="63433982"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2502192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11</w:t>
            </w:r>
          </w:p>
        </w:tc>
        <w:tc>
          <w:tcPr>
            <w:tcW w:w="1065" w:type="dxa"/>
            <w:tcBorders>
              <w:top w:val="nil"/>
              <w:left w:val="nil"/>
              <w:bottom w:val="nil"/>
              <w:right w:val="nil"/>
            </w:tcBorders>
            <w:shd w:val="clear" w:color="auto" w:fill="auto"/>
            <w:noWrap/>
            <w:vAlign w:val="bottom"/>
            <w:hideMark/>
          </w:tcPr>
          <w:p w14:paraId="5C8AC5DA"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52D5253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138.18</w:t>
            </w:r>
          </w:p>
        </w:tc>
        <w:tc>
          <w:tcPr>
            <w:tcW w:w="943" w:type="dxa"/>
            <w:tcBorders>
              <w:top w:val="nil"/>
              <w:left w:val="nil"/>
              <w:bottom w:val="nil"/>
              <w:right w:val="nil"/>
            </w:tcBorders>
            <w:shd w:val="clear" w:color="auto" w:fill="auto"/>
            <w:noWrap/>
            <w:vAlign w:val="center"/>
            <w:hideMark/>
          </w:tcPr>
          <w:p w14:paraId="5602AEB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103.00</w:t>
            </w:r>
          </w:p>
        </w:tc>
        <w:tc>
          <w:tcPr>
            <w:tcW w:w="271" w:type="dxa"/>
            <w:tcBorders>
              <w:top w:val="nil"/>
              <w:left w:val="nil"/>
              <w:bottom w:val="nil"/>
              <w:right w:val="nil"/>
            </w:tcBorders>
            <w:shd w:val="clear" w:color="auto" w:fill="auto"/>
            <w:noWrap/>
            <w:vAlign w:val="bottom"/>
            <w:hideMark/>
          </w:tcPr>
          <w:p w14:paraId="3FF476BF"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bottom"/>
            <w:hideMark/>
          </w:tcPr>
          <w:p w14:paraId="207C4AF1"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33</w:t>
            </w:r>
          </w:p>
        </w:tc>
        <w:tc>
          <w:tcPr>
            <w:tcW w:w="754" w:type="dxa"/>
            <w:tcBorders>
              <w:top w:val="nil"/>
              <w:left w:val="nil"/>
              <w:bottom w:val="nil"/>
              <w:right w:val="nil"/>
            </w:tcBorders>
            <w:shd w:val="clear" w:color="auto" w:fill="auto"/>
            <w:noWrap/>
            <w:vAlign w:val="center"/>
            <w:hideMark/>
          </w:tcPr>
          <w:p w14:paraId="5B53B2F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938" w:type="dxa"/>
            <w:gridSpan w:val="2"/>
            <w:tcBorders>
              <w:top w:val="nil"/>
              <w:left w:val="nil"/>
              <w:bottom w:val="nil"/>
              <w:right w:val="nil"/>
            </w:tcBorders>
            <w:shd w:val="clear" w:color="auto" w:fill="auto"/>
            <w:noWrap/>
            <w:vAlign w:val="center"/>
            <w:hideMark/>
          </w:tcPr>
          <w:p w14:paraId="3505055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3.00</w:t>
            </w:r>
          </w:p>
        </w:tc>
        <w:tc>
          <w:tcPr>
            <w:tcW w:w="520" w:type="dxa"/>
            <w:gridSpan w:val="2"/>
            <w:tcBorders>
              <w:top w:val="nil"/>
              <w:left w:val="nil"/>
              <w:bottom w:val="nil"/>
              <w:right w:val="nil"/>
            </w:tcBorders>
            <w:shd w:val="clear" w:color="auto" w:fill="auto"/>
            <w:noWrap/>
            <w:vAlign w:val="bottom"/>
            <w:hideMark/>
          </w:tcPr>
          <w:p w14:paraId="1CAADE7B"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bottom"/>
            <w:hideMark/>
          </w:tcPr>
          <w:p w14:paraId="6225E288"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438</w:t>
            </w:r>
          </w:p>
        </w:tc>
        <w:tc>
          <w:tcPr>
            <w:tcW w:w="754" w:type="dxa"/>
            <w:tcBorders>
              <w:top w:val="nil"/>
              <w:left w:val="nil"/>
              <w:bottom w:val="nil"/>
              <w:right w:val="nil"/>
            </w:tcBorders>
            <w:shd w:val="clear" w:color="auto" w:fill="auto"/>
            <w:noWrap/>
            <w:vAlign w:val="center"/>
            <w:hideMark/>
          </w:tcPr>
          <w:p w14:paraId="6270710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39.82</w:t>
            </w:r>
          </w:p>
        </w:tc>
        <w:tc>
          <w:tcPr>
            <w:tcW w:w="1136" w:type="dxa"/>
            <w:tcBorders>
              <w:top w:val="nil"/>
              <w:left w:val="nil"/>
              <w:bottom w:val="nil"/>
              <w:right w:val="nil"/>
            </w:tcBorders>
            <w:shd w:val="clear" w:color="auto" w:fill="auto"/>
            <w:noWrap/>
            <w:vAlign w:val="center"/>
            <w:hideMark/>
          </w:tcPr>
          <w:p w14:paraId="0EAD9395"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42.00</w:t>
            </w:r>
          </w:p>
        </w:tc>
      </w:tr>
      <w:tr w:rsidR="00D94396" w:rsidRPr="00C478C9" w14:paraId="03835B2D" w14:textId="77777777" w:rsidTr="00FF50E3">
        <w:trPr>
          <w:trHeight w:val="300"/>
        </w:trPr>
        <w:tc>
          <w:tcPr>
            <w:tcW w:w="3261" w:type="dxa"/>
            <w:gridSpan w:val="2"/>
            <w:tcBorders>
              <w:top w:val="nil"/>
              <w:left w:val="nil"/>
              <w:bottom w:val="nil"/>
              <w:right w:val="nil"/>
            </w:tcBorders>
            <w:shd w:val="clear" w:color="auto" w:fill="auto"/>
            <w:vAlign w:val="center"/>
            <w:hideMark/>
          </w:tcPr>
          <w:p w14:paraId="037D5910"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All others</w:t>
            </w:r>
          </w:p>
        </w:tc>
        <w:tc>
          <w:tcPr>
            <w:tcW w:w="944" w:type="dxa"/>
            <w:tcBorders>
              <w:top w:val="nil"/>
              <w:left w:val="nil"/>
              <w:bottom w:val="nil"/>
              <w:right w:val="nil"/>
            </w:tcBorders>
            <w:shd w:val="clear" w:color="auto" w:fill="auto"/>
            <w:noWrap/>
            <w:vAlign w:val="bottom"/>
            <w:hideMark/>
          </w:tcPr>
          <w:p w14:paraId="7ACE5E07" w14:textId="77777777" w:rsidR="00D94396" w:rsidRPr="00C478C9" w:rsidRDefault="00D94396" w:rsidP="00583CE2">
            <w:pPr>
              <w:jc w:val="center"/>
              <w:rPr>
                <w:rFonts w:eastAsia="Times New Roman"/>
                <w:color w:val="000000"/>
                <w:sz w:val="22"/>
                <w:szCs w:val="22"/>
              </w:rPr>
            </w:pPr>
          </w:p>
        </w:tc>
        <w:tc>
          <w:tcPr>
            <w:tcW w:w="684" w:type="dxa"/>
            <w:tcBorders>
              <w:top w:val="nil"/>
              <w:left w:val="nil"/>
              <w:bottom w:val="nil"/>
              <w:right w:val="nil"/>
            </w:tcBorders>
            <w:shd w:val="clear" w:color="auto" w:fill="auto"/>
            <w:noWrap/>
            <w:vAlign w:val="center"/>
            <w:hideMark/>
          </w:tcPr>
          <w:p w14:paraId="59FA1A9E"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41</w:t>
            </w:r>
          </w:p>
        </w:tc>
        <w:tc>
          <w:tcPr>
            <w:tcW w:w="1065" w:type="dxa"/>
            <w:tcBorders>
              <w:top w:val="nil"/>
              <w:left w:val="nil"/>
              <w:bottom w:val="nil"/>
              <w:right w:val="nil"/>
            </w:tcBorders>
            <w:shd w:val="clear" w:color="auto" w:fill="auto"/>
            <w:noWrap/>
            <w:vAlign w:val="bottom"/>
            <w:hideMark/>
          </w:tcPr>
          <w:p w14:paraId="6ADC04C6" w14:textId="77777777" w:rsidR="00D94396" w:rsidRPr="00C478C9" w:rsidRDefault="00D94396" w:rsidP="00583CE2">
            <w:pPr>
              <w:jc w:val="center"/>
              <w:rPr>
                <w:rFonts w:eastAsia="Times New Roman"/>
                <w:color w:val="000000"/>
                <w:sz w:val="22"/>
                <w:szCs w:val="22"/>
              </w:rPr>
            </w:pPr>
          </w:p>
        </w:tc>
        <w:tc>
          <w:tcPr>
            <w:tcW w:w="1228" w:type="dxa"/>
            <w:tcBorders>
              <w:top w:val="nil"/>
              <w:left w:val="nil"/>
              <w:bottom w:val="nil"/>
              <w:right w:val="nil"/>
            </w:tcBorders>
            <w:shd w:val="clear" w:color="auto" w:fill="auto"/>
            <w:noWrap/>
            <w:vAlign w:val="center"/>
            <w:hideMark/>
          </w:tcPr>
          <w:p w14:paraId="15B016EB"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135.56</w:t>
            </w:r>
          </w:p>
        </w:tc>
        <w:tc>
          <w:tcPr>
            <w:tcW w:w="943" w:type="dxa"/>
            <w:tcBorders>
              <w:top w:val="nil"/>
              <w:left w:val="nil"/>
              <w:bottom w:val="nil"/>
              <w:right w:val="nil"/>
            </w:tcBorders>
            <w:shd w:val="clear" w:color="auto" w:fill="auto"/>
            <w:noWrap/>
            <w:vAlign w:val="center"/>
            <w:hideMark/>
          </w:tcPr>
          <w:p w14:paraId="1F6BF9EF"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104.00</w:t>
            </w:r>
          </w:p>
        </w:tc>
        <w:tc>
          <w:tcPr>
            <w:tcW w:w="271" w:type="dxa"/>
            <w:tcBorders>
              <w:top w:val="nil"/>
              <w:left w:val="nil"/>
              <w:bottom w:val="nil"/>
              <w:right w:val="nil"/>
            </w:tcBorders>
            <w:shd w:val="clear" w:color="auto" w:fill="auto"/>
            <w:noWrap/>
            <w:vAlign w:val="bottom"/>
            <w:hideMark/>
          </w:tcPr>
          <w:p w14:paraId="0C600105" w14:textId="77777777" w:rsidR="00D94396" w:rsidRPr="00C478C9" w:rsidRDefault="00D94396"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5A13E353"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261</w:t>
            </w:r>
          </w:p>
        </w:tc>
        <w:tc>
          <w:tcPr>
            <w:tcW w:w="754" w:type="dxa"/>
            <w:tcBorders>
              <w:top w:val="nil"/>
              <w:left w:val="nil"/>
              <w:bottom w:val="nil"/>
              <w:right w:val="nil"/>
            </w:tcBorders>
            <w:shd w:val="clear" w:color="auto" w:fill="auto"/>
            <w:noWrap/>
            <w:vAlign w:val="center"/>
            <w:hideMark/>
          </w:tcPr>
          <w:p w14:paraId="4804BE12"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3.51</w:t>
            </w:r>
          </w:p>
        </w:tc>
        <w:tc>
          <w:tcPr>
            <w:tcW w:w="938" w:type="dxa"/>
            <w:gridSpan w:val="2"/>
            <w:tcBorders>
              <w:top w:val="nil"/>
              <w:left w:val="nil"/>
              <w:bottom w:val="nil"/>
              <w:right w:val="nil"/>
            </w:tcBorders>
            <w:shd w:val="clear" w:color="auto" w:fill="auto"/>
            <w:noWrap/>
            <w:vAlign w:val="center"/>
            <w:hideMark/>
          </w:tcPr>
          <w:p w14:paraId="78FC86FC"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4.00</w:t>
            </w:r>
          </w:p>
        </w:tc>
        <w:tc>
          <w:tcPr>
            <w:tcW w:w="520" w:type="dxa"/>
            <w:gridSpan w:val="2"/>
            <w:tcBorders>
              <w:top w:val="nil"/>
              <w:left w:val="nil"/>
              <w:bottom w:val="nil"/>
              <w:right w:val="nil"/>
            </w:tcBorders>
            <w:shd w:val="clear" w:color="auto" w:fill="auto"/>
            <w:noWrap/>
            <w:vAlign w:val="bottom"/>
            <w:hideMark/>
          </w:tcPr>
          <w:p w14:paraId="0AD37892" w14:textId="77777777" w:rsidR="00D94396" w:rsidRPr="00C478C9" w:rsidRDefault="00D94396" w:rsidP="00583CE2">
            <w:pPr>
              <w:jc w:val="center"/>
              <w:rPr>
                <w:rFonts w:eastAsia="Times New Roman"/>
                <w:color w:val="000000"/>
                <w:sz w:val="22"/>
                <w:szCs w:val="22"/>
              </w:rPr>
            </w:pPr>
          </w:p>
        </w:tc>
        <w:tc>
          <w:tcPr>
            <w:tcW w:w="998" w:type="dxa"/>
            <w:tcBorders>
              <w:top w:val="nil"/>
              <w:left w:val="nil"/>
              <w:bottom w:val="nil"/>
              <w:right w:val="nil"/>
            </w:tcBorders>
            <w:shd w:val="clear" w:color="auto" w:fill="auto"/>
            <w:noWrap/>
            <w:vAlign w:val="center"/>
            <w:hideMark/>
          </w:tcPr>
          <w:p w14:paraId="6DC538C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1369</w:t>
            </w:r>
          </w:p>
        </w:tc>
        <w:tc>
          <w:tcPr>
            <w:tcW w:w="754" w:type="dxa"/>
            <w:tcBorders>
              <w:top w:val="nil"/>
              <w:left w:val="nil"/>
              <w:bottom w:val="nil"/>
              <w:right w:val="nil"/>
            </w:tcBorders>
            <w:shd w:val="clear" w:color="auto" w:fill="auto"/>
            <w:noWrap/>
            <w:vAlign w:val="center"/>
            <w:hideMark/>
          </w:tcPr>
          <w:p w14:paraId="4221006A"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33.39</w:t>
            </w:r>
          </w:p>
        </w:tc>
        <w:tc>
          <w:tcPr>
            <w:tcW w:w="1136" w:type="dxa"/>
            <w:tcBorders>
              <w:top w:val="nil"/>
              <w:left w:val="nil"/>
              <w:bottom w:val="nil"/>
              <w:right w:val="nil"/>
            </w:tcBorders>
            <w:shd w:val="clear" w:color="auto" w:fill="auto"/>
            <w:noWrap/>
            <w:vAlign w:val="center"/>
            <w:hideMark/>
          </w:tcPr>
          <w:p w14:paraId="0719CABD" w14:textId="77777777" w:rsidR="00D94396" w:rsidRPr="00C478C9" w:rsidRDefault="00D94396" w:rsidP="00583CE2">
            <w:pPr>
              <w:jc w:val="center"/>
              <w:rPr>
                <w:rFonts w:eastAsia="Times New Roman"/>
                <w:color w:val="000000"/>
                <w:sz w:val="22"/>
                <w:szCs w:val="22"/>
              </w:rPr>
            </w:pPr>
            <w:r w:rsidRPr="00C478C9">
              <w:rPr>
                <w:rFonts w:eastAsia="Times New Roman"/>
                <w:color w:val="000000"/>
                <w:sz w:val="22"/>
                <w:szCs w:val="22"/>
              </w:rPr>
              <w:t>33.00</w:t>
            </w:r>
          </w:p>
        </w:tc>
      </w:tr>
      <w:tr w:rsidR="00D94396" w:rsidRPr="00C478C9" w14:paraId="642F7207" w14:textId="77777777" w:rsidTr="00FF50E3">
        <w:trPr>
          <w:trHeight w:val="300"/>
        </w:trPr>
        <w:tc>
          <w:tcPr>
            <w:tcW w:w="3261" w:type="dxa"/>
            <w:gridSpan w:val="2"/>
            <w:tcBorders>
              <w:top w:val="nil"/>
              <w:left w:val="nil"/>
              <w:bottom w:val="nil"/>
              <w:right w:val="nil"/>
            </w:tcBorders>
            <w:shd w:val="clear" w:color="auto" w:fill="auto"/>
            <w:vAlign w:val="center"/>
            <w:hideMark/>
          </w:tcPr>
          <w:p w14:paraId="614D8EC2"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Totals</w:t>
            </w:r>
          </w:p>
        </w:tc>
        <w:tc>
          <w:tcPr>
            <w:tcW w:w="944" w:type="dxa"/>
            <w:tcBorders>
              <w:top w:val="nil"/>
              <w:left w:val="nil"/>
              <w:bottom w:val="nil"/>
              <w:right w:val="nil"/>
            </w:tcBorders>
            <w:shd w:val="clear" w:color="auto" w:fill="auto"/>
            <w:noWrap/>
            <w:vAlign w:val="bottom"/>
            <w:hideMark/>
          </w:tcPr>
          <w:p w14:paraId="776A9844" w14:textId="77777777" w:rsidR="00D94396" w:rsidRPr="00C478C9" w:rsidRDefault="00D94396" w:rsidP="00583CE2">
            <w:pPr>
              <w:jc w:val="center"/>
              <w:rPr>
                <w:rFonts w:eastAsia="Times New Roman"/>
                <w:i/>
                <w:iCs/>
                <w:color w:val="000000"/>
                <w:sz w:val="22"/>
                <w:szCs w:val="22"/>
              </w:rPr>
            </w:pPr>
          </w:p>
        </w:tc>
        <w:tc>
          <w:tcPr>
            <w:tcW w:w="684" w:type="dxa"/>
            <w:tcBorders>
              <w:top w:val="nil"/>
              <w:left w:val="nil"/>
              <w:bottom w:val="nil"/>
              <w:right w:val="nil"/>
            </w:tcBorders>
            <w:shd w:val="clear" w:color="auto" w:fill="auto"/>
            <w:noWrap/>
            <w:vAlign w:val="center"/>
            <w:hideMark/>
          </w:tcPr>
          <w:p w14:paraId="4F606934"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909</w:t>
            </w:r>
          </w:p>
        </w:tc>
        <w:tc>
          <w:tcPr>
            <w:tcW w:w="1065" w:type="dxa"/>
            <w:tcBorders>
              <w:top w:val="nil"/>
              <w:left w:val="nil"/>
              <w:bottom w:val="nil"/>
              <w:right w:val="nil"/>
            </w:tcBorders>
            <w:shd w:val="clear" w:color="auto" w:fill="auto"/>
            <w:noWrap/>
            <w:vAlign w:val="bottom"/>
            <w:hideMark/>
          </w:tcPr>
          <w:p w14:paraId="40B0DD83" w14:textId="77777777" w:rsidR="00D94396" w:rsidRPr="00C478C9" w:rsidRDefault="00D94396" w:rsidP="00583CE2">
            <w:pPr>
              <w:jc w:val="center"/>
              <w:rPr>
                <w:rFonts w:eastAsia="Times New Roman"/>
                <w:i/>
                <w:iCs/>
                <w:color w:val="000000"/>
                <w:sz w:val="22"/>
                <w:szCs w:val="22"/>
              </w:rPr>
            </w:pPr>
          </w:p>
        </w:tc>
        <w:tc>
          <w:tcPr>
            <w:tcW w:w="1228" w:type="dxa"/>
            <w:tcBorders>
              <w:top w:val="nil"/>
              <w:left w:val="nil"/>
              <w:bottom w:val="nil"/>
              <w:right w:val="nil"/>
            </w:tcBorders>
            <w:shd w:val="clear" w:color="auto" w:fill="auto"/>
            <w:noWrap/>
            <w:vAlign w:val="center"/>
            <w:hideMark/>
          </w:tcPr>
          <w:p w14:paraId="5C2EBA76"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120.11</w:t>
            </w:r>
          </w:p>
        </w:tc>
        <w:tc>
          <w:tcPr>
            <w:tcW w:w="943" w:type="dxa"/>
            <w:tcBorders>
              <w:top w:val="nil"/>
              <w:left w:val="nil"/>
              <w:bottom w:val="nil"/>
              <w:right w:val="nil"/>
            </w:tcBorders>
            <w:shd w:val="clear" w:color="auto" w:fill="auto"/>
            <w:noWrap/>
            <w:vAlign w:val="center"/>
            <w:hideMark/>
          </w:tcPr>
          <w:p w14:paraId="07B432D6"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90.00</w:t>
            </w:r>
          </w:p>
        </w:tc>
        <w:tc>
          <w:tcPr>
            <w:tcW w:w="271" w:type="dxa"/>
            <w:tcBorders>
              <w:top w:val="nil"/>
              <w:left w:val="nil"/>
              <w:bottom w:val="nil"/>
              <w:right w:val="nil"/>
            </w:tcBorders>
            <w:shd w:val="clear" w:color="auto" w:fill="auto"/>
            <w:noWrap/>
            <w:vAlign w:val="center"/>
            <w:hideMark/>
          </w:tcPr>
          <w:p w14:paraId="270EF9C9" w14:textId="77777777" w:rsidR="00D94396" w:rsidRPr="00C478C9" w:rsidRDefault="00D94396" w:rsidP="00583CE2">
            <w:pPr>
              <w:jc w:val="center"/>
              <w:rPr>
                <w:rFonts w:eastAsia="Times New Roman"/>
                <w:i/>
                <w:iCs/>
                <w:color w:val="000000"/>
                <w:sz w:val="22"/>
                <w:szCs w:val="22"/>
              </w:rPr>
            </w:pPr>
          </w:p>
        </w:tc>
        <w:tc>
          <w:tcPr>
            <w:tcW w:w="821" w:type="dxa"/>
            <w:tcBorders>
              <w:top w:val="nil"/>
              <w:left w:val="nil"/>
              <w:bottom w:val="nil"/>
              <w:right w:val="nil"/>
            </w:tcBorders>
            <w:shd w:val="clear" w:color="auto" w:fill="auto"/>
            <w:noWrap/>
            <w:vAlign w:val="center"/>
            <w:hideMark/>
          </w:tcPr>
          <w:p w14:paraId="049156C9"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2518</w:t>
            </w:r>
          </w:p>
        </w:tc>
        <w:tc>
          <w:tcPr>
            <w:tcW w:w="754" w:type="dxa"/>
            <w:tcBorders>
              <w:top w:val="nil"/>
              <w:left w:val="nil"/>
              <w:bottom w:val="nil"/>
              <w:right w:val="nil"/>
            </w:tcBorders>
            <w:shd w:val="clear" w:color="auto" w:fill="auto"/>
            <w:noWrap/>
            <w:vAlign w:val="center"/>
            <w:hideMark/>
          </w:tcPr>
          <w:p w14:paraId="56BB0A6D"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2.77</w:t>
            </w:r>
          </w:p>
        </w:tc>
        <w:tc>
          <w:tcPr>
            <w:tcW w:w="938" w:type="dxa"/>
            <w:gridSpan w:val="2"/>
            <w:tcBorders>
              <w:top w:val="nil"/>
              <w:left w:val="nil"/>
              <w:bottom w:val="nil"/>
              <w:right w:val="nil"/>
            </w:tcBorders>
            <w:shd w:val="clear" w:color="auto" w:fill="auto"/>
            <w:noWrap/>
            <w:vAlign w:val="center"/>
            <w:hideMark/>
          </w:tcPr>
          <w:p w14:paraId="608BD448"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3.00</w:t>
            </w:r>
          </w:p>
        </w:tc>
        <w:tc>
          <w:tcPr>
            <w:tcW w:w="520" w:type="dxa"/>
            <w:gridSpan w:val="2"/>
            <w:tcBorders>
              <w:top w:val="nil"/>
              <w:left w:val="nil"/>
              <w:bottom w:val="nil"/>
              <w:right w:val="nil"/>
            </w:tcBorders>
            <w:shd w:val="clear" w:color="auto" w:fill="auto"/>
            <w:noWrap/>
            <w:vAlign w:val="center"/>
            <w:hideMark/>
          </w:tcPr>
          <w:p w14:paraId="6F5BC271" w14:textId="77777777" w:rsidR="00D94396" w:rsidRPr="00C478C9" w:rsidRDefault="00D94396" w:rsidP="00583CE2">
            <w:pPr>
              <w:jc w:val="center"/>
              <w:rPr>
                <w:rFonts w:eastAsia="Times New Roman"/>
                <w:i/>
                <w:iCs/>
                <w:color w:val="000000"/>
                <w:sz w:val="22"/>
                <w:szCs w:val="22"/>
              </w:rPr>
            </w:pPr>
          </w:p>
        </w:tc>
        <w:tc>
          <w:tcPr>
            <w:tcW w:w="998" w:type="dxa"/>
            <w:tcBorders>
              <w:top w:val="nil"/>
              <w:left w:val="nil"/>
              <w:bottom w:val="nil"/>
              <w:right w:val="nil"/>
            </w:tcBorders>
            <w:shd w:val="clear" w:color="auto" w:fill="auto"/>
            <w:noWrap/>
            <w:vAlign w:val="center"/>
            <w:hideMark/>
          </w:tcPr>
          <w:p w14:paraId="2E3F65A8"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24205</w:t>
            </w:r>
          </w:p>
        </w:tc>
        <w:tc>
          <w:tcPr>
            <w:tcW w:w="754" w:type="dxa"/>
            <w:tcBorders>
              <w:top w:val="nil"/>
              <w:left w:val="nil"/>
              <w:bottom w:val="nil"/>
              <w:right w:val="nil"/>
            </w:tcBorders>
            <w:shd w:val="clear" w:color="auto" w:fill="auto"/>
            <w:noWrap/>
            <w:vAlign w:val="center"/>
            <w:hideMark/>
          </w:tcPr>
          <w:p w14:paraId="512BBA91"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26.63</w:t>
            </w:r>
          </w:p>
        </w:tc>
        <w:tc>
          <w:tcPr>
            <w:tcW w:w="1136" w:type="dxa"/>
            <w:tcBorders>
              <w:top w:val="nil"/>
              <w:left w:val="nil"/>
              <w:bottom w:val="nil"/>
              <w:right w:val="nil"/>
            </w:tcBorders>
            <w:shd w:val="clear" w:color="auto" w:fill="auto"/>
            <w:noWrap/>
            <w:vAlign w:val="center"/>
            <w:hideMark/>
          </w:tcPr>
          <w:p w14:paraId="15A13308" w14:textId="77777777" w:rsidR="00D94396" w:rsidRPr="00C478C9" w:rsidRDefault="00D94396" w:rsidP="00583CE2">
            <w:pPr>
              <w:jc w:val="center"/>
              <w:rPr>
                <w:rFonts w:eastAsia="Times New Roman"/>
                <w:i/>
                <w:iCs/>
                <w:color w:val="000000"/>
                <w:sz w:val="22"/>
                <w:szCs w:val="22"/>
              </w:rPr>
            </w:pPr>
            <w:r w:rsidRPr="00C478C9">
              <w:rPr>
                <w:rFonts w:eastAsia="Times New Roman"/>
                <w:i/>
                <w:iCs/>
                <w:color w:val="000000"/>
                <w:sz w:val="22"/>
                <w:szCs w:val="22"/>
              </w:rPr>
              <w:t>22.00</w:t>
            </w:r>
          </w:p>
        </w:tc>
      </w:tr>
      <w:tr w:rsidR="00D94396" w:rsidRPr="00703A27" w14:paraId="3DFE6E0A" w14:textId="77777777" w:rsidTr="00FF50E3">
        <w:trPr>
          <w:trHeight w:val="300"/>
        </w:trPr>
        <w:tc>
          <w:tcPr>
            <w:tcW w:w="14317" w:type="dxa"/>
            <w:gridSpan w:val="17"/>
            <w:tcBorders>
              <w:top w:val="nil"/>
              <w:left w:val="nil"/>
              <w:bottom w:val="nil"/>
              <w:right w:val="nil"/>
            </w:tcBorders>
            <w:shd w:val="clear" w:color="auto" w:fill="auto"/>
            <w:noWrap/>
            <w:vAlign w:val="bottom"/>
            <w:hideMark/>
          </w:tcPr>
          <w:p w14:paraId="0B365242" w14:textId="3207530A" w:rsidR="00D94396" w:rsidRPr="00703A27" w:rsidRDefault="00FF50E3" w:rsidP="00583CE2">
            <w:pPr>
              <w:rPr>
                <w:rFonts w:eastAsia="Times New Roman"/>
                <w:b/>
                <w:bCs/>
                <w:color w:val="000000"/>
                <w:sz w:val="20"/>
                <w:szCs w:val="20"/>
                <w:u w:val="single"/>
                <w:vertAlign w:val="superscript"/>
              </w:rPr>
            </w:pPr>
            <w:r>
              <w:rPr>
                <w:rFonts w:eastAsia="Times New Roman"/>
                <w:b/>
                <w:bCs/>
                <w:color w:val="000000"/>
                <w:sz w:val="20"/>
                <w:szCs w:val="20"/>
                <w:u w:val="single"/>
              </w:rPr>
              <w:t>Panel D</w:t>
            </w:r>
            <w:r w:rsidR="00D94396" w:rsidRPr="00703A27">
              <w:rPr>
                <w:rFonts w:eastAsia="Times New Roman"/>
                <w:b/>
                <w:bCs/>
                <w:color w:val="000000"/>
                <w:sz w:val="20"/>
                <w:szCs w:val="20"/>
                <w:u w:val="single"/>
              </w:rPr>
              <w:t>. Descriptive statistics of SEC review attributes by exchange listings</w:t>
            </w:r>
          </w:p>
        </w:tc>
      </w:tr>
      <w:tr w:rsidR="00D94396" w:rsidRPr="00703A27" w14:paraId="430CD6D5" w14:textId="77777777" w:rsidTr="00FF50E3">
        <w:trPr>
          <w:trHeight w:val="300"/>
        </w:trPr>
        <w:tc>
          <w:tcPr>
            <w:tcW w:w="3261" w:type="dxa"/>
            <w:gridSpan w:val="2"/>
            <w:tcBorders>
              <w:top w:val="nil"/>
              <w:left w:val="nil"/>
              <w:bottom w:val="single" w:sz="4" w:space="0" w:color="auto"/>
              <w:right w:val="nil"/>
            </w:tcBorders>
            <w:shd w:val="clear" w:color="auto" w:fill="auto"/>
            <w:noWrap/>
            <w:vAlign w:val="bottom"/>
            <w:hideMark/>
          </w:tcPr>
          <w:p w14:paraId="64D05B15"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Stock exchange</w:t>
            </w:r>
          </w:p>
        </w:tc>
        <w:tc>
          <w:tcPr>
            <w:tcW w:w="944" w:type="dxa"/>
            <w:tcBorders>
              <w:top w:val="nil"/>
              <w:left w:val="nil"/>
              <w:bottom w:val="nil"/>
              <w:right w:val="nil"/>
            </w:tcBorders>
            <w:shd w:val="clear" w:color="auto" w:fill="auto"/>
            <w:vAlign w:val="bottom"/>
            <w:hideMark/>
          </w:tcPr>
          <w:p w14:paraId="28433296" w14:textId="77777777" w:rsidR="00D94396" w:rsidRPr="00703A27" w:rsidRDefault="00D94396" w:rsidP="00583CE2">
            <w:pPr>
              <w:jc w:val="center"/>
              <w:rPr>
                <w:rFonts w:eastAsia="Times New Roman"/>
                <w:b/>
                <w:bCs/>
                <w:color w:val="000000"/>
                <w:sz w:val="20"/>
                <w:szCs w:val="20"/>
              </w:rPr>
            </w:pPr>
          </w:p>
        </w:tc>
        <w:tc>
          <w:tcPr>
            <w:tcW w:w="684" w:type="dxa"/>
            <w:tcBorders>
              <w:top w:val="nil"/>
              <w:left w:val="nil"/>
              <w:bottom w:val="single" w:sz="4" w:space="0" w:color="auto"/>
              <w:right w:val="nil"/>
            </w:tcBorders>
            <w:shd w:val="clear" w:color="auto" w:fill="auto"/>
            <w:vAlign w:val="bottom"/>
            <w:hideMark/>
          </w:tcPr>
          <w:p w14:paraId="34F864EE"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N</w:t>
            </w:r>
          </w:p>
        </w:tc>
        <w:tc>
          <w:tcPr>
            <w:tcW w:w="1065" w:type="dxa"/>
            <w:tcBorders>
              <w:top w:val="nil"/>
              <w:left w:val="nil"/>
              <w:bottom w:val="nil"/>
              <w:right w:val="nil"/>
            </w:tcBorders>
            <w:shd w:val="clear" w:color="auto" w:fill="auto"/>
            <w:vAlign w:val="bottom"/>
            <w:hideMark/>
          </w:tcPr>
          <w:p w14:paraId="3844E065" w14:textId="77777777" w:rsidR="00D94396" w:rsidRPr="00703A27" w:rsidRDefault="00D94396" w:rsidP="00583CE2">
            <w:pPr>
              <w:jc w:val="center"/>
              <w:rPr>
                <w:rFonts w:eastAsia="Times New Roman"/>
                <w:b/>
                <w:bCs/>
                <w:color w:val="000000"/>
                <w:sz w:val="20"/>
                <w:szCs w:val="20"/>
              </w:rPr>
            </w:pPr>
          </w:p>
        </w:tc>
        <w:tc>
          <w:tcPr>
            <w:tcW w:w="2171" w:type="dxa"/>
            <w:gridSpan w:val="2"/>
            <w:tcBorders>
              <w:top w:val="nil"/>
              <w:left w:val="nil"/>
              <w:bottom w:val="single" w:sz="4" w:space="0" w:color="auto"/>
              <w:right w:val="nil"/>
            </w:tcBorders>
            <w:shd w:val="clear" w:color="auto" w:fill="auto"/>
            <w:vAlign w:val="bottom"/>
            <w:hideMark/>
          </w:tcPr>
          <w:p w14:paraId="456145AD"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Duration</w:t>
            </w:r>
          </w:p>
        </w:tc>
        <w:tc>
          <w:tcPr>
            <w:tcW w:w="271" w:type="dxa"/>
            <w:tcBorders>
              <w:top w:val="nil"/>
              <w:left w:val="nil"/>
              <w:bottom w:val="nil"/>
              <w:right w:val="nil"/>
            </w:tcBorders>
            <w:shd w:val="clear" w:color="auto" w:fill="auto"/>
            <w:vAlign w:val="bottom"/>
            <w:hideMark/>
          </w:tcPr>
          <w:p w14:paraId="3FBAE686" w14:textId="77777777" w:rsidR="00D94396" w:rsidRPr="00703A27" w:rsidRDefault="00D94396" w:rsidP="00583CE2">
            <w:pPr>
              <w:jc w:val="center"/>
              <w:rPr>
                <w:rFonts w:eastAsia="Times New Roman"/>
                <w:b/>
                <w:bCs/>
                <w:color w:val="000000"/>
                <w:sz w:val="20"/>
                <w:szCs w:val="20"/>
              </w:rPr>
            </w:pPr>
          </w:p>
        </w:tc>
        <w:tc>
          <w:tcPr>
            <w:tcW w:w="2507" w:type="dxa"/>
            <w:gridSpan w:val="3"/>
            <w:tcBorders>
              <w:top w:val="nil"/>
              <w:left w:val="nil"/>
              <w:bottom w:val="single" w:sz="4" w:space="0" w:color="auto"/>
              <w:right w:val="nil"/>
            </w:tcBorders>
            <w:shd w:val="clear" w:color="auto" w:fill="auto"/>
            <w:vAlign w:val="center"/>
            <w:hideMark/>
          </w:tcPr>
          <w:p w14:paraId="002A7302" w14:textId="381C294E" w:rsidR="00D94396" w:rsidRPr="00703A27" w:rsidRDefault="00210988" w:rsidP="00583CE2">
            <w:pPr>
              <w:jc w:val="center"/>
              <w:rPr>
                <w:rFonts w:eastAsia="Times New Roman"/>
                <w:b/>
                <w:bCs/>
                <w:color w:val="000000"/>
                <w:sz w:val="20"/>
                <w:szCs w:val="20"/>
              </w:rPr>
            </w:pPr>
            <w:r>
              <w:rPr>
                <w:rFonts w:eastAsia="Times New Roman"/>
                <w:b/>
                <w:bCs/>
                <w:color w:val="000000"/>
                <w:sz w:val="20"/>
                <w:szCs w:val="20"/>
              </w:rPr>
              <w:t>Letters</w:t>
            </w:r>
          </w:p>
        </w:tc>
        <w:tc>
          <w:tcPr>
            <w:tcW w:w="520" w:type="dxa"/>
            <w:gridSpan w:val="2"/>
            <w:tcBorders>
              <w:top w:val="nil"/>
              <w:left w:val="nil"/>
              <w:bottom w:val="nil"/>
              <w:right w:val="nil"/>
            </w:tcBorders>
            <w:shd w:val="clear" w:color="auto" w:fill="auto"/>
            <w:vAlign w:val="center"/>
            <w:hideMark/>
          </w:tcPr>
          <w:p w14:paraId="778ABC69" w14:textId="77777777" w:rsidR="00D94396" w:rsidRPr="00703A27" w:rsidRDefault="00D94396" w:rsidP="00583CE2">
            <w:pPr>
              <w:jc w:val="center"/>
              <w:rPr>
                <w:rFonts w:eastAsia="Times New Roman"/>
                <w:b/>
                <w:bCs/>
                <w:color w:val="000000"/>
                <w:sz w:val="20"/>
                <w:szCs w:val="20"/>
              </w:rPr>
            </w:pPr>
          </w:p>
        </w:tc>
        <w:tc>
          <w:tcPr>
            <w:tcW w:w="2894" w:type="dxa"/>
            <w:gridSpan w:val="4"/>
            <w:tcBorders>
              <w:top w:val="nil"/>
              <w:left w:val="nil"/>
              <w:bottom w:val="single" w:sz="4" w:space="0" w:color="auto"/>
              <w:right w:val="nil"/>
            </w:tcBorders>
            <w:shd w:val="clear" w:color="auto" w:fill="auto"/>
            <w:vAlign w:val="bottom"/>
            <w:hideMark/>
          </w:tcPr>
          <w:p w14:paraId="206AFA30" w14:textId="5EA06A4E" w:rsidR="00D94396" w:rsidRPr="00703A27" w:rsidRDefault="00210988" w:rsidP="00583CE2">
            <w:pPr>
              <w:jc w:val="center"/>
              <w:rPr>
                <w:rFonts w:eastAsia="Times New Roman"/>
                <w:b/>
                <w:bCs/>
                <w:color w:val="000000"/>
                <w:sz w:val="20"/>
                <w:szCs w:val="20"/>
              </w:rPr>
            </w:pPr>
            <w:r>
              <w:rPr>
                <w:rFonts w:eastAsia="Times New Roman"/>
                <w:b/>
                <w:bCs/>
                <w:color w:val="000000"/>
                <w:sz w:val="20"/>
                <w:szCs w:val="20"/>
              </w:rPr>
              <w:t>Comments</w:t>
            </w:r>
          </w:p>
        </w:tc>
      </w:tr>
      <w:tr w:rsidR="00D94396" w:rsidRPr="00C478C9" w14:paraId="2703AF6E" w14:textId="77777777" w:rsidTr="00FF50E3">
        <w:trPr>
          <w:trHeight w:val="300"/>
        </w:trPr>
        <w:tc>
          <w:tcPr>
            <w:tcW w:w="2694" w:type="dxa"/>
            <w:tcBorders>
              <w:top w:val="nil"/>
              <w:left w:val="nil"/>
              <w:bottom w:val="nil"/>
              <w:right w:val="nil"/>
            </w:tcBorders>
            <w:shd w:val="clear" w:color="auto" w:fill="auto"/>
            <w:vAlign w:val="bottom"/>
            <w:hideMark/>
          </w:tcPr>
          <w:p w14:paraId="5E9A8996" w14:textId="77777777" w:rsidR="00D94396" w:rsidRPr="00703A27" w:rsidRDefault="00D94396" w:rsidP="00583CE2">
            <w:pPr>
              <w:jc w:val="center"/>
              <w:rPr>
                <w:rFonts w:eastAsia="Times New Roman"/>
                <w:b/>
                <w:bCs/>
                <w:color w:val="000000"/>
                <w:sz w:val="20"/>
                <w:szCs w:val="20"/>
              </w:rPr>
            </w:pPr>
          </w:p>
        </w:tc>
        <w:tc>
          <w:tcPr>
            <w:tcW w:w="567" w:type="dxa"/>
            <w:tcBorders>
              <w:top w:val="nil"/>
              <w:left w:val="nil"/>
              <w:bottom w:val="nil"/>
              <w:right w:val="nil"/>
            </w:tcBorders>
            <w:shd w:val="clear" w:color="auto" w:fill="auto"/>
            <w:noWrap/>
            <w:vAlign w:val="bottom"/>
            <w:hideMark/>
          </w:tcPr>
          <w:p w14:paraId="699D2205" w14:textId="77777777" w:rsidR="00D94396" w:rsidRPr="00703A27" w:rsidRDefault="00D94396" w:rsidP="00583CE2">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4C2F148C" w14:textId="77777777" w:rsidR="00D94396" w:rsidRPr="00703A27" w:rsidRDefault="00D94396" w:rsidP="00583CE2">
            <w:pPr>
              <w:rPr>
                <w:rFonts w:eastAsia="Times New Roman"/>
                <w:sz w:val="20"/>
                <w:szCs w:val="20"/>
              </w:rPr>
            </w:pPr>
          </w:p>
        </w:tc>
        <w:tc>
          <w:tcPr>
            <w:tcW w:w="684" w:type="dxa"/>
            <w:tcBorders>
              <w:top w:val="nil"/>
              <w:left w:val="nil"/>
              <w:bottom w:val="nil"/>
              <w:right w:val="nil"/>
            </w:tcBorders>
            <w:shd w:val="clear" w:color="auto" w:fill="auto"/>
            <w:noWrap/>
            <w:vAlign w:val="bottom"/>
            <w:hideMark/>
          </w:tcPr>
          <w:p w14:paraId="45342CEE" w14:textId="77777777" w:rsidR="00D94396" w:rsidRPr="00703A27" w:rsidRDefault="00D94396" w:rsidP="00583CE2">
            <w:pPr>
              <w:jc w:val="center"/>
              <w:rPr>
                <w:rFonts w:eastAsia="Times New Roman"/>
                <w:sz w:val="20"/>
                <w:szCs w:val="20"/>
              </w:rPr>
            </w:pPr>
          </w:p>
        </w:tc>
        <w:tc>
          <w:tcPr>
            <w:tcW w:w="1065" w:type="dxa"/>
            <w:tcBorders>
              <w:top w:val="nil"/>
              <w:left w:val="nil"/>
              <w:bottom w:val="nil"/>
              <w:right w:val="nil"/>
            </w:tcBorders>
            <w:shd w:val="clear" w:color="auto" w:fill="auto"/>
            <w:noWrap/>
            <w:vAlign w:val="bottom"/>
            <w:hideMark/>
          </w:tcPr>
          <w:p w14:paraId="7DAC79C7" w14:textId="77777777" w:rsidR="00D94396" w:rsidRPr="00703A27" w:rsidRDefault="00D94396" w:rsidP="00583CE2">
            <w:pPr>
              <w:rPr>
                <w:rFonts w:eastAsia="Times New Roman"/>
                <w:sz w:val="20"/>
                <w:szCs w:val="20"/>
              </w:rPr>
            </w:pPr>
          </w:p>
        </w:tc>
        <w:tc>
          <w:tcPr>
            <w:tcW w:w="1228" w:type="dxa"/>
            <w:tcBorders>
              <w:top w:val="nil"/>
              <w:left w:val="nil"/>
              <w:bottom w:val="single" w:sz="4" w:space="0" w:color="auto"/>
              <w:right w:val="nil"/>
            </w:tcBorders>
            <w:shd w:val="clear" w:color="auto" w:fill="auto"/>
            <w:noWrap/>
            <w:vAlign w:val="bottom"/>
            <w:hideMark/>
          </w:tcPr>
          <w:p w14:paraId="5CC8C6E5"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943" w:type="dxa"/>
            <w:tcBorders>
              <w:top w:val="nil"/>
              <w:left w:val="nil"/>
              <w:bottom w:val="single" w:sz="4" w:space="0" w:color="auto"/>
              <w:right w:val="nil"/>
            </w:tcBorders>
            <w:shd w:val="clear" w:color="auto" w:fill="auto"/>
            <w:noWrap/>
            <w:vAlign w:val="bottom"/>
            <w:hideMark/>
          </w:tcPr>
          <w:p w14:paraId="1D8325EC"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c>
          <w:tcPr>
            <w:tcW w:w="271" w:type="dxa"/>
            <w:tcBorders>
              <w:top w:val="nil"/>
              <w:left w:val="nil"/>
              <w:bottom w:val="nil"/>
              <w:right w:val="nil"/>
            </w:tcBorders>
            <w:shd w:val="clear" w:color="auto" w:fill="auto"/>
            <w:noWrap/>
            <w:vAlign w:val="bottom"/>
            <w:hideMark/>
          </w:tcPr>
          <w:p w14:paraId="4B528355" w14:textId="77777777" w:rsidR="00D94396" w:rsidRPr="00703A27" w:rsidRDefault="00D94396" w:rsidP="00583CE2">
            <w:pPr>
              <w:jc w:val="center"/>
              <w:rPr>
                <w:rFonts w:eastAsia="Times New Roman"/>
                <w:b/>
                <w:bCs/>
                <w:color w:val="000000"/>
                <w:sz w:val="20"/>
                <w:szCs w:val="20"/>
              </w:rPr>
            </w:pPr>
          </w:p>
        </w:tc>
        <w:tc>
          <w:tcPr>
            <w:tcW w:w="821" w:type="dxa"/>
            <w:tcBorders>
              <w:top w:val="nil"/>
              <w:left w:val="nil"/>
              <w:bottom w:val="single" w:sz="4" w:space="0" w:color="auto"/>
              <w:right w:val="nil"/>
            </w:tcBorders>
            <w:shd w:val="clear" w:color="auto" w:fill="auto"/>
            <w:noWrap/>
            <w:vAlign w:val="bottom"/>
            <w:hideMark/>
          </w:tcPr>
          <w:p w14:paraId="3785415A"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Totals</w:t>
            </w:r>
          </w:p>
        </w:tc>
        <w:tc>
          <w:tcPr>
            <w:tcW w:w="754" w:type="dxa"/>
            <w:tcBorders>
              <w:top w:val="nil"/>
              <w:left w:val="nil"/>
              <w:bottom w:val="single" w:sz="4" w:space="0" w:color="auto"/>
              <w:right w:val="nil"/>
            </w:tcBorders>
            <w:shd w:val="clear" w:color="auto" w:fill="auto"/>
            <w:noWrap/>
            <w:vAlign w:val="bottom"/>
            <w:hideMark/>
          </w:tcPr>
          <w:p w14:paraId="0E28DBA3"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938" w:type="dxa"/>
            <w:gridSpan w:val="2"/>
            <w:tcBorders>
              <w:top w:val="nil"/>
              <w:left w:val="nil"/>
              <w:bottom w:val="single" w:sz="4" w:space="0" w:color="auto"/>
              <w:right w:val="nil"/>
            </w:tcBorders>
            <w:shd w:val="clear" w:color="auto" w:fill="auto"/>
            <w:noWrap/>
            <w:vAlign w:val="bottom"/>
            <w:hideMark/>
          </w:tcPr>
          <w:p w14:paraId="507EA9B2"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c>
          <w:tcPr>
            <w:tcW w:w="520" w:type="dxa"/>
            <w:gridSpan w:val="2"/>
            <w:tcBorders>
              <w:top w:val="nil"/>
              <w:left w:val="nil"/>
              <w:bottom w:val="nil"/>
              <w:right w:val="nil"/>
            </w:tcBorders>
            <w:shd w:val="clear" w:color="auto" w:fill="auto"/>
            <w:noWrap/>
            <w:vAlign w:val="bottom"/>
            <w:hideMark/>
          </w:tcPr>
          <w:p w14:paraId="2640F552" w14:textId="77777777" w:rsidR="00D94396" w:rsidRPr="00703A27" w:rsidRDefault="00D94396" w:rsidP="00583CE2">
            <w:pPr>
              <w:jc w:val="center"/>
              <w:rPr>
                <w:rFonts w:eastAsia="Times New Roman"/>
                <w:b/>
                <w:bCs/>
                <w:color w:val="000000"/>
                <w:sz w:val="20"/>
                <w:szCs w:val="20"/>
              </w:rPr>
            </w:pPr>
          </w:p>
        </w:tc>
        <w:tc>
          <w:tcPr>
            <w:tcW w:w="998" w:type="dxa"/>
            <w:tcBorders>
              <w:top w:val="nil"/>
              <w:left w:val="nil"/>
              <w:bottom w:val="single" w:sz="4" w:space="0" w:color="auto"/>
              <w:right w:val="nil"/>
            </w:tcBorders>
            <w:shd w:val="clear" w:color="auto" w:fill="auto"/>
            <w:noWrap/>
            <w:vAlign w:val="bottom"/>
            <w:hideMark/>
          </w:tcPr>
          <w:p w14:paraId="25101498"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Totals</w:t>
            </w:r>
          </w:p>
        </w:tc>
        <w:tc>
          <w:tcPr>
            <w:tcW w:w="754" w:type="dxa"/>
            <w:tcBorders>
              <w:top w:val="nil"/>
              <w:left w:val="nil"/>
              <w:bottom w:val="single" w:sz="4" w:space="0" w:color="auto"/>
              <w:right w:val="nil"/>
            </w:tcBorders>
            <w:shd w:val="clear" w:color="auto" w:fill="auto"/>
            <w:noWrap/>
            <w:vAlign w:val="bottom"/>
            <w:hideMark/>
          </w:tcPr>
          <w:p w14:paraId="74F2E1D5"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1136" w:type="dxa"/>
            <w:tcBorders>
              <w:top w:val="nil"/>
              <w:left w:val="nil"/>
              <w:bottom w:val="single" w:sz="4" w:space="0" w:color="auto"/>
              <w:right w:val="nil"/>
            </w:tcBorders>
            <w:shd w:val="clear" w:color="auto" w:fill="auto"/>
            <w:noWrap/>
            <w:vAlign w:val="bottom"/>
            <w:hideMark/>
          </w:tcPr>
          <w:p w14:paraId="24CEA7AF"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r>
      <w:tr w:rsidR="00D94396" w:rsidRPr="00C478C9" w14:paraId="1A8AE2CB" w14:textId="77777777" w:rsidTr="00FF50E3">
        <w:trPr>
          <w:trHeight w:val="300"/>
        </w:trPr>
        <w:tc>
          <w:tcPr>
            <w:tcW w:w="3261" w:type="dxa"/>
            <w:gridSpan w:val="2"/>
            <w:tcBorders>
              <w:top w:val="nil"/>
              <w:left w:val="nil"/>
              <w:bottom w:val="nil"/>
              <w:right w:val="nil"/>
            </w:tcBorders>
            <w:shd w:val="clear" w:color="auto" w:fill="auto"/>
            <w:noWrap/>
            <w:vAlign w:val="bottom"/>
            <w:hideMark/>
          </w:tcPr>
          <w:p w14:paraId="536DD40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NYSE &amp; AMEX</w:t>
            </w:r>
          </w:p>
        </w:tc>
        <w:tc>
          <w:tcPr>
            <w:tcW w:w="944" w:type="dxa"/>
            <w:tcBorders>
              <w:top w:val="nil"/>
              <w:left w:val="nil"/>
              <w:bottom w:val="nil"/>
              <w:right w:val="nil"/>
            </w:tcBorders>
            <w:shd w:val="clear" w:color="auto" w:fill="auto"/>
            <w:noWrap/>
            <w:vAlign w:val="bottom"/>
            <w:hideMark/>
          </w:tcPr>
          <w:p w14:paraId="376C95F8" w14:textId="77777777" w:rsidR="00D94396" w:rsidRPr="00703A27" w:rsidRDefault="00D94396" w:rsidP="00583CE2">
            <w:pPr>
              <w:jc w:val="center"/>
              <w:rPr>
                <w:rFonts w:eastAsia="Times New Roman"/>
                <w:color w:val="000000"/>
                <w:sz w:val="20"/>
                <w:szCs w:val="20"/>
              </w:rPr>
            </w:pPr>
          </w:p>
        </w:tc>
        <w:tc>
          <w:tcPr>
            <w:tcW w:w="684" w:type="dxa"/>
            <w:tcBorders>
              <w:top w:val="nil"/>
              <w:left w:val="nil"/>
              <w:bottom w:val="nil"/>
              <w:right w:val="nil"/>
            </w:tcBorders>
            <w:shd w:val="clear" w:color="auto" w:fill="auto"/>
            <w:noWrap/>
            <w:vAlign w:val="bottom"/>
            <w:hideMark/>
          </w:tcPr>
          <w:p w14:paraId="5BC21B1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272</w:t>
            </w:r>
          </w:p>
        </w:tc>
        <w:tc>
          <w:tcPr>
            <w:tcW w:w="1065" w:type="dxa"/>
            <w:tcBorders>
              <w:top w:val="nil"/>
              <w:left w:val="nil"/>
              <w:bottom w:val="nil"/>
              <w:right w:val="nil"/>
            </w:tcBorders>
            <w:shd w:val="clear" w:color="auto" w:fill="auto"/>
            <w:noWrap/>
            <w:vAlign w:val="bottom"/>
            <w:hideMark/>
          </w:tcPr>
          <w:p w14:paraId="40972770"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01D0CFD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133.96</w:t>
            </w:r>
          </w:p>
        </w:tc>
        <w:tc>
          <w:tcPr>
            <w:tcW w:w="943" w:type="dxa"/>
            <w:tcBorders>
              <w:top w:val="nil"/>
              <w:left w:val="nil"/>
              <w:bottom w:val="nil"/>
              <w:right w:val="nil"/>
            </w:tcBorders>
            <w:shd w:val="clear" w:color="auto" w:fill="auto"/>
            <w:noWrap/>
            <w:vAlign w:val="center"/>
            <w:hideMark/>
          </w:tcPr>
          <w:p w14:paraId="42C2A1B5"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93.00</w:t>
            </w:r>
          </w:p>
        </w:tc>
        <w:tc>
          <w:tcPr>
            <w:tcW w:w="271" w:type="dxa"/>
            <w:tcBorders>
              <w:top w:val="nil"/>
              <w:left w:val="nil"/>
              <w:bottom w:val="nil"/>
              <w:right w:val="nil"/>
            </w:tcBorders>
            <w:shd w:val="clear" w:color="auto" w:fill="auto"/>
            <w:noWrap/>
            <w:vAlign w:val="bottom"/>
            <w:hideMark/>
          </w:tcPr>
          <w:p w14:paraId="3FC2697C"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bottom"/>
            <w:hideMark/>
          </w:tcPr>
          <w:p w14:paraId="2055848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840</w:t>
            </w:r>
          </w:p>
        </w:tc>
        <w:tc>
          <w:tcPr>
            <w:tcW w:w="754" w:type="dxa"/>
            <w:tcBorders>
              <w:top w:val="nil"/>
              <w:left w:val="nil"/>
              <w:bottom w:val="nil"/>
              <w:right w:val="nil"/>
            </w:tcBorders>
            <w:shd w:val="clear" w:color="auto" w:fill="auto"/>
            <w:noWrap/>
            <w:vAlign w:val="center"/>
            <w:hideMark/>
          </w:tcPr>
          <w:p w14:paraId="0BC9F7A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3.09</w:t>
            </w:r>
          </w:p>
        </w:tc>
        <w:tc>
          <w:tcPr>
            <w:tcW w:w="938" w:type="dxa"/>
            <w:gridSpan w:val="2"/>
            <w:tcBorders>
              <w:top w:val="nil"/>
              <w:left w:val="nil"/>
              <w:bottom w:val="nil"/>
              <w:right w:val="nil"/>
            </w:tcBorders>
            <w:shd w:val="clear" w:color="auto" w:fill="auto"/>
            <w:noWrap/>
            <w:vAlign w:val="center"/>
            <w:hideMark/>
          </w:tcPr>
          <w:p w14:paraId="5E2E758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3.00</w:t>
            </w:r>
          </w:p>
        </w:tc>
        <w:tc>
          <w:tcPr>
            <w:tcW w:w="520" w:type="dxa"/>
            <w:gridSpan w:val="2"/>
            <w:tcBorders>
              <w:top w:val="nil"/>
              <w:left w:val="nil"/>
              <w:bottom w:val="nil"/>
              <w:right w:val="nil"/>
            </w:tcBorders>
            <w:shd w:val="clear" w:color="auto" w:fill="auto"/>
            <w:noWrap/>
            <w:vAlign w:val="bottom"/>
            <w:hideMark/>
          </w:tcPr>
          <w:p w14:paraId="375F3D78"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bottom"/>
            <w:hideMark/>
          </w:tcPr>
          <w:p w14:paraId="5BC5E96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8250</w:t>
            </w:r>
          </w:p>
        </w:tc>
        <w:tc>
          <w:tcPr>
            <w:tcW w:w="754" w:type="dxa"/>
            <w:tcBorders>
              <w:top w:val="nil"/>
              <w:left w:val="nil"/>
              <w:bottom w:val="nil"/>
              <w:right w:val="nil"/>
            </w:tcBorders>
            <w:shd w:val="clear" w:color="auto" w:fill="auto"/>
            <w:noWrap/>
            <w:vAlign w:val="center"/>
            <w:hideMark/>
          </w:tcPr>
          <w:p w14:paraId="5296FE5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30.33</w:t>
            </w:r>
          </w:p>
        </w:tc>
        <w:tc>
          <w:tcPr>
            <w:tcW w:w="1136" w:type="dxa"/>
            <w:tcBorders>
              <w:top w:val="nil"/>
              <w:left w:val="nil"/>
              <w:bottom w:val="nil"/>
              <w:right w:val="nil"/>
            </w:tcBorders>
            <w:shd w:val="clear" w:color="auto" w:fill="auto"/>
            <w:noWrap/>
            <w:vAlign w:val="center"/>
            <w:hideMark/>
          </w:tcPr>
          <w:p w14:paraId="05A809C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30.50</w:t>
            </w:r>
          </w:p>
        </w:tc>
      </w:tr>
      <w:tr w:rsidR="00D94396" w:rsidRPr="00C478C9" w14:paraId="55AC8605" w14:textId="77777777" w:rsidTr="00FF50E3">
        <w:trPr>
          <w:trHeight w:val="300"/>
        </w:trPr>
        <w:tc>
          <w:tcPr>
            <w:tcW w:w="3261" w:type="dxa"/>
            <w:gridSpan w:val="2"/>
            <w:tcBorders>
              <w:top w:val="nil"/>
              <w:left w:val="nil"/>
              <w:bottom w:val="nil"/>
              <w:right w:val="nil"/>
            </w:tcBorders>
            <w:shd w:val="clear" w:color="auto" w:fill="auto"/>
            <w:noWrap/>
            <w:vAlign w:val="bottom"/>
            <w:hideMark/>
          </w:tcPr>
          <w:p w14:paraId="5D2B49A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NASDAQ</w:t>
            </w:r>
          </w:p>
        </w:tc>
        <w:tc>
          <w:tcPr>
            <w:tcW w:w="944" w:type="dxa"/>
            <w:tcBorders>
              <w:top w:val="nil"/>
              <w:left w:val="nil"/>
              <w:bottom w:val="nil"/>
              <w:right w:val="nil"/>
            </w:tcBorders>
            <w:shd w:val="clear" w:color="auto" w:fill="auto"/>
            <w:noWrap/>
            <w:vAlign w:val="bottom"/>
            <w:hideMark/>
          </w:tcPr>
          <w:p w14:paraId="60B4950E" w14:textId="77777777" w:rsidR="00D94396" w:rsidRPr="00703A27" w:rsidRDefault="00D94396" w:rsidP="00583CE2">
            <w:pPr>
              <w:jc w:val="center"/>
              <w:rPr>
                <w:rFonts w:eastAsia="Times New Roman"/>
                <w:color w:val="000000"/>
                <w:sz w:val="20"/>
                <w:szCs w:val="20"/>
              </w:rPr>
            </w:pPr>
          </w:p>
        </w:tc>
        <w:tc>
          <w:tcPr>
            <w:tcW w:w="684" w:type="dxa"/>
            <w:tcBorders>
              <w:top w:val="nil"/>
              <w:left w:val="nil"/>
              <w:bottom w:val="nil"/>
              <w:right w:val="nil"/>
            </w:tcBorders>
            <w:shd w:val="clear" w:color="auto" w:fill="auto"/>
            <w:noWrap/>
            <w:vAlign w:val="bottom"/>
            <w:hideMark/>
          </w:tcPr>
          <w:p w14:paraId="0AC725B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673</w:t>
            </w:r>
          </w:p>
        </w:tc>
        <w:tc>
          <w:tcPr>
            <w:tcW w:w="1065" w:type="dxa"/>
            <w:tcBorders>
              <w:top w:val="nil"/>
              <w:left w:val="nil"/>
              <w:bottom w:val="nil"/>
              <w:right w:val="nil"/>
            </w:tcBorders>
            <w:shd w:val="clear" w:color="auto" w:fill="auto"/>
            <w:noWrap/>
            <w:vAlign w:val="bottom"/>
            <w:hideMark/>
          </w:tcPr>
          <w:p w14:paraId="14FD7E1F"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5BDC330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114.20</w:t>
            </w:r>
          </w:p>
        </w:tc>
        <w:tc>
          <w:tcPr>
            <w:tcW w:w="943" w:type="dxa"/>
            <w:tcBorders>
              <w:top w:val="nil"/>
              <w:left w:val="nil"/>
              <w:bottom w:val="nil"/>
              <w:right w:val="nil"/>
            </w:tcBorders>
            <w:shd w:val="clear" w:color="auto" w:fill="auto"/>
            <w:noWrap/>
            <w:vAlign w:val="center"/>
            <w:hideMark/>
          </w:tcPr>
          <w:p w14:paraId="299F074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88.00</w:t>
            </w:r>
          </w:p>
        </w:tc>
        <w:tc>
          <w:tcPr>
            <w:tcW w:w="271" w:type="dxa"/>
            <w:tcBorders>
              <w:top w:val="nil"/>
              <w:left w:val="nil"/>
              <w:bottom w:val="nil"/>
              <w:right w:val="nil"/>
            </w:tcBorders>
            <w:shd w:val="clear" w:color="auto" w:fill="auto"/>
            <w:noWrap/>
            <w:vAlign w:val="bottom"/>
            <w:hideMark/>
          </w:tcPr>
          <w:p w14:paraId="54E750A3"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bottom"/>
            <w:hideMark/>
          </w:tcPr>
          <w:p w14:paraId="490D643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1678</w:t>
            </w:r>
          </w:p>
        </w:tc>
        <w:tc>
          <w:tcPr>
            <w:tcW w:w="754" w:type="dxa"/>
            <w:tcBorders>
              <w:top w:val="nil"/>
              <w:left w:val="nil"/>
              <w:bottom w:val="nil"/>
              <w:right w:val="nil"/>
            </w:tcBorders>
            <w:shd w:val="clear" w:color="auto" w:fill="auto"/>
            <w:noWrap/>
            <w:vAlign w:val="center"/>
            <w:hideMark/>
          </w:tcPr>
          <w:p w14:paraId="21CB6F0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2.63</w:t>
            </w:r>
          </w:p>
        </w:tc>
        <w:tc>
          <w:tcPr>
            <w:tcW w:w="938" w:type="dxa"/>
            <w:gridSpan w:val="2"/>
            <w:tcBorders>
              <w:top w:val="nil"/>
              <w:left w:val="nil"/>
              <w:bottom w:val="nil"/>
              <w:right w:val="nil"/>
            </w:tcBorders>
            <w:shd w:val="clear" w:color="auto" w:fill="auto"/>
            <w:noWrap/>
            <w:vAlign w:val="center"/>
            <w:hideMark/>
          </w:tcPr>
          <w:p w14:paraId="146E09A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2.00</w:t>
            </w:r>
          </w:p>
        </w:tc>
        <w:tc>
          <w:tcPr>
            <w:tcW w:w="520" w:type="dxa"/>
            <w:gridSpan w:val="2"/>
            <w:tcBorders>
              <w:top w:val="nil"/>
              <w:left w:val="nil"/>
              <w:bottom w:val="nil"/>
              <w:right w:val="nil"/>
            </w:tcBorders>
            <w:shd w:val="clear" w:color="auto" w:fill="auto"/>
            <w:noWrap/>
            <w:vAlign w:val="bottom"/>
            <w:hideMark/>
          </w:tcPr>
          <w:p w14:paraId="5C74028F"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bottom"/>
            <w:hideMark/>
          </w:tcPr>
          <w:p w14:paraId="6993141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15955</w:t>
            </w:r>
          </w:p>
        </w:tc>
        <w:tc>
          <w:tcPr>
            <w:tcW w:w="754" w:type="dxa"/>
            <w:tcBorders>
              <w:top w:val="nil"/>
              <w:left w:val="nil"/>
              <w:bottom w:val="nil"/>
              <w:right w:val="nil"/>
            </w:tcBorders>
            <w:shd w:val="clear" w:color="auto" w:fill="auto"/>
            <w:noWrap/>
            <w:vAlign w:val="center"/>
            <w:hideMark/>
          </w:tcPr>
          <w:p w14:paraId="4A75D48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24.05</w:t>
            </w:r>
          </w:p>
        </w:tc>
        <w:tc>
          <w:tcPr>
            <w:tcW w:w="1136" w:type="dxa"/>
            <w:tcBorders>
              <w:top w:val="nil"/>
              <w:left w:val="nil"/>
              <w:bottom w:val="nil"/>
              <w:right w:val="nil"/>
            </w:tcBorders>
            <w:shd w:val="clear" w:color="auto" w:fill="auto"/>
            <w:noWrap/>
            <w:vAlign w:val="center"/>
            <w:hideMark/>
          </w:tcPr>
          <w:p w14:paraId="256603C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14.00</w:t>
            </w:r>
          </w:p>
        </w:tc>
      </w:tr>
      <w:tr w:rsidR="00D94396" w:rsidRPr="00C478C9" w14:paraId="312332F8" w14:textId="77777777" w:rsidTr="00FF50E3">
        <w:trPr>
          <w:trHeight w:val="600"/>
        </w:trPr>
        <w:tc>
          <w:tcPr>
            <w:tcW w:w="3261" w:type="dxa"/>
            <w:gridSpan w:val="2"/>
            <w:tcBorders>
              <w:top w:val="nil"/>
              <w:left w:val="nil"/>
              <w:bottom w:val="nil"/>
              <w:right w:val="nil"/>
            </w:tcBorders>
            <w:shd w:val="clear" w:color="auto" w:fill="auto"/>
            <w:noWrap/>
            <w:vAlign w:val="bottom"/>
            <w:hideMark/>
          </w:tcPr>
          <w:p w14:paraId="569E50A5"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Totals</w:t>
            </w:r>
          </w:p>
        </w:tc>
        <w:tc>
          <w:tcPr>
            <w:tcW w:w="944" w:type="dxa"/>
            <w:tcBorders>
              <w:top w:val="nil"/>
              <w:left w:val="nil"/>
              <w:bottom w:val="nil"/>
              <w:right w:val="nil"/>
            </w:tcBorders>
            <w:shd w:val="clear" w:color="auto" w:fill="auto"/>
            <w:noWrap/>
            <w:vAlign w:val="bottom"/>
            <w:hideMark/>
          </w:tcPr>
          <w:p w14:paraId="1288BA30" w14:textId="77777777" w:rsidR="00D94396" w:rsidRPr="00703A27" w:rsidRDefault="00D94396" w:rsidP="00583CE2">
            <w:pPr>
              <w:jc w:val="center"/>
              <w:rPr>
                <w:rFonts w:eastAsia="Times New Roman"/>
                <w:i/>
                <w:iCs/>
                <w:color w:val="000000"/>
                <w:sz w:val="20"/>
                <w:szCs w:val="20"/>
              </w:rPr>
            </w:pPr>
          </w:p>
        </w:tc>
        <w:tc>
          <w:tcPr>
            <w:tcW w:w="684" w:type="dxa"/>
            <w:tcBorders>
              <w:top w:val="nil"/>
              <w:left w:val="nil"/>
              <w:bottom w:val="nil"/>
              <w:right w:val="nil"/>
            </w:tcBorders>
            <w:shd w:val="clear" w:color="auto" w:fill="auto"/>
            <w:noWrap/>
            <w:vAlign w:val="center"/>
            <w:hideMark/>
          </w:tcPr>
          <w:p w14:paraId="225B7AA9"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909</w:t>
            </w:r>
          </w:p>
        </w:tc>
        <w:tc>
          <w:tcPr>
            <w:tcW w:w="1065" w:type="dxa"/>
            <w:tcBorders>
              <w:top w:val="nil"/>
              <w:left w:val="nil"/>
              <w:bottom w:val="nil"/>
              <w:right w:val="nil"/>
            </w:tcBorders>
            <w:shd w:val="clear" w:color="auto" w:fill="auto"/>
            <w:noWrap/>
            <w:vAlign w:val="bottom"/>
            <w:hideMark/>
          </w:tcPr>
          <w:p w14:paraId="2A7D7A37" w14:textId="77777777" w:rsidR="00D94396" w:rsidRPr="00703A27" w:rsidRDefault="00D94396" w:rsidP="00583CE2">
            <w:pPr>
              <w:jc w:val="center"/>
              <w:rPr>
                <w:rFonts w:eastAsia="Times New Roman"/>
                <w:i/>
                <w:iCs/>
                <w:color w:val="000000"/>
                <w:sz w:val="20"/>
                <w:szCs w:val="20"/>
              </w:rPr>
            </w:pPr>
          </w:p>
        </w:tc>
        <w:tc>
          <w:tcPr>
            <w:tcW w:w="1228" w:type="dxa"/>
            <w:tcBorders>
              <w:top w:val="nil"/>
              <w:left w:val="nil"/>
              <w:bottom w:val="nil"/>
              <w:right w:val="nil"/>
            </w:tcBorders>
            <w:shd w:val="clear" w:color="auto" w:fill="auto"/>
            <w:noWrap/>
            <w:vAlign w:val="center"/>
            <w:hideMark/>
          </w:tcPr>
          <w:p w14:paraId="2AC65B23"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120.11</w:t>
            </w:r>
          </w:p>
        </w:tc>
        <w:tc>
          <w:tcPr>
            <w:tcW w:w="943" w:type="dxa"/>
            <w:tcBorders>
              <w:top w:val="nil"/>
              <w:left w:val="nil"/>
              <w:bottom w:val="nil"/>
              <w:right w:val="nil"/>
            </w:tcBorders>
            <w:shd w:val="clear" w:color="auto" w:fill="auto"/>
            <w:noWrap/>
            <w:vAlign w:val="center"/>
            <w:hideMark/>
          </w:tcPr>
          <w:p w14:paraId="16A30850"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90.00</w:t>
            </w:r>
          </w:p>
        </w:tc>
        <w:tc>
          <w:tcPr>
            <w:tcW w:w="271" w:type="dxa"/>
            <w:tcBorders>
              <w:top w:val="nil"/>
              <w:left w:val="nil"/>
              <w:bottom w:val="nil"/>
              <w:right w:val="nil"/>
            </w:tcBorders>
            <w:shd w:val="clear" w:color="auto" w:fill="auto"/>
            <w:noWrap/>
            <w:vAlign w:val="center"/>
            <w:hideMark/>
          </w:tcPr>
          <w:p w14:paraId="07829A31" w14:textId="77777777" w:rsidR="00D94396" w:rsidRPr="00703A27" w:rsidRDefault="00D94396" w:rsidP="00583CE2">
            <w:pPr>
              <w:jc w:val="center"/>
              <w:rPr>
                <w:rFonts w:eastAsia="Times New Roman"/>
                <w:i/>
                <w:iCs/>
                <w:color w:val="000000"/>
                <w:sz w:val="20"/>
                <w:szCs w:val="20"/>
              </w:rPr>
            </w:pPr>
          </w:p>
        </w:tc>
        <w:tc>
          <w:tcPr>
            <w:tcW w:w="821" w:type="dxa"/>
            <w:tcBorders>
              <w:top w:val="nil"/>
              <w:left w:val="nil"/>
              <w:bottom w:val="nil"/>
              <w:right w:val="nil"/>
            </w:tcBorders>
            <w:shd w:val="clear" w:color="auto" w:fill="auto"/>
            <w:noWrap/>
            <w:vAlign w:val="center"/>
            <w:hideMark/>
          </w:tcPr>
          <w:p w14:paraId="3861F4F6"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2518</w:t>
            </w:r>
          </w:p>
        </w:tc>
        <w:tc>
          <w:tcPr>
            <w:tcW w:w="754" w:type="dxa"/>
            <w:tcBorders>
              <w:top w:val="nil"/>
              <w:left w:val="nil"/>
              <w:bottom w:val="nil"/>
              <w:right w:val="nil"/>
            </w:tcBorders>
            <w:shd w:val="clear" w:color="auto" w:fill="auto"/>
            <w:noWrap/>
            <w:vAlign w:val="center"/>
            <w:hideMark/>
          </w:tcPr>
          <w:p w14:paraId="20FF4CD2"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2.77</w:t>
            </w:r>
          </w:p>
        </w:tc>
        <w:tc>
          <w:tcPr>
            <w:tcW w:w="938" w:type="dxa"/>
            <w:gridSpan w:val="2"/>
            <w:tcBorders>
              <w:top w:val="nil"/>
              <w:left w:val="nil"/>
              <w:bottom w:val="nil"/>
              <w:right w:val="nil"/>
            </w:tcBorders>
            <w:shd w:val="clear" w:color="auto" w:fill="auto"/>
            <w:noWrap/>
            <w:vAlign w:val="center"/>
            <w:hideMark/>
          </w:tcPr>
          <w:p w14:paraId="7D32EAC1"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3.00</w:t>
            </w:r>
          </w:p>
        </w:tc>
        <w:tc>
          <w:tcPr>
            <w:tcW w:w="520" w:type="dxa"/>
            <w:gridSpan w:val="2"/>
            <w:tcBorders>
              <w:top w:val="nil"/>
              <w:left w:val="nil"/>
              <w:bottom w:val="nil"/>
              <w:right w:val="nil"/>
            </w:tcBorders>
            <w:shd w:val="clear" w:color="auto" w:fill="auto"/>
            <w:noWrap/>
            <w:vAlign w:val="center"/>
            <w:hideMark/>
          </w:tcPr>
          <w:p w14:paraId="2564DF7B" w14:textId="77777777" w:rsidR="00D94396" w:rsidRPr="00703A27" w:rsidRDefault="00D94396" w:rsidP="00583CE2">
            <w:pPr>
              <w:jc w:val="center"/>
              <w:rPr>
                <w:rFonts w:eastAsia="Times New Roman"/>
                <w:i/>
                <w:iCs/>
                <w:color w:val="000000"/>
                <w:sz w:val="20"/>
                <w:szCs w:val="20"/>
              </w:rPr>
            </w:pPr>
          </w:p>
        </w:tc>
        <w:tc>
          <w:tcPr>
            <w:tcW w:w="998" w:type="dxa"/>
            <w:tcBorders>
              <w:top w:val="nil"/>
              <w:left w:val="nil"/>
              <w:bottom w:val="nil"/>
              <w:right w:val="nil"/>
            </w:tcBorders>
            <w:shd w:val="clear" w:color="auto" w:fill="auto"/>
            <w:noWrap/>
            <w:vAlign w:val="center"/>
            <w:hideMark/>
          </w:tcPr>
          <w:p w14:paraId="29DE44C8"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24205</w:t>
            </w:r>
          </w:p>
        </w:tc>
        <w:tc>
          <w:tcPr>
            <w:tcW w:w="754" w:type="dxa"/>
            <w:tcBorders>
              <w:top w:val="nil"/>
              <w:left w:val="nil"/>
              <w:bottom w:val="nil"/>
              <w:right w:val="nil"/>
            </w:tcBorders>
            <w:shd w:val="clear" w:color="auto" w:fill="auto"/>
            <w:noWrap/>
            <w:vAlign w:val="center"/>
            <w:hideMark/>
          </w:tcPr>
          <w:p w14:paraId="4F0170FE"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26.63</w:t>
            </w:r>
          </w:p>
        </w:tc>
        <w:tc>
          <w:tcPr>
            <w:tcW w:w="1136" w:type="dxa"/>
            <w:tcBorders>
              <w:top w:val="nil"/>
              <w:left w:val="nil"/>
              <w:bottom w:val="nil"/>
              <w:right w:val="nil"/>
            </w:tcBorders>
            <w:shd w:val="clear" w:color="auto" w:fill="auto"/>
            <w:noWrap/>
            <w:vAlign w:val="center"/>
            <w:hideMark/>
          </w:tcPr>
          <w:p w14:paraId="05588CEE"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22.00</w:t>
            </w:r>
          </w:p>
        </w:tc>
      </w:tr>
      <w:tr w:rsidR="00D94396" w:rsidRPr="00703A27" w14:paraId="46BEC27B" w14:textId="77777777" w:rsidTr="00FF50E3">
        <w:trPr>
          <w:trHeight w:val="475"/>
        </w:trPr>
        <w:tc>
          <w:tcPr>
            <w:tcW w:w="14317" w:type="dxa"/>
            <w:gridSpan w:val="17"/>
            <w:tcBorders>
              <w:top w:val="nil"/>
              <w:left w:val="nil"/>
              <w:bottom w:val="nil"/>
              <w:right w:val="nil"/>
            </w:tcBorders>
            <w:shd w:val="clear" w:color="auto" w:fill="auto"/>
            <w:noWrap/>
            <w:vAlign w:val="bottom"/>
            <w:hideMark/>
          </w:tcPr>
          <w:p w14:paraId="2E6729E3" w14:textId="165AC022" w:rsidR="00D94396" w:rsidRPr="00703A27" w:rsidRDefault="00FF50E3" w:rsidP="00583CE2">
            <w:pPr>
              <w:rPr>
                <w:rFonts w:eastAsia="Times New Roman"/>
                <w:b/>
                <w:bCs/>
                <w:color w:val="000000"/>
                <w:sz w:val="20"/>
                <w:szCs w:val="20"/>
                <w:u w:val="single"/>
                <w:vertAlign w:val="superscript"/>
              </w:rPr>
            </w:pPr>
            <w:r>
              <w:rPr>
                <w:rFonts w:eastAsia="Times New Roman"/>
                <w:b/>
                <w:bCs/>
                <w:color w:val="000000"/>
                <w:sz w:val="20"/>
                <w:szCs w:val="20"/>
                <w:u w:val="single"/>
              </w:rPr>
              <w:lastRenderedPageBreak/>
              <w:t>Panel E</w:t>
            </w:r>
            <w:r w:rsidR="00D94396" w:rsidRPr="00703A27">
              <w:rPr>
                <w:rFonts w:eastAsia="Times New Roman"/>
                <w:b/>
                <w:bCs/>
                <w:color w:val="000000"/>
                <w:sz w:val="20"/>
                <w:szCs w:val="20"/>
                <w:u w:val="single"/>
              </w:rPr>
              <w:t>. Summary descriptive statistics of SEC review attributes by reviewers</w:t>
            </w:r>
          </w:p>
        </w:tc>
      </w:tr>
      <w:tr w:rsidR="00D94396" w:rsidRPr="00703A27" w14:paraId="20D30BA7" w14:textId="77777777" w:rsidTr="00FF50E3">
        <w:trPr>
          <w:trHeight w:val="412"/>
        </w:trPr>
        <w:tc>
          <w:tcPr>
            <w:tcW w:w="3261" w:type="dxa"/>
            <w:gridSpan w:val="2"/>
            <w:tcBorders>
              <w:top w:val="nil"/>
              <w:left w:val="nil"/>
              <w:bottom w:val="nil"/>
              <w:right w:val="nil"/>
            </w:tcBorders>
            <w:shd w:val="clear" w:color="auto" w:fill="auto"/>
            <w:noWrap/>
            <w:vAlign w:val="bottom"/>
            <w:hideMark/>
          </w:tcPr>
          <w:p w14:paraId="1F37BA6F" w14:textId="77777777" w:rsidR="00D94396" w:rsidRPr="00703A27" w:rsidRDefault="00D94396" w:rsidP="00583CE2">
            <w:pPr>
              <w:rPr>
                <w:rFonts w:eastAsia="Times New Roman"/>
                <w:b/>
                <w:bCs/>
                <w:color w:val="000000"/>
                <w:sz w:val="20"/>
                <w:szCs w:val="20"/>
                <w:u w:val="single"/>
              </w:rPr>
            </w:pPr>
          </w:p>
        </w:tc>
        <w:tc>
          <w:tcPr>
            <w:tcW w:w="944" w:type="dxa"/>
            <w:tcBorders>
              <w:top w:val="nil"/>
              <w:left w:val="nil"/>
              <w:bottom w:val="single" w:sz="4" w:space="0" w:color="auto"/>
              <w:right w:val="nil"/>
            </w:tcBorders>
            <w:shd w:val="clear" w:color="auto" w:fill="auto"/>
            <w:noWrap/>
            <w:vAlign w:val="bottom"/>
            <w:hideMark/>
          </w:tcPr>
          <w:p w14:paraId="37F7EE52" w14:textId="77777777" w:rsidR="00D94396" w:rsidRPr="00703A27" w:rsidRDefault="00D94396" w:rsidP="00583CE2">
            <w:pPr>
              <w:rPr>
                <w:rFonts w:eastAsia="Times New Roman"/>
                <w:b/>
                <w:bCs/>
                <w:color w:val="000000"/>
                <w:sz w:val="20"/>
                <w:szCs w:val="20"/>
              </w:rPr>
            </w:pPr>
            <w:proofErr w:type="spellStart"/>
            <w:proofErr w:type="gramStart"/>
            <w:r w:rsidRPr="00703A27">
              <w:rPr>
                <w:rFonts w:eastAsia="Times New Roman"/>
                <w:b/>
                <w:bCs/>
                <w:color w:val="000000"/>
                <w:sz w:val="20"/>
                <w:szCs w:val="20"/>
              </w:rPr>
              <w:t>No.IPOs</w:t>
            </w:r>
            <w:proofErr w:type="spellEnd"/>
            <w:proofErr w:type="gramEnd"/>
          </w:p>
        </w:tc>
        <w:tc>
          <w:tcPr>
            <w:tcW w:w="684" w:type="dxa"/>
            <w:tcBorders>
              <w:top w:val="nil"/>
              <w:left w:val="nil"/>
              <w:bottom w:val="nil"/>
              <w:right w:val="nil"/>
            </w:tcBorders>
            <w:shd w:val="clear" w:color="auto" w:fill="auto"/>
            <w:noWrap/>
            <w:vAlign w:val="bottom"/>
            <w:hideMark/>
          </w:tcPr>
          <w:p w14:paraId="3D7E89E5" w14:textId="77777777" w:rsidR="00D94396" w:rsidRPr="00703A27" w:rsidRDefault="00D94396" w:rsidP="00583CE2">
            <w:pPr>
              <w:rPr>
                <w:rFonts w:eastAsia="Times New Roman"/>
                <w:b/>
                <w:bCs/>
                <w:color w:val="000000"/>
                <w:sz w:val="20"/>
                <w:szCs w:val="20"/>
              </w:rPr>
            </w:pPr>
          </w:p>
        </w:tc>
        <w:tc>
          <w:tcPr>
            <w:tcW w:w="1065" w:type="dxa"/>
            <w:tcBorders>
              <w:top w:val="nil"/>
              <w:left w:val="nil"/>
              <w:bottom w:val="single" w:sz="4" w:space="0" w:color="auto"/>
              <w:right w:val="nil"/>
            </w:tcBorders>
            <w:shd w:val="clear" w:color="auto" w:fill="auto"/>
            <w:vAlign w:val="bottom"/>
            <w:hideMark/>
          </w:tcPr>
          <w:p w14:paraId="3A7CE252"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No. reviewers</w:t>
            </w:r>
          </w:p>
        </w:tc>
        <w:tc>
          <w:tcPr>
            <w:tcW w:w="1228" w:type="dxa"/>
            <w:tcBorders>
              <w:top w:val="nil"/>
              <w:left w:val="nil"/>
              <w:bottom w:val="nil"/>
              <w:right w:val="nil"/>
            </w:tcBorders>
            <w:shd w:val="clear" w:color="auto" w:fill="auto"/>
            <w:noWrap/>
            <w:vAlign w:val="bottom"/>
            <w:hideMark/>
          </w:tcPr>
          <w:p w14:paraId="64032C3E" w14:textId="77777777" w:rsidR="00D94396" w:rsidRPr="00703A27" w:rsidRDefault="00D94396" w:rsidP="00583CE2">
            <w:pPr>
              <w:jc w:val="center"/>
              <w:rPr>
                <w:rFonts w:eastAsia="Times New Roman"/>
                <w:b/>
                <w:bCs/>
                <w:color w:val="000000"/>
                <w:sz w:val="20"/>
                <w:szCs w:val="20"/>
              </w:rPr>
            </w:pPr>
          </w:p>
        </w:tc>
        <w:tc>
          <w:tcPr>
            <w:tcW w:w="943" w:type="dxa"/>
            <w:tcBorders>
              <w:top w:val="nil"/>
              <w:left w:val="nil"/>
              <w:bottom w:val="single" w:sz="4" w:space="0" w:color="auto"/>
              <w:right w:val="nil"/>
            </w:tcBorders>
            <w:shd w:val="clear" w:color="auto" w:fill="auto"/>
            <w:noWrap/>
            <w:vAlign w:val="bottom"/>
            <w:hideMark/>
          </w:tcPr>
          <w:p w14:paraId="68C53929"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271" w:type="dxa"/>
            <w:tcBorders>
              <w:top w:val="nil"/>
              <w:left w:val="nil"/>
              <w:bottom w:val="nil"/>
              <w:right w:val="nil"/>
            </w:tcBorders>
            <w:shd w:val="clear" w:color="auto" w:fill="auto"/>
            <w:noWrap/>
            <w:vAlign w:val="bottom"/>
            <w:hideMark/>
          </w:tcPr>
          <w:p w14:paraId="712ED6A6" w14:textId="77777777" w:rsidR="00D94396" w:rsidRPr="00703A27" w:rsidRDefault="00D94396" w:rsidP="00583CE2">
            <w:pPr>
              <w:jc w:val="center"/>
              <w:rPr>
                <w:rFonts w:eastAsia="Times New Roman"/>
                <w:b/>
                <w:bCs/>
                <w:color w:val="000000"/>
                <w:sz w:val="20"/>
                <w:szCs w:val="20"/>
              </w:rPr>
            </w:pPr>
          </w:p>
        </w:tc>
        <w:tc>
          <w:tcPr>
            <w:tcW w:w="821" w:type="dxa"/>
            <w:tcBorders>
              <w:top w:val="nil"/>
              <w:left w:val="nil"/>
              <w:bottom w:val="single" w:sz="4" w:space="0" w:color="auto"/>
              <w:right w:val="nil"/>
            </w:tcBorders>
            <w:shd w:val="clear" w:color="auto" w:fill="auto"/>
            <w:noWrap/>
            <w:vAlign w:val="bottom"/>
            <w:hideMark/>
          </w:tcPr>
          <w:p w14:paraId="2CED88B4"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STD</w:t>
            </w:r>
          </w:p>
        </w:tc>
        <w:tc>
          <w:tcPr>
            <w:tcW w:w="754" w:type="dxa"/>
            <w:tcBorders>
              <w:top w:val="nil"/>
              <w:left w:val="nil"/>
              <w:bottom w:val="nil"/>
              <w:right w:val="nil"/>
            </w:tcBorders>
            <w:shd w:val="clear" w:color="auto" w:fill="auto"/>
            <w:noWrap/>
            <w:vAlign w:val="bottom"/>
            <w:hideMark/>
          </w:tcPr>
          <w:p w14:paraId="2FA23889" w14:textId="77777777" w:rsidR="00D94396" w:rsidRPr="00703A27" w:rsidRDefault="00D94396" w:rsidP="00583CE2">
            <w:pPr>
              <w:jc w:val="center"/>
              <w:rPr>
                <w:rFonts w:eastAsia="Times New Roman"/>
                <w:b/>
                <w:bCs/>
                <w:color w:val="000000"/>
                <w:sz w:val="20"/>
                <w:szCs w:val="20"/>
              </w:rPr>
            </w:pPr>
          </w:p>
        </w:tc>
        <w:tc>
          <w:tcPr>
            <w:tcW w:w="938" w:type="dxa"/>
            <w:gridSpan w:val="2"/>
            <w:tcBorders>
              <w:top w:val="nil"/>
              <w:left w:val="nil"/>
              <w:bottom w:val="single" w:sz="4" w:space="0" w:color="auto"/>
              <w:right w:val="nil"/>
            </w:tcBorders>
            <w:shd w:val="clear" w:color="auto" w:fill="auto"/>
            <w:noWrap/>
            <w:vAlign w:val="bottom"/>
            <w:hideMark/>
          </w:tcPr>
          <w:p w14:paraId="7D5F9CC2"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p1</w:t>
            </w:r>
          </w:p>
        </w:tc>
        <w:tc>
          <w:tcPr>
            <w:tcW w:w="520" w:type="dxa"/>
            <w:gridSpan w:val="2"/>
            <w:tcBorders>
              <w:top w:val="nil"/>
              <w:left w:val="nil"/>
              <w:bottom w:val="nil"/>
              <w:right w:val="nil"/>
            </w:tcBorders>
            <w:shd w:val="clear" w:color="auto" w:fill="auto"/>
            <w:noWrap/>
            <w:vAlign w:val="bottom"/>
            <w:hideMark/>
          </w:tcPr>
          <w:p w14:paraId="580DB922" w14:textId="77777777" w:rsidR="00D94396" w:rsidRPr="00703A27" w:rsidRDefault="00D94396" w:rsidP="00583CE2">
            <w:pPr>
              <w:jc w:val="center"/>
              <w:rPr>
                <w:rFonts w:eastAsia="Times New Roman"/>
                <w:b/>
                <w:bCs/>
                <w:color w:val="000000"/>
                <w:sz w:val="20"/>
                <w:szCs w:val="20"/>
              </w:rPr>
            </w:pPr>
          </w:p>
        </w:tc>
        <w:tc>
          <w:tcPr>
            <w:tcW w:w="998" w:type="dxa"/>
            <w:tcBorders>
              <w:top w:val="nil"/>
              <w:left w:val="nil"/>
              <w:bottom w:val="single" w:sz="4" w:space="0" w:color="auto"/>
              <w:right w:val="nil"/>
            </w:tcBorders>
            <w:shd w:val="clear" w:color="auto" w:fill="auto"/>
            <w:noWrap/>
            <w:vAlign w:val="bottom"/>
            <w:hideMark/>
          </w:tcPr>
          <w:p w14:paraId="21843488"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c>
          <w:tcPr>
            <w:tcW w:w="754" w:type="dxa"/>
            <w:tcBorders>
              <w:top w:val="nil"/>
              <w:left w:val="nil"/>
              <w:bottom w:val="nil"/>
              <w:right w:val="nil"/>
            </w:tcBorders>
            <w:shd w:val="clear" w:color="auto" w:fill="auto"/>
            <w:noWrap/>
            <w:vAlign w:val="bottom"/>
            <w:hideMark/>
          </w:tcPr>
          <w:p w14:paraId="67DFFD73" w14:textId="77777777" w:rsidR="00D94396" w:rsidRPr="00703A27" w:rsidRDefault="00D94396" w:rsidP="00583CE2">
            <w:pPr>
              <w:jc w:val="center"/>
              <w:rPr>
                <w:rFonts w:eastAsia="Times New Roman"/>
                <w:b/>
                <w:bCs/>
                <w:color w:val="000000"/>
                <w:sz w:val="20"/>
                <w:szCs w:val="20"/>
              </w:rPr>
            </w:pPr>
          </w:p>
        </w:tc>
        <w:tc>
          <w:tcPr>
            <w:tcW w:w="1136" w:type="dxa"/>
            <w:tcBorders>
              <w:top w:val="nil"/>
              <w:left w:val="nil"/>
              <w:bottom w:val="single" w:sz="4" w:space="0" w:color="auto"/>
              <w:right w:val="nil"/>
            </w:tcBorders>
            <w:shd w:val="clear" w:color="auto" w:fill="auto"/>
            <w:noWrap/>
            <w:vAlign w:val="bottom"/>
            <w:hideMark/>
          </w:tcPr>
          <w:p w14:paraId="170B1FE3"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p99</w:t>
            </w:r>
          </w:p>
        </w:tc>
      </w:tr>
      <w:tr w:rsidR="00D94396" w:rsidRPr="00703A27" w14:paraId="0AD7AF4E" w14:textId="77777777" w:rsidTr="00FF50E3">
        <w:trPr>
          <w:trHeight w:val="552"/>
        </w:trPr>
        <w:tc>
          <w:tcPr>
            <w:tcW w:w="3261" w:type="dxa"/>
            <w:gridSpan w:val="2"/>
            <w:tcBorders>
              <w:top w:val="nil"/>
              <w:left w:val="nil"/>
              <w:bottom w:val="nil"/>
              <w:right w:val="nil"/>
            </w:tcBorders>
            <w:shd w:val="clear" w:color="auto" w:fill="auto"/>
            <w:noWrap/>
            <w:vAlign w:val="bottom"/>
            <w:hideMark/>
          </w:tcPr>
          <w:p w14:paraId="5B72C462"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Duration</w:t>
            </w:r>
          </w:p>
        </w:tc>
        <w:tc>
          <w:tcPr>
            <w:tcW w:w="944" w:type="dxa"/>
            <w:tcBorders>
              <w:top w:val="nil"/>
              <w:left w:val="nil"/>
              <w:bottom w:val="nil"/>
              <w:right w:val="nil"/>
            </w:tcBorders>
            <w:shd w:val="clear" w:color="auto" w:fill="auto"/>
            <w:noWrap/>
            <w:vAlign w:val="center"/>
            <w:hideMark/>
          </w:tcPr>
          <w:p w14:paraId="5CE4BEB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710</w:t>
            </w:r>
          </w:p>
        </w:tc>
        <w:tc>
          <w:tcPr>
            <w:tcW w:w="684" w:type="dxa"/>
            <w:tcBorders>
              <w:top w:val="nil"/>
              <w:left w:val="nil"/>
              <w:bottom w:val="nil"/>
              <w:right w:val="nil"/>
            </w:tcBorders>
            <w:shd w:val="clear" w:color="auto" w:fill="auto"/>
            <w:noWrap/>
            <w:vAlign w:val="center"/>
            <w:hideMark/>
          </w:tcPr>
          <w:p w14:paraId="4E754786" w14:textId="77777777" w:rsidR="00D94396" w:rsidRPr="00703A27" w:rsidRDefault="00D94396" w:rsidP="00583CE2">
            <w:pPr>
              <w:jc w:val="center"/>
              <w:rPr>
                <w:rFonts w:eastAsia="Times New Roman"/>
                <w:color w:val="000000"/>
                <w:sz w:val="20"/>
                <w:szCs w:val="20"/>
              </w:rPr>
            </w:pPr>
          </w:p>
        </w:tc>
        <w:tc>
          <w:tcPr>
            <w:tcW w:w="1065" w:type="dxa"/>
            <w:tcBorders>
              <w:top w:val="nil"/>
              <w:left w:val="nil"/>
              <w:bottom w:val="nil"/>
              <w:right w:val="nil"/>
            </w:tcBorders>
            <w:shd w:val="clear" w:color="auto" w:fill="auto"/>
            <w:noWrap/>
            <w:vAlign w:val="center"/>
            <w:hideMark/>
          </w:tcPr>
          <w:p w14:paraId="0445BFB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56</w:t>
            </w:r>
          </w:p>
        </w:tc>
        <w:tc>
          <w:tcPr>
            <w:tcW w:w="1228" w:type="dxa"/>
            <w:tcBorders>
              <w:top w:val="nil"/>
              <w:left w:val="nil"/>
              <w:bottom w:val="nil"/>
              <w:right w:val="nil"/>
            </w:tcBorders>
            <w:shd w:val="clear" w:color="auto" w:fill="auto"/>
            <w:noWrap/>
            <w:vAlign w:val="center"/>
            <w:hideMark/>
          </w:tcPr>
          <w:p w14:paraId="02D98A42" w14:textId="77777777" w:rsidR="00D94396" w:rsidRPr="00703A27" w:rsidRDefault="00D94396" w:rsidP="00583CE2">
            <w:pPr>
              <w:jc w:val="center"/>
              <w:rPr>
                <w:rFonts w:eastAsia="Times New Roman"/>
                <w:color w:val="000000"/>
                <w:sz w:val="20"/>
                <w:szCs w:val="20"/>
              </w:rPr>
            </w:pPr>
          </w:p>
        </w:tc>
        <w:tc>
          <w:tcPr>
            <w:tcW w:w="943" w:type="dxa"/>
            <w:tcBorders>
              <w:top w:val="nil"/>
              <w:left w:val="nil"/>
              <w:bottom w:val="nil"/>
              <w:right w:val="nil"/>
            </w:tcBorders>
            <w:shd w:val="clear" w:color="auto" w:fill="auto"/>
            <w:noWrap/>
            <w:vAlign w:val="center"/>
            <w:hideMark/>
          </w:tcPr>
          <w:p w14:paraId="6E99BC3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149.23</w:t>
            </w:r>
          </w:p>
        </w:tc>
        <w:tc>
          <w:tcPr>
            <w:tcW w:w="271" w:type="dxa"/>
            <w:tcBorders>
              <w:top w:val="nil"/>
              <w:left w:val="nil"/>
              <w:bottom w:val="nil"/>
              <w:right w:val="nil"/>
            </w:tcBorders>
            <w:shd w:val="clear" w:color="auto" w:fill="auto"/>
            <w:noWrap/>
            <w:vAlign w:val="center"/>
            <w:hideMark/>
          </w:tcPr>
          <w:p w14:paraId="1AD6C408"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3C2B31E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123.77</w:t>
            </w:r>
          </w:p>
        </w:tc>
        <w:tc>
          <w:tcPr>
            <w:tcW w:w="754" w:type="dxa"/>
            <w:tcBorders>
              <w:top w:val="nil"/>
              <w:left w:val="nil"/>
              <w:bottom w:val="nil"/>
              <w:right w:val="nil"/>
            </w:tcBorders>
            <w:shd w:val="clear" w:color="auto" w:fill="auto"/>
            <w:noWrap/>
            <w:vAlign w:val="center"/>
            <w:hideMark/>
          </w:tcPr>
          <w:p w14:paraId="60268AAA" w14:textId="77777777" w:rsidR="00D94396" w:rsidRPr="00703A27" w:rsidRDefault="00D94396" w:rsidP="00583CE2">
            <w:pPr>
              <w:jc w:val="center"/>
              <w:rPr>
                <w:rFonts w:eastAsia="Times New Roman"/>
                <w:color w:val="000000"/>
                <w:sz w:val="20"/>
                <w:szCs w:val="20"/>
              </w:rPr>
            </w:pPr>
          </w:p>
        </w:tc>
        <w:tc>
          <w:tcPr>
            <w:tcW w:w="938" w:type="dxa"/>
            <w:gridSpan w:val="2"/>
            <w:tcBorders>
              <w:top w:val="nil"/>
              <w:left w:val="nil"/>
              <w:bottom w:val="nil"/>
              <w:right w:val="nil"/>
            </w:tcBorders>
            <w:shd w:val="clear" w:color="auto" w:fill="auto"/>
            <w:noWrap/>
            <w:vAlign w:val="center"/>
            <w:hideMark/>
          </w:tcPr>
          <w:p w14:paraId="41A27F7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27</w:t>
            </w:r>
          </w:p>
        </w:tc>
        <w:tc>
          <w:tcPr>
            <w:tcW w:w="520" w:type="dxa"/>
            <w:gridSpan w:val="2"/>
            <w:tcBorders>
              <w:top w:val="nil"/>
              <w:left w:val="nil"/>
              <w:bottom w:val="nil"/>
              <w:right w:val="nil"/>
            </w:tcBorders>
            <w:shd w:val="clear" w:color="auto" w:fill="auto"/>
            <w:noWrap/>
            <w:vAlign w:val="center"/>
            <w:hideMark/>
          </w:tcPr>
          <w:p w14:paraId="1201AF30"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65AA709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125.44</w:t>
            </w:r>
          </w:p>
        </w:tc>
        <w:tc>
          <w:tcPr>
            <w:tcW w:w="754" w:type="dxa"/>
            <w:tcBorders>
              <w:top w:val="nil"/>
              <w:left w:val="nil"/>
              <w:bottom w:val="nil"/>
              <w:right w:val="nil"/>
            </w:tcBorders>
            <w:shd w:val="clear" w:color="auto" w:fill="auto"/>
            <w:noWrap/>
            <w:vAlign w:val="center"/>
            <w:hideMark/>
          </w:tcPr>
          <w:p w14:paraId="56AD6A5A" w14:textId="77777777" w:rsidR="00D94396" w:rsidRPr="00703A27" w:rsidRDefault="00D94396" w:rsidP="00583CE2">
            <w:pPr>
              <w:jc w:val="center"/>
              <w:rPr>
                <w:rFonts w:eastAsia="Times New Roman"/>
                <w:color w:val="000000"/>
                <w:sz w:val="20"/>
                <w:szCs w:val="20"/>
              </w:rPr>
            </w:pPr>
          </w:p>
        </w:tc>
        <w:tc>
          <w:tcPr>
            <w:tcW w:w="1136" w:type="dxa"/>
            <w:tcBorders>
              <w:top w:val="nil"/>
              <w:left w:val="nil"/>
              <w:bottom w:val="nil"/>
              <w:right w:val="nil"/>
            </w:tcBorders>
            <w:shd w:val="clear" w:color="auto" w:fill="auto"/>
            <w:noWrap/>
            <w:vAlign w:val="center"/>
            <w:hideMark/>
          </w:tcPr>
          <w:p w14:paraId="55D5EC5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699</w:t>
            </w:r>
          </w:p>
        </w:tc>
      </w:tr>
      <w:tr w:rsidR="00D94396" w:rsidRPr="00703A27" w14:paraId="34210428" w14:textId="77777777" w:rsidTr="00FF50E3">
        <w:trPr>
          <w:trHeight w:val="300"/>
        </w:trPr>
        <w:tc>
          <w:tcPr>
            <w:tcW w:w="3261" w:type="dxa"/>
            <w:gridSpan w:val="2"/>
            <w:tcBorders>
              <w:top w:val="nil"/>
              <w:left w:val="nil"/>
              <w:bottom w:val="nil"/>
              <w:right w:val="nil"/>
            </w:tcBorders>
            <w:shd w:val="clear" w:color="auto" w:fill="auto"/>
            <w:noWrap/>
            <w:vAlign w:val="bottom"/>
            <w:hideMark/>
          </w:tcPr>
          <w:p w14:paraId="0F6CE894" w14:textId="5103F17A" w:rsidR="00D94396" w:rsidRPr="00703A27" w:rsidRDefault="00210988" w:rsidP="00583CE2">
            <w:pPr>
              <w:rPr>
                <w:rFonts w:eastAsia="Times New Roman"/>
                <w:color w:val="000000"/>
                <w:sz w:val="20"/>
                <w:szCs w:val="20"/>
              </w:rPr>
            </w:pPr>
            <w:r>
              <w:rPr>
                <w:rFonts w:eastAsia="Times New Roman"/>
                <w:color w:val="000000"/>
                <w:sz w:val="20"/>
                <w:szCs w:val="20"/>
              </w:rPr>
              <w:t>Letters</w:t>
            </w:r>
          </w:p>
        </w:tc>
        <w:tc>
          <w:tcPr>
            <w:tcW w:w="944" w:type="dxa"/>
            <w:tcBorders>
              <w:top w:val="nil"/>
              <w:left w:val="nil"/>
              <w:bottom w:val="nil"/>
              <w:right w:val="nil"/>
            </w:tcBorders>
            <w:shd w:val="clear" w:color="auto" w:fill="auto"/>
            <w:noWrap/>
            <w:vAlign w:val="center"/>
            <w:hideMark/>
          </w:tcPr>
          <w:p w14:paraId="602333C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710</w:t>
            </w:r>
          </w:p>
        </w:tc>
        <w:tc>
          <w:tcPr>
            <w:tcW w:w="684" w:type="dxa"/>
            <w:tcBorders>
              <w:top w:val="nil"/>
              <w:left w:val="nil"/>
              <w:bottom w:val="nil"/>
              <w:right w:val="nil"/>
            </w:tcBorders>
            <w:shd w:val="clear" w:color="auto" w:fill="auto"/>
            <w:noWrap/>
            <w:vAlign w:val="center"/>
            <w:hideMark/>
          </w:tcPr>
          <w:p w14:paraId="41874EF6" w14:textId="77777777" w:rsidR="00D94396" w:rsidRPr="00703A27" w:rsidRDefault="00D94396" w:rsidP="00583CE2">
            <w:pPr>
              <w:jc w:val="center"/>
              <w:rPr>
                <w:rFonts w:eastAsia="Times New Roman"/>
                <w:color w:val="000000"/>
                <w:sz w:val="20"/>
                <w:szCs w:val="20"/>
              </w:rPr>
            </w:pPr>
          </w:p>
        </w:tc>
        <w:tc>
          <w:tcPr>
            <w:tcW w:w="1065" w:type="dxa"/>
            <w:tcBorders>
              <w:top w:val="nil"/>
              <w:left w:val="nil"/>
              <w:bottom w:val="nil"/>
              <w:right w:val="nil"/>
            </w:tcBorders>
            <w:shd w:val="clear" w:color="auto" w:fill="auto"/>
            <w:noWrap/>
            <w:vAlign w:val="center"/>
            <w:hideMark/>
          </w:tcPr>
          <w:p w14:paraId="7EED072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56</w:t>
            </w:r>
          </w:p>
        </w:tc>
        <w:tc>
          <w:tcPr>
            <w:tcW w:w="1228" w:type="dxa"/>
            <w:tcBorders>
              <w:top w:val="nil"/>
              <w:left w:val="nil"/>
              <w:bottom w:val="nil"/>
              <w:right w:val="nil"/>
            </w:tcBorders>
            <w:shd w:val="clear" w:color="auto" w:fill="auto"/>
            <w:noWrap/>
            <w:vAlign w:val="center"/>
            <w:hideMark/>
          </w:tcPr>
          <w:p w14:paraId="6637A666" w14:textId="77777777" w:rsidR="00D94396" w:rsidRPr="00703A27" w:rsidRDefault="00D94396" w:rsidP="00583CE2">
            <w:pPr>
              <w:jc w:val="center"/>
              <w:rPr>
                <w:rFonts w:eastAsia="Times New Roman"/>
                <w:color w:val="000000"/>
                <w:sz w:val="20"/>
                <w:szCs w:val="20"/>
              </w:rPr>
            </w:pPr>
          </w:p>
        </w:tc>
        <w:tc>
          <w:tcPr>
            <w:tcW w:w="943" w:type="dxa"/>
            <w:tcBorders>
              <w:top w:val="nil"/>
              <w:left w:val="nil"/>
              <w:bottom w:val="nil"/>
              <w:right w:val="nil"/>
            </w:tcBorders>
            <w:shd w:val="clear" w:color="auto" w:fill="auto"/>
            <w:noWrap/>
            <w:vAlign w:val="center"/>
            <w:hideMark/>
          </w:tcPr>
          <w:p w14:paraId="7FF78B6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3.50</w:t>
            </w:r>
          </w:p>
        </w:tc>
        <w:tc>
          <w:tcPr>
            <w:tcW w:w="271" w:type="dxa"/>
            <w:tcBorders>
              <w:top w:val="nil"/>
              <w:left w:val="nil"/>
              <w:bottom w:val="nil"/>
              <w:right w:val="nil"/>
            </w:tcBorders>
            <w:shd w:val="clear" w:color="auto" w:fill="auto"/>
            <w:noWrap/>
            <w:vAlign w:val="center"/>
            <w:hideMark/>
          </w:tcPr>
          <w:p w14:paraId="56AC6515"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2EAEAEF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1.64</w:t>
            </w:r>
          </w:p>
        </w:tc>
        <w:tc>
          <w:tcPr>
            <w:tcW w:w="754" w:type="dxa"/>
            <w:tcBorders>
              <w:top w:val="nil"/>
              <w:left w:val="nil"/>
              <w:bottom w:val="nil"/>
              <w:right w:val="nil"/>
            </w:tcBorders>
            <w:shd w:val="clear" w:color="auto" w:fill="auto"/>
            <w:noWrap/>
            <w:vAlign w:val="center"/>
            <w:hideMark/>
          </w:tcPr>
          <w:p w14:paraId="7E7B3FD9" w14:textId="77777777" w:rsidR="00D94396" w:rsidRPr="00703A27" w:rsidRDefault="00D94396" w:rsidP="00583CE2">
            <w:pPr>
              <w:jc w:val="center"/>
              <w:rPr>
                <w:rFonts w:eastAsia="Times New Roman"/>
                <w:color w:val="000000"/>
                <w:sz w:val="20"/>
                <w:szCs w:val="20"/>
              </w:rPr>
            </w:pPr>
          </w:p>
        </w:tc>
        <w:tc>
          <w:tcPr>
            <w:tcW w:w="938" w:type="dxa"/>
            <w:gridSpan w:val="2"/>
            <w:tcBorders>
              <w:top w:val="nil"/>
              <w:left w:val="nil"/>
              <w:bottom w:val="nil"/>
              <w:right w:val="nil"/>
            </w:tcBorders>
            <w:shd w:val="clear" w:color="auto" w:fill="auto"/>
            <w:noWrap/>
            <w:vAlign w:val="center"/>
            <w:hideMark/>
          </w:tcPr>
          <w:p w14:paraId="594D6D4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w:t>
            </w:r>
          </w:p>
        </w:tc>
        <w:tc>
          <w:tcPr>
            <w:tcW w:w="520" w:type="dxa"/>
            <w:gridSpan w:val="2"/>
            <w:tcBorders>
              <w:top w:val="nil"/>
              <w:left w:val="nil"/>
              <w:bottom w:val="nil"/>
              <w:right w:val="nil"/>
            </w:tcBorders>
            <w:shd w:val="clear" w:color="auto" w:fill="auto"/>
            <w:noWrap/>
            <w:vAlign w:val="center"/>
            <w:hideMark/>
          </w:tcPr>
          <w:p w14:paraId="0A6629F8"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0C64B52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3.32</w:t>
            </w:r>
          </w:p>
        </w:tc>
        <w:tc>
          <w:tcPr>
            <w:tcW w:w="754" w:type="dxa"/>
            <w:tcBorders>
              <w:top w:val="nil"/>
              <w:left w:val="nil"/>
              <w:bottom w:val="nil"/>
              <w:right w:val="nil"/>
            </w:tcBorders>
            <w:shd w:val="clear" w:color="auto" w:fill="auto"/>
            <w:noWrap/>
            <w:vAlign w:val="center"/>
            <w:hideMark/>
          </w:tcPr>
          <w:p w14:paraId="0E86A3DD" w14:textId="77777777" w:rsidR="00D94396" w:rsidRPr="00703A27" w:rsidRDefault="00D94396" w:rsidP="00583CE2">
            <w:pPr>
              <w:jc w:val="center"/>
              <w:rPr>
                <w:rFonts w:eastAsia="Times New Roman"/>
                <w:color w:val="000000"/>
                <w:sz w:val="20"/>
                <w:szCs w:val="20"/>
              </w:rPr>
            </w:pPr>
          </w:p>
        </w:tc>
        <w:tc>
          <w:tcPr>
            <w:tcW w:w="1136" w:type="dxa"/>
            <w:tcBorders>
              <w:top w:val="nil"/>
              <w:left w:val="nil"/>
              <w:bottom w:val="nil"/>
              <w:right w:val="nil"/>
            </w:tcBorders>
            <w:shd w:val="clear" w:color="auto" w:fill="auto"/>
            <w:noWrap/>
            <w:vAlign w:val="center"/>
            <w:hideMark/>
          </w:tcPr>
          <w:p w14:paraId="5E49111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10</w:t>
            </w:r>
          </w:p>
        </w:tc>
      </w:tr>
      <w:tr w:rsidR="00D94396" w:rsidRPr="00703A27" w14:paraId="488EBD07" w14:textId="77777777" w:rsidTr="00FF50E3">
        <w:trPr>
          <w:trHeight w:val="417"/>
        </w:trPr>
        <w:tc>
          <w:tcPr>
            <w:tcW w:w="3261" w:type="dxa"/>
            <w:gridSpan w:val="2"/>
            <w:tcBorders>
              <w:top w:val="nil"/>
              <w:left w:val="nil"/>
              <w:bottom w:val="nil"/>
              <w:right w:val="nil"/>
            </w:tcBorders>
            <w:shd w:val="clear" w:color="auto" w:fill="auto"/>
            <w:vAlign w:val="bottom"/>
            <w:hideMark/>
          </w:tcPr>
          <w:p w14:paraId="71A94ED7" w14:textId="2874CB64" w:rsidR="00D94396" w:rsidRPr="00703A27" w:rsidRDefault="00210988" w:rsidP="00583CE2">
            <w:pPr>
              <w:rPr>
                <w:rFonts w:eastAsia="Times New Roman"/>
                <w:color w:val="000000"/>
                <w:sz w:val="20"/>
                <w:szCs w:val="20"/>
              </w:rPr>
            </w:pPr>
            <w:r>
              <w:rPr>
                <w:rFonts w:eastAsia="Times New Roman"/>
                <w:color w:val="000000"/>
                <w:sz w:val="20"/>
                <w:szCs w:val="20"/>
              </w:rPr>
              <w:t>Comments</w:t>
            </w:r>
          </w:p>
        </w:tc>
        <w:tc>
          <w:tcPr>
            <w:tcW w:w="944" w:type="dxa"/>
            <w:tcBorders>
              <w:top w:val="nil"/>
              <w:left w:val="nil"/>
              <w:bottom w:val="nil"/>
              <w:right w:val="nil"/>
            </w:tcBorders>
            <w:shd w:val="clear" w:color="auto" w:fill="auto"/>
            <w:noWrap/>
            <w:vAlign w:val="center"/>
            <w:hideMark/>
          </w:tcPr>
          <w:p w14:paraId="074285E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710</w:t>
            </w:r>
          </w:p>
        </w:tc>
        <w:tc>
          <w:tcPr>
            <w:tcW w:w="684" w:type="dxa"/>
            <w:tcBorders>
              <w:top w:val="nil"/>
              <w:left w:val="nil"/>
              <w:bottom w:val="nil"/>
              <w:right w:val="nil"/>
            </w:tcBorders>
            <w:shd w:val="clear" w:color="auto" w:fill="auto"/>
            <w:noWrap/>
            <w:vAlign w:val="center"/>
            <w:hideMark/>
          </w:tcPr>
          <w:p w14:paraId="1E184CEF" w14:textId="77777777" w:rsidR="00D94396" w:rsidRPr="00703A27" w:rsidRDefault="00D94396" w:rsidP="00583CE2">
            <w:pPr>
              <w:jc w:val="center"/>
              <w:rPr>
                <w:rFonts w:eastAsia="Times New Roman"/>
                <w:color w:val="000000"/>
                <w:sz w:val="20"/>
                <w:szCs w:val="20"/>
              </w:rPr>
            </w:pPr>
          </w:p>
        </w:tc>
        <w:tc>
          <w:tcPr>
            <w:tcW w:w="1065" w:type="dxa"/>
            <w:tcBorders>
              <w:top w:val="nil"/>
              <w:left w:val="nil"/>
              <w:bottom w:val="nil"/>
              <w:right w:val="nil"/>
            </w:tcBorders>
            <w:shd w:val="clear" w:color="auto" w:fill="auto"/>
            <w:noWrap/>
            <w:vAlign w:val="center"/>
            <w:hideMark/>
          </w:tcPr>
          <w:p w14:paraId="254C2805"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56</w:t>
            </w:r>
          </w:p>
        </w:tc>
        <w:tc>
          <w:tcPr>
            <w:tcW w:w="1228" w:type="dxa"/>
            <w:tcBorders>
              <w:top w:val="nil"/>
              <w:left w:val="nil"/>
              <w:bottom w:val="nil"/>
              <w:right w:val="nil"/>
            </w:tcBorders>
            <w:shd w:val="clear" w:color="auto" w:fill="auto"/>
            <w:noWrap/>
            <w:vAlign w:val="center"/>
            <w:hideMark/>
          </w:tcPr>
          <w:p w14:paraId="75A80E52" w14:textId="77777777" w:rsidR="00D94396" w:rsidRPr="00703A27" w:rsidRDefault="00D94396" w:rsidP="00583CE2">
            <w:pPr>
              <w:jc w:val="center"/>
              <w:rPr>
                <w:rFonts w:eastAsia="Times New Roman"/>
                <w:color w:val="000000"/>
                <w:sz w:val="20"/>
                <w:szCs w:val="20"/>
              </w:rPr>
            </w:pPr>
          </w:p>
        </w:tc>
        <w:tc>
          <w:tcPr>
            <w:tcW w:w="943" w:type="dxa"/>
            <w:tcBorders>
              <w:top w:val="nil"/>
              <w:left w:val="nil"/>
              <w:bottom w:val="nil"/>
              <w:right w:val="nil"/>
            </w:tcBorders>
            <w:shd w:val="clear" w:color="auto" w:fill="auto"/>
            <w:noWrap/>
            <w:vAlign w:val="center"/>
            <w:hideMark/>
          </w:tcPr>
          <w:p w14:paraId="4B3A5D1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36.18</w:t>
            </w:r>
          </w:p>
        </w:tc>
        <w:tc>
          <w:tcPr>
            <w:tcW w:w="271" w:type="dxa"/>
            <w:tcBorders>
              <w:top w:val="nil"/>
              <w:left w:val="nil"/>
              <w:bottom w:val="nil"/>
              <w:right w:val="nil"/>
            </w:tcBorders>
            <w:shd w:val="clear" w:color="auto" w:fill="auto"/>
            <w:noWrap/>
            <w:vAlign w:val="center"/>
            <w:hideMark/>
          </w:tcPr>
          <w:p w14:paraId="191149FE"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47504F9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18.90</w:t>
            </w:r>
          </w:p>
        </w:tc>
        <w:tc>
          <w:tcPr>
            <w:tcW w:w="754" w:type="dxa"/>
            <w:tcBorders>
              <w:top w:val="nil"/>
              <w:left w:val="nil"/>
              <w:bottom w:val="nil"/>
              <w:right w:val="nil"/>
            </w:tcBorders>
            <w:shd w:val="clear" w:color="auto" w:fill="auto"/>
            <w:noWrap/>
            <w:vAlign w:val="center"/>
            <w:hideMark/>
          </w:tcPr>
          <w:p w14:paraId="6F0953A7" w14:textId="77777777" w:rsidR="00D94396" w:rsidRPr="00703A27" w:rsidRDefault="00D94396" w:rsidP="00583CE2">
            <w:pPr>
              <w:jc w:val="center"/>
              <w:rPr>
                <w:rFonts w:eastAsia="Times New Roman"/>
                <w:color w:val="000000"/>
                <w:sz w:val="20"/>
                <w:szCs w:val="20"/>
              </w:rPr>
            </w:pPr>
          </w:p>
        </w:tc>
        <w:tc>
          <w:tcPr>
            <w:tcW w:w="938" w:type="dxa"/>
            <w:gridSpan w:val="2"/>
            <w:tcBorders>
              <w:top w:val="nil"/>
              <w:left w:val="nil"/>
              <w:bottom w:val="nil"/>
              <w:right w:val="nil"/>
            </w:tcBorders>
            <w:shd w:val="clear" w:color="auto" w:fill="auto"/>
            <w:noWrap/>
            <w:vAlign w:val="center"/>
            <w:hideMark/>
          </w:tcPr>
          <w:p w14:paraId="53DB0FAC"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w:t>
            </w:r>
          </w:p>
        </w:tc>
        <w:tc>
          <w:tcPr>
            <w:tcW w:w="520" w:type="dxa"/>
            <w:gridSpan w:val="2"/>
            <w:tcBorders>
              <w:top w:val="nil"/>
              <w:left w:val="nil"/>
              <w:bottom w:val="nil"/>
              <w:right w:val="nil"/>
            </w:tcBorders>
            <w:shd w:val="clear" w:color="auto" w:fill="auto"/>
            <w:noWrap/>
            <w:vAlign w:val="center"/>
            <w:hideMark/>
          </w:tcPr>
          <w:p w14:paraId="15F529CE"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7951820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37.00</w:t>
            </w:r>
          </w:p>
        </w:tc>
        <w:tc>
          <w:tcPr>
            <w:tcW w:w="754" w:type="dxa"/>
            <w:tcBorders>
              <w:top w:val="nil"/>
              <w:left w:val="nil"/>
              <w:bottom w:val="nil"/>
              <w:right w:val="nil"/>
            </w:tcBorders>
            <w:shd w:val="clear" w:color="auto" w:fill="auto"/>
            <w:noWrap/>
            <w:vAlign w:val="center"/>
            <w:hideMark/>
          </w:tcPr>
          <w:p w14:paraId="46F6173E" w14:textId="77777777" w:rsidR="00D94396" w:rsidRPr="00703A27" w:rsidRDefault="00D94396" w:rsidP="00583CE2">
            <w:pPr>
              <w:jc w:val="center"/>
              <w:rPr>
                <w:rFonts w:eastAsia="Times New Roman"/>
                <w:color w:val="000000"/>
                <w:sz w:val="20"/>
                <w:szCs w:val="20"/>
              </w:rPr>
            </w:pPr>
          </w:p>
        </w:tc>
        <w:tc>
          <w:tcPr>
            <w:tcW w:w="1136" w:type="dxa"/>
            <w:tcBorders>
              <w:top w:val="nil"/>
              <w:left w:val="nil"/>
              <w:bottom w:val="nil"/>
              <w:right w:val="nil"/>
            </w:tcBorders>
            <w:shd w:val="clear" w:color="auto" w:fill="auto"/>
            <w:noWrap/>
            <w:vAlign w:val="center"/>
            <w:hideMark/>
          </w:tcPr>
          <w:p w14:paraId="69E6712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81</w:t>
            </w:r>
          </w:p>
        </w:tc>
      </w:tr>
      <w:tr w:rsidR="00D94396" w:rsidRPr="00703A27" w14:paraId="5E31D9E4" w14:textId="77777777" w:rsidTr="00FF50E3">
        <w:trPr>
          <w:trHeight w:val="300"/>
        </w:trPr>
        <w:tc>
          <w:tcPr>
            <w:tcW w:w="14317" w:type="dxa"/>
            <w:gridSpan w:val="17"/>
            <w:tcBorders>
              <w:top w:val="nil"/>
              <w:left w:val="nil"/>
              <w:bottom w:val="nil"/>
              <w:right w:val="nil"/>
            </w:tcBorders>
            <w:shd w:val="clear" w:color="auto" w:fill="auto"/>
            <w:noWrap/>
            <w:vAlign w:val="bottom"/>
            <w:hideMark/>
          </w:tcPr>
          <w:p w14:paraId="26F69EAB" w14:textId="77A9023F" w:rsidR="00D94396" w:rsidRPr="00703A27" w:rsidRDefault="00FF50E3" w:rsidP="00583CE2">
            <w:pPr>
              <w:rPr>
                <w:rFonts w:eastAsia="Times New Roman"/>
                <w:b/>
                <w:bCs/>
                <w:color w:val="000000"/>
                <w:sz w:val="20"/>
                <w:szCs w:val="20"/>
                <w:u w:val="single"/>
                <w:vertAlign w:val="superscript"/>
              </w:rPr>
            </w:pPr>
            <w:r>
              <w:rPr>
                <w:rFonts w:eastAsia="Times New Roman"/>
                <w:b/>
                <w:bCs/>
                <w:color w:val="000000"/>
                <w:sz w:val="20"/>
                <w:szCs w:val="20"/>
                <w:u w:val="single"/>
              </w:rPr>
              <w:t>Panel F</w:t>
            </w:r>
            <w:r w:rsidR="00D94396" w:rsidRPr="00703A27">
              <w:rPr>
                <w:rFonts w:eastAsia="Times New Roman"/>
                <w:b/>
                <w:bCs/>
                <w:color w:val="000000"/>
                <w:sz w:val="20"/>
                <w:szCs w:val="20"/>
                <w:u w:val="single"/>
              </w:rPr>
              <w:t xml:space="preserve">. Descriptive statistics of SEC review attributes by offices of Division of </w:t>
            </w:r>
            <w:r w:rsidR="00953B8E">
              <w:rPr>
                <w:rFonts w:eastAsia="Times New Roman"/>
                <w:b/>
                <w:bCs/>
                <w:color w:val="000000"/>
                <w:sz w:val="20"/>
                <w:szCs w:val="20"/>
                <w:u w:val="single"/>
              </w:rPr>
              <w:t>Corporation</w:t>
            </w:r>
            <w:r w:rsidR="00D94396" w:rsidRPr="00703A27">
              <w:rPr>
                <w:rFonts w:eastAsia="Times New Roman"/>
                <w:b/>
                <w:bCs/>
                <w:color w:val="000000"/>
                <w:sz w:val="20"/>
                <w:szCs w:val="20"/>
                <w:u w:val="single"/>
              </w:rPr>
              <w:t xml:space="preserve"> Finance</w:t>
            </w:r>
          </w:p>
        </w:tc>
      </w:tr>
      <w:tr w:rsidR="00D94396" w:rsidRPr="00703A27" w14:paraId="437F7F3D" w14:textId="77777777" w:rsidTr="00FF50E3">
        <w:trPr>
          <w:trHeight w:val="300"/>
        </w:trPr>
        <w:tc>
          <w:tcPr>
            <w:tcW w:w="3261" w:type="dxa"/>
            <w:gridSpan w:val="2"/>
            <w:tcBorders>
              <w:top w:val="nil"/>
              <w:left w:val="nil"/>
              <w:bottom w:val="single" w:sz="4" w:space="0" w:color="auto"/>
              <w:right w:val="nil"/>
            </w:tcBorders>
            <w:shd w:val="clear" w:color="auto" w:fill="auto"/>
            <w:noWrap/>
            <w:vAlign w:val="bottom"/>
            <w:hideMark/>
          </w:tcPr>
          <w:p w14:paraId="3980DC84" w14:textId="77777777" w:rsidR="00D94396" w:rsidRPr="00703A27" w:rsidRDefault="00D94396" w:rsidP="00583CE2">
            <w:pPr>
              <w:rPr>
                <w:rFonts w:eastAsia="Times New Roman"/>
                <w:b/>
                <w:bCs/>
                <w:color w:val="000000"/>
                <w:sz w:val="20"/>
                <w:szCs w:val="20"/>
              </w:rPr>
            </w:pPr>
            <w:r w:rsidRPr="00703A27">
              <w:rPr>
                <w:rFonts w:eastAsia="Times New Roman"/>
                <w:b/>
                <w:bCs/>
                <w:color w:val="000000"/>
                <w:sz w:val="20"/>
                <w:szCs w:val="20"/>
              </w:rPr>
              <w:t>Office</w:t>
            </w:r>
          </w:p>
        </w:tc>
        <w:tc>
          <w:tcPr>
            <w:tcW w:w="944" w:type="dxa"/>
            <w:tcBorders>
              <w:top w:val="nil"/>
              <w:left w:val="nil"/>
              <w:bottom w:val="nil"/>
              <w:right w:val="nil"/>
            </w:tcBorders>
            <w:shd w:val="clear" w:color="auto" w:fill="auto"/>
            <w:vAlign w:val="bottom"/>
            <w:hideMark/>
          </w:tcPr>
          <w:p w14:paraId="1F9881E1" w14:textId="77777777" w:rsidR="00D94396" w:rsidRPr="00703A27" w:rsidRDefault="00D94396" w:rsidP="00583CE2">
            <w:pPr>
              <w:rPr>
                <w:rFonts w:eastAsia="Times New Roman"/>
                <w:b/>
                <w:bCs/>
                <w:color w:val="000000"/>
                <w:sz w:val="20"/>
                <w:szCs w:val="20"/>
              </w:rPr>
            </w:pPr>
          </w:p>
        </w:tc>
        <w:tc>
          <w:tcPr>
            <w:tcW w:w="684" w:type="dxa"/>
            <w:tcBorders>
              <w:top w:val="nil"/>
              <w:left w:val="nil"/>
              <w:bottom w:val="single" w:sz="4" w:space="0" w:color="auto"/>
              <w:right w:val="nil"/>
            </w:tcBorders>
            <w:shd w:val="clear" w:color="auto" w:fill="auto"/>
            <w:vAlign w:val="bottom"/>
            <w:hideMark/>
          </w:tcPr>
          <w:p w14:paraId="38BB6AFB"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N</w:t>
            </w:r>
          </w:p>
        </w:tc>
        <w:tc>
          <w:tcPr>
            <w:tcW w:w="1065" w:type="dxa"/>
            <w:tcBorders>
              <w:top w:val="nil"/>
              <w:left w:val="nil"/>
              <w:bottom w:val="nil"/>
              <w:right w:val="nil"/>
            </w:tcBorders>
            <w:shd w:val="clear" w:color="auto" w:fill="auto"/>
            <w:vAlign w:val="bottom"/>
            <w:hideMark/>
          </w:tcPr>
          <w:p w14:paraId="0903FBA6" w14:textId="77777777" w:rsidR="00D94396" w:rsidRPr="00703A27" w:rsidRDefault="00D94396" w:rsidP="00583CE2">
            <w:pPr>
              <w:jc w:val="center"/>
              <w:rPr>
                <w:rFonts w:eastAsia="Times New Roman"/>
                <w:b/>
                <w:bCs/>
                <w:color w:val="000000"/>
                <w:sz w:val="20"/>
                <w:szCs w:val="20"/>
              </w:rPr>
            </w:pPr>
          </w:p>
        </w:tc>
        <w:tc>
          <w:tcPr>
            <w:tcW w:w="2171" w:type="dxa"/>
            <w:gridSpan w:val="2"/>
            <w:tcBorders>
              <w:top w:val="nil"/>
              <w:left w:val="nil"/>
              <w:bottom w:val="single" w:sz="4" w:space="0" w:color="auto"/>
              <w:right w:val="nil"/>
            </w:tcBorders>
            <w:shd w:val="clear" w:color="auto" w:fill="auto"/>
            <w:vAlign w:val="bottom"/>
            <w:hideMark/>
          </w:tcPr>
          <w:p w14:paraId="78D9C852"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Duration</w:t>
            </w:r>
          </w:p>
        </w:tc>
        <w:tc>
          <w:tcPr>
            <w:tcW w:w="271" w:type="dxa"/>
            <w:tcBorders>
              <w:top w:val="nil"/>
              <w:left w:val="nil"/>
              <w:bottom w:val="nil"/>
              <w:right w:val="nil"/>
            </w:tcBorders>
            <w:shd w:val="clear" w:color="auto" w:fill="auto"/>
            <w:vAlign w:val="bottom"/>
            <w:hideMark/>
          </w:tcPr>
          <w:p w14:paraId="55E6FAC2" w14:textId="77777777" w:rsidR="00D94396" w:rsidRPr="00703A27" w:rsidRDefault="00D94396" w:rsidP="00583CE2">
            <w:pPr>
              <w:jc w:val="center"/>
              <w:rPr>
                <w:rFonts w:eastAsia="Times New Roman"/>
                <w:b/>
                <w:bCs/>
                <w:color w:val="000000"/>
                <w:sz w:val="20"/>
                <w:szCs w:val="20"/>
              </w:rPr>
            </w:pPr>
          </w:p>
        </w:tc>
        <w:tc>
          <w:tcPr>
            <w:tcW w:w="2507" w:type="dxa"/>
            <w:gridSpan w:val="3"/>
            <w:tcBorders>
              <w:top w:val="nil"/>
              <w:left w:val="nil"/>
              <w:bottom w:val="single" w:sz="4" w:space="0" w:color="auto"/>
              <w:right w:val="nil"/>
            </w:tcBorders>
            <w:shd w:val="clear" w:color="auto" w:fill="auto"/>
            <w:vAlign w:val="center"/>
            <w:hideMark/>
          </w:tcPr>
          <w:p w14:paraId="192EBFD1" w14:textId="661E9EBA" w:rsidR="00D94396" w:rsidRPr="00703A27" w:rsidRDefault="00210988" w:rsidP="00583CE2">
            <w:pPr>
              <w:jc w:val="center"/>
              <w:rPr>
                <w:rFonts w:eastAsia="Times New Roman"/>
                <w:b/>
                <w:bCs/>
                <w:color w:val="000000"/>
                <w:sz w:val="20"/>
                <w:szCs w:val="20"/>
              </w:rPr>
            </w:pPr>
            <w:r>
              <w:rPr>
                <w:rFonts w:eastAsia="Times New Roman"/>
                <w:b/>
                <w:bCs/>
                <w:color w:val="000000"/>
                <w:sz w:val="20"/>
                <w:szCs w:val="20"/>
              </w:rPr>
              <w:t>Letters</w:t>
            </w:r>
          </w:p>
        </w:tc>
        <w:tc>
          <w:tcPr>
            <w:tcW w:w="520" w:type="dxa"/>
            <w:gridSpan w:val="2"/>
            <w:tcBorders>
              <w:top w:val="nil"/>
              <w:left w:val="nil"/>
              <w:bottom w:val="nil"/>
              <w:right w:val="nil"/>
            </w:tcBorders>
            <w:shd w:val="clear" w:color="auto" w:fill="auto"/>
            <w:vAlign w:val="center"/>
            <w:hideMark/>
          </w:tcPr>
          <w:p w14:paraId="31817883" w14:textId="77777777" w:rsidR="00D94396" w:rsidRPr="00703A27" w:rsidRDefault="00D94396" w:rsidP="00583CE2">
            <w:pPr>
              <w:jc w:val="center"/>
              <w:rPr>
                <w:rFonts w:eastAsia="Times New Roman"/>
                <w:b/>
                <w:bCs/>
                <w:color w:val="000000"/>
                <w:sz w:val="20"/>
                <w:szCs w:val="20"/>
              </w:rPr>
            </w:pPr>
          </w:p>
        </w:tc>
        <w:tc>
          <w:tcPr>
            <w:tcW w:w="2894" w:type="dxa"/>
            <w:gridSpan w:val="4"/>
            <w:tcBorders>
              <w:top w:val="nil"/>
              <w:left w:val="nil"/>
              <w:bottom w:val="single" w:sz="4" w:space="0" w:color="auto"/>
              <w:right w:val="nil"/>
            </w:tcBorders>
            <w:shd w:val="clear" w:color="auto" w:fill="auto"/>
            <w:vAlign w:val="bottom"/>
            <w:hideMark/>
          </w:tcPr>
          <w:p w14:paraId="4EF90D49" w14:textId="37719812" w:rsidR="00D94396" w:rsidRPr="00703A27" w:rsidRDefault="00210988" w:rsidP="00583CE2">
            <w:pPr>
              <w:jc w:val="center"/>
              <w:rPr>
                <w:rFonts w:eastAsia="Times New Roman"/>
                <w:b/>
                <w:bCs/>
                <w:color w:val="000000"/>
                <w:sz w:val="20"/>
                <w:szCs w:val="20"/>
              </w:rPr>
            </w:pPr>
            <w:r>
              <w:rPr>
                <w:rFonts w:eastAsia="Times New Roman"/>
                <w:b/>
                <w:bCs/>
                <w:color w:val="000000"/>
                <w:sz w:val="20"/>
                <w:szCs w:val="20"/>
              </w:rPr>
              <w:t>Comments</w:t>
            </w:r>
          </w:p>
        </w:tc>
      </w:tr>
      <w:tr w:rsidR="00D94396" w:rsidRPr="00703A27" w14:paraId="54492E3C" w14:textId="77777777" w:rsidTr="00FF50E3">
        <w:trPr>
          <w:trHeight w:val="300"/>
        </w:trPr>
        <w:tc>
          <w:tcPr>
            <w:tcW w:w="2694" w:type="dxa"/>
            <w:tcBorders>
              <w:top w:val="nil"/>
              <w:left w:val="nil"/>
              <w:bottom w:val="nil"/>
              <w:right w:val="nil"/>
            </w:tcBorders>
            <w:shd w:val="clear" w:color="auto" w:fill="auto"/>
            <w:vAlign w:val="bottom"/>
            <w:hideMark/>
          </w:tcPr>
          <w:p w14:paraId="0D411936" w14:textId="77777777" w:rsidR="00D94396" w:rsidRPr="00703A27" w:rsidRDefault="00D94396" w:rsidP="00583CE2">
            <w:pPr>
              <w:jc w:val="center"/>
              <w:rPr>
                <w:rFonts w:eastAsia="Times New Roman"/>
                <w:b/>
                <w:bCs/>
                <w:color w:val="000000"/>
                <w:sz w:val="20"/>
                <w:szCs w:val="20"/>
              </w:rPr>
            </w:pPr>
          </w:p>
        </w:tc>
        <w:tc>
          <w:tcPr>
            <w:tcW w:w="567" w:type="dxa"/>
            <w:tcBorders>
              <w:top w:val="nil"/>
              <w:left w:val="nil"/>
              <w:bottom w:val="nil"/>
              <w:right w:val="nil"/>
            </w:tcBorders>
            <w:shd w:val="clear" w:color="auto" w:fill="auto"/>
            <w:noWrap/>
            <w:vAlign w:val="bottom"/>
            <w:hideMark/>
          </w:tcPr>
          <w:p w14:paraId="1570DC20" w14:textId="77777777" w:rsidR="00D94396" w:rsidRPr="00703A27" w:rsidRDefault="00D94396" w:rsidP="00583CE2">
            <w:pPr>
              <w:rPr>
                <w:rFonts w:eastAsia="Times New Roman"/>
                <w:sz w:val="20"/>
                <w:szCs w:val="20"/>
              </w:rPr>
            </w:pPr>
          </w:p>
        </w:tc>
        <w:tc>
          <w:tcPr>
            <w:tcW w:w="944" w:type="dxa"/>
            <w:tcBorders>
              <w:top w:val="nil"/>
              <w:left w:val="nil"/>
              <w:bottom w:val="nil"/>
              <w:right w:val="nil"/>
            </w:tcBorders>
            <w:shd w:val="clear" w:color="auto" w:fill="auto"/>
            <w:noWrap/>
            <w:vAlign w:val="bottom"/>
            <w:hideMark/>
          </w:tcPr>
          <w:p w14:paraId="25B9713F" w14:textId="77777777" w:rsidR="00D94396" w:rsidRPr="00703A27" w:rsidRDefault="00D94396" w:rsidP="00583CE2">
            <w:pPr>
              <w:rPr>
                <w:rFonts w:eastAsia="Times New Roman"/>
                <w:sz w:val="20"/>
                <w:szCs w:val="20"/>
              </w:rPr>
            </w:pPr>
          </w:p>
        </w:tc>
        <w:tc>
          <w:tcPr>
            <w:tcW w:w="684" w:type="dxa"/>
            <w:tcBorders>
              <w:top w:val="nil"/>
              <w:left w:val="nil"/>
              <w:bottom w:val="nil"/>
              <w:right w:val="nil"/>
            </w:tcBorders>
            <w:shd w:val="clear" w:color="auto" w:fill="auto"/>
            <w:noWrap/>
            <w:vAlign w:val="bottom"/>
            <w:hideMark/>
          </w:tcPr>
          <w:p w14:paraId="563A4B83" w14:textId="77777777" w:rsidR="00D94396" w:rsidRPr="00703A27" w:rsidRDefault="00D94396" w:rsidP="00583CE2">
            <w:pPr>
              <w:jc w:val="center"/>
              <w:rPr>
                <w:rFonts w:eastAsia="Times New Roman"/>
                <w:sz w:val="20"/>
                <w:szCs w:val="20"/>
              </w:rPr>
            </w:pPr>
          </w:p>
        </w:tc>
        <w:tc>
          <w:tcPr>
            <w:tcW w:w="1065" w:type="dxa"/>
            <w:tcBorders>
              <w:top w:val="nil"/>
              <w:left w:val="nil"/>
              <w:bottom w:val="nil"/>
              <w:right w:val="nil"/>
            </w:tcBorders>
            <w:shd w:val="clear" w:color="auto" w:fill="auto"/>
            <w:noWrap/>
            <w:vAlign w:val="bottom"/>
            <w:hideMark/>
          </w:tcPr>
          <w:p w14:paraId="156FC153" w14:textId="77777777" w:rsidR="00D94396" w:rsidRPr="00703A27" w:rsidRDefault="00D94396" w:rsidP="00583CE2">
            <w:pPr>
              <w:rPr>
                <w:rFonts w:eastAsia="Times New Roman"/>
                <w:sz w:val="20"/>
                <w:szCs w:val="20"/>
              </w:rPr>
            </w:pPr>
          </w:p>
        </w:tc>
        <w:tc>
          <w:tcPr>
            <w:tcW w:w="1228" w:type="dxa"/>
            <w:tcBorders>
              <w:top w:val="nil"/>
              <w:left w:val="nil"/>
              <w:bottom w:val="single" w:sz="4" w:space="0" w:color="auto"/>
              <w:right w:val="nil"/>
            </w:tcBorders>
            <w:shd w:val="clear" w:color="auto" w:fill="auto"/>
            <w:noWrap/>
            <w:vAlign w:val="bottom"/>
            <w:hideMark/>
          </w:tcPr>
          <w:p w14:paraId="7B5853BB"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943" w:type="dxa"/>
            <w:tcBorders>
              <w:top w:val="nil"/>
              <w:left w:val="nil"/>
              <w:bottom w:val="single" w:sz="4" w:space="0" w:color="auto"/>
              <w:right w:val="nil"/>
            </w:tcBorders>
            <w:shd w:val="clear" w:color="auto" w:fill="auto"/>
            <w:noWrap/>
            <w:vAlign w:val="bottom"/>
            <w:hideMark/>
          </w:tcPr>
          <w:p w14:paraId="06913130"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c>
          <w:tcPr>
            <w:tcW w:w="271" w:type="dxa"/>
            <w:tcBorders>
              <w:top w:val="nil"/>
              <w:left w:val="nil"/>
              <w:bottom w:val="nil"/>
              <w:right w:val="nil"/>
            </w:tcBorders>
            <w:shd w:val="clear" w:color="auto" w:fill="auto"/>
            <w:noWrap/>
            <w:vAlign w:val="bottom"/>
            <w:hideMark/>
          </w:tcPr>
          <w:p w14:paraId="0B18A27B" w14:textId="77777777" w:rsidR="00D94396" w:rsidRPr="00703A27" w:rsidRDefault="00D94396" w:rsidP="00583CE2">
            <w:pPr>
              <w:jc w:val="center"/>
              <w:rPr>
                <w:rFonts w:eastAsia="Times New Roman"/>
                <w:b/>
                <w:bCs/>
                <w:color w:val="000000"/>
                <w:sz w:val="20"/>
                <w:szCs w:val="20"/>
              </w:rPr>
            </w:pPr>
          </w:p>
        </w:tc>
        <w:tc>
          <w:tcPr>
            <w:tcW w:w="821" w:type="dxa"/>
            <w:tcBorders>
              <w:top w:val="nil"/>
              <w:left w:val="nil"/>
              <w:bottom w:val="single" w:sz="4" w:space="0" w:color="auto"/>
              <w:right w:val="nil"/>
            </w:tcBorders>
            <w:shd w:val="clear" w:color="auto" w:fill="auto"/>
            <w:noWrap/>
            <w:vAlign w:val="bottom"/>
            <w:hideMark/>
          </w:tcPr>
          <w:p w14:paraId="4B1E0A52"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Totals</w:t>
            </w:r>
          </w:p>
        </w:tc>
        <w:tc>
          <w:tcPr>
            <w:tcW w:w="754" w:type="dxa"/>
            <w:tcBorders>
              <w:top w:val="nil"/>
              <w:left w:val="nil"/>
              <w:bottom w:val="single" w:sz="4" w:space="0" w:color="auto"/>
              <w:right w:val="nil"/>
            </w:tcBorders>
            <w:shd w:val="clear" w:color="auto" w:fill="auto"/>
            <w:noWrap/>
            <w:vAlign w:val="bottom"/>
            <w:hideMark/>
          </w:tcPr>
          <w:p w14:paraId="5A7ECA1F"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938" w:type="dxa"/>
            <w:gridSpan w:val="2"/>
            <w:tcBorders>
              <w:top w:val="nil"/>
              <w:left w:val="nil"/>
              <w:bottom w:val="single" w:sz="4" w:space="0" w:color="auto"/>
              <w:right w:val="nil"/>
            </w:tcBorders>
            <w:shd w:val="clear" w:color="auto" w:fill="auto"/>
            <w:noWrap/>
            <w:vAlign w:val="bottom"/>
            <w:hideMark/>
          </w:tcPr>
          <w:p w14:paraId="4D1CFB66"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c>
          <w:tcPr>
            <w:tcW w:w="520" w:type="dxa"/>
            <w:gridSpan w:val="2"/>
            <w:tcBorders>
              <w:top w:val="nil"/>
              <w:left w:val="nil"/>
              <w:bottom w:val="nil"/>
              <w:right w:val="nil"/>
            </w:tcBorders>
            <w:shd w:val="clear" w:color="auto" w:fill="auto"/>
            <w:noWrap/>
            <w:vAlign w:val="bottom"/>
            <w:hideMark/>
          </w:tcPr>
          <w:p w14:paraId="6BE566B9" w14:textId="77777777" w:rsidR="00D94396" w:rsidRPr="00703A27" w:rsidRDefault="00D94396" w:rsidP="00583CE2">
            <w:pPr>
              <w:jc w:val="center"/>
              <w:rPr>
                <w:rFonts w:eastAsia="Times New Roman"/>
                <w:b/>
                <w:bCs/>
                <w:color w:val="000000"/>
                <w:sz w:val="20"/>
                <w:szCs w:val="20"/>
              </w:rPr>
            </w:pPr>
          </w:p>
        </w:tc>
        <w:tc>
          <w:tcPr>
            <w:tcW w:w="998" w:type="dxa"/>
            <w:tcBorders>
              <w:top w:val="nil"/>
              <w:left w:val="nil"/>
              <w:bottom w:val="single" w:sz="4" w:space="0" w:color="auto"/>
              <w:right w:val="nil"/>
            </w:tcBorders>
            <w:shd w:val="clear" w:color="auto" w:fill="auto"/>
            <w:noWrap/>
            <w:vAlign w:val="bottom"/>
            <w:hideMark/>
          </w:tcPr>
          <w:p w14:paraId="5AA2ABE9"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Totals</w:t>
            </w:r>
          </w:p>
        </w:tc>
        <w:tc>
          <w:tcPr>
            <w:tcW w:w="754" w:type="dxa"/>
            <w:tcBorders>
              <w:top w:val="nil"/>
              <w:left w:val="nil"/>
              <w:bottom w:val="single" w:sz="4" w:space="0" w:color="auto"/>
              <w:right w:val="nil"/>
            </w:tcBorders>
            <w:shd w:val="clear" w:color="auto" w:fill="auto"/>
            <w:noWrap/>
            <w:vAlign w:val="bottom"/>
            <w:hideMark/>
          </w:tcPr>
          <w:p w14:paraId="2DA9E848"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Mean</w:t>
            </w:r>
          </w:p>
        </w:tc>
        <w:tc>
          <w:tcPr>
            <w:tcW w:w="1136" w:type="dxa"/>
            <w:tcBorders>
              <w:top w:val="nil"/>
              <w:left w:val="nil"/>
              <w:bottom w:val="single" w:sz="4" w:space="0" w:color="auto"/>
              <w:right w:val="nil"/>
            </w:tcBorders>
            <w:shd w:val="clear" w:color="auto" w:fill="auto"/>
            <w:noWrap/>
            <w:vAlign w:val="bottom"/>
            <w:hideMark/>
          </w:tcPr>
          <w:p w14:paraId="6A40D571" w14:textId="77777777" w:rsidR="00D94396" w:rsidRPr="00703A27" w:rsidRDefault="00D94396" w:rsidP="00583CE2">
            <w:pPr>
              <w:jc w:val="center"/>
              <w:rPr>
                <w:rFonts w:eastAsia="Times New Roman"/>
                <w:b/>
                <w:bCs/>
                <w:color w:val="000000"/>
                <w:sz w:val="20"/>
                <w:szCs w:val="20"/>
              </w:rPr>
            </w:pPr>
            <w:r w:rsidRPr="00703A27">
              <w:rPr>
                <w:rFonts w:eastAsia="Times New Roman"/>
                <w:b/>
                <w:bCs/>
                <w:color w:val="000000"/>
                <w:sz w:val="20"/>
                <w:szCs w:val="20"/>
              </w:rPr>
              <w:t>Median</w:t>
            </w:r>
          </w:p>
        </w:tc>
      </w:tr>
      <w:tr w:rsidR="00D94396" w:rsidRPr="00703A27" w14:paraId="2277585E" w14:textId="77777777" w:rsidTr="00FF50E3">
        <w:trPr>
          <w:trHeight w:val="300"/>
        </w:trPr>
        <w:tc>
          <w:tcPr>
            <w:tcW w:w="3261" w:type="dxa"/>
            <w:gridSpan w:val="2"/>
            <w:tcBorders>
              <w:top w:val="nil"/>
              <w:left w:val="nil"/>
              <w:bottom w:val="nil"/>
              <w:right w:val="nil"/>
            </w:tcBorders>
            <w:shd w:val="clear" w:color="auto" w:fill="auto"/>
            <w:vAlign w:val="center"/>
            <w:hideMark/>
          </w:tcPr>
          <w:p w14:paraId="167F9A00"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Real Estate and Commodities</w:t>
            </w:r>
          </w:p>
        </w:tc>
        <w:tc>
          <w:tcPr>
            <w:tcW w:w="944" w:type="dxa"/>
            <w:tcBorders>
              <w:top w:val="nil"/>
              <w:left w:val="nil"/>
              <w:bottom w:val="nil"/>
              <w:right w:val="nil"/>
            </w:tcBorders>
            <w:shd w:val="clear" w:color="auto" w:fill="auto"/>
            <w:noWrap/>
            <w:vAlign w:val="bottom"/>
            <w:hideMark/>
          </w:tcPr>
          <w:p w14:paraId="3843C28C"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1A8B58D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w:t>
            </w:r>
          </w:p>
        </w:tc>
        <w:tc>
          <w:tcPr>
            <w:tcW w:w="1065" w:type="dxa"/>
            <w:tcBorders>
              <w:top w:val="nil"/>
              <w:left w:val="nil"/>
              <w:bottom w:val="nil"/>
              <w:right w:val="nil"/>
            </w:tcBorders>
            <w:shd w:val="clear" w:color="auto" w:fill="auto"/>
            <w:noWrap/>
            <w:vAlign w:val="bottom"/>
            <w:hideMark/>
          </w:tcPr>
          <w:p w14:paraId="6EDB093D"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63FE55A8"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103.22</w:t>
            </w:r>
          </w:p>
        </w:tc>
        <w:tc>
          <w:tcPr>
            <w:tcW w:w="943" w:type="dxa"/>
            <w:tcBorders>
              <w:top w:val="nil"/>
              <w:left w:val="nil"/>
              <w:bottom w:val="nil"/>
              <w:right w:val="nil"/>
            </w:tcBorders>
            <w:shd w:val="clear" w:color="auto" w:fill="auto"/>
            <w:noWrap/>
            <w:vAlign w:val="center"/>
            <w:hideMark/>
          </w:tcPr>
          <w:p w14:paraId="2F28E87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94</w:t>
            </w:r>
          </w:p>
        </w:tc>
        <w:tc>
          <w:tcPr>
            <w:tcW w:w="271" w:type="dxa"/>
            <w:tcBorders>
              <w:top w:val="nil"/>
              <w:left w:val="nil"/>
              <w:bottom w:val="nil"/>
              <w:right w:val="nil"/>
            </w:tcBorders>
            <w:shd w:val="clear" w:color="auto" w:fill="auto"/>
            <w:noWrap/>
            <w:vAlign w:val="bottom"/>
            <w:hideMark/>
          </w:tcPr>
          <w:p w14:paraId="4F6B26A6"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5CB68D1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29</w:t>
            </w:r>
          </w:p>
        </w:tc>
        <w:tc>
          <w:tcPr>
            <w:tcW w:w="754" w:type="dxa"/>
            <w:tcBorders>
              <w:top w:val="nil"/>
              <w:left w:val="nil"/>
              <w:bottom w:val="nil"/>
              <w:right w:val="nil"/>
            </w:tcBorders>
            <w:shd w:val="clear" w:color="auto" w:fill="auto"/>
            <w:noWrap/>
            <w:vAlign w:val="center"/>
            <w:hideMark/>
          </w:tcPr>
          <w:p w14:paraId="624F7C93"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3.22</w:t>
            </w:r>
          </w:p>
        </w:tc>
        <w:tc>
          <w:tcPr>
            <w:tcW w:w="938" w:type="dxa"/>
            <w:gridSpan w:val="2"/>
            <w:tcBorders>
              <w:top w:val="nil"/>
              <w:left w:val="nil"/>
              <w:bottom w:val="nil"/>
              <w:right w:val="nil"/>
            </w:tcBorders>
            <w:shd w:val="clear" w:color="auto" w:fill="auto"/>
            <w:noWrap/>
            <w:vAlign w:val="center"/>
            <w:hideMark/>
          </w:tcPr>
          <w:p w14:paraId="1E6B0FB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0C4679B5"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06B7DE43"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366</w:t>
            </w:r>
          </w:p>
        </w:tc>
        <w:tc>
          <w:tcPr>
            <w:tcW w:w="754" w:type="dxa"/>
            <w:tcBorders>
              <w:top w:val="nil"/>
              <w:left w:val="nil"/>
              <w:bottom w:val="nil"/>
              <w:right w:val="nil"/>
            </w:tcBorders>
            <w:shd w:val="clear" w:color="auto" w:fill="auto"/>
            <w:noWrap/>
            <w:vAlign w:val="center"/>
            <w:hideMark/>
          </w:tcPr>
          <w:p w14:paraId="56D66B15"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40.67</w:t>
            </w:r>
          </w:p>
        </w:tc>
        <w:tc>
          <w:tcPr>
            <w:tcW w:w="1136" w:type="dxa"/>
            <w:tcBorders>
              <w:top w:val="nil"/>
              <w:left w:val="nil"/>
              <w:bottom w:val="nil"/>
              <w:right w:val="nil"/>
            </w:tcBorders>
            <w:shd w:val="clear" w:color="auto" w:fill="auto"/>
            <w:noWrap/>
            <w:vAlign w:val="center"/>
            <w:hideMark/>
          </w:tcPr>
          <w:p w14:paraId="7AD6EE0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w:t>
            </w:r>
          </w:p>
        </w:tc>
      </w:tr>
      <w:tr w:rsidR="00D94396" w:rsidRPr="00703A27" w14:paraId="1A54CE50" w14:textId="77777777" w:rsidTr="00FF50E3">
        <w:trPr>
          <w:trHeight w:val="300"/>
        </w:trPr>
        <w:tc>
          <w:tcPr>
            <w:tcW w:w="3261" w:type="dxa"/>
            <w:gridSpan w:val="2"/>
            <w:tcBorders>
              <w:top w:val="nil"/>
              <w:left w:val="nil"/>
              <w:bottom w:val="nil"/>
              <w:right w:val="nil"/>
            </w:tcBorders>
            <w:shd w:val="clear" w:color="auto" w:fill="auto"/>
            <w:vAlign w:val="center"/>
            <w:hideMark/>
          </w:tcPr>
          <w:p w14:paraId="5785DA80"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Healthcare and Insurance</w:t>
            </w:r>
          </w:p>
        </w:tc>
        <w:tc>
          <w:tcPr>
            <w:tcW w:w="944" w:type="dxa"/>
            <w:tcBorders>
              <w:top w:val="nil"/>
              <w:left w:val="nil"/>
              <w:bottom w:val="nil"/>
              <w:right w:val="nil"/>
            </w:tcBorders>
            <w:shd w:val="clear" w:color="auto" w:fill="auto"/>
            <w:noWrap/>
            <w:vAlign w:val="bottom"/>
            <w:hideMark/>
          </w:tcPr>
          <w:p w14:paraId="451C3DDC"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677E073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252</w:t>
            </w:r>
          </w:p>
        </w:tc>
        <w:tc>
          <w:tcPr>
            <w:tcW w:w="1065" w:type="dxa"/>
            <w:tcBorders>
              <w:top w:val="nil"/>
              <w:left w:val="nil"/>
              <w:bottom w:val="nil"/>
              <w:right w:val="nil"/>
            </w:tcBorders>
            <w:shd w:val="clear" w:color="auto" w:fill="auto"/>
            <w:noWrap/>
            <w:vAlign w:val="bottom"/>
            <w:hideMark/>
          </w:tcPr>
          <w:p w14:paraId="68E7070B"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020610D5"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94.57</w:t>
            </w:r>
          </w:p>
        </w:tc>
        <w:tc>
          <w:tcPr>
            <w:tcW w:w="943" w:type="dxa"/>
            <w:tcBorders>
              <w:top w:val="nil"/>
              <w:left w:val="nil"/>
              <w:bottom w:val="nil"/>
              <w:right w:val="nil"/>
            </w:tcBorders>
            <w:shd w:val="clear" w:color="auto" w:fill="auto"/>
            <w:noWrap/>
            <w:vAlign w:val="center"/>
            <w:hideMark/>
          </w:tcPr>
          <w:p w14:paraId="3DC07B1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49.5</w:t>
            </w:r>
          </w:p>
        </w:tc>
        <w:tc>
          <w:tcPr>
            <w:tcW w:w="271" w:type="dxa"/>
            <w:tcBorders>
              <w:top w:val="nil"/>
              <w:left w:val="nil"/>
              <w:bottom w:val="nil"/>
              <w:right w:val="nil"/>
            </w:tcBorders>
            <w:shd w:val="clear" w:color="auto" w:fill="auto"/>
            <w:noWrap/>
            <w:vAlign w:val="bottom"/>
            <w:hideMark/>
          </w:tcPr>
          <w:p w14:paraId="1C3E2428"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16FDC90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498</w:t>
            </w:r>
          </w:p>
        </w:tc>
        <w:tc>
          <w:tcPr>
            <w:tcW w:w="754" w:type="dxa"/>
            <w:tcBorders>
              <w:top w:val="nil"/>
              <w:left w:val="nil"/>
              <w:bottom w:val="nil"/>
              <w:right w:val="nil"/>
            </w:tcBorders>
            <w:shd w:val="clear" w:color="auto" w:fill="auto"/>
            <w:noWrap/>
            <w:vAlign w:val="center"/>
            <w:hideMark/>
          </w:tcPr>
          <w:p w14:paraId="2115073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1.98</w:t>
            </w:r>
          </w:p>
        </w:tc>
        <w:tc>
          <w:tcPr>
            <w:tcW w:w="938" w:type="dxa"/>
            <w:gridSpan w:val="2"/>
            <w:tcBorders>
              <w:top w:val="nil"/>
              <w:left w:val="nil"/>
              <w:bottom w:val="nil"/>
              <w:right w:val="nil"/>
            </w:tcBorders>
            <w:shd w:val="clear" w:color="auto" w:fill="auto"/>
            <w:noWrap/>
            <w:vAlign w:val="center"/>
            <w:hideMark/>
          </w:tcPr>
          <w:p w14:paraId="3EC30A1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w:t>
            </w:r>
          </w:p>
        </w:tc>
        <w:tc>
          <w:tcPr>
            <w:tcW w:w="520" w:type="dxa"/>
            <w:gridSpan w:val="2"/>
            <w:tcBorders>
              <w:top w:val="nil"/>
              <w:left w:val="nil"/>
              <w:bottom w:val="nil"/>
              <w:right w:val="nil"/>
            </w:tcBorders>
            <w:shd w:val="clear" w:color="auto" w:fill="auto"/>
            <w:noWrap/>
            <w:vAlign w:val="bottom"/>
            <w:hideMark/>
          </w:tcPr>
          <w:p w14:paraId="5B6631C0"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7A8F6B1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3375</w:t>
            </w:r>
          </w:p>
        </w:tc>
        <w:tc>
          <w:tcPr>
            <w:tcW w:w="754" w:type="dxa"/>
            <w:tcBorders>
              <w:top w:val="nil"/>
              <w:left w:val="nil"/>
              <w:bottom w:val="nil"/>
              <w:right w:val="nil"/>
            </w:tcBorders>
            <w:shd w:val="clear" w:color="auto" w:fill="auto"/>
            <w:noWrap/>
            <w:vAlign w:val="center"/>
            <w:hideMark/>
          </w:tcPr>
          <w:p w14:paraId="6B0C311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13.39</w:t>
            </w:r>
          </w:p>
        </w:tc>
        <w:tc>
          <w:tcPr>
            <w:tcW w:w="1136" w:type="dxa"/>
            <w:tcBorders>
              <w:top w:val="nil"/>
              <w:left w:val="nil"/>
              <w:bottom w:val="nil"/>
              <w:right w:val="nil"/>
            </w:tcBorders>
            <w:shd w:val="clear" w:color="auto" w:fill="auto"/>
            <w:noWrap/>
            <w:vAlign w:val="center"/>
            <w:hideMark/>
          </w:tcPr>
          <w:p w14:paraId="4DC504C5"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w:t>
            </w:r>
          </w:p>
        </w:tc>
      </w:tr>
      <w:tr w:rsidR="00D94396" w:rsidRPr="00703A27" w14:paraId="2C9BBD35" w14:textId="77777777" w:rsidTr="00FF50E3">
        <w:trPr>
          <w:trHeight w:val="300"/>
        </w:trPr>
        <w:tc>
          <w:tcPr>
            <w:tcW w:w="3261" w:type="dxa"/>
            <w:gridSpan w:val="2"/>
            <w:tcBorders>
              <w:top w:val="nil"/>
              <w:left w:val="nil"/>
              <w:bottom w:val="nil"/>
              <w:right w:val="nil"/>
            </w:tcBorders>
            <w:shd w:val="clear" w:color="auto" w:fill="auto"/>
            <w:vAlign w:val="center"/>
            <w:hideMark/>
          </w:tcPr>
          <w:p w14:paraId="427B973F"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Information Technologies and Services</w:t>
            </w:r>
          </w:p>
        </w:tc>
        <w:tc>
          <w:tcPr>
            <w:tcW w:w="944" w:type="dxa"/>
            <w:tcBorders>
              <w:top w:val="nil"/>
              <w:left w:val="nil"/>
              <w:bottom w:val="nil"/>
              <w:right w:val="nil"/>
            </w:tcBorders>
            <w:shd w:val="clear" w:color="auto" w:fill="auto"/>
            <w:noWrap/>
            <w:vAlign w:val="bottom"/>
            <w:hideMark/>
          </w:tcPr>
          <w:p w14:paraId="1A6630F8"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5D714ED8"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189</w:t>
            </w:r>
          </w:p>
        </w:tc>
        <w:tc>
          <w:tcPr>
            <w:tcW w:w="1065" w:type="dxa"/>
            <w:tcBorders>
              <w:top w:val="nil"/>
              <w:left w:val="nil"/>
              <w:bottom w:val="nil"/>
              <w:right w:val="nil"/>
            </w:tcBorders>
            <w:shd w:val="clear" w:color="auto" w:fill="auto"/>
            <w:noWrap/>
            <w:vAlign w:val="bottom"/>
            <w:hideMark/>
          </w:tcPr>
          <w:p w14:paraId="5EEA8983"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66AA46A5"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113.11</w:t>
            </w:r>
          </w:p>
        </w:tc>
        <w:tc>
          <w:tcPr>
            <w:tcW w:w="943" w:type="dxa"/>
            <w:tcBorders>
              <w:top w:val="nil"/>
              <w:left w:val="nil"/>
              <w:bottom w:val="nil"/>
              <w:right w:val="nil"/>
            </w:tcBorders>
            <w:shd w:val="clear" w:color="auto" w:fill="auto"/>
            <w:noWrap/>
            <w:vAlign w:val="center"/>
            <w:hideMark/>
          </w:tcPr>
          <w:p w14:paraId="2D6522E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92</w:t>
            </w:r>
          </w:p>
        </w:tc>
        <w:tc>
          <w:tcPr>
            <w:tcW w:w="271" w:type="dxa"/>
            <w:tcBorders>
              <w:top w:val="nil"/>
              <w:left w:val="nil"/>
              <w:bottom w:val="nil"/>
              <w:right w:val="nil"/>
            </w:tcBorders>
            <w:shd w:val="clear" w:color="auto" w:fill="auto"/>
            <w:noWrap/>
            <w:vAlign w:val="bottom"/>
            <w:hideMark/>
          </w:tcPr>
          <w:p w14:paraId="1BF8AE2B"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2E3E6E9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490</w:t>
            </w:r>
          </w:p>
        </w:tc>
        <w:tc>
          <w:tcPr>
            <w:tcW w:w="754" w:type="dxa"/>
            <w:tcBorders>
              <w:top w:val="nil"/>
              <w:left w:val="nil"/>
              <w:bottom w:val="nil"/>
              <w:right w:val="nil"/>
            </w:tcBorders>
            <w:shd w:val="clear" w:color="auto" w:fill="auto"/>
            <w:noWrap/>
            <w:vAlign w:val="center"/>
            <w:hideMark/>
          </w:tcPr>
          <w:p w14:paraId="2C24FE2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2.59</w:t>
            </w:r>
          </w:p>
        </w:tc>
        <w:tc>
          <w:tcPr>
            <w:tcW w:w="938" w:type="dxa"/>
            <w:gridSpan w:val="2"/>
            <w:tcBorders>
              <w:top w:val="nil"/>
              <w:left w:val="nil"/>
              <w:bottom w:val="nil"/>
              <w:right w:val="nil"/>
            </w:tcBorders>
            <w:shd w:val="clear" w:color="auto" w:fill="auto"/>
            <w:noWrap/>
            <w:vAlign w:val="center"/>
            <w:hideMark/>
          </w:tcPr>
          <w:p w14:paraId="2236141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0FACFFD0"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7ADE790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4683</w:t>
            </w:r>
          </w:p>
        </w:tc>
        <w:tc>
          <w:tcPr>
            <w:tcW w:w="754" w:type="dxa"/>
            <w:tcBorders>
              <w:top w:val="nil"/>
              <w:left w:val="nil"/>
              <w:bottom w:val="nil"/>
              <w:right w:val="nil"/>
            </w:tcBorders>
            <w:shd w:val="clear" w:color="auto" w:fill="auto"/>
            <w:noWrap/>
            <w:vAlign w:val="center"/>
            <w:hideMark/>
          </w:tcPr>
          <w:p w14:paraId="43D69AD3"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24.78</w:t>
            </w:r>
          </w:p>
        </w:tc>
        <w:tc>
          <w:tcPr>
            <w:tcW w:w="1136" w:type="dxa"/>
            <w:tcBorders>
              <w:top w:val="nil"/>
              <w:left w:val="nil"/>
              <w:bottom w:val="nil"/>
              <w:right w:val="nil"/>
            </w:tcBorders>
            <w:shd w:val="clear" w:color="auto" w:fill="auto"/>
            <w:noWrap/>
            <w:vAlign w:val="center"/>
            <w:hideMark/>
          </w:tcPr>
          <w:p w14:paraId="1AFE660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21</w:t>
            </w:r>
          </w:p>
        </w:tc>
      </w:tr>
      <w:tr w:rsidR="00D94396" w:rsidRPr="00703A27" w14:paraId="7E6A5AA5" w14:textId="77777777" w:rsidTr="00FF50E3">
        <w:trPr>
          <w:trHeight w:val="300"/>
        </w:trPr>
        <w:tc>
          <w:tcPr>
            <w:tcW w:w="3261" w:type="dxa"/>
            <w:gridSpan w:val="2"/>
            <w:tcBorders>
              <w:top w:val="nil"/>
              <w:left w:val="nil"/>
              <w:bottom w:val="nil"/>
              <w:right w:val="nil"/>
            </w:tcBorders>
            <w:shd w:val="clear" w:color="auto" w:fill="auto"/>
            <w:vAlign w:val="center"/>
            <w:hideMark/>
          </w:tcPr>
          <w:p w14:paraId="6DB65E5C"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Beverages, Apparel and Mining</w:t>
            </w:r>
          </w:p>
        </w:tc>
        <w:tc>
          <w:tcPr>
            <w:tcW w:w="944" w:type="dxa"/>
            <w:tcBorders>
              <w:top w:val="nil"/>
              <w:left w:val="nil"/>
              <w:bottom w:val="nil"/>
              <w:right w:val="nil"/>
            </w:tcBorders>
            <w:shd w:val="clear" w:color="auto" w:fill="auto"/>
            <w:noWrap/>
            <w:vAlign w:val="bottom"/>
            <w:hideMark/>
          </w:tcPr>
          <w:p w14:paraId="084EF3E6"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57EF776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44</w:t>
            </w:r>
          </w:p>
        </w:tc>
        <w:tc>
          <w:tcPr>
            <w:tcW w:w="1065" w:type="dxa"/>
            <w:tcBorders>
              <w:top w:val="nil"/>
              <w:left w:val="nil"/>
              <w:bottom w:val="nil"/>
              <w:right w:val="nil"/>
            </w:tcBorders>
            <w:shd w:val="clear" w:color="auto" w:fill="auto"/>
            <w:noWrap/>
            <w:vAlign w:val="bottom"/>
            <w:hideMark/>
          </w:tcPr>
          <w:p w14:paraId="18C56545"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67CAC548"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133.48</w:t>
            </w:r>
          </w:p>
        </w:tc>
        <w:tc>
          <w:tcPr>
            <w:tcW w:w="943" w:type="dxa"/>
            <w:tcBorders>
              <w:top w:val="nil"/>
              <w:left w:val="nil"/>
              <w:bottom w:val="nil"/>
              <w:right w:val="nil"/>
            </w:tcBorders>
            <w:shd w:val="clear" w:color="auto" w:fill="auto"/>
            <w:noWrap/>
            <w:vAlign w:val="center"/>
            <w:hideMark/>
          </w:tcPr>
          <w:p w14:paraId="68FF445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96.5</w:t>
            </w:r>
          </w:p>
        </w:tc>
        <w:tc>
          <w:tcPr>
            <w:tcW w:w="271" w:type="dxa"/>
            <w:tcBorders>
              <w:top w:val="nil"/>
              <w:left w:val="nil"/>
              <w:bottom w:val="nil"/>
              <w:right w:val="nil"/>
            </w:tcBorders>
            <w:shd w:val="clear" w:color="auto" w:fill="auto"/>
            <w:noWrap/>
            <w:vAlign w:val="bottom"/>
            <w:hideMark/>
          </w:tcPr>
          <w:p w14:paraId="23EE31CC"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03F937A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162</w:t>
            </w:r>
          </w:p>
        </w:tc>
        <w:tc>
          <w:tcPr>
            <w:tcW w:w="754" w:type="dxa"/>
            <w:tcBorders>
              <w:top w:val="nil"/>
              <w:left w:val="nil"/>
              <w:bottom w:val="nil"/>
              <w:right w:val="nil"/>
            </w:tcBorders>
            <w:shd w:val="clear" w:color="auto" w:fill="auto"/>
            <w:noWrap/>
            <w:vAlign w:val="center"/>
            <w:hideMark/>
          </w:tcPr>
          <w:p w14:paraId="0AD9B62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3.68</w:t>
            </w:r>
          </w:p>
        </w:tc>
        <w:tc>
          <w:tcPr>
            <w:tcW w:w="938" w:type="dxa"/>
            <w:gridSpan w:val="2"/>
            <w:tcBorders>
              <w:top w:val="nil"/>
              <w:left w:val="nil"/>
              <w:bottom w:val="nil"/>
              <w:right w:val="nil"/>
            </w:tcBorders>
            <w:shd w:val="clear" w:color="auto" w:fill="auto"/>
            <w:noWrap/>
            <w:vAlign w:val="center"/>
            <w:hideMark/>
          </w:tcPr>
          <w:p w14:paraId="5D2DA28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3AC0DCE6"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13E744D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1467</w:t>
            </w:r>
          </w:p>
        </w:tc>
        <w:tc>
          <w:tcPr>
            <w:tcW w:w="754" w:type="dxa"/>
            <w:tcBorders>
              <w:top w:val="nil"/>
              <w:left w:val="nil"/>
              <w:bottom w:val="nil"/>
              <w:right w:val="nil"/>
            </w:tcBorders>
            <w:shd w:val="clear" w:color="auto" w:fill="auto"/>
            <w:noWrap/>
            <w:vAlign w:val="center"/>
            <w:hideMark/>
          </w:tcPr>
          <w:p w14:paraId="2A47B09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33.34</w:t>
            </w:r>
          </w:p>
        </w:tc>
        <w:tc>
          <w:tcPr>
            <w:tcW w:w="1136" w:type="dxa"/>
            <w:tcBorders>
              <w:top w:val="nil"/>
              <w:left w:val="nil"/>
              <w:bottom w:val="nil"/>
              <w:right w:val="nil"/>
            </w:tcBorders>
            <w:shd w:val="clear" w:color="auto" w:fill="auto"/>
            <w:noWrap/>
            <w:vAlign w:val="center"/>
            <w:hideMark/>
          </w:tcPr>
          <w:p w14:paraId="1B4D455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35.5</w:t>
            </w:r>
          </w:p>
        </w:tc>
      </w:tr>
      <w:tr w:rsidR="00D94396" w:rsidRPr="00703A27" w14:paraId="04CF5C7F" w14:textId="77777777" w:rsidTr="00FF50E3">
        <w:trPr>
          <w:trHeight w:val="300"/>
        </w:trPr>
        <w:tc>
          <w:tcPr>
            <w:tcW w:w="3261" w:type="dxa"/>
            <w:gridSpan w:val="2"/>
            <w:tcBorders>
              <w:top w:val="nil"/>
              <w:left w:val="nil"/>
              <w:bottom w:val="nil"/>
              <w:right w:val="nil"/>
            </w:tcBorders>
            <w:shd w:val="clear" w:color="auto" w:fill="auto"/>
            <w:vAlign w:val="center"/>
            <w:hideMark/>
          </w:tcPr>
          <w:p w14:paraId="51245AAF"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Natural Resources</w:t>
            </w:r>
          </w:p>
        </w:tc>
        <w:tc>
          <w:tcPr>
            <w:tcW w:w="944" w:type="dxa"/>
            <w:tcBorders>
              <w:top w:val="nil"/>
              <w:left w:val="nil"/>
              <w:bottom w:val="nil"/>
              <w:right w:val="nil"/>
            </w:tcBorders>
            <w:shd w:val="clear" w:color="auto" w:fill="auto"/>
            <w:noWrap/>
            <w:vAlign w:val="bottom"/>
            <w:hideMark/>
          </w:tcPr>
          <w:p w14:paraId="7AB7D765"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79CF2623"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55</w:t>
            </w:r>
          </w:p>
        </w:tc>
        <w:tc>
          <w:tcPr>
            <w:tcW w:w="1065" w:type="dxa"/>
            <w:tcBorders>
              <w:top w:val="nil"/>
              <w:left w:val="nil"/>
              <w:bottom w:val="nil"/>
              <w:right w:val="nil"/>
            </w:tcBorders>
            <w:shd w:val="clear" w:color="auto" w:fill="auto"/>
            <w:noWrap/>
            <w:vAlign w:val="bottom"/>
            <w:hideMark/>
          </w:tcPr>
          <w:p w14:paraId="1AF71503"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13EDD72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119.84</w:t>
            </w:r>
          </w:p>
        </w:tc>
        <w:tc>
          <w:tcPr>
            <w:tcW w:w="943" w:type="dxa"/>
            <w:tcBorders>
              <w:top w:val="nil"/>
              <w:left w:val="nil"/>
              <w:bottom w:val="nil"/>
              <w:right w:val="nil"/>
            </w:tcBorders>
            <w:shd w:val="clear" w:color="auto" w:fill="auto"/>
            <w:noWrap/>
            <w:vAlign w:val="center"/>
            <w:hideMark/>
          </w:tcPr>
          <w:p w14:paraId="2663BC73"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103</w:t>
            </w:r>
          </w:p>
        </w:tc>
        <w:tc>
          <w:tcPr>
            <w:tcW w:w="271" w:type="dxa"/>
            <w:tcBorders>
              <w:top w:val="nil"/>
              <w:left w:val="nil"/>
              <w:bottom w:val="nil"/>
              <w:right w:val="nil"/>
            </w:tcBorders>
            <w:shd w:val="clear" w:color="auto" w:fill="auto"/>
            <w:noWrap/>
            <w:vAlign w:val="bottom"/>
            <w:hideMark/>
          </w:tcPr>
          <w:p w14:paraId="5B4153FA"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743F939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163</w:t>
            </w:r>
          </w:p>
        </w:tc>
        <w:tc>
          <w:tcPr>
            <w:tcW w:w="754" w:type="dxa"/>
            <w:tcBorders>
              <w:top w:val="nil"/>
              <w:left w:val="nil"/>
              <w:bottom w:val="nil"/>
              <w:right w:val="nil"/>
            </w:tcBorders>
            <w:shd w:val="clear" w:color="auto" w:fill="auto"/>
            <w:noWrap/>
            <w:vAlign w:val="center"/>
            <w:hideMark/>
          </w:tcPr>
          <w:p w14:paraId="460E8FD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2.96</w:t>
            </w:r>
          </w:p>
        </w:tc>
        <w:tc>
          <w:tcPr>
            <w:tcW w:w="938" w:type="dxa"/>
            <w:gridSpan w:val="2"/>
            <w:tcBorders>
              <w:top w:val="nil"/>
              <w:left w:val="nil"/>
              <w:bottom w:val="nil"/>
              <w:right w:val="nil"/>
            </w:tcBorders>
            <w:shd w:val="clear" w:color="auto" w:fill="auto"/>
            <w:noWrap/>
            <w:vAlign w:val="center"/>
            <w:hideMark/>
          </w:tcPr>
          <w:p w14:paraId="37B08EDC"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0B655568"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498A353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1679</w:t>
            </w:r>
          </w:p>
        </w:tc>
        <w:tc>
          <w:tcPr>
            <w:tcW w:w="754" w:type="dxa"/>
            <w:tcBorders>
              <w:top w:val="nil"/>
              <w:left w:val="nil"/>
              <w:bottom w:val="nil"/>
              <w:right w:val="nil"/>
            </w:tcBorders>
            <w:shd w:val="clear" w:color="auto" w:fill="auto"/>
            <w:noWrap/>
            <w:vAlign w:val="center"/>
            <w:hideMark/>
          </w:tcPr>
          <w:p w14:paraId="5627A4C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30.53</w:t>
            </w:r>
          </w:p>
        </w:tc>
        <w:tc>
          <w:tcPr>
            <w:tcW w:w="1136" w:type="dxa"/>
            <w:tcBorders>
              <w:top w:val="nil"/>
              <w:left w:val="nil"/>
              <w:bottom w:val="nil"/>
              <w:right w:val="nil"/>
            </w:tcBorders>
            <w:shd w:val="clear" w:color="auto" w:fill="auto"/>
            <w:noWrap/>
            <w:vAlign w:val="center"/>
            <w:hideMark/>
          </w:tcPr>
          <w:p w14:paraId="49E8D8B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29</w:t>
            </w:r>
          </w:p>
        </w:tc>
      </w:tr>
      <w:tr w:rsidR="00D94396" w:rsidRPr="00703A27" w14:paraId="4F1AB591" w14:textId="77777777" w:rsidTr="00FF50E3">
        <w:trPr>
          <w:trHeight w:val="300"/>
        </w:trPr>
        <w:tc>
          <w:tcPr>
            <w:tcW w:w="3261" w:type="dxa"/>
            <w:gridSpan w:val="2"/>
            <w:tcBorders>
              <w:top w:val="nil"/>
              <w:left w:val="nil"/>
              <w:bottom w:val="nil"/>
              <w:right w:val="nil"/>
            </w:tcBorders>
            <w:shd w:val="clear" w:color="auto" w:fill="auto"/>
            <w:vAlign w:val="center"/>
            <w:hideMark/>
          </w:tcPr>
          <w:p w14:paraId="221C3075"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Electronics and Machinery</w:t>
            </w:r>
          </w:p>
        </w:tc>
        <w:tc>
          <w:tcPr>
            <w:tcW w:w="944" w:type="dxa"/>
            <w:tcBorders>
              <w:top w:val="nil"/>
              <w:left w:val="nil"/>
              <w:bottom w:val="nil"/>
              <w:right w:val="nil"/>
            </w:tcBorders>
            <w:shd w:val="clear" w:color="auto" w:fill="auto"/>
            <w:noWrap/>
            <w:vAlign w:val="bottom"/>
            <w:hideMark/>
          </w:tcPr>
          <w:p w14:paraId="2E7BB473"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5AC65F3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122</w:t>
            </w:r>
          </w:p>
        </w:tc>
        <w:tc>
          <w:tcPr>
            <w:tcW w:w="1065" w:type="dxa"/>
            <w:tcBorders>
              <w:top w:val="nil"/>
              <w:left w:val="nil"/>
              <w:bottom w:val="nil"/>
              <w:right w:val="nil"/>
            </w:tcBorders>
            <w:shd w:val="clear" w:color="auto" w:fill="auto"/>
            <w:noWrap/>
            <w:vAlign w:val="bottom"/>
            <w:hideMark/>
          </w:tcPr>
          <w:p w14:paraId="0740A199"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5584166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116.58</w:t>
            </w:r>
          </w:p>
        </w:tc>
        <w:tc>
          <w:tcPr>
            <w:tcW w:w="943" w:type="dxa"/>
            <w:tcBorders>
              <w:top w:val="nil"/>
              <w:left w:val="nil"/>
              <w:bottom w:val="nil"/>
              <w:right w:val="nil"/>
            </w:tcBorders>
            <w:shd w:val="clear" w:color="auto" w:fill="auto"/>
            <w:noWrap/>
            <w:vAlign w:val="center"/>
            <w:hideMark/>
          </w:tcPr>
          <w:p w14:paraId="475CC45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89.5</w:t>
            </w:r>
          </w:p>
        </w:tc>
        <w:tc>
          <w:tcPr>
            <w:tcW w:w="271" w:type="dxa"/>
            <w:tcBorders>
              <w:top w:val="nil"/>
              <w:left w:val="nil"/>
              <w:bottom w:val="nil"/>
              <w:right w:val="nil"/>
            </w:tcBorders>
            <w:shd w:val="clear" w:color="auto" w:fill="auto"/>
            <w:noWrap/>
            <w:vAlign w:val="bottom"/>
            <w:hideMark/>
          </w:tcPr>
          <w:p w14:paraId="4CE408CE"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6332953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361</w:t>
            </w:r>
          </w:p>
        </w:tc>
        <w:tc>
          <w:tcPr>
            <w:tcW w:w="754" w:type="dxa"/>
            <w:tcBorders>
              <w:top w:val="nil"/>
              <w:left w:val="nil"/>
              <w:bottom w:val="nil"/>
              <w:right w:val="nil"/>
            </w:tcBorders>
            <w:shd w:val="clear" w:color="auto" w:fill="auto"/>
            <w:noWrap/>
            <w:vAlign w:val="center"/>
            <w:hideMark/>
          </w:tcPr>
          <w:p w14:paraId="2693124F"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2.96</w:t>
            </w:r>
          </w:p>
        </w:tc>
        <w:tc>
          <w:tcPr>
            <w:tcW w:w="938" w:type="dxa"/>
            <w:gridSpan w:val="2"/>
            <w:tcBorders>
              <w:top w:val="nil"/>
              <w:left w:val="nil"/>
              <w:bottom w:val="nil"/>
              <w:right w:val="nil"/>
            </w:tcBorders>
            <w:shd w:val="clear" w:color="auto" w:fill="auto"/>
            <w:noWrap/>
            <w:vAlign w:val="center"/>
            <w:hideMark/>
          </w:tcPr>
          <w:p w14:paraId="7332246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65AC97F4"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294E5F8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3589</w:t>
            </w:r>
          </w:p>
        </w:tc>
        <w:tc>
          <w:tcPr>
            <w:tcW w:w="754" w:type="dxa"/>
            <w:tcBorders>
              <w:top w:val="nil"/>
              <w:left w:val="nil"/>
              <w:bottom w:val="nil"/>
              <w:right w:val="nil"/>
            </w:tcBorders>
            <w:shd w:val="clear" w:color="auto" w:fill="auto"/>
            <w:noWrap/>
            <w:vAlign w:val="center"/>
            <w:hideMark/>
          </w:tcPr>
          <w:p w14:paraId="3EB4A45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29.42</w:t>
            </w:r>
          </w:p>
        </w:tc>
        <w:tc>
          <w:tcPr>
            <w:tcW w:w="1136" w:type="dxa"/>
            <w:tcBorders>
              <w:top w:val="nil"/>
              <w:left w:val="nil"/>
              <w:bottom w:val="nil"/>
              <w:right w:val="nil"/>
            </w:tcBorders>
            <w:shd w:val="clear" w:color="auto" w:fill="auto"/>
            <w:noWrap/>
            <w:vAlign w:val="center"/>
            <w:hideMark/>
          </w:tcPr>
          <w:p w14:paraId="3311DB6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30</w:t>
            </w:r>
          </w:p>
        </w:tc>
      </w:tr>
      <w:tr w:rsidR="00D94396" w:rsidRPr="00703A27" w14:paraId="27FAD32E" w14:textId="77777777" w:rsidTr="00FF50E3">
        <w:trPr>
          <w:trHeight w:val="300"/>
        </w:trPr>
        <w:tc>
          <w:tcPr>
            <w:tcW w:w="3261" w:type="dxa"/>
            <w:gridSpan w:val="2"/>
            <w:tcBorders>
              <w:top w:val="nil"/>
              <w:left w:val="nil"/>
              <w:bottom w:val="nil"/>
              <w:right w:val="nil"/>
            </w:tcBorders>
            <w:shd w:val="clear" w:color="auto" w:fill="auto"/>
            <w:vAlign w:val="center"/>
            <w:hideMark/>
          </w:tcPr>
          <w:p w14:paraId="4EB44987"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Telecommunications</w:t>
            </w:r>
          </w:p>
        </w:tc>
        <w:tc>
          <w:tcPr>
            <w:tcW w:w="944" w:type="dxa"/>
            <w:tcBorders>
              <w:top w:val="nil"/>
              <w:left w:val="nil"/>
              <w:bottom w:val="nil"/>
              <w:right w:val="nil"/>
            </w:tcBorders>
            <w:shd w:val="clear" w:color="auto" w:fill="auto"/>
            <w:noWrap/>
            <w:vAlign w:val="bottom"/>
            <w:hideMark/>
          </w:tcPr>
          <w:p w14:paraId="75758F50"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3A07F70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57</w:t>
            </w:r>
          </w:p>
        </w:tc>
        <w:tc>
          <w:tcPr>
            <w:tcW w:w="1065" w:type="dxa"/>
            <w:tcBorders>
              <w:top w:val="nil"/>
              <w:left w:val="nil"/>
              <w:bottom w:val="nil"/>
              <w:right w:val="nil"/>
            </w:tcBorders>
            <w:shd w:val="clear" w:color="auto" w:fill="auto"/>
            <w:noWrap/>
            <w:vAlign w:val="bottom"/>
            <w:hideMark/>
          </w:tcPr>
          <w:p w14:paraId="5E9BE6CF"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1DF2804C"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138.37</w:t>
            </w:r>
          </w:p>
        </w:tc>
        <w:tc>
          <w:tcPr>
            <w:tcW w:w="943" w:type="dxa"/>
            <w:tcBorders>
              <w:top w:val="nil"/>
              <w:left w:val="nil"/>
              <w:bottom w:val="nil"/>
              <w:right w:val="nil"/>
            </w:tcBorders>
            <w:shd w:val="clear" w:color="auto" w:fill="auto"/>
            <w:noWrap/>
            <w:vAlign w:val="center"/>
            <w:hideMark/>
          </w:tcPr>
          <w:p w14:paraId="7B30A91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106</w:t>
            </w:r>
          </w:p>
        </w:tc>
        <w:tc>
          <w:tcPr>
            <w:tcW w:w="271" w:type="dxa"/>
            <w:tcBorders>
              <w:top w:val="nil"/>
              <w:left w:val="nil"/>
              <w:bottom w:val="nil"/>
              <w:right w:val="nil"/>
            </w:tcBorders>
            <w:shd w:val="clear" w:color="auto" w:fill="auto"/>
            <w:noWrap/>
            <w:vAlign w:val="bottom"/>
            <w:hideMark/>
          </w:tcPr>
          <w:p w14:paraId="14D2D9A1"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77F3B10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168</w:t>
            </w:r>
          </w:p>
        </w:tc>
        <w:tc>
          <w:tcPr>
            <w:tcW w:w="754" w:type="dxa"/>
            <w:tcBorders>
              <w:top w:val="nil"/>
              <w:left w:val="nil"/>
              <w:bottom w:val="nil"/>
              <w:right w:val="nil"/>
            </w:tcBorders>
            <w:shd w:val="clear" w:color="auto" w:fill="auto"/>
            <w:noWrap/>
            <w:vAlign w:val="center"/>
            <w:hideMark/>
          </w:tcPr>
          <w:p w14:paraId="5ADC4F6F"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2.95</w:t>
            </w:r>
          </w:p>
        </w:tc>
        <w:tc>
          <w:tcPr>
            <w:tcW w:w="938" w:type="dxa"/>
            <w:gridSpan w:val="2"/>
            <w:tcBorders>
              <w:top w:val="nil"/>
              <w:left w:val="nil"/>
              <w:bottom w:val="nil"/>
              <w:right w:val="nil"/>
            </w:tcBorders>
            <w:shd w:val="clear" w:color="auto" w:fill="auto"/>
            <w:noWrap/>
            <w:vAlign w:val="center"/>
            <w:hideMark/>
          </w:tcPr>
          <w:p w14:paraId="50E03E26"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45BD1611"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020450F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2007</w:t>
            </w:r>
          </w:p>
        </w:tc>
        <w:tc>
          <w:tcPr>
            <w:tcW w:w="754" w:type="dxa"/>
            <w:tcBorders>
              <w:top w:val="nil"/>
              <w:left w:val="nil"/>
              <w:bottom w:val="nil"/>
              <w:right w:val="nil"/>
            </w:tcBorders>
            <w:shd w:val="clear" w:color="auto" w:fill="auto"/>
            <w:noWrap/>
            <w:vAlign w:val="center"/>
            <w:hideMark/>
          </w:tcPr>
          <w:p w14:paraId="7AA39FF8"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35.21</w:t>
            </w:r>
          </w:p>
        </w:tc>
        <w:tc>
          <w:tcPr>
            <w:tcW w:w="1136" w:type="dxa"/>
            <w:tcBorders>
              <w:top w:val="nil"/>
              <w:left w:val="nil"/>
              <w:bottom w:val="nil"/>
              <w:right w:val="nil"/>
            </w:tcBorders>
            <w:shd w:val="clear" w:color="auto" w:fill="auto"/>
            <w:noWrap/>
            <w:vAlign w:val="center"/>
            <w:hideMark/>
          </w:tcPr>
          <w:p w14:paraId="723CF7C9"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37</w:t>
            </w:r>
          </w:p>
        </w:tc>
      </w:tr>
      <w:tr w:rsidR="00D94396" w:rsidRPr="00703A27" w14:paraId="430A2FD0" w14:textId="77777777" w:rsidTr="00FF50E3">
        <w:trPr>
          <w:trHeight w:val="300"/>
        </w:trPr>
        <w:tc>
          <w:tcPr>
            <w:tcW w:w="3261" w:type="dxa"/>
            <w:gridSpan w:val="2"/>
            <w:tcBorders>
              <w:top w:val="nil"/>
              <w:left w:val="nil"/>
              <w:bottom w:val="nil"/>
              <w:right w:val="nil"/>
            </w:tcBorders>
            <w:shd w:val="clear" w:color="auto" w:fill="auto"/>
            <w:vAlign w:val="center"/>
            <w:hideMark/>
          </w:tcPr>
          <w:p w14:paraId="5C845A9C"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Manufacturing and Construction</w:t>
            </w:r>
          </w:p>
        </w:tc>
        <w:tc>
          <w:tcPr>
            <w:tcW w:w="944" w:type="dxa"/>
            <w:tcBorders>
              <w:top w:val="nil"/>
              <w:left w:val="nil"/>
              <w:bottom w:val="nil"/>
              <w:right w:val="nil"/>
            </w:tcBorders>
            <w:shd w:val="clear" w:color="auto" w:fill="auto"/>
            <w:noWrap/>
            <w:vAlign w:val="bottom"/>
            <w:hideMark/>
          </w:tcPr>
          <w:p w14:paraId="5C94F6C6"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59CBFD8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74</w:t>
            </w:r>
          </w:p>
        </w:tc>
        <w:tc>
          <w:tcPr>
            <w:tcW w:w="1065" w:type="dxa"/>
            <w:tcBorders>
              <w:top w:val="nil"/>
              <w:left w:val="nil"/>
              <w:bottom w:val="nil"/>
              <w:right w:val="nil"/>
            </w:tcBorders>
            <w:shd w:val="clear" w:color="auto" w:fill="auto"/>
            <w:noWrap/>
            <w:vAlign w:val="bottom"/>
            <w:hideMark/>
          </w:tcPr>
          <w:p w14:paraId="01CAA1C1"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55AC1DF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159.62</w:t>
            </w:r>
          </w:p>
        </w:tc>
        <w:tc>
          <w:tcPr>
            <w:tcW w:w="943" w:type="dxa"/>
            <w:tcBorders>
              <w:top w:val="nil"/>
              <w:left w:val="nil"/>
              <w:bottom w:val="nil"/>
              <w:right w:val="nil"/>
            </w:tcBorders>
            <w:shd w:val="clear" w:color="auto" w:fill="auto"/>
            <w:noWrap/>
            <w:vAlign w:val="center"/>
            <w:hideMark/>
          </w:tcPr>
          <w:p w14:paraId="47055C3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104</w:t>
            </w:r>
          </w:p>
        </w:tc>
        <w:tc>
          <w:tcPr>
            <w:tcW w:w="271" w:type="dxa"/>
            <w:tcBorders>
              <w:top w:val="nil"/>
              <w:left w:val="nil"/>
              <w:bottom w:val="nil"/>
              <w:right w:val="nil"/>
            </w:tcBorders>
            <w:shd w:val="clear" w:color="auto" w:fill="auto"/>
            <w:noWrap/>
            <w:vAlign w:val="bottom"/>
            <w:hideMark/>
          </w:tcPr>
          <w:p w14:paraId="33AF0378"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5C24DE7F"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287</w:t>
            </w:r>
          </w:p>
        </w:tc>
        <w:tc>
          <w:tcPr>
            <w:tcW w:w="754" w:type="dxa"/>
            <w:tcBorders>
              <w:top w:val="nil"/>
              <w:left w:val="nil"/>
              <w:bottom w:val="nil"/>
              <w:right w:val="nil"/>
            </w:tcBorders>
            <w:shd w:val="clear" w:color="auto" w:fill="auto"/>
            <w:noWrap/>
            <w:vAlign w:val="center"/>
            <w:hideMark/>
          </w:tcPr>
          <w:p w14:paraId="0D78880E"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3.88</w:t>
            </w:r>
          </w:p>
        </w:tc>
        <w:tc>
          <w:tcPr>
            <w:tcW w:w="938" w:type="dxa"/>
            <w:gridSpan w:val="2"/>
            <w:tcBorders>
              <w:top w:val="nil"/>
              <w:left w:val="nil"/>
              <w:bottom w:val="nil"/>
              <w:right w:val="nil"/>
            </w:tcBorders>
            <w:shd w:val="clear" w:color="auto" w:fill="auto"/>
            <w:noWrap/>
            <w:vAlign w:val="center"/>
            <w:hideMark/>
          </w:tcPr>
          <w:p w14:paraId="6408335C"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w:t>
            </w:r>
          </w:p>
        </w:tc>
        <w:tc>
          <w:tcPr>
            <w:tcW w:w="520" w:type="dxa"/>
            <w:gridSpan w:val="2"/>
            <w:tcBorders>
              <w:top w:val="nil"/>
              <w:left w:val="nil"/>
              <w:bottom w:val="nil"/>
              <w:right w:val="nil"/>
            </w:tcBorders>
            <w:shd w:val="clear" w:color="auto" w:fill="auto"/>
            <w:noWrap/>
            <w:vAlign w:val="bottom"/>
            <w:hideMark/>
          </w:tcPr>
          <w:p w14:paraId="29A74C0E"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121D83B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3129</w:t>
            </w:r>
          </w:p>
        </w:tc>
        <w:tc>
          <w:tcPr>
            <w:tcW w:w="754" w:type="dxa"/>
            <w:tcBorders>
              <w:top w:val="nil"/>
              <w:left w:val="nil"/>
              <w:bottom w:val="nil"/>
              <w:right w:val="nil"/>
            </w:tcBorders>
            <w:shd w:val="clear" w:color="auto" w:fill="auto"/>
            <w:noWrap/>
            <w:vAlign w:val="center"/>
            <w:hideMark/>
          </w:tcPr>
          <w:p w14:paraId="1151BF2C"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42.28</w:t>
            </w:r>
          </w:p>
        </w:tc>
        <w:tc>
          <w:tcPr>
            <w:tcW w:w="1136" w:type="dxa"/>
            <w:tcBorders>
              <w:top w:val="nil"/>
              <w:left w:val="nil"/>
              <w:bottom w:val="nil"/>
              <w:right w:val="nil"/>
            </w:tcBorders>
            <w:shd w:val="clear" w:color="auto" w:fill="auto"/>
            <w:noWrap/>
            <w:vAlign w:val="center"/>
            <w:hideMark/>
          </w:tcPr>
          <w:p w14:paraId="081FB25C"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46.5</w:t>
            </w:r>
          </w:p>
        </w:tc>
      </w:tr>
      <w:tr w:rsidR="00D94396" w:rsidRPr="00703A27" w14:paraId="5E8FB353" w14:textId="77777777" w:rsidTr="00FF50E3">
        <w:trPr>
          <w:trHeight w:val="300"/>
        </w:trPr>
        <w:tc>
          <w:tcPr>
            <w:tcW w:w="3261" w:type="dxa"/>
            <w:gridSpan w:val="2"/>
            <w:tcBorders>
              <w:top w:val="nil"/>
              <w:left w:val="nil"/>
              <w:bottom w:val="nil"/>
              <w:right w:val="nil"/>
            </w:tcBorders>
            <w:shd w:val="clear" w:color="auto" w:fill="auto"/>
            <w:vAlign w:val="center"/>
            <w:hideMark/>
          </w:tcPr>
          <w:p w14:paraId="78D927D5"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Consumer Products</w:t>
            </w:r>
          </w:p>
        </w:tc>
        <w:tc>
          <w:tcPr>
            <w:tcW w:w="944" w:type="dxa"/>
            <w:tcBorders>
              <w:top w:val="nil"/>
              <w:left w:val="nil"/>
              <w:bottom w:val="nil"/>
              <w:right w:val="nil"/>
            </w:tcBorders>
            <w:shd w:val="clear" w:color="auto" w:fill="auto"/>
            <w:noWrap/>
            <w:vAlign w:val="bottom"/>
            <w:hideMark/>
          </w:tcPr>
          <w:p w14:paraId="3DDA1E73" w14:textId="77777777" w:rsidR="00D94396" w:rsidRPr="00703A27" w:rsidRDefault="00D94396" w:rsidP="00583CE2">
            <w:pPr>
              <w:rPr>
                <w:rFonts w:eastAsia="Times New Roman"/>
                <w:color w:val="000000"/>
                <w:sz w:val="20"/>
                <w:szCs w:val="20"/>
              </w:rPr>
            </w:pPr>
          </w:p>
        </w:tc>
        <w:tc>
          <w:tcPr>
            <w:tcW w:w="684" w:type="dxa"/>
            <w:tcBorders>
              <w:top w:val="nil"/>
              <w:left w:val="nil"/>
              <w:bottom w:val="nil"/>
              <w:right w:val="nil"/>
            </w:tcBorders>
            <w:shd w:val="clear" w:color="auto" w:fill="auto"/>
            <w:noWrap/>
            <w:vAlign w:val="center"/>
            <w:hideMark/>
          </w:tcPr>
          <w:p w14:paraId="73CEF638"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40</w:t>
            </w:r>
          </w:p>
        </w:tc>
        <w:tc>
          <w:tcPr>
            <w:tcW w:w="1065" w:type="dxa"/>
            <w:tcBorders>
              <w:top w:val="nil"/>
              <w:left w:val="nil"/>
              <w:bottom w:val="nil"/>
              <w:right w:val="nil"/>
            </w:tcBorders>
            <w:shd w:val="clear" w:color="auto" w:fill="auto"/>
            <w:noWrap/>
            <w:vAlign w:val="bottom"/>
            <w:hideMark/>
          </w:tcPr>
          <w:p w14:paraId="65C8B761" w14:textId="77777777" w:rsidR="00D94396" w:rsidRPr="00703A27" w:rsidRDefault="00D94396" w:rsidP="00583CE2">
            <w:pPr>
              <w:jc w:val="center"/>
              <w:rPr>
                <w:rFonts w:eastAsia="Times New Roman"/>
                <w:color w:val="000000"/>
                <w:sz w:val="20"/>
                <w:szCs w:val="20"/>
              </w:rPr>
            </w:pPr>
          </w:p>
        </w:tc>
        <w:tc>
          <w:tcPr>
            <w:tcW w:w="1228" w:type="dxa"/>
            <w:tcBorders>
              <w:top w:val="nil"/>
              <w:left w:val="nil"/>
              <w:bottom w:val="nil"/>
              <w:right w:val="nil"/>
            </w:tcBorders>
            <w:shd w:val="clear" w:color="auto" w:fill="auto"/>
            <w:noWrap/>
            <w:vAlign w:val="center"/>
            <w:hideMark/>
          </w:tcPr>
          <w:p w14:paraId="602FF9F3"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137.55</w:t>
            </w:r>
          </w:p>
        </w:tc>
        <w:tc>
          <w:tcPr>
            <w:tcW w:w="943" w:type="dxa"/>
            <w:tcBorders>
              <w:top w:val="nil"/>
              <w:left w:val="nil"/>
              <w:bottom w:val="nil"/>
              <w:right w:val="nil"/>
            </w:tcBorders>
            <w:shd w:val="clear" w:color="auto" w:fill="auto"/>
            <w:noWrap/>
            <w:vAlign w:val="center"/>
            <w:hideMark/>
          </w:tcPr>
          <w:p w14:paraId="2B94C6D4"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96.5</w:t>
            </w:r>
          </w:p>
        </w:tc>
        <w:tc>
          <w:tcPr>
            <w:tcW w:w="271" w:type="dxa"/>
            <w:tcBorders>
              <w:top w:val="nil"/>
              <w:left w:val="nil"/>
              <w:bottom w:val="nil"/>
              <w:right w:val="nil"/>
            </w:tcBorders>
            <w:shd w:val="clear" w:color="auto" w:fill="auto"/>
            <w:noWrap/>
            <w:vAlign w:val="bottom"/>
            <w:hideMark/>
          </w:tcPr>
          <w:p w14:paraId="059C8DE8" w14:textId="77777777" w:rsidR="00D94396" w:rsidRPr="00703A27" w:rsidRDefault="00D94396" w:rsidP="00583CE2">
            <w:pPr>
              <w:jc w:val="center"/>
              <w:rPr>
                <w:rFonts w:eastAsia="Times New Roman"/>
                <w:color w:val="000000"/>
                <w:sz w:val="20"/>
                <w:szCs w:val="20"/>
              </w:rPr>
            </w:pPr>
          </w:p>
        </w:tc>
        <w:tc>
          <w:tcPr>
            <w:tcW w:w="821" w:type="dxa"/>
            <w:tcBorders>
              <w:top w:val="nil"/>
              <w:left w:val="nil"/>
              <w:bottom w:val="nil"/>
              <w:right w:val="nil"/>
            </w:tcBorders>
            <w:shd w:val="clear" w:color="auto" w:fill="auto"/>
            <w:noWrap/>
            <w:vAlign w:val="center"/>
            <w:hideMark/>
          </w:tcPr>
          <w:p w14:paraId="61FCBD6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125</w:t>
            </w:r>
          </w:p>
        </w:tc>
        <w:tc>
          <w:tcPr>
            <w:tcW w:w="754" w:type="dxa"/>
            <w:tcBorders>
              <w:top w:val="nil"/>
              <w:left w:val="nil"/>
              <w:bottom w:val="nil"/>
              <w:right w:val="nil"/>
            </w:tcBorders>
            <w:shd w:val="clear" w:color="auto" w:fill="auto"/>
            <w:noWrap/>
            <w:vAlign w:val="center"/>
            <w:hideMark/>
          </w:tcPr>
          <w:p w14:paraId="37FB9E4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3.13</w:t>
            </w:r>
          </w:p>
        </w:tc>
        <w:tc>
          <w:tcPr>
            <w:tcW w:w="938" w:type="dxa"/>
            <w:gridSpan w:val="2"/>
            <w:tcBorders>
              <w:top w:val="nil"/>
              <w:left w:val="nil"/>
              <w:bottom w:val="nil"/>
              <w:right w:val="nil"/>
            </w:tcBorders>
            <w:shd w:val="clear" w:color="auto" w:fill="auto"/>
            <w:noWrap/>
            <w:vAlign w:val="center"/>
            <w:hideMark/>
          </w:tcPr>
          <w:p w14:paraId="4AF476B7"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bottom w:val="nil"/>
              <w:right w:val="nil"/>
            </w:tcBorders>
            <w:shd w:val="clear" w:color="auto" w:fill="auto"/>
            <w:noWrap/>
            <w:vAlign w:val="bottom"/>
            <w:hideMark/>
          </w:tcPr>
          <w:p w14:paraId="1F7B31A9" w14:textId="77777777" w:rsidR="00D94396" w:rsidRPr="00703A27" w:rsidRDefault="00D94396" w:rsidP="00583CE2">
            <w:pPr>
              <w:jc w:val="center"/>
              <w:rPr>
                <w:rFonts w:eastAsia="Times New Roman"/>
                <w:color w:val="000000"/>
                <w:sz w:val="20"/>
                <w:szCs w:val="20"/>
              </w:rPr>
            </w:pPr>
          </w:p>
        </w:tc>
        <w:tc>
          <w:tcPr>
            <w:tcW w:w="998" w:type="dxa"/>
            <w:tcBorders>
              <w:top w:val="nil"/>
              <w:left w:val="nil"/>
              <w:bottom w:val="nil"/>
              <w:right w:val="nil"/>
            </w:tcBorders>
            <w:shd w:val="clear" w:color="auto" w:fill="auto"/>
            <w:noWrap/>
            <w:vAlign w:val="center"/>
            <w:hideMark/>
          </w:tcPr>
          <w:p w14:paraId="542CD87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1400</w:t>
            </w:r>
          </w:p>
        </w:tc>
        <w:tc>
          <w:tcPr>
            <w:tcW w:w="754" w:type="dxa"/>
            <w:tcBorders>
              <w:top w:val="nil"/>
              <w:left w:val="nil"/>
              <w:bottom w:val="nil"/>
              <w:right w:val="nil"/>
            </w:tcBorders>
            <w:shd w:val="clear" w:color="auto" w:fill="auto"/>
            <w:noWrap/>
            <w:vAlign w:val="center"/>
            <w:hideMark/>
          </w:tcPr>
          <w:p w14:paraId="57783BC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w:t>
            </w:r>
          </w:p>
        </w:tc>
        <w:tc>
          <w:tcPr>
            <w:tcW w:w="1136" w:type="dxa"/>
            <w:tcBorders>
              <w:top w:val="nil"/>
              <w:left w:val="nil"/>
              <w:bottom w:val="nil"/>
              <w:right w:val="nil"/>
            </w:tcBorders>
            <w:shd w:val="clear" w:color="auto" w:fill="auto"/>
            <w:noWrap/>
            <w:vAlign w:val="center"/>
            <w:hideMark/>
          </w:tcPr>
          <w:p w14:paraId="3A9AC54B"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38</w:t>
            </w:r>
          </w:p>
        </w:tc>
      </w:tr>
      <w:tr w:rsidR="00D94396" w:rsidRPr="00703A27" w14:paraId="51431CC2" w14:textId="77777777" w:rsidTr="00FF50E3">
        <w:trPr>
          <w:trHeight w:val="300"/>
        </w:trPr>
        <w:tc>
          <w:tcPr>
            <w:tcW w:w="3261" w:type="dxa"/>
            <w:gridSpan w:val="2"/>
            <w:tcBorders>
              <w:top w:val="nil"/>
              <w:left w:val="nil"/>
              <w:right w:val="nil"/>
            </w:tcBorders>
            <w:shd w:val="clear" w:color="auto" w:fill="auto"/>
            <w:vAlign w:val="center"/>
            <w:hideMark/>
          </w:tcPr>
          <w:p w14:paraId="49DF5244"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Office of Transportation and Leisure</w:t>
            </w:r>
          </w:p>
        </w:tc>
        <w:tc>
          <w:tcPr>
            <w:tcW w:w="944" w:type="dxa"/>
            <w:tcBorders>
              <w:top w:val="nil"/>
              <w:left w:val="nil"/>
              <w:right w:val="nil"/>
            </w:tcBorders>
            <w:shd w:val="clear" w:color="auto" w:fill="auto"/>
            <w:noWrap/>
            <w:vAlign w:val="bottom"/>
            <w:hideMark/>
          </w:tcPr>
          <w:p w14:paraId="1763CFC0" w14:textId="77777777" w:rsidR="00D94396" w:rsidRPr="00703A27" w:rsidRDefault="00D94396" w:rsidP="00583CE2">
            <w:pPr>
              <w:rPr>
                <w:rFonts w:eastAsia="Times New Roman"/>
                <w:color w:val="000000"/>
                <w:sz w:val="20"/>
                <w:szCs w:val="20"/>
              </w:rPr>
            </w:pPr>
          </w:p>
        </w:tc>
        <w:tc>
          <w:tcPr>
            <w:tcW w:w="684" w:type="dxa"/>
            <w:tcBorders>
              <w:top w:val="nil"/>
              <w:left w:val="nil"/>
              <w:right w:val="nil"/>
            </w:tcBorders>
            <w:shd w:val="clear" w:color="auto" w:fill="auto"/>
            <w:noWrap/>
            <w:vAlign w:val="center"/>
            <w:hideMark/>
          </w:tcPr>
          <w:p w14:paraId="6B25B27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67</w:t>
            </w:r>
          </w:p>
        </w:tc>
        <w:tc>
          <w:tcPr>
            <w:tcW w:w="1065" w:type="dxa"/>
            <w:tcBorders>
              <w:top w:val="nil"/>
              <w:left w:val="nil"/>
              <w:right w:val="nil"/>
            </w:tcBorders>
            <w:shd w:val="clear" w:color="auto" w:fill="auto"/>
            <w:noWrap/>
            <w:vAlign w:val="bottom"/>
            <w:hideMark/>
          </w:tcPr>
          <w:p w14:paraId="203B9403" w14:textId="77777777" w:rsidR="00D94396" w:rsidRPr="00703A27" w:rsidRDefault="00D94396" w:rsidP="00583CE2">
            <w:pPr>
              <w:jc w:val="center"/>
              <w:rPr>
                <w:rFonts w:eastAsia="Times New Roman"/>
                <w:color w:val="000000"/>
                <w:sz w:val="20"/>
                <w:szCs w:val="20"/>
              </w:rPr>
            </w:pPr>
          </w:p>
        </w:tc>
        <w:tc>
          <w:tcPr>
            <w:tcW w:w="1228" w:type="dxa"/>
            <w:tcBorders>
              <w:top w:val="nil"/>
              <w:left w:val="nil"/>
              <w:right w:val="nil"/>
            </w:tcBorders>
            <w:shd w:val="clear" w:color="auto" w:fill="auto"/>
            <w:noWrap/>
            <w:vAlign w:val="center"/>
            <w:hideMark/>
          </w:tcPr>
          <w:p w14:paraId="28A9ED6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166.49</w:t>
            </w:r>
          </w:p>
        </w:tc>
        <w:tc>
          <w:tcPr>
            <w:tcW w:w="943" w:type="dxa"/>
            <w:tcBorders>
              <w:top w:val="nil"/>
              <w:left w:val="nil"/>
              <w:right w:val="nil"/>
            </w:tcBorders>
            <w:shd w:val="clear" w:color="auto" w:fill="auto"/>
            <w:noWrap/>
            <w:vAlign w:val="center"/>
            <w:hideMark/>
          </w:tcPr>
          <w:p w14:paraId="1A05C97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91</w:t>
            </w:r>
          </w:p>
        </w:tc>
        <w:tc>
          <w:tcPr>
            <w:tcW w:w="271" w:type="dxa"/>
            <w:tcBorders>
              <w:top w:val="nil"/>
              <w:left w:val="nil"/>
              <w:right w:val="nil"/>
            </w:tcBorders>
            <w:shd w:val="clear" w:color="auto" w:fill="auto"/>
            <w:noWrap/>
            <w:vAlign w:val="bottom"/>
            <w:hideMark/>
          </w:tcPr>
          <w:p w14:paraId="6B0D7D90" w14:textId="77777777" w:rsidR="00D94396" w:rsidRPr="00703A27" w:rsidRDefault="00D94396" w:rsidP="00583CE2">
            <w:pPr>
              <w:jc w:val="center"/>
              <w:rPr>
                <w:rFonts w:eastAsia="Times New Roman"/>
                <w:color w:val="000000"/>
                <w:sz w:val="20"/>
                <w:szCs w:val="20"/>
              </w:rPr>
            </w:pPr>
          </w:p>
        </w:tc>
        <w:tc>
          <w:tcPr>
            <w:tcW w:w="821" w:type="dxa"/>
            <w:tcBorders>
              <w:top w:val="nil"/>
              <w:left w:val="nil"/>
              <w:right w:val="nil"/>
            </w:tcBorders>
            <w:shd w:val="clear" w:color="auto" w:fill="auto"/>
            <w:noWrap/>
            <w:vAlign w:val="center"/>
            <w:hideMark/>
          </w:tcPr>
          <w:p w14:paraId="7F970022"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235</w:t>
            </w:r>
          </w:p>
        </w:tc>
        <w:tc>
          <w:tcPr>
            <w:tcW w:w="754" w:type="dxa"/>
            <w:tcBorders>
              <w:top w:val="nil"/>
              <w:left w:val="nil"/>
              <w:right w:val="nil"/>
            </w:tcBorders>
            <w:shd w:val="clear" w:color="auto" w:fill="auto"/>
            <w:noWrap/>
            <w:vAlign w:val="center"/>
            <w:hideMark/>
          </w:tcPr>
          <w:p w14:paraId="5EED1E3F"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3.51</w:t>
            </w:r>
          </w:p>
        </w:tc>
        <w:tc>
          <w:tcPr>
            <w:tcW w:w="938" w:type="dxa"/>
            <w:gridSpan w:val="2"/>
            <w:tcBorders>
              <w:top w:val="nil"/>
              <w:left w:val="nil"/>
              <w:right w:val="nil"/>
            </w:tcBorders>
            <w:shd w:val="clear" w:color="auto" w:fill="auto"/>
            <w:noWrap/>
            <w:vAlign w:val="center"/>
            <w:hideMark/>
          </w:tcPr>
          <w:p w14:paraId="49AE4781"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w:t>
            </w:r>
          </w:p>
        </w:tc>
        <w:tc>
          <w:tcPr>
            <w:tcW w:w="520" w:type="dxa"/>
            <w:gridSpan w:val="2"/>
            <w:tcBorders>
              <w:top w:val="nil"/>
              <w:left w:val="nil"/>
              <w:right w:val="nil"/>
            </w:tcBorders>
            <w:shd w:val="clear" w:color="auto" w:fill="auto"/>
            <w:noWrap/>
            <w:vAlign w:val="bottom"/>
            <w:hideMark/>
          </w:tcPr>
          <w:p w14:paraId="3DF9F9ED" w14:textId="77777777" w:rsidR="00D94396" w:rsidRPr="00703A27" w:rsidRDefault="00D94396" w:rsidP="00583CE2">
            <w:pPr>
              <w:jc w:val="center"/>
              <w:rPr>
                <w:rFonts w:eastAsia="Times New Roman"/>
                <w:color w:val="000000"/>
                <w:sz w:val="20"/>
                <w:szCs w:val="20"/>
              </w:rPr>
            </w:pPr>
          </w:p>
        </w:tc>
        <w:tc>
          <w:tcPr>
            <w:tcW w:w="998" w:type="dxa"/>
            <w:tcBorders>
              <w:top w:val="nil"/>
              <w:left w:val="nil"/>
              <w:right w:val="nil"/>
            </w:tcBorders>
            <w:shd w:val="clear" w:color="auto" w:fill="auto"/>
            <w:noWrap/>
            <w:vAlign w:val="center"/>
            <w:hideMark/>
          </w:tcPr>
          <w:p w14:paraId="39F5DFAD"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2510</w:t>
            </w:r>
          </w:p>
        </w:tc>
        <w:tc>
          <w:tcPr>
            <w:tcW w:w="754" w:type="dxa"/>
            <w:tcBorders>
              <w:top w:val="nil"/>
              <w:left w:val="nil"/>
              <w:right w:val="nil"/>
            </w:tcBorders>
            <w:shd w:val="clear" w:color="auto" w:fill="auto"/>
            <w:noWrap/>
            <w:vAlign w:val="center"/>
            <w:hideMark/>
          </w:tcPr>
          <w:p w14:paraId="2892BCE0"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37.46</w:t>
            </w:r>
          </w:p>
        </w:tc>
        <w:tc>
          <w:tcPr>
            <w:tcW w:w="1136" w:type="dxa"/>
            <w:tcBorders>
              <w:top w:val="nil"/>
              <w:left w:val="nil"/>
              <w:right w:val="nil"/>
            </w:tcBorders>
            <w:shd w:val="clear" w:color="auto" w:fill="auto"/>
            <w:noWrap/>
            <w:vAlign w:val="center"/>
            <w:hideMark/>
          </w:tcPr>
          <w:p w14:paraId="2064ACBA" w14:textId="77777777" w:rsidR="00D94396" w:rsidRPr="00703A27" w:rsidRDefault="00D94396" w:rsidP="00583CE2">
            <w:pPr>
              <w:jc w:val="center"/>
              <w:rPr>
                <w:rFonts w:eastAsia="Times New Roman"/>
                <w:color w:val="000000"/>
                <w:sz w:val="20"/>
                <w:szCs w:val="20"/>
              </w:rPr>
            </w:pPr>
            <w:r w:rsidRPr="00703A27">
              <w:rPr>
                <w:rFonts w:eastAsia="Times New Roman"/>
                <w:color w:val="000000"/>
                <w:sz w:val="20"/>
                <w:szCs w:val="20"/>
              </w:rPr>
              <w:t>39</w:t>
            </w:r>
          </w:p>
        </w:tc>
      </w:tr>
      <w:tr w:rsidR="00D94396" w:rsidRPr="00703A27" w14:paraId="5A3E870B" w14:textId="77777777" w:rsidTr="00FF50E3">
        <w:trPr>
          <w:trHeight w:val="300"/>
        </w:trPr>
        <w:tc>
          <w:tcPr>
            <w:tcW w:w="3261" w:type="dxa"/>
            <w:gridSpan w:val="2"/>
            <w:tcBorders>
              <w:top w:val="nil"/>
              <w:left w:val="nil"/>
              <w:bottom w:val="single" w:sz="4" w:space="0" w:color="auto"/>
              <w:right w:val="nil"/>
            </w:tcBorders>
            <w:shd w:val="clear" w:color="auto" w:fill="auto"/>
            <w:noWrap/>
            <w:vAlign w:val="bottom"/>
            <w:hideMark/>
          </w:tcPr>
          <w:p w14:paraId="16B3195E" w14:textId="77777777" w:rsidR="00D94396" w:rsidRPr="00703A27" w:rsidRDefault="00D94396" w:rsidP="00583CE2">
            <w:pPr>
              <w:rPr>
                <w:rFonts w:eastAsia="Times New Roman"/>
                <w:i/>
                <w:iCs/>
                <w:color w:val="000000"/>
                <w:sz w:val="20"/>
                <w:szCs w:val="20"/>
              </w:rPr>
            </w:pPr>
            <w:r w:rsidRPr="00703A27">
              <w:rPr>
                <w:rFonts w:eastAsia="Times New Roman"/>
                <w:i/>
                <w:iCs/>
                <w:color w:val="000000"/>
                <w:sz w:val="20"/>
                <w:szCs w:val="20"/>
              </w:rPr>
              <w:t>Totals</w:t>
            </w:r>
          </w:p>
        </w:tc>
        <w:tc>
          <w:tcPr>
            <w:tcW w:w="944" w:type="dxa"/>
            <w:tcBorders>
              <w:top w:val="nil"/>
              <w:left w:val="nil"/>
              <w:bottom w:val="single" w:sz="4" w:space="0" w:color="auto"/>
              <w:right w:val="nil"/>
            </w:tcBorders>
            <w:shd w:val="clear" w:color="auto" w:fill="auto"/>
            <w:noWrap/>
            <w:vAlign w:val="bottom"/>
            <w:hideMark/>
          </w:tcPr>
          <w:p w14:paraId="6FE0EB49" w14:textId="77777777" w:rsidR="00D94396" w:rsidRPr="00703A27" w:rsidRDefault="00D94396" w:rsidP="00583CE2">
            <w:pPr>
              <w:rPr>
                <w:rFonts w:eastAsia="Times New Roman"/>
                <w:color w:val="000000"/>
                <w:sz w:val="20"/>
                <w:szCs w:val="20"/>
              </w:rPr>
            </w:pPr>
            <w:r w:rsidRPr="00703A27">
              <w:rPr>
                <w:rFonts w:eastAsia="Times New Roman"/>
                <w:color w:val="000000"/>
                <w:sz w:val="20"/>
                <w:szCs w:val="20"/>
              </w:rPr>
              <w:t> </w:t>
            </w:r>
          </w:p>
        </w:tc>
        <w:tc>
          <w:tcPr>
            <w:tcW w:w="684" w:type="dxa"/>
            <w:tcBorders>
              <w:top w:val="nil"/>
              <w:left w:val="nil"/>
              <w:bottom w:val="single" w:sz="4" w:space="0" w:color="auto"/>
              <w:right w:val="nil"/>
            </w:tcBorders>
            <w:shd w:val="clear" w:color="auto" w:fill="auto"/>
            <w:noWrap/>
            <w:vAlign w:val="center"/>
            <w:hideMark/>
          </w:tcPr>
          <w:p w14:paraId="22AF3BF1"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909</w:t>
            </w:r>
          </w:p>
        </w:tc>
        <w:tc>
          <w:tcPr>
            <w:tcW w:w="1065" w:type="dxa"/>
            <w:tcBorders>
              <w:top w:val="nil"/>
              <w:left w:val="nil"/>
              <w:bottom w:val="single" w:sz="4" w:space="0" w:color="auto"/>
              <w:right w:val="nil"/>
            </w:tcBorders>
            <w:shd w:val="clear" w:color="auto" w:fill="auto"/>
            <w:noWrap/>
            <w:vAlign w:val="bottom"/>
            <w:hideMark/>
          </w:tcPr>
          <w:p w14:paraId="379B6019"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 </w:t>
            </w:r>
          </w:p>
        </w:tc>
        <w:tc>
          <w:tcPr>
            <w:tcW w:w="1228" w:type="dxa"/>
            <w:tcBorders>
              <w:top w:val="nil"/>
              <w:left w:val="nil"/>
              <w:bottom w:val="single" w:sz="4" w:space="0" w:color="auto"/>
              <w:right w:val="nil"/>
            </w:tcBorders>
            <w:shd w:val="clear" w:color="auto" w:fill="auto"/>
            <w:noWrap/>
            <w:vAlign w:val="center"/>
            <w:hideMark/>
          </w:tcPr>
          <w:p w14:paraId="5EC266DD"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120.11</w:t>
            </w:r>
          </w:p>
        </w:tc>
        <w:tc>
          <w:tcPr>
            <w:tcW w:w="943" w:type="dxa"/>
            <w:tcBorders>
              <w:top w:val="nil"/>
              <w:left w:val="nil"/>
              <w:bottom w:val="single" w:sz="4" w:space="0" w:color="auto"/>
              <w:right w:val="nil"/>
            </w:tcBorders>
            <w:shd w:val="clear" w:color="auto" w:fill="auto"/>
            <w:noWrap/>
            <w:vAlign w:val="center"/>
            <w:hideMark/>
          </w:tcPr>
          <w:p w14:paraId="62F10692"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90.00</w:t>
            </w:r>
          </w:p>
        </w:tc>
        <w:tc>
          <w:tcPr>
            <w:tcW w:w="271" w:type="dxa"/>
            <w:tcBorders>
              <w:top w:val="nil"/>
              <w:left w:val="nil"/>
              <w:bottom w:val="single" w:sz="4" w:space="0" w:color="auto"/>
              <w:right w:val="nil"/>
            </w:tcBorders>
            <w:shd w:val="clear" w:color="auto" w:fill="auto"/>
            <w:noWrap/>
            <w:vAlign w:val="center"/>
            <w:hideMark/>
          </w:tcPr>
          <w:p w14:paraId="53960A85"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 </w:t>
            </w:r>
          </w:p>
        </w:tc>
        <w:tc>
          <w:tcPr>
            <w:tcW w:w="821" w:type="dxa"/>
            <w:tcBorders>
              <w:top w:val="nil"/>
              <w:left w:val="nil"/>
              <w:bottom w:val="single" w:sz="4" w:space="0" w:color="auto"/>
              <w:right w:val="nil"/>
            </w:tcBorders>
            <w:shd w:val="clear" w:color="auto" w:fill="auto"/>
            <w:noWrap/>
            <w:vAlign w:val="center"/>
            <w:hideMark/>
          </w:tcPr>
          <w:p w14:paraId="3E1E7758"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2518</w:t>
            </w:r>
          </w:p>
        </w:tc>
        <w:tc>
          <w:tcPr>
            <w:tcW w:w="754" w:type="dxa"/>
            <w:tcBorders>
              <w:top w:val="nil"/>
              <w:left w:val="nil"/>
              <w:bottom w:val="single" w:sz="4" w:space="0" w:color="auto"/>
              <w:right w:val="nil"/>
            </w:tcBorders>
            <w:shd w:val="clear" w:color="auto" w:fill="auto"/>
            <w:noWrap/>
            <w:vAlign w:val="center"/>
            <w:hideMark/>
          </w:tcPr>
          <w:p w14:paraId="31D53B71"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2.77</w:t>
            </w:r>
          </w:p>
        </w:tc>
        <w:tc>
          <w:tcPr>
            <w:tcW w:w="938" w:type="dxa"/>
            <w:gridSpan w:val="2"/>
            <w:tcBorders>
              <w:top w:val="nil"/>
              <w:left w:val="nil"/>
              <w:bottom w:val="single" w:sz="4" w:space="0" w:color="auto"/>
              <w:right w:val="nil"/>
            </w:tcBorders>
            <w:shd w:val="clear" w:color="auto" w:fill="auto"/>
            <w:noWrap/>
            <w:vAlign w:val="center"/>
            <w:hideMark/>
          </w:tcPr>
          <w:p w14:paraId="5C563B09"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3.00</w:t>
            </w:r>
          </w:p>
        </w:tc>
        <w:tc>
          <w:tcPr>
            <w:tcW w:w="520" w:type="dxa"/>
            <w:gridSpan w:val="2"/>
            <w:tcBorders>
              <w:top w:val="nil"/>
              <w:left w:val="nil"/>
              <w:bottom w:val="single" w:sz="4" w:space="0" w:color="auto"/>
              <w:right w:val="nil"/>
            </w:tcBorders>
            <w:shd w:val="clear" w:color="auto" w:fill="auto"/>
            <w:noWrap/>
            <w:vAlign w:val="center"/>
            <w:hideMark/>
          </w:tcPr>
          <w:p w14:paraId="7323B211"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 </w:t>
            </w:r>
          </w:p>
        </w:tc>
        <w:tc>
          <w:tcPr>
            <w:tcW w:w="998" w:type="dxa"/>
            <w:tcBorders>
              <w:top w:val="nil"/>
              <w:left w:val="nil"/>
              <w:bottom w:val="single" w:sz="4" w:space="0" w:color="auto"/>
              <w:right w:val="nil"/>
            </w:tcBorders>
            <w:shd w:val="clear" w:color="auto" w:fill="auto"/>
            <w:noWrap/>
            <w:vAlign w:val="center"/>
            <w:hideMark/>
          </w:tcPr>
          <w:p w14:paraId="3B73224C"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24205</w:t>
            </w:r>
          </w:p>
        </w:tc>
        <w:tc>
          <w:tcPr>
            <w:tcW w:w="754" w:type="dxa"/>
            <w:tcBorders>
              <w:top w:val="nil"/>
              <w:left w:val="nil"/>
              <w:bottom w:val="single" w:sz="4" w:space="0" w:color="auto"/>
              <w:right w:val="nil"/>
            </w:tcBorders>
            <w:shd w:val="clear" w:color="auto" w:fill="auto"/>
            <w:noWrap/>
            <w:vAlign w:val="center"/>
            <w:hideMark/>
          </w:tcPr>
          <w:p w14:paraId="4AF79BA5"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26.63</w:t>
            </w:r>
          </w:p>
        </w:tc>
        <w:tc>
          <w:tcPr>
            <w:tcW w:w="1136" w:type="dxa"/>
            <w:tcBorders>
              <w:top w:val="nil"/>
              <w:left w:val="nil"/>
              <w:bottom w:val="single" w:sz="4" w:space="0" w:color="auto"/>
              <w:right w:val="nil"/>
            </w:tcBorders>
            <w:shd w:val="clear" w:color="auto" w:fill="auto"/>
            <w:noWrap/>
            <w:vAlign w:val="center"/>
            <w:hideMark/>
          </w:tcPr>
          <w:p w14:paraId="181AE136" w14:textId="77777777" w:rsidR="00D94396" w:rsidRPr="00703A27" w:rsidRDefault="00D94396" w:rsidP="00583CE2">
            <w:pPr>
              <w:jc w:val="center"/>
              <w:rPr>
                <w:rFonts w:eastAsia="Times New Roman"/>
                <w:i/>
                <w:iCs/>
                <w:color w:val="000000"/>
                <w:sz w:val="20"/>
                <w:szCs w:val="20"/>
              </w:rPr>
            </w:pPr>
            <w:r w:rsidRPr="00703A27">
              <w:rPr>
                <w:rFonts w:eastAsia="Times New Roman"/>
                <w:i/>
                <w:iCs/>
                <w:color w:val="000000"/>
                <w:sz w:val="20"/>
                <w:szCs w:val="20"/>
              </w:rPr>
              <w:t>22.00</w:t>
            </w:r>
          </w:p>
        </w:tc>
      </w:tr>
      <w:tr w:rsidR="00D94396" w:rsidRPr="00C478C9" w14:paraId="5575553F" w14:textId="77777777" w:rsidTr="00FF50E3">
        <w:trPr>
          <w:trHeight w:val="300"/>
        </w:trPr>
        <w:tc>
          <w:tcPr>
            <w:tcW w:w="14317" w:type="dxa"/>
            <w:gridSpan w:val="17"/>
            <w:tcBorders>
              <w:top w:val="single" w:sz="4" w:space="0" w:color="auto"/>
              <w:left w:val="nil"/>
              <w:bottom w:val="single" w:sz="4" w:space="0" w:color="auto"/>
              <w:right w:val="nil"/>
            </w:tcBorders>
            <w:shd w:val="clear" w:color="auto" w:fill="auto"/>
            <w:noWrap/>
            <w:vAlign w:val="bottom"/>
          </w:tcPr>
          <w:p w14:paraId="2BCF9434" w14:textId="6295CDD9" w:rsidR="00D94396" w:rsidRPr="00283674" w:rsidRDefault="00D94396" w:rsidP="00FF50E3">
            <w:pPr>
              <w:ind w:firstLine="604"/>
              <w:jc w:val="both"/>
              <w:rPr>
                <w:rFonts w:eastAsia="Times New Roman"/>
                <w:iCs/>
                <w:color w:val="000000"/>
                <w:sz w:val="20"/>
                <w:szCs w:val="20"/>
              </w:rPr>
            </w:pPr>
            <w:r w:rsidRPr="00283674">
              <w:rPr>
                <w:rFonts w:eastAsia="Times New Roman"/>
                <w:iCs/>
                <w:color w:val="000000"/>
                <w:sz w:val="20"/>
                <w:szCs w:val="20"/>
              </w:rPr>
              <w:t xml:space="preserve">This table presents the descriptive statistics of three SEC review attributes including </w:t>
            </w:r>
            <w:r w:rsidR="00210988">
              <w:rPr>
                <w:rFonts w:eastAsia="Times New Roman"/>
                <w:i/>
                <w:iCs/>
                <w:color w:val="000000"/>
                <w:sz w:val="20"/>
                <w:szCs w:val="20"/>
              </w:rPr>
              <w:t>duration</w:t>
            </w:r>
            <w:r w:rsidRPr="00283674">
              <w:rPr>
                <w:rFonts w:eastAsia="Times New Roman"/>
                <w:iCs/>
                <w:color w:val="000000"/>
                <w:sz w:val="20"/>
                <w:szCs w:val="20"/>
              </w:rPr>
              <w:t xml:space="preserve">, </w:t>
            </w:r>
            <w:proofErr w:type="gramStart"/>
            <w:r w:rsidR="00210988">
              <w:rPr>
                <w:rFonts w:eastAsia="Times New Roman"/>
                <w:i/>
                <w:iCs/>
                <w:color w:val="000000"/>
                <w:sz w:val="20"/>
                <w:szCs w:val="20"/>
              </w:rPr>
              <w:t>letters</w:t>
            </w:r>
            <w:proofErr w:type="gramEnd"/>
            <w:r w:rsidRPr="00283674">
              <w:rPr>
                <w:rFonts w:eastAsia="Times New Roman"/>
                <w:iCs/>
                <w:color w:val="000000"/>
                <w:sz w:val="20"/>
                <w:szCs w:val="20"/>
              </w:rPr>
              <w:t xml:space="preserve"> and </w:t>
            </w:r>
            <w:r w:rsidR="00210988">
              <w:rPr>
                <w:rFonts w:eastAsia="Times New Roman"/>
                <w:i/>
                <w:iCs/>
                <w:color w:val="000000"/>
                <w:sz w:val="20"/>
                <w:szCs w:val="20"/>
              </w:rPr>
              <w:t>comments</w:t>
            </w:r>
            <w:r w:rsidRPr="00283674">
              <w:rPr>
                <w:rFonts w:eastAsia="Times New Roman"/>
                <w:iCs/>
                <w:color w:val="000000"/>
                <w:sz w:val="20"/>
                <w:szCs w:val="20"/>
              </w:rPr>
              <w:t xml:space="preserve">, for our full sample of 909 IPOs between 2005 and 2017. </w:t>
            </w:r>
            <w:r w:rsidR="00FF50E3">
              <w:rPr>
                <w:rFonts w:eastAsia="Times New Roman"/>
                <w:color w:val="000000"/>
                <w:sz w:val="20"/>
                <w:szCs w:val="20"/>
              </w:rPr>
              <w:t>All variables are defined in Appendix 1. Panel A present</w:t>
            </w:r>
            <w:r w:rsidR="00FF50E3" w:rsidRPr="00195130">
              <w:rPr>
                <w:rFonts w:eastAsia="Times New Roman"/>
                <w:color w:val="000000"/>
                <w:sz w:val="20"/>
                <w:szCs w:val="20"/>
              </w:rPr>
              <w:t xml:space="preserve"> the summary descriptive statistics of three SEC revi</w:t>
            </w:r>
            <w:r w:rsidR="00FF50E3">
              <w:rPr>
                <w:rFonts w:eastAsia="Times New Roman"/>
                <w:color w:val="000000"/>
                <w:sz w:val="20"/>
                <w:szCs w:val="20"/>
              </w:rPr>
              <w:t xml:space="preserve">ew attributes. </w:t>
            </w:r>
            <w:r w:rsidR="00FF50E3">
              <w:rPr>
                <w:rFonts w:eastAsia="Times New Roman"/>
                <w:iCs/>
                <w:color w:val="000000"/>
                <w:sz w:val="20"/>
                <w:szCs w:val="20"/>
              </w:rPr>
              <w:t>Panel B</w:t>
            </w:r>
            <w:r w:rsidRPr="00283674">
              <w:rPr>
                <w:rFonts w:eastAsia="Times New Roman"/>
                <w:iCs/>
                <w:color w:val="000000"/>
                <w:sz w:val="20"/>
                <w:szCs w:val="20"/>
              </w:rPr>
              <w:t xml:space="preserve"> presents the descriptive statistics of SEC review attributes by fi</w:t>
            </w:r>
            <w:r w:rsidR="00FF50E3">
              <w:rPr>
                <w:rFonts w:eastAsia="Times New Roman"/>
                <w:iCs/>
                <w:color w:val="000000"/>
                <w:sz w:val="20"/>
                <w:szCs w:val="20"/>
              </w:rPr>
              <w:t>ling year of S-1 filing. Panel C</w:t>
            </w:r>
            <w:r w:rsidRPr="00283674">
              <w:rPr>
                <w:rFonts w:eastAsia="Times New Roman"/>
                <w:iCs/>
                <w:color w:val="000000"/>
                <w:sz w:val="20"/>
                <w:szCs w:val="20"/>
              </w:rPr>
              <w:t xml:space="preserve"> presents the descriptive statistics of SEC review attributes by industry as classified </w:t>
            </w:r>
            <w:r w:rsidR="00FF50E3">
              <w:rPr>
                <w:rFonts w:eastAsia="Times New Roman"/>
                <w:iCs/>
                <w:color w:val="000000"/>
                <w:sz w:val="20"/>
                <w:szCs w:val="20"/>
              </w:rPr>
              <w:t xml:space="preserve">by two-digits SIC code. Panel D </w:t>
            </w:r>
            <w:r w:rsidRPr="00283674">
              <w:rPr>
                <w:rFonts w:eastAsia="Times New Roman"/>
                <w:iCs/>
                <w:color w:val="000000"/>
                <w:sz w:val="20"/>
                <w:szCs w:val="20"/>
              </w:rPr>
              <w:t>presents the descriptive statistics of SEC review attributes by exchange listings, includin</w:t>
            </w:r>
            <w:r w:rsidR="00FF50E3">
              <w:rPr>
                <w:rFonts w:eastAsia="Times New Roman"/>
                <w:iCs/>
                <w:color w:val="000000"/>
                <w:sz w:val="20"/>
                <w:szCs w:val="20"/>
              </w:rPr>
              <w:t xml:space="preserve">g AMEX, </w:t>
            </w:r>
            <w:proofErr w:type="gramStart"/>
            <w:r w:rsidR="00FF50E3">
              <w:rPr>
                <w:rFonts w:eastAsia="Times New Roman"/>
                <w:iCs/>
                <w:color w:val="000000"/>
                <w:sz w:val="20"/>
                <w:szCs w:val="20"/>
              </w:rPr>
              <w:t>NYSE</w:t>
            </w:r>
            <w:proofErr w:type="gramEnd"/>
            <w:r w:rsidR="00FF50E3">
              <w:rPr>
                <w:rFonts w:eastAsia="Times New Roman"/>
                <w:iCs/>
                <w:color w:val="000000"/>
                <w:sz w:val="20"/>
                <w:szCs w:val="20"/>
              </w:rPr>
              <w:t xml:space="preserve"> and NASDAQ. Panel E</w:t>
            </w:r>
            <w:r w:rsidRPr="00283674">
              <w:rPr>
                <w:rFonts w:eastAsia="Times New Roman"/>
                <w:iCs/>
                <w:color w:val="000000"/>
                <w:sz w:val="20"/>
                <w:szCs w:val="20"/>
              </w:rPr>
              <w:t xml:space="preserve"> presents the summary descriptive statistics of SEC review attributes by SEC reviewers. Reviewer is the person who signed on the SEC comment letters. Among 710 initial comment letters, 4 comment letters having no signature are not included in </w:t>
            </w:r>
            <w:proofErr w:type="gramStart"/>
            <w:r w:rsidRPr="00283674">
              <w:rPr>
                <w:rFonts w:eastAsia="Times New Roman"/>
                <w:iCs/>
                <w:color w:val="000000"/>
                <w:sz w:val="20"/>
                <w:szCs w:val="20"/>
              </w:rPr>
              <w:t>this</w:t>
            </w:r>
            <w:r w:rsidR="00FF50E3">
              <w:rPr>
                <w:rFonts w:eastAsia="Times New Roman"/>
                <w:iCs/>
                <w:color w:val="000000"/>
                <w:sz w:val="20"/>
                <w:szCs w:val="20"/>
              </w:rPr>
              <w:t xml:space="preserve"> descriptive statistics</w:t>
            </w:r>
            <w:proofErr w:type="gramEnd"/>
            <w:r w:rsidR="00FF50E3">
              <w:rPr>
                <w:rFonts w:eastAsia="Times New Roman"/>
                <w:iCs/>
                <w:color w:val="000000"/>
                <w:sz w:val="20"/>
                <w:szCs w:val="20"/>
              </w:rPr>
              <w:t>. Panel F</w:t>
            </w:r>
            <w:r w:rsidRPr="00283674">
              <w:rPr>
                <w:rFonts w:eastAsia="Times New Roman"/>
                <w:iCs/>
                <w:color w:val="000000"/>
                <w:sz w:val="20"/>
                <w:szCs w:val="20"/>
              </w:rPr>
              <w:t xml:space="preserve"> presents the descriptive statistics of SEC review attributes by offices of Division of Corporation Finance. </w:t>
            </w:r>
            <w:r w:rsidRPr="00283674">
              <w:rPr>
                <w:sz w:val="20"/>
                <w:szCs w:val="20"/>
              </w:rPr>
              <w:t xml:space="preserve"> </w:t>
            </w:r>
            <w:r w:rsidRPr="00283674">
              <w:rPr>
                <w:rFonts w:eastAsia="Times New Roman"/>
                <w:iCs/>
                <w:color w:val="000000"/>
                <w:sz w:val="20"/>
                <w:szCs w:val="20"/>
              </w:rPr>
              <w:t>Office by company is collected basing on the 4-digits SIC codes as presented on EDGAR database, SIC code &amp; office list from SEC (</w:t>
            </w:r>
            <w:hyperlink r:id="rId13" w:history="1">
              <w:r w:rsidR="00210988" w:rsidRPr="003F72BB">
                <w:rPr>
                  <w:rStyle w:val="Hyperlink"/>
                  <w:rFonts w:eastAsia="Times New Roman"/>
                  <w:iCs/>
                  <w:sz w:val="20"/>
                  <w:szCs w:val="20"/>
                </w:rPr>
                <w:t>https://www.sec.gov/info/edgar/siccodes.htm?fbclid=IwAR05YInQ45LdvKZX1AJRrg-RQUG8p91Jz4wpn7EEBF13Ak4U2NSW_CC8hPo</w:t>
              </w:r>
            </w:hyperlink>
            <w:r w:rsidR="00210988">
              <w:rPr>
                <w:rFonts w:eastAsia="Times New Roman"/>
                <w:iCs/>
                <w:color w:val="000000"/>
                <w:sz w:val="20"/>
                <w:szCs w:val="20"/>
              </w:rPr>
              <w:t xml:space="preserve">) </w:t>
            </w:r>
            <w:r w:rsidRPr="00283674">
              <w:rPr>
                <w:rFonts w:eastAsia="Times New Roman"/>
                <w:iCs/>
                <w:color w:val="000000"/>
                <w:sz w:val="20"/>
                <w:szCs w:val="20"/>
              </w:rPr>
              <w:t>and name of the offices from SEC (</w:t>
            </w:r>
            <w:hyperlink r:id="rId14" w:history="1">
              <w:r w:rsidR="00210988" w:rsidRPr="003F72BB">
                <w:rPr>
                  <w:rStyle w:val="Hyperlink"/>
                  <w:rFonts w:eastAsia="Times New Roman"/>
                  <w:iCs/>
                  <w:sz w:val="20"/>
                  <w:szCs w:val="20"/>
                </w:rPr>
                <w:t>https://www.sec.gov/divisions/corpfin/ad-lookup.shtm</w:t>
              </w:r>
            </w:hyperlink>
            <w:r w:rsidRPr="00283674">
              <w:rPr>
                <w:rFonts w:eastAsia="Times New Roman"/>
                <w:iCs/>
                <w:color w:val="000000"/>
                <w:sz w:val="20"/>
                <w:szCs w:val="20"/>
              </w:rPr>
              <w:t>)</w:t>
            </w:r>
            <w:r w:rsidR="00210988">
              <w:rPr>
                <w:rFonts w:eastAsia="Times New Roman"/>
                <w:iCs/>
                <w:color w:val="000000"/>
                <w:sz w:val="20"/>
                <w:szCs w:val="20"/>
              </w:rPr>
              <w:t xml:space="preserve">. </w:t>
            </w:r>
          </w:p>
        </w:tc>
      </w:tr>
    </w:tbl>
    <w:p w14:paraId="378D9BC0" w14:textId="77777777" w:rsidR="00D94396" w:rsidRDefault="00D94396" w:rsidP="00F91520">
      <w:pPr>
        <w:pStyle w:val="Heading1"/>
        <w:rPr>
          <w:rFonts w:ascii="Times New Roman" w:hAnsi="Times New Roman" w:cs="Times New Roman"/>
          <w:b/>
          <w:color w:val="000000" w:themeColor="text1"/>
          <w:sz w:val="24"/>
          <w:szCs w:val="24"/>
          <w:lang w:eastAsia="en-US"/>
        </w:rPr>
        <w:sectPr w:rsidR="00D94396" w:rsidSect="004404BE">
          <w:headerReference w:type="default" r:id="rId15"/>
          <w:footerReference w:type="default" r:id="rId16"/>
          <w:pgSz w:w="16838" w:h="11906" w:orient="landscape"/>
          <w:pgMar w:top="1276" w:right="1440" w:bottom="1418" w:left="1440" w:header="708" w:footer="708" w:gutter="0"/>
          <w:cols w:space="708"/>
          <w:docGrid w:linePitch="360"/>
        </w:sectPr>
      </w:pPr>
    </w:p>
    <w:p w14:paraId="3116DC7B" w14:textId="6BA7D0FE" w:rsidR="008625CE" w:rsidRPr="00F47976" w:rsidRDefault="00F47976" w:rsidP="00F47976">
      <w:pPr>
        <w:pStyle w:val="Caption"/>
        <w:rPr>
          <w:b/>
          <w:i w:val="0"/>
          <w:color w:val="000000" w:themeColor="text1"/>
          <w:sz w:val="24"/>
          <w:szCs w:val="24"/>
        </w:rPr>
      </w:pPr>
      <w:bookmarkStart w:id="54" w:name="_Toc7375494"/>
      <w:r w:rsidRPr="00F47976">
        <w:rPr>
          <w:b/>
          <w:i w:val="0"/>
          <w:color w:val="000000" w:themeColor="text1"/>
          <w:sz w:val="24"/>
          <w:szCs w:val="24"/>
        </w:rPr>
        <w:lastRenderedPageBreak/>
        <w:t xml:space="preserve">Table </w:t>
      </w:r>
      <w:r w:rsidR="00174399">
        <w:rPr>
          <w:b/>
          <w:i w:val="0"/>
          <w:color w:val="000000" w:themeColor="text1"/>
          <w:sz w:val="24"/>
          <w:szCs w:val="24"/>
        </w:rPr>
        <w:t>5</w:t>
      </w:r>
      <w:r w:rsidRPr="00F47976">
        <w:rPr>
          <w:b/>
          <w:i w:val="0"/>
          <w:color w:val="000000" w:themeColor="text1"/>
          <w:sz w:val="24"/>
          <w:szCs w:val="24"/>
        </w:rPr>
        <w:t>. Descriptive statistics of determinants of the SEC review</w:t>
      </w:r>
      <w:bookmarkEnd w:id="54"/>
      <w:r w:rsidR="003876B9" w:rsidRPr="00F47976">
        <w:rPr>
          <w:b/>
          <w:i w:val="0"/>
          <w:color w:val="000000" w:themeColor="text1"/>
          <w:sz w:val="24"/>
          <w:szCs w:val="24"/>
        </w:rPr>
        <w:t xml:space="preserve"> </w:t>
      </w:r>
    </w:p>
    <w:p w14:paraId="34269CEC" w14:textId="172E6BA9" w:rsidR="0001092B" w:rsidRDefault="0001092B" w:rsidP="003876B9">
      <w:pPr>
        <w:rPr>
          <w:lang w:eastAsia="en-US"/>
        </w:rPr>
      </w:pPr>
    </w:p>
    <w:p w14:paraId="6EE52442" w14:textId="68893922" w:rsidR="0001092B" w:rsidRDefault="00BD1672" w:rsidP="003876B9">
      <w:pPr>
        <w:rPr>
          <w:lang w:eastAsia="en-US"/>
        </w:rPr>
      </w:pPr>
      <w:r w:rsidRPr="00BD1672">
        <w:rPr>
          <w:noProof/>
        </w:rPr>
        <w:drawing>
          <wp:inline distT="0" distB="0" distL="0" distR="0" wp14:anchorId="3EA1BF71" wp14:editId="249C69C6">
            <wp:extent cx="8862060" cy="50118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6970"/>
                    <a:stretch/>
                  </pic:blipFill>
                  <pic:spPr bwMode="auto">
                    <a:xfrm>
                      <a:off x="0" y="0"/>
                      <a:ext cx="8864698" cy="5013295"/>
                    </a:xfrm>
                    <a:prstGeom prst="rect">
                      <a:avLst/>
                    </a:prstGeom>
                    <a:noFill/>
                    <a:ln>
                      <a:noFill/>
                    </a:ln>
                    <a:extLst>
                      <a:ext uri="{53640926-AAD7-44D8-BBD7-CCE9431645EC}">
                        <a14:shadowObscured xmlns:a14="http://schemas.microsoft.com/office/drawing/2010/main"/>
                      </a:ext>
                    </a:extLst>
                  </pic:spPr>
                </pic:pic>
              </a:graphicData>
            </a:graphic>
          </wp:inline>
        </w:drawing>
      </w:r>
    </w:p>
    <w:p w14:paraId="22DFC230" w14:textId="77E0073B" w:rsidR="0001092B" w:rsidRDefault="0001092B" w:rsidP="003876B9">
      <w:pPr>
        <w:rPr>
          <w:lang w:eastAsia="en-US"/>
        </w:rPr>
      </w:pPr>
    </w:p>
    <w:p w14:paraId="688259A4" w14:textId="6218D379" w:rsidR="0001092B" w:rsidRDefault="0001092B" w:rsidP="003876B9">
      <w:pPr>
        <w:rPr>
          <w:lang w:eastAsia="en-US"/>
        </w:rPr>
      </w:pPr>
    </w:p>
    <w:p w14:paraId="6D75A604" w14:textId="1D561C1A" w:rsidR="0001092B" w:rsidRDefault="0001092B" w:rsidP="003876B9">
      <w:pPr>
        <w:rPr>
          <w:lang w:eastAsia="en-US"/>
        </w:rPr>
      </w:pPr>
    </w:p>
    <w:p w14:paraId="3D13FDF9" w14:textId="16B4620A" w:rsidR="00F47976" w:rsidRDefault="00F47976" w:rsidP="00F47976">
      <w:pPr>
        <w:pStyle w:val="Caption"/>
        <w:rPr>
          <w:b/>
          <w:i w:val="0"/>
          <w:color w:val="000000" w:themeColor="text1"/>
          <w:sz w:val="24"/>
          <w:szCs w:val="24"/>
        </w:rPr>
      </w:pPr>
      <w:bookmarkStart w:id="55" w:name="_Toc7375495"/>
      <w:r w:rsidRPr="00F47976">
        <w:rPr>
          <w:b/>
          <w:i w:val="0"/>
          <w:color w:val="000000" w:themeColor="text1"/>
          <w:sz w:val="24"/>
          <w:szCs w:val="24"/>
        </w:rPr>
        <w:t xml:space="preserve">Table </w:t>
      </w:r>
      <w:r w:rsidR="00174399">
        <w:rPr>
          <w:b/>
          <w:i w:val="0"/>
          <w:color w:val="000000" w:themeColor="text1"/>
          <w:sz w:val="24"/>
          <w:szCs w:val="24"/>
        </w:rPr>
        <w:t>6</w:t>
      </w:r>
      <w:r w:rsidRPr="00F47976">
        <w:rPr>
          <w:b/>
          <w:i w:val="0"/>
          <w:color w:val="000000" w:themeColor="text1"/>
          <w:sz w:val="24"/>
          <w:szCs w:val="24"/>
        </w:rPr>
        <w:t>. Pearson correlation matrix of SEC review attributes and their determinants</w:t>
      </w:r>
      <w:bookmarkEnd w:id="55"/>
    </w:p>
    <w:p w14:paraId="59D7225A" w14:textId="00043939" w:rsidR="0001092B" w:rsidRPr="00806E7C" w:rsidRDefault="00BD1672" w:rsidP="00F47976">
      <w:pPr>
        <w:pStyle w:val="Caption"/>
        <w:rPr>
          <w:sz w:val="22"/>
          <w:szCs w:val="22"/>
        </w:rPr>
      </w:pPr>
      <w:r w:rsidRPr="00BD1672">
        <w:rPr>
          <w:noProof/>
        </w:rPr>
        <w:drawing>
          <wp:inline distT="0" distB="0" distL="0" distR="0" wp14:anchorId="2BFA690A" wp14:editId="1FE1098F">
            <wp:extent cx="6848475" cy="524276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60756" cy="5252163"/>
                    </a:xfrm>
                    <a:prstGeom prst="rect">
                      <a:avLst/>
                    </a:prstGeom>
                    <a:noFill/>
                    <a:ln>
                      <a:noFill/>
                    </a:ln>
                  </pic:spPr>
                </pic:pic>
              </a:graphicData>
            </a:graphic>
          </wp:inline>
        </w:drawing>
      </w:r>
    </w:p>
    <w:p w14:paraId="21CC1612" w14:textId="70ECB0C8" w:rsidR="0001092B" w:rsidRPr="00F47976" w:rsidRDefault="00F47976" w:rsidP="00F47976">
      <w:pPr>
        <w:pStyle w:val="Caption"/>
        <w:keepNext/>
        <w:rPr>
          <w:b/>
          <w:i w:val="0"/>
          <w:sz w:val="24"/>
          <w:szCs w:val="24"/>
        </w:rPr>
      </w:pPr>
      <w:bookmarkStart w:id="56" w:name="_Toc7375496"/>
      <w:r w:rsidRPr="00F47976">
        <w:rPr>
          <w:b/>
          <w:i w:val="0"/>
          <w:color w:val="000000" w:themeColor="text1"/>
          <w:sz w:val="24"/>
          <w:szCs w:val="24"/>
        </w:rPr>
        <w:lastRenderedPageBreak/>
        <w:t xml:space="preserve">Table </w:t>
      </w:r>
      <w:r w:rsidR="00174399">
        <w:rPr>
          <w:b/>
          <w:i w:val="0"/>
          <w:color w:val="000000" w:themeColor="text1"/>
          <w:sz w:val="24"/>
          <w:szCs w:val="24"/>
        </w:rPr>
        <w:t>7</w:t>
      </w:r>
      <w:r w:rsidRPr="00F47976">
        <w:rPr>
          <w:b/>
          <w:i w:val="0"/>
          <w:color w:val="000000" w:themeColor="text1"/>
          <w:sz w:val="24"/>
          <w:szCs w:val="24"/>
        </w:rPr>
        <w:t>. Impact of IPO firms’ characteristics on the SEC review attribute</w:t>
      </w:r>
      <w:bookmarkEnd w:id="56"/>
      <w:r w:rsidR="0001092B">
        <w:rPr>
          <w:b/>
          <w:i w:val="0"/>
          <w:sz w:val="24"/>
          <w:szCs w:val="24"/>
          <w:lang w:eastAsia="en-US"/>
        </w:rPr>
        <w:fldChar w:fldCharType="begin"/>
      </w:r>
      <w:r w:rsidR="0001092B" w:rsidRPr="00F47976">
        <w:rPr>
          <w:b/>
          <w:i w:val="0"/>
          <w:sz w:val="24"/>
          <w:szCs w:val="24"/>
          <w:lang w:eastAsia="en-US"/>
        </w:rPr>
        <w:instrText xml:space="preserve"> LINK </w:instrText>
      </w:r>
      <w:r w:rsidR="00E06724">
        <w:rPr>
          <w:b/>
          <w:i w:val="0"/>
          <w:sz w:val="24"/>
          <w:szCs w:val="24"/>
          <w:lang w:eastAsia="en-US"/>
        </w:rPr>
        <w:instrText xml:space="preserve">Excel.Sheet.12 "E:\\PhD journey\\Descriptive statistics\\writing\\Descriptive statistics_SEC review attributes (edited).xlsx" "Summary IPO firm charac.!R3C1:R66C17" </w:instrText>
      </w:r>
      <w:r w:rsidR="0001092B" w:rsidRPr="00F47976">
        <w:rPr>
          <w:b/>
          <w:i w:val="0"/>
          <w:sz w:val="24"/>
          <w:szCs w:val="24"/>
          <w:lang w:eastAsia="en-US"/>
        </w:rPr>
        <w:instrText xml:space="preserve">\a \f 4 \h </w:instrText>
      </w:r>
      <w:r w:rsidR="0001092B">
        <w:rPr>
          <w:b/>
          <w:i w:val="0"/>
          <w:sz w:val="24"/>
          <w:szCs w:val="24"/>
          <w:lang w:eastAsia="en-US"/>
        </w:rPr>
        <w:fldChar w:fldCharType="separate"/>
      </w:r>
    </w:p>
    <w:tbl>
      <w:tblPr>
        <w:tblW w:w="13958" w:type="dxa"/>
        <w:tblLook w:val="04A0" w:firstRow="1" w:lastRow="0" w:firstColumn="1" w:lastColumn="0" w:noHBand="0" w:noVBand="1"/>
      </w:tblPr>
      <w:tblGrid>
        <w:gridCol w:w="1514"/>
        <w:gridCol w:w="607"/>
        <w:gridCol w:w="626"/>
        <w:gridCol w:w="626"/>
        <w:gridCol w:w="835"/>
        <w:gridCol w:w="266"/>
        <w:gridCol w:w="985"/>
        <w:gridCol w:w="1203"/>
        <w:gridCol w:w="591"/>
        <w:gridCol w:w="969"/>
        <w:gridCol w:w="469"/>
        <w:gridCol w:w="469"/>
        <w:gridCol w:w="602"/>
        <w:gridCol w:w="1256"/>
        <w:gridCol w:w="842"/>
        <w:gridCol w:w="951"/>
        <w:gridCol w:w="1147"/>
      </w:tblGrid>
      <w:tr w:rsidR="0001092B" w:rsidRPr="0001092B" w14:paraId="0DC5101C" w14:textId="77777777" w:rsidTr="0001092B">
        <w:trPr>
          <w:trHeight w:val="300"/>
        </w:trPr>
        <w:tc>
          <w:tcPr>
            <w:tcW w:w="13958" w:type="dxa"/>
            <w:gridSpan w:val="17"/>
            <w:tcBorders>
              <w:top w:val="single" w:sz="8" w:space="0" w:color="auto"/>
              <w:left w:val="nil"/>
              <w:bottom w:val="nil"/>
              <w:right w:val="nil"/>
            </w:tcBorders>
            <w:shd w:val="clear" w:color="auto" w:fill="auto"/>
            <w:noWrap/>
            <w:vAlign w:val="center"/>
            <w:hideMark/>
          </w:tcPr>
          <w:p w14:paraId="6E74B15C" w14:textId="7B3E583D" w:rsidR="0001092B" w:rsidRPr="0001092B" w:rsidRDefault="0001092B">
            <w:pPr>
              <w:rPr>
                <w:rFonts w:eastAsia="Times New Roman"/>
                <w:b/>
                <w:bCs/>
                <w:color w:val="000000"/>
                <w:sz w:val="22"/>
                <w:szCs w:val="22"/>
              </w:rPr>
            </w:pPr>
            <w:r w:rsidRPr="0001092B">
              <w:rPr>
                <w:rFonts w:eastAsia="Times New Roman"/>
                <w:b/>
                <w:bCs/>
                <w:color w:val="000000"/>
                <w:sz w:val="22"/>
                <w:szCs w:val="22"/>
              </w:rPr>
              <w:t>Panel A. Descriptive statistics of SEC review attributes by restructuring activities</w:t>
            </w:r>
          </w:p>
        </w:tc>
      </w:tr>
      <w:tr w:rsidR="0001092B" w:rsidRPr="0001092B" w14:paraId="6E387BCD" w14:textId="77777777" w:rsidTr="00794DBA">
        <w:trPr>
          <w:trHeight w:val="315"/>
        </w:trPr>
        <w:tc>
          <w:tcPr>
            <w:tcW w:w="1514" w:type="dxa"/>
            <w:tcBorders>
              <w:top w:val="nil"/>
              <w:left w:val="nil"/>
              <w:bottom w:val="nil"/>
              <w:right w:val="nil"/>
            </w:tcBorders>
            <w:shd w:val="clear" w:color="auto" w:fill="auto"/>
            <w:vAlign w:val="bottom"/>
            <w:hideMark/>
          </w:tcPr>
          <w:p w14:paraId="5C07B50C" w14:textId="77777777" w:rsidR="0001092B" w:rsidRPr="0001092B" w:rsidRDefault="0001092B" w:rsidP="0001092B">
            <w:pP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2EB97403"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1BA46B16"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vAlign w:val="bottom"/>
            <w:hideMark/>
          </w:tcPr>
          <w:p w14:paraId="0DACF639" w14:textId="77777777" w:rsidR="0001092B" w:rsidRPr="0001092B" w:rsidRDefault="0001092B" w:rsidP="0001092B">
            <w:pPr>
              <w:rPr>
                <w:rFonts w:eastAsia="Times New Roman"/>
                <w:sz w:val="20"/>
                <w:szCs w:val="20"/>
              </w:rPr>
            </w:pPr>
          </w:p>
        </w:tc>
        <w:tc>
          <w:tcPr>
            <w:tcW w:w="835" w:type="dxa"/>
            <w:tcBorders>
              <w:top w:val="nil"/>
              <w:left w:val="nil"/>
              <w:bottom w:val="single" w:sz="8" w:space="0" w:color="auto"/>
              <w:right w:val="nil"/>
            </w:tcBorders>
            <w:shd w:val="clear" w:color="auto" w:fill="auto"/>
            <w:vAlign w:val="center"/>
            <w:hideMark/>
          </w:tcPr>
          <w:p w14:paraId="3F6EAA45"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N</w:t>
            </w:r>
          </w:p>
        </w:tc>
        <w:tc>
          <w:tcPr>
            <w:tcW w:w="266" w:type="dxa"/>
            <w:tcBorders>
              <w:top w:val="nil"/>
              <w:left w:val="nil"/>
              <w:bottom w:val="nil"/>
              <w:right w:val="nil"/>
            </w:tcBorders>
            <w:shd w:val="clear" w:color="auto" w:fill="auto"/>
            <w:noWrap/>
            <w:vAlign w:val="bottom"/>
            <w:hideMark/>
          </w:tcPr>
          <w:p w14:paraId="1386F070" w14:textId="77777777" w:rsidR="0001092B" w:rsidRPr="0001092B" w:rsidRDefault="0001092B" w:rsidP="0001092B">
            <w:pPr>
              <w:jc w:val="center"/>
              <w:rPr>
                <w:rFonts w:eastAsia="Times New Roman"/>
                <w:b/>
                <w:bCs/>
                <w:color w:val="000000"/>
                <w:sz w:val="22"/>
                <w:szCs w:val="22"/>
              </w:rPr>
            </w:pPr>
          </w:p>
        </w:tc>
        <w:tc>
          <w:tcPr>
            <w:tcW w:w="2188" w:type="dxa"/>
            <w:gridSpan w:val="2"/>
            <w:tcBorders>
              <w:top w:val="nil"/>
              <w:left w:val="nil"/>
              <w:bottom w:val="single" w:sz="8" w:space="0" w:color="auto"/>
              <w:right w:val="nil"/>
            </w:tcBorders>
            <w:shd w:val="clear" w:color="auto" w:fill="auto"/>
            <w:vAlign w:val="center"/>
            <w:hideMark/>
          </w:tcPr>
          <w:p w14:paraId="3AC2A439"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Duration</w:t>
            </w:r>
          </w:p>
        </w:tc>
        <w:tc>
          <w:tcPr>
            <w:tcW w:w="591" w:type="dxa"/>
            <w:tcBorders>
              <w:top w:val="nil"/>
              <w:left w:val="nil"/>
              <w:bottom w:val="nil"/>
              <w:right w:val="nil"/>
            </w:tcBorders>
            <w:shd w:val="clear" w:color="auto" w:fill="auto"/>
            <w:vAlign w:val="bottom"/>
            <w:hideMark/>
          </w:tcPr>
          <w:p w14:paraId="5822E6A3" w14:textId="77777777" w:rsidR="0001092B" w:rsidRPr="0001092B" w:rsidRDefault="0001092B" w:rsidP="0001092B">
            <w:pPr>
              <w:jc w:val="center"/>
              <w:rPr>
                <w:rFonts w:eastAsia="Times New Roman"/>
                <w:b/>
                <w:bCs/>
                <w:color w:val="000000"/>
                <w:sz w:val="22"/>
                <w:szCs w:val="22"/>
              </w:rPr>
            </w:pPr>
          </w:p>
        </w:tc>
        <w:tc>
          <w:tcPr>
            <w:tcW w:w="1907" w:type="dxa"/>
            <w:gridSpan w:val="3"/>
            <w:tcBorders>
              <w:top w:val="nil"/>
              <w:left w:val="nil"/>
              <w:bottom w:val="single" w:sz="8" w:space="0" w:color="auto"/>
              <w:right w:val="nil"/>
            </w:tcBorders>
            <w:shd w:val="clear" w:color="auto" w:fill="auto"/>
            <w:vAlign w:val="center"/>
            <w:hideMark/>
          </w:tcPr>
          <w:p w14:paraId="4DF6E371"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Letters</w:t>
            </w:r>
          </w:p>
        </w:tc>
        <w:tc>
          <w:tcPr>
            <w:tcW w:w="602" w:type="dxa"/>
            <w:tcBorders>
              <w:top w:val="nil"/>
              <w:left w:val="nil"/>
              <w:bottom w:val="nil"/>
              <w:right w:val="nil"/>
            </w:tcBorders>
            <w:shd w:val="clear" w:color="auto" w:fill="auto"/>
            <w:noWrap/>
            <w:vAlign w:val="bottom"/>
            <w:hideMark/>
          </w:tcPr>
          <w:p w14:paraId="138032EE" w14:textId="77777777" w:rsidR="0001092B" w:rsidRPr="0001092B" w:rsidRDefault="0001092B" w:rsidP="0001092B">
            <w:pPr>
              <w:jc w:val="center"/>
              <w:rPr>
                <w:rFonts w:eastAsia="Times New Roman"/>
                <w:b/>
                <w:bCs/>
                <w:color w:val="000000"/>
                <w:sz w:val="22"/>
                <w:szCs w:val="22"/>
              </w:rPr>
            </w:pPr>
          </w:p>
        </w:tc>
        <w:tc>
          <w:tcPr>
            <w:tcW w:w="4196" w:type="dxa"/>
            <w:gridSpan w:val="4"/>
            <w:tcBorders>
              <w:top w:val="nil"/>
              <w:left w:val="nil"/>
              <w:bottom w:val="single" w:sz="8" w:space="0" w:color="auto"/>
              <w:right w:val="nil"/>
            </w:tcBorders>
            <w:shd w:val="clear" w:color="auto" w:fill="auto"/>
            <w:vAlign w:val="center"/>
            <w:hideMark/>
          </w:tcPr>
          <w:p w14:paraId="382E95E0"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Comments</w:t>
            </w:r>
          </w:p>
        </w:tc>
      </w:tr>
      <w:tr w:rsidR="0001092B" w:rsidRPr="0001092B" w14:paraId="137E41D4" w14:textId="77777777" w:rsidTr="00794DBA">
        <w:trPr>
          <w:trHeight w:val="585"/>
        </w:trPr>
        <w:tc>
          <w:tcPr>
            <w:tcW w:w="1514" w:type="dxa"/>
            <w:tcBorders>
              <w:top w:val="nil"/>
              <w:left w:val="nil"/>
              <w:bottom w:val="nil"/>
              <w:right w:val="nil"/>
            </w:tcBorders>
            <w:shd w:val="clear" w:color="auto" w:fill="auto"/>
            <w:vAlign w:val="bottom"/>
            <w:hideMark/>
          </w:tcPr>
          <w:p w14:paraId="07F267FA" w14:textId="77777777" w:rsidR="0001092B" w:rsidRPr="0001092B" w:rsidRDefault="0001092B" w:rsidP="0001092B">
            <w:pPr>
              <w:jc w:val="cente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798BA913"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7DE23423"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vAlign w:val="bottom"/>
            <w:hideMark/>
          </w:tcPr>
          <w:p w14:paraId="69F714D4" w14:textId="77777777" w:rsidR="0001092B" w:rsidRPr="0001092B" w:rsidRDefault="0001092B" w:rsidP="0001092B">
            <w:pPr>
              <w:rPr>
                <w:rFonts w:eastAsia="Times New Roman"/>
                <w:sz w:val="20"/>
                <w:szCs w:val="20"/>
              </w:rPr>
            </w:pPr>
          </w:p>
        </w:tc>
        <w:tc>
          <w:tcPr>
            <w:tcW w:w="835" w:type="dxa"/>
            <w:tcBorders>
              <w:top w:val="nil"/>
              <w:left w:val="nil"/>
              <w:bottom w:val="nil"/>
              <w:right w:val="nil"/>
            </w:tcBorders>
            <w:shd w:val="clear" w:color="auto" w:fill="auto"/>
            <w:vAlign w:val="bottom"/>
            <w:hideMark/>
          </w:tcPr>
          <w:p w14:paraId="46E6FB6E" w14:textId="77777777" w:rsidR="0001092B" w:rsidRPr="0001092B" w:rsidRDefault="0001092B" w:rsidP="0001092B">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264892D0" w14:textId="77777777" w:rsidR="0001092B" w:rsidRPr="0001092B" w:rsidRDefault="0001092B" w:rsidP="0001092B">
            <w:pPr>
              <w:rPr>
                <w:rFonts w:eastAsia="Times New Roman"/>
                <w:sz w:val="20"/>
                <w:szCs w:val="20"/>
              </w:rPr>
            </w:pPr>
          </w:p>
        </w:tc>
        <w:tc>
          <w:tcPr>
            <w:tcW w:w="985" w:type="dxa"/>
            <w:tcBorders>
              <w:top w:val="nil"/>
              <w:left w:val="nil"/>
              <w:bottom w:val="single" w:sz="8" w:space="0" w:color="auto"/>
              <w:right w:val="nil"/>
            </w:tcBorders>
            <w:shd w:val="clear" w:color="auto" w:fill="auto"/>
            <w:vAlign w:val="center"/>
            <w:hideMark/>
          </w:tcPr>
          <w:p w14:paraId="493505F6"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Mean</w:t>
            </w:r>
          </w:p>
        </w:tc>
        <w:tc>
          <w:tcPr>
            <w:tcW w:w="1203" w:type="dxa"/>
            <w:tcBorders>
              <w:top w:val="nil"/>
              <w:left w:val="nil"/>
              <w:bottom w:val="single" w:sz="8" w:space="0" w:color="auto"/>
              <w:right w:val="nil"/>
            </w:tcBorders>
            <w:shd w:val="clear" w:color="auto" w:fill="auto"/>
            <w:vAlign w:val="center"/>
            <w:hideMark/>
          </w:tcPr>
          <w:p w14:paraId="12328463"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Median</w:t>
            </w:r>
          </w:p>
        </w:tc>
        <w:tc>
          <w:tcPr>
            <w:tcW w:w="591" w:type="dxa"/>
            <w:tcBorders>
              <w:top w:val="nil"/>
              <w:left w:val="nil"/>
              <w:bottom w:val="nil"/>
              <w:right w:val="nil"/>
            </w:tcBorders>
            <w:shd w:val="clear" w:color="auto" w:fill="auto"/>
            <w:vAlign w:val="bottom"/>
            <w:hideMark/>
          </w:tcPr>
          <w:p w14:paraId="370D9186" w14:textId="77777777" w:rsidR="0001092B" w:rsidRPr="0001092B" w:rsidRDefault="0001092B" w:rsidP="0001092B">
            <w:pPr>
              <w:jc w:val="center"/>
              <w:rPr>
                <w:rFonts w:eastAsia="Times New Roman"/>
                <w:b/>
                <w:bCs/>
                <w:color w:val="000000"/>
                <w:sz w:val="22"/>
                <w:szCs w:val="22"/>
              </w:rPr>
            </w:pPr>
          </w:p>
        </w:tc>
        <w:tc>
          <w:tcPr>
            <w:tcW w:w="969" w:type="dxa"/>
            <w:tcBorders>
              <w:top w:val="nil"/>
              <w:left w:val="nil"/>
              <w:bottom w:val="single" w:sz="8" w:space="0" w:color="auto"/>
              <w:right w:val="nil"/>
            </w:tcBorders>
            <w:shd w:val="clear" w:color="auto" w:fill="auto"/>
            <w:vAlign w:val="center"/>
            <w:hideMark/>
          </w:tcPr>
          <w:p w14:paraId="1E948711"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Mean</w:t>
            </w:r>
          </w:p>
        </w:tc>
        <w:tc>
          <w:tcPr>
            <w:tcW w:w="938" w:type="dxa"/>
            <w:gridSpan w:val="2"/>
            <w:tcBorders>
              <w:top w:val="single" w:sz="8" w:space="0" w:color="auto"/>
              <w:left w:val="nil"/>
              <w:bottom w:val="single" w:sz="8" w:space="0" w:color="auto"/>
              <w:right w:val="nil"/>
            </w:tcBorders>
            <w:shd w:val="clear" w:color="auto" w:fill="auto"/>
            <w:vAlign w:val="center"/>
            <w:hideMark/>
          </w:tcPr>
          <w:p w14:paraId="430E524B"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Median</w:t>
            </w:r>
          </w:p>
        </w:tc>
        <w:tc>
          <w:tcPr>
            <w:tcW w:w="602" w:type="dxa"/>
            <w:tcBorders>
              <w:top w:val="nil"/>
              <w:left w:val="nil"/>
              <w:bottom w:val="nil"/>
              <w:right w:val="nil"/>
            </w:tcBorders>
            <w:shd w:val="clear" w:color="auto" w:fill="auto"/>
            <w:noWrap/>
            <w:vAlign w:val="bottom"/>
            <w:hideMark/>
          </w:tcPr>
          <w:p w14:paraId="1777ED27" w14:textId="77777777" w:rsidR="0001092B" w:rsidRPr="0001092B" w:rsidRDefault="0001092B" w:rsidP="0001092B">
            <w:pPr>
              <w:jc w:val="center"/>
              <w:rPr>
                <w:rFonts w:eastAsia="Times New Roman"/>
                <w:b/>
                <w:bCs/>
                <w:color w:val="000000"/>
                <w:sz w:val="22"/>
                <w:szCs w:val="22"/>
              </w:rPr>
            </w:pPr>
          </w:p>
        </w:tc>
        <w:tc>
          <w:tcPr>
            <w:tcW w:w="1256" w:type="dxa"/>
            <w:tcBorders>
              <w:top w:val="nil"/>
              <w:left w:val="nil"/>
              <w:bottom w:val="single" w:sz="8" w:space="0" w:color="auto"/>
              <w:right w:val="nil"/>
            </w:tcBorders>
            <w:shd w:val="clear" w:color="auto" w:fill="auto"/>
            <w:vAlign w:val="center"/>
            <w:hideMark/>
          </w:tcPr>
          <w:p w14:paraId="6ED1A5D7"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Mean</w:t>
            </w:r>
          </w:p>
        </w:tc>
        <w:tc>
          <w:tcPr>
            <w:tcW w:w="2940" w:type="dxa"/>
            <w:gridSpan w:val="3"/>
            <w:tcBorders>
              <w:top w:val="single" w:sz="8" w:space="0" w:color="auto"/>
              <w:left w:val="nil"/>
              <w:bottom w:val="single" w:sz="8" w:space="0" w:color="auto"/>
              <w:right w:val="nil"/>
            </w:tcBorders>
            <w:shd w:val="clear" w:color="auto" w:fill="auto"/>
            <w:vAlign w:val="center"/>
            <w:hideMark/>
          </w:tcPr>
          <w:p w14:paraId="7BD41D8A"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Median</w:t>
            </w:r>
          </w:p>
        </w:tc>
      </w:tr>
      <w:tr w:rsidR="0001092B" w:rsidRPr="0001092B" w14:paraId="45B17231"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6DB01DE2"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Restructuring = 0</w:t>
            </w:r>
          </w:p>
        </w:tc>
        <w:tc>
          <w:tcPr>
            <w:tcW w:w="626" w:type="dxa"/>
            <w:tcBorders>
              <w:top w:val="nil"/>
              <w:left w:val="nil"/>
              <w:bottom w:val="nil"/>
              <w:right w:val="nil"/>
            </w:tcBorders>
            <w:shd w:val="clear" w:color="auto" w:fill="auto"/>
            <w:noWrap/>
            <w:vAlign w:val="center"/>
            <w:hideMark/>
          </w:tcPr>
          <w:p w14:paraId="187745F7" w14:textId="77777777" w:rsidR="0001092B" w:rsidRPr="0001092B" w:rsidRDefault="0001092B" w:rsidP="0001092B">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32C3C6B5"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813</w:t>
            </w:r>
          </w:p>
        </w:tc>
        <w:tc>
          <w:tcPr>
            <w:tcW w:w="266" w:type="dxa"/>
            <w:tcBorders>
              <w:top w:val="nil"/>
              <w:left w:val="nil"/>
              <w:bottom w:val="nil"/>
              <w:right w:val="nil"/>
            </w:tcBorders>
            <w:shd w:val="clear" w:color="auto" w:fill="auto"/>
            <w:noWrap/>
            <w:vAlign w:val="bottom"/>
            <w:hideMark/>
          </w:tcPr>
          <w:p w14:paraId="1BAAED84" w14:textId="77777777" w:rsidR="0001092B" w:rsidRPr="0001092B" w:rsidRDefault="0001092B" w:rsidP="0001092B">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076699AD"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118</w:t>
            </w:r>
          </w:p>
        </w:tc>
        <w:tc>
          <w:tcPr>
            <w:tcW w:w="1203" w:type="dxa"/>
            <w:tcBorders>
              <w:top w:val="nil"/>
              <w:left w:val="nil"/>
              <w:bottom w:val="nil"/>
              <w:right w:val="nil"/>
            </w:tcBorders>
            <w:shd w:val="clear" w:color="auto" w:fill="auto"/>
            <w:noWrap/>
            <w:vAlign w:val="center"/>
            <w:hideMark/>
          </w:tcPr>
          <w:p w14:paraId="06224895"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90</w:t>
            </w:r>
          </w:p>
        </w:tc>
        <w:tc>
          <w:tcPr>
            <w:tcW w:w="591" w:type="dxa"/>
            <w:tcBorders>
              <w:top w:val="nil"/>
              <w:left w:val="nil"/>
              <w:bottom w:val="nil"/>
              <w:right w:val="nil"/>
            </w:tcBorders>
            <w:shd w:val="clear" w:color="auto" w:fill="auto"/>
            <w:noWrap/>
            <w:vAlign w:val="center"/>
            <w:hideMark/>
          </w:tcPr>
          <w:p w14:paraId="6C474196" w14:textId="77777777" w:rsidR="0001092B" w:rsidRPr="0001092B" w:rsidRDefault="0001092B" w:rsidP="0001092B">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04ABFFF2"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2.71</w:t>
            </w:r>
          </w:p>
        </w:tc>
        <w:tc>
          <w:tcPr>
            <w:tcW w:w="938" w:type="dxa"/>
            <w:gridSpan w:val="2"/>
            <w:tcBorders>
              <w:top w:val="single" w:sz="8" w:space="0" w:color="auto"/>
              <w:left w:val="nil"/>
              <w:bottom w:val="nil"/>
              <w:right w:val="nil"/>
            </w:tcBorders>
            <w:shd w:val="clear" w:color="auto" w:fill="auto"/>
            <w:noWrap/>
            <w:vAlign w:val="center"/>
            <w:hideMark/>
          </w:tcPr>
          <w:p w14:paraId="5586A27B"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bottom"/>
            <w:hideMark/>
          </w:tcPr>
          <w:p w14:paraId="29143209" w14:textId="77777777" w:rsidR="0001092B" w:rsidRPr="0001092B" w:rsidRDefault="0001092B" w:rsidP="0001092B">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06D04596"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26.22</w:t>
            </w:r>
          </w:p>
        </w:tc>
        <w:tc>
          <w:tcPr>
            <w:tcW w:w="2940" w:type="dxa"/>
            <w:gridSpan w:val="3"/>
            <w:tcBorders>
              <w:top w:val="single" w:sz="8" w:space="0" w:color="auto"/>
              <w:left w:val="nil"/>
              <w:bottom w:val="nil"/>
              <w:right w:val="nil"/>
            </w:tcBorders>
            <w:shd w:val="clear" w:color="auto" w:fill="auto"/>
            <w:noWrap/>
            <w:vAlign w:val="center"/>
            <w:hideMark/>
          </w:tcPr>
          <w:p w14:paraId="7F0A3573"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21</w:t>
            </w:r>
          </w:p>
        </w:tc>
      </w:tr>
      <w:tr w:rsidR="0001092B" w:rsidRPr="0001092B" w14:paraId="6EC6F0E8"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43768D8E"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Restructuring = 1</w:t>
            </w:r>
          </w:p>
        </w:tc>
        <w:tc>
          <w:tcPr>
            <w:tcW w:w="626" w:type="dxa"/>
            <w:tcBorders>
              <w:top w:val="nil"/>
              <w:left w:val="nil"/>
              <w:bottom w:val="nil"/>
              <w:right w:val="nil"/>
            </w:tcBorders>
            <w:shd w:val="clear" w:color="auto" w:fill="auto"/>
            <w:noWrap/>
            <w:vAlign w:val="center"/>
            <w:hideMark/>
          </w:tcPr>
          <w:p w14:paraId="36214C90" w14:textId="77777777" w:rsidR="0001092B" w:rsidRPr="0001092B" w:rsidRDefault="0001092B" w:rsidP="0001092B">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36831132"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96</w:t>
            </w:r>
          </w:p>
        </w:tc>
        <w:tc>
          <w:tcPr>
            <w:tcW w:w="266" w:type="dxa"/>
            <w:tcBorders>
              <w:top w:val="nil"/>
              <w:left w:val="nil"/>
              <w:bottom w:val="nil"/>
              <w:right w:val="nil"/>
            </w:tcBorders>
            <w:shd w:val="clear" w:color="auto" w:fill="auto"/>
            <w:noWrap/>
            <w:vAlign w:val="bottom"/>
            <w:hideMark/>
          </w:tcPr>
          <w:p w14:paraId="5D377FAF" w14:textId="77777777" w:rsidR="0001092B" w:rsidRPr="0001092B" w:rsidRDefault="0001092B" w:rsidP="0001092B">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352A3238"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138.4</w:t>
            </w:r>
          </w:p>
        </w:tc>
        <w:tc>
          <w:tcPr>
            <w:tcW w:w="1203" w:type="dxa"/>
            <w:tcBorders>
              <w:top w:val="nil"/>
              <w:left w:val="nil"/>
              <w:bottom w:val="nil"/>
              <w:right w:val="nil"/>
            </w:tcBorders>
            <w:shd w:val="clear" w:color="auto" w:fill="auto"/>
            <w:noWrap/>
            <w:vAlign w:val="center"/>
            <w:hideMark/>
          </w:tcPr>
          <w:p w14:paraId="2ED5596C"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91</w:t>
            </w:r>
          </w:p>
        </w:tc>
        <w:tc>
          <w:tcPr>
            <w:tcW w:w="591" w:type="dxa"/>
            <w:tcBorders>
              <w:top w:val="nil"/>
              <w:left w:val="nil"/>
              <w:bottom w:val="nil"/>
              <w:right w:val="nil"/>
            </w:tcBorders>
            <w:shd w:val="clear" w:color="auto" w:fill="auto"/>
            <w:noWrap/>
            <w:vAlign w:val="center"/>
            <w:hideMark/>
          </w:tcPr>
          <w:p w14:paraId="49D45E39" w14:textId="77777777" w:rsidR="0001092B" w:rsidRPr="0001092B" w:rsidRDefault="0001092B" w:rsidP="0001092B">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732F9050"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3.28</w:t>
            </w:r>
          </w:p>
        </w:tc>
        <w:tc>
          <w:tcPr>
            <w:tcW w:w="938" w:type="dxa"/>
            <w:gridSpan w:val="2"/>
            <w:tcBorders>
              <w:top w:val="nil"/>
              <w:left w:val="nil"/>
              <w:bottom w:val="nil"/>
              <w:right w:val="nil"/>
            </w:tcBorders>
            <w:shd w:val="clear" w:color="auto" w:fill="auto"/>
            <w:noWrap/>
            <w:vAlign w:val="center"/>
            <w:hideMark/>
          </w:tcPr>
          <w:p w14:paraId="02C04494"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bottom"/>
            <w:hideMark/>
          </w:tcPr>
          <w:p w14:paraId="25138A74" w14:textId="77777777" w:rsidR="0001092B" w:rsidRPr="0001092B" w:rsidRDefault="0001092B" w:rsidP="0001092B">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79B34FD1"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30.03</w:t>
            </w:r>
          </w:p>
        </w:tc>
        <w:tc>
          <w:tcPr>
            <w:tcW w:w="2940" w:type="dxa"/>
            <w:gridSpan w:val="3"/>
            <w:tcBorders>
              <w:top w:val="nil"/>
              <w:left w:val="nil"/>
              <w:bottom w:val="nil"/>
              <w:right w:val="nil"/>
            </w:tcBorders>
            <w:shd w:val="clear" w:color="auto" w:fill="auto"/>
            <w:noWrap/>
            <w:vAlign w:val="center"/>
            <w:hideMark/>
          </w:tcPr>
          <w:p w14:paraId="6F0A074C"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28.5</w:t>
            </w:r>
          </w:p>
        </w:tc>
      </w:tr>
      <w:tr w:rsidR="0001092B" w:rsidRPr="0001092B" w14:paraId="5E5EB29A" w14:textId="77777777" w:rsidTr="00794DBA">
        <w:trPr>
          <w:trHeight w:val="615"/>
        </w:trPr>
        <w:tc>
          <w:tcPr>
            <w:tcW w:w="2747" w:type="dxa"/>
            <w:gridSpan w:val="3"/>
            <w:tcBorders>
              <w:top w:val="nil"/>
              <w:left w:val="nil"/>
              <w:bottom w:val="nil"/>
              <w:right w:val="nil"/>
            </w:tcBorders>
            <w:shd w:val="clear" w:color="auto" w:fill="auto"/>
            <w:vAlign w:val="center"/>
            <w:hideMark/>
          </w:tcPr>
          <w:p w14:paraId="6114EFB0"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t test (mean)/</w:t>
            </w:r>
            <w:r w:rsidRPr="0001092B">
              <w:rPr>
                <w:rFonts w:eastAsia="Times New Roman"/>
                <w:color w:val="000000"/>
              </w:rPr>
              <w:t xml:space="preserve"> </w:t>
            </w:r>
            <w:r w:rsidRPr="0001092B">
              <w:rPr>
                <w:rFonts w:eastAsia="Times New Roman"/>
                <w:color w:val="000000"/>
                <w:sz w:val="22"/>
                <w:szCs w:val="22"/>
              </w:rPr>
              <w:t>Wilcoxon rank-sum test (median)</w:t>
            </w:r>
          </w:p>
        </w:tc>
        <w:tc>
          <w:tcPr>
            <w:tcW w:w="626" w:type="dxa"/>
            <w:tcBorders>
              <w:top w:val="nil"/>
              <w:left w:val="nil"/>
              <w:bottom w:val="nil"/>
              <w:right w:val="nil"/>
            </w:tcBorders>
            <w:shd w:val="clear" w:color="auto" w:fill="auto"/>
            <w:noWrap/>
            <w:vAlign w:val="center"/>
            <w:hideMark/>
          </w:tcPr>
          <w:p w14:paraId="7B3C1311" w14:textId="77777777" w:rsidR="0001092B" w:rsidRPr="0001092B" w:rsidRDefault="0001092B" w:rsidP="0001092B">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4AB4751A" w14:textId="77777777" w:rsidR="0001092B" w:rsidRPr="0001092B" w:rsidRDefault="0001092B" w:rsidP="0001092B">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07FD3F17" w14:textId="77777777" w:rsidR="0001092B" w:rsidRPr="0001092B" w:rsidRDefault="0001092B" w:rsidP="0001092B">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196A0443"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0.16</w:t>
            </w:r>
          </w:p>
        </w:tc>
        <w:tc>
          <w:tcPr>
            <w:tcW w:w="1203" w:type="dxa"/>
            <w:tcBorders>
              <w:top w:val="nil"/>
              <w:left w:val="nil"/>
              <w:bottom w:val="nil"/>
              <w:right w:val="nil"/>
            </w:tcBorders>
            <w:shd w:val="clear" w:color="auto" w:fill="auto"/>
            <w:noWrap/>
            <w:vAlign w:val="center"/>
            <w:hideMark/>
          </w:tcPr>
          <w:p w14:paraId="13324CF1"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0.45</w:t>
            </w:r>
          </w:p>
        </w:tc>
        <w:tc>
          <w:tcPr>
            <w:tcW w:w="591" w:type="dxa"/>
            <w:tcBorders>
              <w:top w:val="nil"/>
              <w:left w:val="nil"/>
              <w:bottom w:val="nil"/>
              <w:right w:val="nil"/>
            </w:tcBorders>
            <w:shd w:val="clear" w:color="auto" w:fill="auto"/>
            <w:noWrap/>
            <w:vAlign w:val="center"/>
            <w:hideMark/>
          </w:tcPr>
          <w:p w14:paraId="0BBE81C9" w14:textId="77777777" w:rsidR="0001092B" w:rsidRPr="0001092B" w:rsidRDefault="0001092B" w:rsidP="0001092B">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2685B365"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0.01</w:t>
            </w:r>
          </w:p>
        </w:tc>
        <w:tc>
          <w:tcPr>
            <w:tcW w:w="938" w:type="dxa"/>
            <w:gridSpan w:val="2"/>
            <w:tcBorders>
              <w:top w:val="nil"/>
              <w:left w:val="nil"/>
              <w:bottom w:val="nil"/>
              <w:right w:val="nil"/>
            </w:tcBorders>
            <w:shd w:val="clear" w:color="auto" w:fill="auto"/>
            <w:noWrap/>
            <w:vAlign w:val="center"/>
            <w:hideMark/>
          </w:tcPr>
          <w:p w14:paraId="723FE615"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0.01</w:t>
            </w:r>
          </w:p>
        </w:tc>
        <w:tc>
          <w:tcPr>
            <w:tcW w:w="602" w:type="dxa"/>
            <w:tcBorders>
              <w:top w:val="nil"/>
              <w:left w:val="nil"/>
              <w:bottom w:val="nil"/>
              <w:right w:val="nil"/>
            </w:tcBorders>
            <w:shd w:val="clear" w:color="auto" w:fill="auto"/>
            <w:noWrap/>
            <w:vAlign w:val="bottom"/>
            <w:hideMark/>
          </w:tcPr>
          <w:p w14:paraId="186A9CE8" w14:textId="77777777" w:rsidR="0001092B" w:rsidRPr="0001092B" w:rsidRDefault="0001092B" w:rsidP="0001092B">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4D122BB3"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0.18</w:t>
            </w:r>
          </w:p>
        </w:tc>
        <w:tc>
          <w:tcPr>
            <w:tcW w:w="2940" w:type="dxa"/>
            <w:gridSpan w:val="3"/>
            <w:tcBorders>
              <w:top w:val="nil"/>
              <w:left w:val="nil"/>
              <w:bottom w:val="nil"/>
              <w:right w:val="nil"/>
            </w:tcBorders>
            <w:shd w:val="clear" w:color="auto" w:fill="auto"/>
            <w:noWrap/>
            <w:vAlign w:val="center"/>
            <w:hideMark/>
          </w:tcPr>
          <w:p w14:paraId="4D234D70"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0.16</w:t>
            </w:r>
          </w:p>
        </w:tc>
      </w:tr>
      <w:tr w:rsidR="0001092B" w:rsidRPr="0001092B" w14:paraId="7CD7CE77" w14:textId="77777777" w:rsidTr="00794DBA">
        <w:trPr>
          <w:trHeight w:val="315"/>
        </w:trPr>
        <w:tc>
          <w:tcPr>
            <w:tcW w:w="2747" w:type="dxa"/>
            <w:gridSpan w:val="3"/>
            <w:tcBorders>
              <w:top w:val="nil"/>
              <w:left w:val="nil"/>
              <w:bottom w:val="single" w:sz="8" w:space="0" w:color="auto"/>
              <w:right w:val="nil"/>
            </w:tcBorders>
            <w:shd w:val="clear" w:color="auto" w:fill="auto"/>
            <w:noWrap/>
            <w:vAlign w:val="center"/>
            <w:hideMark/>
          </w:tcPr>
          <w:p w14:paraId="71F6B3E1"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Total</w:t>
            </w:r>
          </w:p>
        </w:tc>
        <w:tc>
          <w:tcPr>
            <w:tcW w:w="626" w:type="dxa"/>
            <w:tcBorders>
              <w:top w:val="nil"/>
              <w:left w:val="nil"/>
              <w:bottom w:val="single" w:sz="8" w:space="0" w:color="auto"/>
              <w:right w:val="nil"/>
            </w:tcBorders>
            <w:shd w:val="clear" w:color="auto" w:fill="auto"/>
            <w:noWrap/>
            <w:vAlign w:val="center"/>
            <w:hideMark/>
          </w:tcPr>
          <w:p w14:paraId="205FBB32"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 </w:t>
            </w:r>
          </w:p>
        </w:tc>
        <w:tc>
          <w:tcPr>
            <w:tcW w:w="835" w:type="dxa"/>
            <w:tcBorders>
              <w:top w:val="nil"/>
              <w:left w:val="nil"/>
              <w:bottom w:val="single" w:sz="8" w:space="0" w:color="auto"/>
              <w:right w:val="nil"/>
            </w:tcBorders>
            <w:shd w:val="clear" w:color="auto" w:fill="auto"/>
            <w:noWrap/>
            <w:vAlign w:val="center"/>
            <w:hideMark/>
          </w:tcPr>
          <w:p w14:paraId="139D3BC4"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909</w:t>
            </w:r>
          </w:p>
        </w:tc>
        <w:tc>
          <w:tcPr>
            <w:tcW w:w="266" w:type="dxa"/>
            <w:tcBorders>
              <w:top w:val="nil"/>
              <w:left w:val="nil"/>
              <w:bottom w:val="single" w:sz="8" w:space="0" w:color="auto"/>
              <w:right w:val="nil"/>
            </w:tcBorders>
            <w:shd w:val="clear" w:color="auto" w:fill="auto"/>
            <w:noWrap/>
            <w:vAlign w:val="bottom"/>
            <w:hideMark/>
          </w:tcPr>
          <w:p w14:paraId="120A9670" w14:textId="77777777" w:rsidR="0001092B" w:rsidRPr="0001092B" w:rsidRDefault="0001092B" w:rsidP="0001092B">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85" w:type="dxa"/>
            <w:tcBorders>
              <w:top w:val="nil"/>
              <w:left w:val="nil"/>
              <w:bottom w:val="single" w:sz="8" w:space="0" w:color="auto"/>
              <w:right w:val="nil"/>
            </w:tcBorders>
            <w:shd w:val="clear" w:color="auto" w:fill="auto"/>
            <w:noWrap/>
            <w:vAlign w:val="center"/>
            <w:hideMark/>
          </w:tcPr>
          <w:p w14:paraId="3B39FE0F"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120.1</w:t>
            </w:r>
          </w:p>
        </w:tc>
        <w:tc>
          <w:tcPr>
            <w:tcW w:w="1203" w:type="dxa"/>
            <w:tcBorders>
              <w:top w:val="nil"/>
              <w:left w:val="nil"/>
              <w:bottom w:val="single" w:sz="8" w:space="0" w:color="auto"/>
              <w:right w:val="nil"/>
            </w:tcBorders>
            <w:shd w:val="clear" w:color="auto" w:fill="auto"/>
            <w:noWrap/>
            <w:vAlign w:val="center"/>
            <w:hideMark/>
          </w:tcPr>
          <w:p w14:paraId="3AD46835"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90</w:t>
            </w:r>
          </w:p>
        </w:tc>
        <w:tc>
          <w:tcPr>
            <w:tcW w:w="591" w:type="dxa"/>
            <w:tcBorders>
              <w:top w:val="nil"/>
              <w:left w:val="nil"/>
              <w:bottom w:val="single" w:sz="8" w:space="0" w:color="auto"/>
              <w:right w:val="nil"/>
            </w:tcBorders>
            <w:shd w:val="clear" w:color="auto" w:fill="auto"/>
            <w:noWrap/>
            <w:vAlign w:val="center"/>
            <w:hideMark/>
          </w:tcPr>
          <w:p w14:paraId="01AE7C2B" w14:textId="77777777" w:rsidR="0001092B" w:rsidRPr="0001092B" w:rsidRDefault="0001092B" w:rsidP="0001092B">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69" w:type="dxa"/>
            <w:tcBorders>
              <w:top w:val="nil"/>
              <w:left w:val="nil"/>
              <w:bottom w:val="single" w:sz="8" w:space="0" w:color="auto"/>
              <w:right w:val="nil"/>
            </w:tcBorders>
            <w:shd w:val="clear" w:color="auto" w:fill="auto"/>
            <w:noWrap/>
            <w:vAlign w:val="center"/>
            <w:hideMark/>
          </w:tcPr>
          <w:p w14:paraId="1DDE38F7"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2.77</w:t>
            </w:r>
          </w:p>
        </w:tc>
        <w:tc>
          <w:tcPr>
            <w:tcW w:w="938" w:type="dxa"/>
            <w:gridSpan w:val="2"/>
            <w:tcBorders>
              <w:top w:val="nil"/>
              <w:left w:val="nil"/>
              <w:bottom w:val="single" w:sz="8" w:space="0" w:color="auto"/>
              <w:right w:val="nil"/>
            </w:tcBorders>
            <w:shd w:val="clear" w:color="auto" w:fill="auto"/>
            <w:noWrap/>
            <w:vAlign w:val="center"/>
            <w:hideMark/>
          </w:tcPr>
          <w:p w14:paraId="713C302D"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single" w:sz="8" w:space="0" w:color="auto"/>
              <w:right w:val="nil"/>
            </w:tcBorders>
            <w:shd w:val="clear" w:color="auto" w:fill="auto"/>
            <w:noWrap/>
            <w:vAlign w:val="bottom"/>
            <w:hideMark/>
          </w:tcPr>
          <w:p w14:paraId="2D111407" w14:textId="77777777" w:rsidR="0001092B" w:rsidRPr="0001092B" w:rsidRDefault="0001092B" w:rsidP="0001092B">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1256" w:type="dxa"/>
            <w:tcBorders>
              <w:top w:val="nil"/>
              <w:left w:val="nil"/>
              <w:bottom w:val="single" w:sz="8" w:space="0" w:color="auto"/>
              <w:right w:val="nil"/>
            </w:tcBorders>
            <w:shd w:val="clear" w:color="auto" w:fill="auto"/>
            <w:noWrap/>
            <w:vAlign w:val="center"/>
            <w:hideMark/>
          </w:tcPr>
          <w:p w14:paraId="033A16C1"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26.63</w:t>
            </w:r>
          </w:p>
        </w:tc>
        <w:tc>
          <w:tcPr>
            <w:tcW w:w="2940" w:type="dxa"/>
            <w:gridSpan w:val="3"/>
            <w:tcBorders>
              <w:top w:val="nil"/>
              <w:left w:val="nil"/>
              <w:bottom w:val="single" w:sz="8" w:space="0" w:color="auto"/>
              <w:right w:val="nil"/>
            </w:tcBorders>
            <w:shd w:val="clear" w:color="auto" w:fill="auto"/>
            <w:noWrap/>
            <w:vAlign w:val="center"/>
            <w:hideMark/>
          </w:tcPr>
          <w:p w14:paraId="6687A528"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22</w:t>
            </w:r>
          </w:p>
        </w:tc>
      </w:tr>
      <w:tr w:rsidR="0001092B" w:rsidRPr="0001092B" w14:paraId="00EE418C" w14:textId="77777777" w:rsidTr="00794DBA">
        <w:trPr>
          <w:trHeight w:val="300"/>
        </w:trPr>
        <w:tc>
          <w:tcPr>
            <w:tcW w:w="2747" w:type="dxa"/>
            <w:gridSpan w:val="3"/>
            <w:tcBorders>
              <w:top w:val="single" w:sz="8" w:space="0" w:color="auto"/>
              <w:left w:val="nil"/>
              <w:bottom w:val="nil"/>
              <w:right w:val="nil"/>
            </w:tcBorders>
            <w:shd w:val="clear" w:color="auto" w:fill="auto"/>
            <w:noWrap/>
            <w:vAlign w:val="center"/>
            <w:hideMark/>
          </w:tcPr>
          <w:p w14:paraId="7E18A164"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 </w:t>
            </w:r>
          </w:p>
        </w:tc>
        <w:tc>
          <w:tcPr>
            <w:tcW w:w="626" w:type="dxa"/>
            <w:tcBorders>
              <w:top w:val="nil"/>
              <w:left w:val="nil"/>
              <w:bottom w:val="nil"/>
              <w:right w:val="nil"/>
            </w:tcBorders>
            <w:shd w:val="clear" w:color="auto" w:fill="auto"/>
            <w:noWrap/>
            <w:vAlign w:val="center"/>
            <w:hideMark/>
          </w:tcPr>
          <w:p w14:paraId="11F46467" w14:textId="77777777" w:rsidR="0001092B" w:rsidRPr="0001092B" w:rsidRDefault="0001092B" w:rsidP="0001092B">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67BC8C9F" w14:textId="77777777" w:rsidR="0001092B" w:rsidRPr="0001092B" w:rsidRDefault="0001092B" w:rsidP="0001092B">
            <w:pPr>
              <w:rPr>
                <w:rFonts w:eastAsia="Times New Roman"/>
                <w:sz w:val="20"/>
                <w:szCs w:val="20"/>
              </w:rPr>
            </w:pPr>
          </w:p>
        </w:tc>
        <w:tc>
          <w:tcPr>
            <w:tcW w:w="266" w:type="dxa"/>
            <w:tcBorders>
              <w:top w:val="nil"/>
              <w:left w:val="nil"/>
              <w:bottom w:val="nil"/>
              <w:right w:val="nil"/>
            </w:tcBorders>
            <w:shd w:val="clear" w:color="auto" w:fill="auto"/>
            <w:noWrap/>
            <w:vAlign w:val="center"/>
            <w:hideMark/>
          </w:tcPr>
          <w:p w14:paraId="476B9B5C" w14:textId="77777777" w:rsidR="0001092B" w:rsidRPr="0001092B" w:rsidRDefault="0001092B" w:rsidP="0001092B">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0633EBF9" w14:textId="77777777" w:rsidR="0001092B" w:rsidRPr="0001092B" w:rsidRDefault="0001092B" w:rsidP="0001092B">
            <w:pPr>
              <w:rPr>
                <w:rFonts w:eastAsia="Times New Roman"/>
                <w:sz w:val="20"/>
                <w:szCs w:val="20"/>
              </w:rPr>
            </w:pPr>
          </w:p>
        </w:tc>
        <w:tc>
          <w:tcPr>
            <w:tcW w:w="1203" w:type="dxa"/>
            <w:tcBorders>
              <w:top w:val="nil"/>
              <w:left w:val="nil"/>
              <w:bottom w:val="nil"/>
              <w:right w:val="nil"/>
            </w:tcBorders>
            <w:shd w:val="clear" w:color="auto" w:fill="auto"/>
            <w:noWrap/>
            <w:vAlign w:val="center"/>
            <w:hideMark/>
          </w:tcPr>
          <w:p w14:paraId="10F050E1" w14:textId="77777777" w:rsidR="0001092B" w:rsidRPr="0001092B" w:rsidRDefault="0001092B" w:rsidP="0001092B">
            <w:pPr>
              <w:rPr>
                <w:rFonts w:eastAsia="Times New Roman"/>
                <w:sz w:val="20"/>
                <w:szCs w:val="20"/>
              </w:rPr>
            </w:pPr>
          </w:p>
        </w:tc>
        <w:tc>
          <w:tcPr>
            <w:tcW w:w="591" w:type="dxa"/>
            <w:tcBorders>
              <w:top w:val="nil"/>
              <w:left w:val="nil"/>
              <w:bottom w:val="nil"/>
              <w:right w:val="nil"/>
            </w:tcBorders>
            <w:shd w:val="clear" w:color="auto" w:fill="auto"/>
            <w:noWrap/>
            <w:vAlign w:val="center"/>
            <w:hideMark/>
          </w:tcPr>
          <w:p w14:paraId="6E5B7BA9" w14:textId="77777777" w:rsidR="0001092B" w:rsidRPr="0001092B" w:rsidRDefault="0001092B" w:rsidP="0001092B">
            <w:pPr>
              <w:rPr>
                <w:rFonts w:eastAsia="Times New Roman"/>
                <w:sz w:val="20"/>
                <w:szCs w:val="20"/>
              </w:rPr>
            </w:pPr>
          </w:p>
        </w:tc>
        <w:tc>
          <w:tcPr>
            <w:tcW w:w="969" w:type="dxa"/>
            <w:tcBorders>
              <w:top w:val="nil"/>
              <w:left w:val="nil"/>
              <w:bottom w:val="nil"/>
              <w:right w:val="nil"/>
            </w:tcBorders>
            <w:shd w:val="clear" w:color="auto" w:fill="auto"/>
            <w:noWrap/>
            <w:vAlign w:val="center"/>
            <w:hideMark/>
          </w:tcPr>
          <w:p w14:paraId="46A3FDE0" w14:textId="77777777" w:rsidR="0001092B" w:rsidRPr="0001092B" w:rsidRDefault="0001092B" w:rsidP="0001092B">
            <w:pPr>
              <w:rPr>
                <w:rFonts w:eastAsia="Times New Roman"/>
                <w:sz w:val="20"/>
                <w:szCs w:val="20"/>
              </w:rPr>
            </w:pPr>
          </w:p>
        </w:tc>
        <w:tc>
          <w:tcPr>
            <w:tcW w:w="938" w:type="dxa"/>
            <w:gridSpan w:val="2"/>
            <w:tcBorders>
              <w:top w:val="single" w:sz="8" w:space="0" w:color="auto"/>
              <w:left w:val="nil"/>
              <w:bottom w:val="nil"/>
              <w:right w:val="nil"/>
            </w:tcBorders>
            <w:shd w:val="clear" w:color="auto" w:fill="auto"/>
            <w:noWrap/>
            <w:vAlign w:val="center"/>
            <w:hideMark/>
          </w:tcPr>
          <w:p w14:paraId="1C4F6167"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 </w:t>
            </w:r>
          </w:p>
        </w:tc>
        <w:tc>
          <w:tcPr>
            <w:tcW w:w="602" w:type="dxa"/>
            <w:tcBorders>
              <w:top w:val="nil"/>
              <w:left w:val="nil"/>
              <w:bottom w:val="nil"/>
              <w:right w:val="nil"/>
            </w:tcBorders>
            <w:shd w:val="clear" w:color="auto" w:fill="auto"/>
            <w:noWrap/>
            <w:vAlign w:val="center"/>
            <w:hideMark/>
          </w:tcPr>
          <w:p w14:paraId="2C587CE4" w14:textId="77777777" w:rsidR="0001092B" w:rsidRPr="0001092B" w:rsidRDefault="0001092B" w:rsidP="0001092B">
            <w:pP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59BC13D0" w14:textId="77777777" w:rsidR="0001092B" w:rsidRPr="0001092B" w:rsidRDefault="0001092B" w:rsidP="0001092B">
            <w:pPr>
              <w:rPr>
                <w:rFonts w:eastAsia="Times New Roman"/>
                <w:sz w:val="20"/>
                <w:szCs w:val="20"/>
              </w:rPr>
            </w:pPr>
          </w:p>
        </w:tc>
        <w:tc>
          <w:tcPr>
            <w:tcW w:w="2940" w:type="dxa"/>
            <w:gridSpan w:val="3"/>
            <w:tcBorders>
              <w:top w:val="single" w:sz="8" w:space="0" w:color="auto"/>
              <w:left w:val="nil"/>
              <w:bottom w:val="nil"/>
              <w:right w:val="nil"/>
            </w:tcBorders>
            <w:shd w:val="clear" w:color="auto" w:fill="auto"/>
            <w:noWrap/>
            <w:vAlign w:val="center"/>
            <w:hideMark/>
          </w:tcPr>
          <w:p w14:paraId="1F50FC5D" w14:textId="77777777" w:rsidR="0001092B" w:rsidRPr="0001092B" w:rsidRDefault="0001092B" w:rsidP="0001092B">
            <w:pPr>
              <w:rPr>
                <w:rFonts w:eastAsia="Times New Roman"/>
                <w:color w:val="000000"/>
                <w:sz w:val="22"/>
                <w:szCs w:val="22"/>
              </w:rPr>
            </w:pPr>
            <w:r w:rsidRPr="0001092B">
              <w:rPr>
                <w:rFonts w:eastAsia="Times New Roman"/>
                <w:color w:val="000000"/>
                <w:sz w:val="22"/>
                <w:szCs w:val="22"/>
              </w:rPr>
              <w:t> </w:t>
            </w:r>
          </w:p>
        </w:tc>
      </w:tr>
      <w:tr w:rsidR="0001092B" w:rsidRPr="0001092B" w14:paraId="16D60CCE" w14:textId="77777777" w:rsidTr="0001092B">
        <w:trPr>
          <w:trHeight w:val="300"/>
        </w:trPr>
        <w:tc>
          <w:tcPr>
            <w:tcW w:w="13958" w:type="dxa"/>
            <w:gridSpan w:val="17"/>
            <w:tcBorders>
              <w:top w:val="nil"/>
              <w:left w:val="nil"/>
              <w:bottom w:val="nil"/>
              <w:right w:val="nil"/>
            </w:tcBorders>
            <w:shd w:val="clear" w:color="auto" w:fill="auto"/>
            <w:noWrap/>
            <w:vAlign w:val="center"/>
            <w:hideMark/>
          </w:tcPr>
          <w:p w14:paraId="4F554F75" w14:textId="77777777" w:rsidR="0001092B" w:rsidRPr="0001092B" w:rsidRDefault="0001092B" w:rsidP="0001092B">
            <w:pPr>
              <w:rPr>
                <w:rFonts w:eastAsia="Times New Roman"/>
                <w:b/>
                <w:bCs/>
                <w:color w:val="000000"/>
                <w:sz w:val="22"/>
                <w:szCs w:val="22"/>
              </w:rPr>
            </w:pPr>
            <w:r w:rsidRPr="0001092B">
              <w:rPr>
                <w:rFonts w:eastAsia="Times New Roman"/>
                <w:b/>
                <w:bCs/>
                <w:color w:val="000000"/>
                <w:sz w:val="22"/>
                <w:szCs w:val="22"/>
              </w:rPr>
              <w:t>Panel B. Descriptive statistics of SEC review attributes by M&amp;A activities</w:t>
            </w:r>
          </w:p>
        </w:tc>
      </w:tr>
      <w:tr w:rsidR="0001092B" w:rsidRPr="0001092B" w14:paraId="0E8BCCEA" w14:textId="77777777" w:rsidTr="00794DBA">
        <w:trPr>
          <w:trHeight w:val="315"/>
        </w:trPr>
        <w:tc>
          <w:tcPr>
            <w:tcW w:w="1514" w:type="dxa"/>
            <w:tcBorders>
              <w:top w:val="nil"/>
              <w:left w:val="nil"/>
              <w:bottom w:val="nil"/>
              <w:right w:val="nil"/>
            </w:tcBorders>
            <w:shd w:val="clear" w:color="auto" w:fill="auto"/>
            <w:vAlign w:val="bottom"/>
            <w:hideMark/>
          </w:tcPr>
          <w:p w14:paraId="2CB5FCD9" w14:textId="77777777" w:rsidR="0001092B" w:rsidRPr="0001092B" w:rsidRDefault="0001092B" w:rsidP="0001092B">
            <w:pP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5CB1EBA5"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30A9F87A"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vAlign w:val="bottom"/>
            <w:hideMark/>
          </w:tcPr>
          <w:p w14:paraId="03AE2A81" w14:textId="77777777" w:rsidR="0001092B" w:rsidRPr="0001092B" w:rsidRDefault="0001092B" w:rsidP="0001092B">
            <w:pPr>
              <w:rPr>
                <w:rFonts w:eastAsia="Times New Roman"/>
                <w:sz w:val="20"/>
                <w:szCs w:val="20"/>
              </w:rPr>
            </w:pPr>
          </w:p>
        </w:tc>
        <w:tc>
          <w:tcPr>
            <w:tcW w:w="835" w:type="dxa"/>
            <w:tcBorders>
              <w:top w:val="nil"/>
              <w:left w:val="nil"/>
              <w:bottom w:val="single" w:sz="8" w:space="0" w:color="auto"/>
              <w:right w:val="nil"/>
            </w:tcBorders>
            <w:shd w:val="clear" w:color="auto" w:fill="auto"/>
            <w:vAlign w:val="center"/>
            <w:hideMark/>
          </w:tcPr>
          <w:p w14:paraId="4BA14398"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N</w:t>
            </w:r>
          </w:p>
        </w:tc>
        <w:tc>
          <w:tcPr>
            <w:tcW w:w="266" w:type="dxa"/>
            <w:tcBorders>
              <w:top w:val="nil"/>
              <w:left w:val="nil"/>
              <w:bottom w:val="nil"/>
              <w:right w:val="nil"/>
            </w:tcBorders>
            <w:shd w:val="clear" w:color="auto" w:fill="auto"/>
            <w:noWrap/>
            <w:vAlign w:val="bottom"/>
            <w:hideMark/>
          </w:tcPr>
          <w:p w14:paraId="04AB08EC" w14:textId="77777777" w:rsidR="0001092B" w:rsidRPr="0001092B" w:rsidRDefault="0001092B" w:rsidP="0001092B">
            <w:pPr>
              <w:jc w:val="center"/>
              <w:rPr>
                <w:rFonts w:eastAsia="Times New Roman"/>
                <w:b/>
                <w:bCs/>
                <w:color w:val="000000"/>
                <w:sz w:val="22"/>
                <w:szCs w:val="22"/>
              </w:rPr>
            </w:pPr>
          </w:p>
        </w:tc>
        <w:tc>
          <w:tcPr>
            <w:tcW w:w="2188" w:type="dxa"/>
            <w:gridSpan w:val="2"/>
            <w:tcBorders>
              <w:top w:val="nil"/>
              <w:left w:val="nil"/>
              <w:bottom w:val="single" w:sz="8" w:space="0" w:color="auto"/>
              <w:right w:val="nil"/>
            </w:tcBorders>
            <w:shd w:val="clear" w:color="auto" w:fill="auto"/>
            <w:vAlign w:val="center"/>
            <w:hideMark/>
          </w:tcPr>
          <w:p w14:paraId="3081EC06"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Duration</w:t>
            </w:r>
          </w:p>
        </w:tc>
        <w:tc>
          <w:tcPr>
            <w:tcW w:w="591" w:type="dxa"/>
            <w:tcBorders>
              <w:top w:val="nil"/>
              <w:left w:val="nil"/>
              <w:bottom w:val="nil"/>
              <w:right w:val="nil"/>
            </w:tcBorders>
            <w:shd w:val="clear" w:color="auto" w:fill="auto"/>
            <w:vAlign w:val="bottom"/>
            <w:hideMark/>
          </w:tcPr>
          <w:p w14:paraId="0348750E" w14:textId="77777777" w:rsidR="0001092B" w:rsidRPr="0001092B" w:rsidRDefault="0001092B" w:rsidP="0001092B">
            <w:pPr>
              <w:jc w:val="center"/>
              <w:rPr>
                <w:rFonts w:eastAsia="Times New Roman"/>
                <w:b/>
                <w:bCs/>
                <w:color w:val="000000"/>
                <w:sz w:val="22"/>
                <w:szCs w:val="22"/>
              </w:rPr>
            </w:pPr>
          </w:p>
        </w:tc>
        <w:tc>
          <w:tcPr>
            <w:tcW w:w="1907" w:type="dxa"/>
            <w:gridSpan w:val="3"/>
            <w:tcBorders>
              <w:top w:val="nil"/>
              <w:left w:val="nil"/>
              <w:bottom w:val="single" w:sz="8" w:space="0" w:color="auto"/>
              <w:right w:val="nil"/>
            </w:tcBorders>
            <w:shd w:val="clear" w:color="auto" w:fill="auto"/>
            <w:vAlign w:val="center"/>
            <w:hideMark/>
          </w:tcPr>
          <w:p w14:paraId="0DBF4985"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Letters</w:t>
            </w:r>
          </w:p>
        </w:tc>
        <w:tc>
          <w:tcPr>
            <w:tcW w:w="602" w:type="dxa"/>
            <w:tcBorders>
              <w:top w:val="nil"/>
              <w:left w:val="nil"/>
              <w:bottom w:val="nil"/>
              <w:right w:val="nil"/>
            </w:tcBorders>
            <w:shd w:val="clear" w:color="auto" w:fill="auto"/>
            <w:noWrap/>
            <w:vAlign w:val="bottom"/>
            <w:hideMark/>
          </w:tcPr>
          <w:p w14:paraId="7E7425F7" w14:textId="77777777" w:rsidR="0001092B" w:rsidRPr="0001092B" w:rsidRDefault="0001092B" w:rsidP="0001092B">
            <w:pPr>
              <w:jc w:val="center"/>
              <w:rPr>
                <w:rFonts w:eastAsia="Times New Roman"/>
                <w:b/>
                <w:bCs/>
                <w:color w:val="000000"/>
                <w:sz w:val="22"/>
                <w:szCs w:val="22"/>
              </w:rPr>
            </w:pPr>
          </w:p>
        </w:tc>
        <w:tc>
          <w:tcPr>
            <w:tcW w:w="4196" w:type="dxa"/>
            <w:gridSpan w:val="4"/>
            <w:tcBorders>
              <w:top w:val="nil"/>
              <w:left w:val="nil"/>
              <w:bottom w:val="single" w:sz="8" w:space="0" w:color="auto"/>
              <w:right w:val="nil"/>
            </w:tcBorders>
            <w:shd w:val="clear" w:color="auto" w:fill="auto"/>
            <w:vAlign w:val="center"/>
            <w:hideMark/>
          </w:tcPr>
          <w:p w14:paraId="48E183D8"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Comments</w:t>
            </w:r>
          </w:p>
        </w:tc>
      </w:tr>
      <w:tr w:rsidR="0001092B" w:rsidRPr="0001092B" w14:paraId="4D4FE2C8" w14:textId="77777777" w:rsidTr="00794DBA">
        <w:trPr>
          <w:trHeight w:val="585"/>
        </w:trPr>
        <w:tc>
          <w:tcPr>
            <w:tcW w:w="1514" w:type="dxa"/>
            <w:tcBorders>
              <w:top w:val="nil"/>
              <w:left w:val="nil"/>
              <w:bottom w:val="nil"/>
              <w:right w:val="nil"/>
            </w:tcBorders>
            <w:shd w:val="clear" w:color="auto" w:fill="auto"/>
            <w:vAlign w:val="bottom"/>
            <w:hideMark/>
          </w:tcPr>
          <w:p w14:paraId="2440DF83" w14:textId="77777777" w:rsidR="0001092B" w:rsidRPr="0001092B" w:rsidRDefault="0001092B" w:rsidP="0001092B">
            <w:pPr>
              <w:jc w:val="cente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67CB6866"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0170F9A9" w14:textId="77777777" w:rsidR="0001092B" w:rsidRPr="0001092B" w:rsidRDefault="0001092B" w:rsidP="0001092B">
            <w:pPr>
              <w:rPr>
                <w:rFonts w:eastAsia="Times New Roman"/>
                <w:sz w:val="20"/>
                <w:szCs w:val="20"/>
              </w:rPr>
            </w:pPr>
          </w:p>
        </w:tc>
        <w:tc>
          <w:tcPr>
            <w:tcW w:w="626" w:type="dxa"/>
            <w:tcBorders>
              <w:top w:val="nil"/>
              <w:left w:val="nil"/>
              <w:bottom w:val="nil"/>
              <w:right w:val="nil"/>
            </w:tcBorders>
            <w:shd w:val="clear" w:color="auto" w:fill="auto"/>
            <w:vAlign w:val="bottom"/>
            <w:hideMark/>
          </w:tcPr>
          <w:p w14:paraId="66266B62" w14:textId="77777777" w:rsidR="0001092B" w:rsidRPr="0001092B" w:rsidRDefault="0001092B" w:rsidP="0001092B">
            <w:pPr>
              <w:rPr>
                <w:rFonts w:eastAsia="Times New Roman"/>
                <w:sz w:val="20"/>
                <w:szCs w:val="20"/>
              </w:rPr>
            </w:pPr>
          </w:p>
        </w:tc>
        <w:tc>
          <w:tcPr>
            <w:tcW w:w="835" w:type="dxa"/>
            <w:tcBorders>
              <w:top w:val="nil"/>
              <w:left w:val="nil"/>
              <w:bottom w:val="nil"/>
              <w:right w:val="nil"/>
            </w:tcBorders>
            <w:shd w:val="clear" w:color="auto" w:fill="auto"/>
            <w:vAlign w:val="bottom"/>
            <w:hideMark/>
          </w:tcPr>
          <w:p w14:paraId="6AF28822" w14:textId="77777777" w:rsidR="0001092B" w:rsidRPr="0001092B" w:rsidRDefault="0001092B" w:rsidP="0001092B">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755D7D7B" w14:textId="77777777" w:rsidR="0001092B" w:rsidRPr="0001092B" w:rsidRDefault="0001092B" w:rsidP="0001092B">
            <w:pPr>
              <w:rPr>
                <w:rFonts w:eastAsia="Times New Roman"/>
                <w:sz w:val="20"/>
                <w:szCs w:val="20"/>
              </w:rPr>
            </w:pPr>
          </w:p>
        </w:tc>
        <w:tc>
          <w:tcPr>
            <w:tcW w:w="985" w:type="dxa"/>
            <w:tcBorders>
              <w:top w:val="nil"/>
              <w:left w:val="nil"/>
              <w:bottom w:val="single" w:sz="8" w:space="0" w:color="auto"/>
              <w:right w:val="nil"/>
            </w:tcBorders>
            <w:shd w:val="clear" w:color="auto" w:fill="auto"/>
            <w:vAlign w:val="center"/>
            <w:hideMark/>
          </w:tcPr>
          <w:p w14:paraId="1EA3BEB6"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Mean</w:t>
            </w:r>
          </w:p>
        </w:tc>
        <w:tc>
          <w:tcPr>
            <w:tcW w:w="1203" w:type="dxa"/>
            <w:tcBorders>
              <w:top w:val="nil"/>
              <w:left w:val="nil"/>
              <w:bottom w:val="single" w:sz="8" w:space="0" w:color="auto"/>
              <w:right w:val="nil"/>
            </w:tcBorders>
            <w:shd w:val="clear" w:color="auto" w:fill="auto"/>
            <w:vAlign w:val="center"/>
            <w:hideMark/>
          </w:tcPr>
          <w:p w14:paraId="0AD81CAB"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Median</w:t>
            </w:r>
          </w:p>
        </w:tc>
        <w:tc>
          <w:tcPr>
            <w:tcW w:w="591" w:type="dxa"/>
            <w:tcBorders>
              <w:top w:val="nil"/>
              <w:left w:val="nil"/>
              <w:bottom w:val="nil"/>
              <w:right w:val="nil"/>
            </w:tcBorders>
            <w:shd w:val="clear" w:color="auto" w:fill="auto"/>
            <w:vAlign w:val="bottom"/>
            <w:hideMark/>
          </w:tcPr>
          <w:p w14:paraId="1FD089B7" w14:textId="77777777" w:rsidR="0001092B" w:rsidRPr="0001092B" w:rsidRDefault="0001092B" w:rsidP="0001092B">
            <w:pPr>
              <w:jc w:val="center"/>
              <w:rPr>
                <w:rFonts w:eastAsia="Times New Roman"/>
                <w:b/>
                <w:bCs/>
                <w:color w:val="000000"/>
                <w:sz w:val="22"/>
                <w:szCs w:val="22"/>
              </w:rPr>
            </w:pPr>
          </w:p>
        </w:tc>
        <w:tc>
          <w:tcPr>
            <w:tcW w:w="969" w:type="dxa"/>
            <w:tcBorders>
              <w:top w:val="nil"/>
              <w:left w:val="nil"/>
              <w:bottom w:val="single" w:sz="8" w:space="0" w:color="auto"/>
              <w:right w:val="nil"/>
            </w:tcBorders>
            <w:shd w:val="clear" w:color="auto" w:fill="auto"/>
            <w:vAlign w:val="center"/>
            <w:hideMark/>
          </w:tcPr>
          <w:p w14:paraId="1E3FF0CC"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Mean</w:t>
            </w:r>
          </w:p>
        </w:tc>
        <w:tc>
          <w:tcPr>
            <w:tcW w:w="938" w:type="dxa"/>
            <w:gridSpan w:val="2"/>
            <w:tcBorders>
              <w:top w:val="single" w:sz="8" w:space="0" w:color="auto"/>
              <w:left w:val="nil"/>
              <w:bottom w:val="single" w:sz="8" w:space="0" w:color="auto"/>
              <w:right w:val="nil"/>
            </w:tcBorders>
            <w:shd w:val="clear" w:color="auto" w:fill="auto"/>
            <w:vAlign w:val="center"/>
            <w:hideMark/>
          </w:tcPr>
          <w:p w14:paraId="1605883F"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Median</w:t>
            </w:r>
          </w:p>
        </w:tc>
        <w:tc>
          <w:tcPr>
            <w:tcW w:w="602" w:type="dxa"/>
            <w:tcBorders>
              <w:top w:val="nil"/>
              <w:left w:val="nil"/>
              <w:bottom w:val="nil"/>
              <w:right w:val="nil"/>
            </w:tcBorders>
            <w:shd w:val="clear" w:color="auto" w:fill="auto"/>
            <w:noWrap/>
            <w:vAlign w:val="bottom"/>
            <w:hideMark/>
          </w:tcPr>
          <w:p w14:paraId="6D488CF6" w14:textId="77777777" w:rsidR="0001092B" w:rsidRPr="0001092B" w:rsidRDefault="0001092B" w:rsidP="0001092B">
            <w:pPr>
              <w:jc w:val="center"/>
              <w:rPr>
                <w:rFonts w:eastAsia="Times New Roman"/>
                <w:b/>
                <w:bCs/>
                <w:color w:val="000000"/>
                <w:sz w:val="22"/>
                <w:szCs w:val="22"/>
              </w:rPr>
            </w:pPr>
          </w:p>
        </w:tc>
        <w:tc>
          <w:tcPr>
            <w:tcW w:w="1256" w:type="dxa"/>
            <w:tcBorders>
              <w:top w:val="nil"/>
              <w:left w:val="nil"/>
              <w:bottom w:val="single" w:sz="8" w:space="0" w:color="auto"/>
              <w:right w:val="nil"/>
            </w:tcBorders>
            <w:shd w:val="clear" w:color="auto" w:fill="auto"/>
            <w:vAlign w:val="center"/>
            <w:hideMark/>
          </w:tcPr>
          <w:p w14:paraId="13549C6D"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Mean</w:t>
            </w:r>
          </w:p>
        </w:tc>
        <w:tc>
          <w:tcPr>
            <w:tcW w:w="2940" w:type="dxa"/>
            <w:gridSpan w:val="3"/>
            <w:tcBorders>
              <w:top w:val="single" w:sz="8" w:space="0" w:color="auto"/>
              <w:left w:val="nil"/>
              <w:bottom w:val="single" w:sz="8" w:space="0" w:color="auto"/>
              <w:right w:val="nil"/>
            </w:tcBorders>
            <w:shd w:val="clear" w:color="auto" w:fill="auto"/>
            <w:vAlign w:val="center"/>
            <w:hideMark/>
          </w:tcPr>
          <w:p w14:paraId="3001BA2B" w14:textId="77777777" w:rsidR="0001092B" w:rsidRPr="0001092B" w:rsidRDefault="0001092B" w:rsidP="0001092B">
            <w:pPr>
              <w:jc w:val="center"/>
              <w:rPr>
                <w:rFonts w:eastAsia="Times New Roman"/>
                <w:b/>
                <w:bCs/>
                <w:color w:val="000000"/>
                <w:sz w:val="22"/>
                <w:szCs w:val="22"/>
              </w:rPr>
            </w:pPr>
            <w:r w:rsidRPr="0001092B">
              <w:rPr>
                <w:rFonts w:eastAsia="Times New Roman"/>
                <w:b/>
                <w:bCs/>
                <w:color w:val="000000"/>
                <w:sz w:val="22"/>
                <w:szCs w:val="22"/>
              </w:rPr>
              <w:t>Median</w:t>
            </w:r>
          </w:p>
        </w:tc>
      </w:tr>
      <w:tr w:rsidR="0001092B" w:rsidRPr="0001092B" w14:paraId="05DB5E21"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32D096E2" w14:textId="62EFDF26" w:rsidR="0001092B" w:rsidRPr="0001092B" w:rsidRDefault="00794DBA" w:rsidP="0001092B">
            <w:pPr>
              <w:rPr>
                <w:rFonts w:eastAsia="Times New Roman"/>
                <w:color w:val="000000"/>
                <w:sz w:val="22"/>
                <w:szCs w:val="22"/>
              </w:rPr>
            </w:pPr>
            <w:r>
              <w:rPr>
                <w:rFonts w:eastAsia="Times New Roman"/>
                <w:color w:val="000000"/>
                <w:sz w:val="22"/>
                <w:szCs w:val="22"/>
              </w:rPr>
              <w:t>M&amp;A = 0</w:t>
            </w:r>
          </w:p>
        </w:tc>
        <w:tc>
          <w:tcPr>
            <w:tcW w:w="626" w:type="dxa"/>
            <w:tcBorders>
              <w:top w:val="nil"/>
              <w:left w:val="nil"/>
              <w:bottom w:val="nil"/>
              <w:right w:val="nil"/>
            </w:tcBorders>
            <w:shd w:val="clear" w:color="auto" w:fill="auto"/>
            <w:noWrap/>
            <w:vAlign w:val="center"/>
            <w:hideMark/>
          </w:tcPr>
          <w:p w14:paraId="07391E0B" w14:textId="77777777" w:rsidR="0001092B" w:rsidRPr="0001092B" w:rsidRDefault="0001092B" w:rsidP="0001092B">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3542397B"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781</w:t>
            </w:r>
          </w:p>
        </w:tc>
        <w:tc>
          <w:tcPr>
            <w:tcW w:w="266" w:type="dxa"/>
            <w:tcBorders>
              <w:top w:val="nil"/>
              <w:left w:val="nil"/>
              <w:bottom w:val="nil"/>
              <w:right w:val="nil"/>
            </w:tcBorders>
            <w:shd w:val="clear" w:color="auto" w:fill="auto"/>
            <w:noWrap/>
            <w:vAlign w:val="bottom"/>
            <w:hideMark/>
          </w:tcPr>
          <w:p w14:paraId="48A3E0FA" w14:textId="77777777" w:rsidR="0001092B" w:rsidRPr="0001092B" w:rsidRDefault="0001092B" w:rsidP="0001092B">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51FAA0A0"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123.8</w:t>
            </w:r>
          </w:p>
        </w:tc>
        <w:tc>
          <w:tcPr>
            <w:tcW w:w="1203" w:type="dxa"/>
            <w:tcBorders>
              <w:top w:val="nil"/>
              <w:left w:val="nil"/>
              <w:bottom w:val="nil"/>
              <w:right w:val="nil"/>
            </w:tcBorders>
            <w:shd w:val="clear" w:color="auto" w:fill="auto"/>
            <w:noWrap/>
            <w:vAlign w:val="center"/>
            <w:hideMark/>
          </w:tcPr>
          <w:p w14:paraId="16F0F0BF"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91</w:t>
            </w:r>
          </w:p>
        </w:tc>
        <w:tc>
          <w:tcPr>
            <w:tcW w:w="591" w:type="dxa"/>
            <w:tcBorders>
              <w:top w:val="nil"/>
              <w:left w:val="nil"/>
              <w:bottom w:val="nil"/>
              <w:right w:val="nil"/>
            </w:tcBorders>
            <w:shd w:val="clear" w:color="auto" w:fill="auto"/>
            <w:noWrap/>
            <w:vAlign w:val="center"/>
            <w:hideMark/>
          </w:tcPr>
          <w:p w14:paraId="345081F7" w14:textId="77777777" w:rsidR="0001092B" w:rsidRPr="0001092B" w:rsidRDefault="0001092B" w:rsidP="0001092B">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0F96AB83"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2.78</w:t>
            </w:r>
          </w:p>
        </w:tc>
        <w:tc>
          <w:tcPr>
            <w:tcW w:w="938" w:type="dxa"/>
            <w:gridSpan w:val="2"/>
            <w:tcBorders>
              <w:top w:val="nil"/>
              <w:left w:val="nil"/>
              <w:bottom w:val="nil"/>
              <w:right w:val="nil"/>
            </w:tcBorders>
            <w:shd w:val="clear" w:color="auto" w:fill="auto"/>
            <w:noWrap/>
            <w:vAlign w:val="center"/>
            <w:hideMark/>
          </w:tcPr>
          <w:p w14:paraId="223E7EB5"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bottom"/>
            <w:hideMark/>
          </w:tcPr>
          <w:p w14:paraId="528FAF7C" w14:textId="77777777" w:rsidR="0001092B" w:rsidRPr="0001092B" w:rsidRDefault="0001092B" w:rsidP="0001092B">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6D4BF7B1"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27.61</w:t>
            </w:r>
          </w:p>
        </w:tc>
        <w:tc>
          <w:tcPr>
            <w:tcW w:w="2940" w:type="dxa"/>
            <w:gridSpan w:val="3"/>
            <w:tcBorders>
              <w:top w:val="nil"/>
              <w:left w:val="nil"/>
              <w:bottom w:val="nil"/>
              <w:right w:val="nil"/>
            </w:tcBorders>
            <w:shd w:val="clear" w:color="auto" w:fill="auto"/>
            <w:noWrap/>
            <w:vAlign w:val="center"/>
            <w:hideMark/>
          </w:tcPr>
          <w:p w14:paraId="166A44BA" w14:textId="77777777" w:rsidR="0001092B" w:rsidRPr="0001092B" w:rsidRDefault="0001092B" w:rsidP="0001092B">
            <w:pPr>
              <w:jc w:val="center"/>
              <w:rPr>
                <w:rFonts w:eastAsia="Times New Roman"/>
                <w:color w:val="000000"/>
                <w:sz w:val="22"/>
                <w:szCs w:val="22"/>
              </w:rPr>
            </w:pPr>
            <w:r w:rsidRPr="0001092B">
              <w:rPr>
                <w:rFonts w:eastAsia="Times New Roman"/>
                <w:color w:val="000000"/>
                <w:sz w:val="22"/>
                <w:szCs w:val="22"/>
              </w:rPr>
              <w:t>24</w:t>
            </w:r>
          </w:p>
        </w:tc>
      </w:tr>
      <w:tr w:rsidR="00794DBA" w:rsidRPr="0001092B" w14:paraId="27C7DFD9" w14:textId="77777777" w:rsidTr="00794DBA">
        <w:trPr>
          <w:trHeight w:val="300"/>
        </w:trPr>
        <w:tc>
          <w:tcPr>
            <w:tcW w:w="2747" w:type="dxa"/>
            <w:gridSpan w:val="3"/>
            <w:tcBorders>
              <w:top w:val="nil"/>
              <w:left w:val="nil"/>
              <w:bottom w:val="nil"/>
              <w:right w:val="nil"/>
            </w:tcBorders>
            <w:shd w:val="clear" w:color="auto" w:fill="auto"/>
            <w:noWrap/>
            <w:vAlign w:val="center"/>
          </w:tcPr>
          <w:p w14:paraId="6B63C257" w14:textId="6DD5DD21" w:rsidR="00794DBA" w:rsidRPr="0001092B" w:rsidRDefault="00794DBA" w:rsidP="00794DBA">
            <w:pPr>
              <w:rPr>
                <w:rFonts w:eastAsia="Times New Roman"/>
                <w:color w:val="000000"/>
                <w:sz w:val="22"/>
                <w:szCs w:val="22"/>
              </w:rPr>
            </w:pPr>
            <w:r w:rsidRPr="0001092B">
              <w:rPr>
                <w:rFonts w:eastAsia="Times New Roman"/>
                <w:color w:val="000000"/>
                <w:sz w:val="22"/>
                <w:szCs w:val="22"/>
              </w:rPr>
              <w:t>M&amp;A =1</w:t>
            </w:r>
          </w:p>
        </w:tc>
        <w:tc>
          <w:tcPr>
            <w:tcW w:w="626" w:type="dxa"/>
            <w:tcBorders>
              <w:top w:val="nil"/>
              <w:left w:val="nil"/>
              <w:bottom w:val="nil"/>
              <w:right w:val="nil"/>
            </w:tcBorders>
            <w:shd w:val="clear" w:color="auto" w:fill="auto"/>
            <w:noWrap/>
            <w:vAlign w:val="center"/>
          </w:tcPr>
          <w:p w14:paraId="6D23702D"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tcPr>
          <w:p w14:paraId="03934FD5" w14:textId="2F579D78"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128</w:t>
            </w:r>
          </w:p>
        </w:tc>
        <w:tc>
          <w:tcPr>
            <w:tcW w:w="266" w:type="dxa"/>
            <w:tcBorders>
              <w:top w:val="nil"/>
              <w:left w:val="nil"/>
              <w:bottom w:val="nil"/>
              <w:right w:val="nil"/>
            </w:tcBorders>
            <w:shd w:val="clear" w:color="auto" w:fill="auto"/>
            <w:noWrap/>
            <w:vAlign w:val="bottom"/>
          </w:tcPr>
          <w:p w14:paraId="456A5DFE"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tcPr>
          <w:p w14:paraId="1CA4BB48" w14:textId="4F40D8BD"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97.37</w:t>
            </w:r>
          </w:p>
        </w:tc>
        <w:tc>
          <w:tcPr>
            <w:tcW w:w="1203" w:type="dxa"/>
            <w:tcBorders>
              <w:top w:val="nil"/>
              <w:left w:val="nil"/>
              <w:bottom w:val="nil"/>
              <w:right w:val="nil"/>
            </w:tcBorders>
            <w:shd w:val="clear" w:color="auto" w:fill="auto"/>
            <w:noWrap/>
            <w:vAlign w:val="center"/>
          </w:tcPr>
          <w:p w14:paraId="76B1831C" w14:textId="05C7A3D4"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82</w:t>
            </w:r>
          </w:p>
        </w:tc>
        <w:tc>
          <w:tcPr>
            <w:tcW w:w="591" w:type="dxa"/>
            <w:tcBorders>
              <w:top w:val="nil"/>
              <w:left w:val="nil"/>
              <w:bottom w:val="nil"/>
              <w:right w:val="nil"/>
            </w:tcBorders>
            <w:shd w:val="clear" w:color="auto" w:fill="auto"/>
            <w:noWrap/>
            <w:vAlign w:val="center"/>
          </w:tcPr>
          <w:p w14:paraId="12FFADBB"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tcPr>
          <w:p w14:paraId="75B8896A" w14:textId="56E4B556"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w:t>
            </w:r>
          </w:p>
        </w:tc>
        <w:tc>
          <w:tcPr>
            <w:tcW w:w="938" w:type="dxa"/>
            <w:gridSpan w:val="2"/>
            <w:tcBorders>
              <w:top w:val="nil"/>
              <w:left w:val="nil"/>
              <w:bottom w:val="nil"/>
              <w:right w:val="nil"/>
            </w:tcBorders>
            <w:shd w:val="clear" w:color="auto" w:fill="auto"/>
            <w:noWrap/>
            <w:vAlign w:val="center"/>
          </w:tcPr>
          <w:p w14:paraId="437CA756" w14:textId="1F0D7C5C"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w:t>
            </w:r>
          </w:p>
        </w:tc>
        <w:tc>
          <w:tcPr>
            <w:tcW w:w="602" w:type="dxa"/>
            <w:tcBorders>
              <w:top w:val="nil"/>
              <w:left w:val="nil"/>
              <w:bottom w:val="nil"/>
              <w:right w:val="nil"/>
            </w:tcBorders>
            <w:shd w:val="clear" w:color="auto" w:fill="auto"/>
            <w:noWrap/>
            <w:vAlign w:val="bottom"/>
          </w:tcPr>
          <w:p w14:paraId="202C6396"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tcPr>
          <w:p w14:paraId="61F5470F" w14:textId="6368A046"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20.61</w:t>
            </w:r>
          </w:p>
        </w:tc>
        <w:tc>
          <w:tcPr>
            <w:tcW w:w="2940" w:type="dxa"/>
            <w:gridSpan w:val="3"/>
            <w:tcBorders>
              <w:top w:val="nil"/>
              <w:left w:val="nil"/>
              <w:bottom w:val="nil"/>
              <w:right w:val="nil"/>
            </w:tcBorders>
            <w:shd w:val="clear" w:color="auto" w:fill="auto"/>
            <w:noWrap/>
            <w:vAlign w:val="center"/>
          </w:tcPr>
          <w:p w14:paraId="19B3F4ED" w14:textId="3FD988E1"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11.5</w:t>
            </w:r>
          </w:p>
        </w:tc>
      </w:tr>
      <w:tr w:rsidR="00794DBA" w:rsidRPr="0001092B" w14:paraId="08CF0014" w14:textId="77777777" w:rsidTr="00794DBA">
        <w:trPr>
          <w:trHeight w:val="615"/>
        </w:trPr>
        <w:tc>
          <w:tcPr>
            <w:tcW w:w="2747" w:type="dxa"/>
            <w:gridSpan w:val="3"/>
            <w:tcBorders>
              <w:top w:val="nil"/>
              <w:left w:val="nil"/>
              <w:bottom w:val="nil"/>
              <w:right w:val="nil"/>
            </w:tcBorders>
            <w:shd w:val="clear" w:color="auto" w:fill="auto"/>
            <w:vAlign w:val="center"/>
            <w:hideMark/>
          </w:tcPr>
          <w:p w14:paraId="4BB6C133"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 test (mean)/</w:t>
            </w:r>
            <w:r w:rsidRPr="0001092B">
              <w:rPr>
                <w:rFonts w:eastAsia="Times New Roman"/>
                <w:color w:val="000000"/>
              </w:rPr>
              <w:t xml:space="preserve"> </w:t>
            </w:r>
            <w:r w:rsidRPr="0001092B">
              <w:rPr>
                <w:rFonts w:eastAsia="Times New Roman"/>
                <w:color w:val="000000"/>
                <w:sz w:val="22"/>
                <w:szCs w:val="22"/>
              </w:rPr>
              <w:t>Wilcoxon rank-sum test (median)</w:t>
            </w:r>
          </w:p>
        </w:tc>
        <w:tc>
          <w:tcPr>
            <w:tcW w:w="626" w:type="dxa"/>
            <w:tcBorders>
              <w:top w:val="nil"/>
              <w:left w:val="nil"/>
              <w:bottom w:val="nil"/>
              <w:right w:val="nil"/>
            </w:tcBorders>
            <w:shd w:val="clear" w:color="auto" w:fill="auto"/>
            <w:noWrap/>
            <w:vAlign w:val="center"/>
            <w:hideMark/>
          </w:tcPr>
          <w:p w14:paraId="3D1E979F"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59AB7D49"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22F24126" w14:textId="77777777" w:rsidR="00794DBA" w:rsidRPr="0001092B" w:rsidRDefault="00794DBA" w:rsidP="00794DBA">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42BA0A4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0.04</w:t>
            </w:r>
          </w:p>
        </w:tc>
        <w:tc>
          <w:tcPr>
            <w:tcW w:w="1203" w:type="dxa"/>
            <w:tcBorders>
              <w:top w:val="nil"/>
              <w:left w:val="nil"/>
              <w:bottom w:val="nil"/>
              <w:right w:val="nil"/>
            </w:tcBorders>
            <w:shd w:val="clear" w:color="auto" w:fill="auto"/>
            <w:noWrap/>
            <w:vAlign w:val="center"/>
            <w:hideMark/>
          </w:tcPr>
          <w:p w14:paraId="7629E7FD"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0.05</w:t>
            </w:r>
          </w:p>
        </w:tc>
        <w:tc>
          <w:tcPr>
            <w:tcW w:w="591" w:type="dxa"/>
            <w:tcBorders>
              <w:top w:val="nil"/>
              <w:left w:val="nil"/>
              <w:bottom w:val="nil"/>
              <w:right w:val="nil"/>
            </w:tcBorders>
            <w:shd w:val="clear" w:color="auto" w:fill="auto"/>
            <w:noWrap/>
            <w:vAlign w:val="center"/>
            <w:hideMark/>
          </w:tcPr>
          <w:p w14:paraId="40B5C1B5"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17D50CB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0.66</w:t>
            </w:r>
          </w:p>
        </w:tc>
        <w:tc>
          <w:tcPr>
            <w:tcW w:w="938" w:type="dxa"/>
            <w:gridSpan w:val="2"/>
            <w:tcBorders>
              <w:top w:val="nil"/>
              <w:left w:val="nil"/>
              <w:bottom w:val="nil"/>
              <w:right w:val="nil"/>
            </w:tcBorders>
            <w:shd w:val="clear" w:color="auto" w:fill="auto"/>
            <w:noWrap/>
            <w:vAlign w:val="center"/>
            <w:hideMark/>
          </w:tcPr>
          <w:p w14:paraId="635527F6"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0.71</w:t>
            </w:r>
          </w:p>
        </w:tc>
        <w:tc>
          <w:tcPr>
            <w:tcW w:w="602" w:type="dxa"/>
            <w:tcBorders>
              <w:top w:val="nil"/>
              <w:left w:val="nil"/>
              <w:bottom w:val="nil"/>
              <w:right w:val="nil"/>
            </w:tcBorders>
            <w:shd w:val="clear" w:color="auto" w:fill="auto"/>
            <w:noWrap/>
            <w:vAlign w:val="bottom"/>
            <w:hideMark/>
          </w:tcPr>
          <w:p w14:paraId="54EAE8A6"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52EC11C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0.01</w:t>
            </w:r>
          </w:p>
        </w:tc>
        <w:tc>
          <w:tcPr>
            <w:tcW w:w="2940" w:type="dxa"/>
            <w:gridSpan w:val="3"/>
            <w:tcBorders>
              <w:top w:val="nil"/>
              <w:left w:val="nil"/>
              <w:bottom w:val="nil"/>
              <w:right w:val="nil"/>
            </w:tcBorders>
            <w:shd w:val="clear" w:color="auto" w:fill="auto"/>
            <w:noWrap/>
            <w:vAlign w:val="center"/>
            <w:hideMark/>
          </w:tcPr>
          <w:p w14:paraId="4573DC16"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0.06</w:t>
            </w:r>
          </w:p>
        </w:tc>
      </w:tr>
      <w:tr w:rsidR="00794DBA" w:rsidRPr="0001092B" w14:paraId="0534E847" w14:textId="77777777" w:rsidTr="00794DBA">
        <w:trPr>
          <w:trHeight w:val="315"/>
        </w:trPr>
        <w:tc>
          <w:tcPr>
            <w:tcW w:w="2747" w:type="dxa"/>
            <w:gridSpan w:val="3"/>
            <w:tcBorders>
              <w:top w:val="nil"/>
              <w:left w:val="nil"/>
              <w:bottom w:val="single" w:sz="8" w:space="0" w:color="auto"/>
              <w:right w:val="nil"/>
            </w:tcBorders>
            <w:shd w:val="clear" w:color="auto" w:fill="auto"/>
            <w:noWrap/>
            <w:vAlign w:val="center"/>
            <w:hideMark/>
          </w:tcPr>
          <w:p w14:paraId="0842A8B4"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Total</w:t>
            </w:r>
          </w:p>
        </w:tc>
        <w:tc>
          <w:tcPr>
            <w:tcW w:w="626" w:type="dxa"/>
            <w:tcBorders>
              <w:top w:val="nil"/>
              <w:left w:val="nil"/>
              <w:bottom w:val="single" w:sz="8" w:space="0" w:color="auto"/>
              <w:right w:val="nil"/>
            </w:tcBorders>
            <w:shd w:val="clear" w:color="auto" w:fill="auto"/>
            <w:noWrap/>
            <w:vAlign w:val="center"/>
            <w:hideMark/>
          </w:tcPr>
          <w:p w14:paraId="004EC607"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 </w:t>
            </w:r>
          </w:p>
        </w:tc>
        <w:tc>
          <w:tcPr>
            <w:tcW w:w="835" w:type="dxa"/>
            <w:tcBorders>
              <w:top w:val="nil"/>
              <w:left w:val="nil"/>
              <w:bottom w:val="single" w:sz="8" w:space="0" w:color="auto"/>
              <w:right w:val="nil"/>
            </w:tcBorders>
            <w:shd w:val="clear" w:color="auto" w:fill="auto"/>
            <w:noWrap/>
            <w:vAlign w:val="center"/>
            <w:hideMark/>
          </w:tcPr>
          <w:p w14:paraId="690FBCB4"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909</w:t>
            </w:r>
          </w:p>
        </w:tc>
        <w:tc>
          <w:tcPr>
            <w:tcW w:w="266" w:type="dxa"/>
            <w:tcBorders>
              <w:top w:val="nil"/>
              <w:left w:val="nil"/>
              <w:bottom w:val="single" w:sz="8" w:space="0" w:color="auto"/>
              <w:right w:val="nil"/>
            </w:tcBorders>
            <w:shd w:val="clear" w:color="auto" w:fill="auto"/>
            <w:noWrap/>
            <w:vAlign w:val="bottom"/>
            <w:hideMark/>
          </w:tcPr>
          <w:p w14:paraId="1BC72E25"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85" w:type="dxa"/>
            <w:tcBorders>
              <w:top w:val="nil"/>
              <w:left w:val="nil"/>
              <w:bottom w:val="single" w:sz="8" w:space="0" w:color="auto"/>
              <w:right w:val="nil"/>
            </w:tcBorders>
            <w:shd w:val="clear" w:color="auto" w:fill="auto"/>
            <w:noWrap/>
            <w:vAlign w:val="center"/>
            <w:hideMark/>
          </w:tcPr>
          <w:p w14:paraId="434200C2" w14:textId="378FA69F"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120.1</w:t>
            </w:r>
            <w:r>
              <w:rPr>
                <w:rFonts w:eastAsia="Times New Roman"/>
                <w:color w:val="000000"/>
                <w:sz w:val="22"/>
                <w:szCs w:val="22"/>
              </w:rPr>
              <w:t>1</w:t>
            </w:r>
          </w:p>
        </w:tc>
        <w:tc>
          <w:tcPr>
            <w:tcW w:w="1203" w:type="dxa"/>
            <w:tcBorders>
              <w:top w:val="nil"/>
              <w:left w:val="nil"/>
              <w:bottom w:val="single" w:sz="8" w:space="0" w:color="auto"/>
              <w:right w:val="nil"/>
            </w:tcBorders>
            <w:shd w:val="clear" w:color="auto" w:fill="auto"/>
            <w:noWrap/>
            <w:vAlign w:val="center"/>
            <w:hideMark/>
          </w:tcPr>
          <w:p w14:paraId="5623D89C" w14:textId="34C828D2"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w:t>
            </w:r>
          </w:p>
        </w:tc>
        <w:tc>
          <w:tcPr>
            <w:tcW w:w="591" w:type="dxa"/>
            <w:tcBorders>
              <w:top w:val="nil"/>
              <w:left w:val="nil"/>
              <w:bottom w:val="single" w:sz="8" w:space="0" w:color="auto"/>
              <w:right w:val="nil"/>
            </w:tcBorders>
            <w:shd w:val="clear" w:color="auto" w:fill="auto"/>
            <w:noWrap/>
            <w:vAlign w:val="center"/>
            <w:hideMark/>
          </w:tcPr>
          <w:p w14:paraId="3839B31C"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69" w:type="dxa"/>
            <w:tcBorders>
              <w:top w:val="nil"/>
              <w:left w:val="nil"/>
              <w:bottom w:val="single" w:sz="8" w:space="0" w:color="auto"/>
              <w:right w:val="nil"/>
            </w:tcBorders>
            <w:shd w:val="clear" w:color="auto" w:fill="auto"/>
            <w:noWrap/>
            <w:vAlign w:val="center"/>
            <w:hideMark/>
          </w:tcPr>
          <w:p w14:paraId="18991C3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2.77</w:t>
            </w:r>
          </w:p>
        </w:tc>
        <w:tc>
          <w:tcPr>
            <w:tcW w:w="938" w:type="dxa"/>
            <w:gridSpan w:val="2"/>
            <w:tcBorders>
              <w:top w:val="nil"/>
              <w:left w:val="nil"/>
              <w:bottom w:val="single" w:sz="8" w:space="0" w:color="auto"/>
              <w:right w:val="nil"/>
            </w:tcBorders>
            <w:shd w:val="clear" w:color="auto" w:fill="auto"/>
            <w:noWrap/>
            <w:vAlign w:val="center"/>
            <w:hideMark/>
          </w:tcPr>
          <w:p w14:paraId="44DCBBD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single" w:sz="8" w:space="0" w:color="auto"/>
              <w:right w:val="nil"/>
            </w:tcBorders>
            <w:shd w:val="clear" w:color="auto" w:fill="auto"/>
            <w:noWrap/>
            <w:vAlign w:val="bottom"/>
            <w:hideMark/>
          </w:tcPr>
          <w:p w14:paraId="631F91C7"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1256" w:type="dxa"/>
            <w:tcBorders>
              <w:top w:val="nil"/>
              <w:left w:val="nil"/>
              <w:bottom w:val="single" w:sz="8" w:space="0" w:color="auto"/>
              <w:right w:val="nil"/>
            </w:tcBorders>
            <w:shd w:val="clear" w:color="auto" w:fill="auto"/>
            <w:noWrap/>
            <w:vAlign w:val="center"/>
            <w:hideMark/>
          </w:tcPr>
          <w:p w14:paraId="4D287B99"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26.63</w:t>
            </w:r>
          </w:p>
        </w:tc>
        <w:tc>
          <w:tcPr>
            <w:tcW w:w="2940" w:type="dxa"/>
            <w:gridSpan w:val="3"/>
            <w:tcBorders>
              <w:top w:val="nil"/>
              <w:left w:val="nil"/>
              <w:bottom w:val="single" w:sz="8" w:space="0" w:color="auto"/>
              <w:right w:val="nil"/>
            </w:tcBorders>
            <w:shd w:val="clear" w:color="auto" w:fill="auto"/>
            <w:noWrap/>
            <w:vAlign w:val="center"/>
            <w:hideMark/>
          </w:tcPr>
          <w:p w14:paraId="251A8389"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22</w:t>
            </w:r>
          </w:p>
        </w:tc>
      </w:tr>
      <w:tr w:rsidR="00794DBA" w:rsidRPr="0001092B" w14:paraId="2864BF32" w14:textId="77777777" w:rsidTr="0001092B">
        <w:trPr>
          <w:trHeight w:val="300"/>
        </w:trPr>
        <w:tc>
          <w:tcPr>
            <w:tcW w:w="13958" w:type="dxa"/>
            <w:gridSpan w:val="17"/>
            <w:tcBorders>
              <w:top w:val="single" w:sz="8" w:space="0" w:color="auto"/>
              <w:left w:val="nil"/>
              <w:bottom w:val="nil"/>
              <w:right w:val="nil"/>
            </w:tcBorders>
            <w:shd w:val="clear" w:color="auto" w:fill="auto"/>
            <w:noWrap/>
            <w:vAlign w:val="center"/>
            <w:hideMark/>
          </w:tcPr>
          <w:p w14:paraId="59BFA689" w14:textId="77777777" w:rsidR="00794DBA" w:rsidRPr="0001092B" w:rsidRDefault="00794DBA" w:rsidP="00794DBA">
            <w:pPr>
              <w:rPr>
                <w:rFonts w:eastAsia="Times New Roman"/>
                <w:b/>
                <w:bCs/>
                <w:color w:val="000000"/>
                <w:sz w:val="22"/>
                <w:szCs w:val="22"/>
              </w:rPr>
            </w:pPr>
            <w:r w:rsidRPr="0001092B">
              <w:rPr>
                <w:rFonts w:eastAsia="Times New Roman"/>
                <w:b/>
                <w:bCs/>
                <w:color w:val="000000"/>
                <w:sz w:val="22"/>
                <w:szCs w:val="22"/>
              </w:rPr>
              <w:t>Panel C. Descriptive statistics of SEC review attributes by Big 4 auditor</w:t>
            </w:r>
          </w:p>
        </w:tc>
      </w:tr>
      <w:tr w:rsidR="00794DBA" w:rsidRPr="0001092B" w14:paraId="04E39FE7" w14:textId="77777777" w:rsidTr="00794DBA">
        <w:trPr>
          <w:trHeight w:val="315"/>
        </w:trPr>
        <w:tc>
          <w:tcPr>
            <w:tcW w:w="1514" w:type="dxa"/>
            <w:tcBorders>
              <w:top w:val="nil"/>
              <w:left w:val="nil"/>
              <w:bottom w:val="nil"/>
              <w:right w:val="nil"/>
            </w:tcBorders>
            <w:shd w:val="clear" w:color="auto" w:fill="auto"/>
            <w:vAlign w:val="bottom"/>
            <w:hideMark/>
          </w:tcPr>
          <w:p w14:paraId="3C07AA72" w14:textId="77777777" w:rsidR="00794DBA" w:rsidRPr="0001092B" w:rsidRDefault="00794DBA" w:rsidP="00794DBA">
            <w:pP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0D22A39F"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04EBB3D4"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vAlign w:val="bottom"/>
            <w:hideMark/>
          </w:tcPr>
          <w:p w14:paraId="615E6DCE" w14:textId="77777777" w:rsidR="00794DBA" w:rsidRPr="0001092B" w:rsidRDefault="00794DBA" w:rsidP="00794DBA">
            <w:pPr>
              <w:rPr>
                <w:rFonts w:eastAsia="Times New Roman"/>
                <w:sz w:val="20"/>
                <w:szCs w:val="20"/>
              </w:rPr>
            </w:pPr>
          </w:p>
        </w:tc>
        <w:tc>
          <w:tcPr>
            <w:tcW w:w="835" w:type="dxa"/>
            <w:tcBorders>
              <w:top w:val="nil"/>
              <w:left w:val="nil"/>
              <w:bottom w:val="single" w:sz="8" w:space="0" w:color="auto"/>
              <w:right w:val="nil"/>
            </w:tcBorders>
            <w:shd w:val="clear" w:color="auto" w:fill="auto"/>
            <w:vAlign w:val="center"/>
            <w:hideMark/>
          </w:tcPr>
          <w:p w14:paraId="7EA774F6"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N</w:t>
            </w:r>
          </w:p>
        </w:tc>
        <w:tc>
          <w:tcPr>
            <w:tcW w:w="266" w:type="dxa"/>
            <w:tcBorders>
              <w:top w:val="nil"/>
              <w:left w:val="nil"/>
              <w:bottom w:val="nil"/>
              <w:right w:val="nil"/>
            </w:tcBorders>
            <w:shd w:val="clear" w:color="auto" w:fill="auto"/>
            <w:noWrap/>
            <w:vAlign w:val="bottom"/>
            <w:hideMark/>
          </w:tcPr>
          <w:p w14:paraId="793F0E9B" w14:textId="77777777" w:rsidR="00794DBA" w:rsidRPr="0001092B" w:rsidRDefault="00794DBA" w:rsidP="00794DBA">
            <w:pPr>
              <w:jc w:val="center"/>
              <w:rPr>
                <w:rFonts w:eastAsia="Times New Roman"/>
                <w:b/>
                <w:bCs/>
                <w:color w:val="000000"/>
                <w:sz w:val="22"/>
                <w:szCs w:val="22"/>
              </w:rPr>
            </w:pPr>
          </w:p>
        </w:tc>
        <w:tc>
          <w:tcPr>
            <w:tcW w:w="2188" w:type="dxa"/>
            <w:gridSpan w:val="2"/>
            <w:tcBorders>
              <w:top w:val="nil"/>
              <w:left w:val="nil"/>
              <w:bottom w:val="single" w:sz="8" w:space="0" w:color="auto"/>
              <w:right w:val="nil"/>
            </w:tcBorders>
            <w:shd w:val="clear" w:color="auto" w:fill="auto"/>
            <w:vAlign w:val="center"/>
            <w:hideMark/>
          </w:tcPr>
          <w:p w14:paraId="0320394A"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Duration</w:t>
            </w:r>
          </w:p>
        </w:tc>
        <w:tc>
          <w:tcPr>
            <w:tcW w:w="591" w:type="dxa"/>
            <w:tcBorders>
              <w:top w:val="nil"/>
              <w:left w:val="nil"/>
              <w:bottom w:val="nil"/>
              <w:right w:val="nil"/>
            </w:tcBorders>
            <w:shd w:val="clear" w:color="auto" w:fill="auto"/>
            <w:vAlign w:val="bottom"/>
            <w:hideMark/>
          </w:tcPr>
          <w:p w14:paraId="06426B6E" w14:textId="77777777" w:rsidR="00794DBA" w:rsidRPr="0001092B" w:rsidRDefault="00794DBA" w:rsidP="00794DBA">
            <w:pPr>
              <w:jc w:val="center"/>
              <w:rPr>
                <w:rFonts w:eastAsia="Times New Roman"/>
                <w:b/>
                <w:bCs/>
                <w:color w:val="000000"/>
                <w:sz w:val="22"/>
                <w:szCs w:val="22"/>
              </w:rPr>
            </w:pPr>
          </w:p>
        </w:tc>
        <w:tc>
          <w:tcPr>
            <w:tcW w:w="1907" w:type="dxa"/>
            <w:gridSpan w:val="3"/>
            <w:tcBorders>
              <w:top w:val="nil"/>
              <w:left w:val="nil"/>
              <w:bottom w:val="single" w:sz="8" w:space="0" w:color="auto"/>
              <w:right w:val="nil"/>
            </w:tcBorders>
            <w:shd w:val="clear" w:color="auto" w:fill="auto"/>
            <w:vAlign w:val="center"/>
            <w:hideMark/>
          </w:tcPr>
          <w:p w14:paraId="3D20207F"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Letters</w:t>
            </w:r>
          </w:p>
        </w:tc>
        <w:tc>
          <w:tcPr>
            <w:tcW w:w="602" w:type="dxa"/>
            <w:tcBorders>
              <w:top w:val="nil"/>
              <w:left w:val="nil"/>
              <w:bottom w:val="nil"/>
              <w:right w:val="nil"/>
            </w:tcBorders>
            <w:shd w:val="clear" w:color="auto" w:fill="auto"/>
            <w:noWrap/>
            <w:vAlign w:val="bottom"/>
            <w:hideMark/>
          </w:tcPr>
          <w:p w14:paraId="148B8830" w14:textId="77777777" w:rsidR="00794DBA" w:rsidRPr="0001092B" w:rsidRDefault="00794DBA" w:rsidP="00794DBA">
            <w:pPr>
              <w:jc w:val="center"/>
              <w:rPr>
                <w:rFonts w:eastAsia="Times New Roman"/>
                <w:b/>
                <w:bCs/>
                <w:color w:val="000000"/>
                <w:sz w:val="22"/>
                <w:szCs w:val="22"/>
              </w:rPr>
            </w:pPr>
          </w:p>
        </w:tc>
        <w:tc>
          <w:tcPr>
            <w:tcW w:w="4196" w:type="dxa"/>
            <w:gridSpan w:val="4"/>
            <w:tcBorders>
              <w:top w:val="nil"/>
              <w:left w:val="nil"/>
              <w:bottom w:val="single" w:sz="8" w:space="0" w:color="auto"/>
              <w:right w:val="nil"/>
            </w:tcBorders>
            <w:shd w:val="clear" w:color="auto" w:fill="auto"/>
            <w:vAlign w:val="center"/>
            <w:hideMark/>
          </w:tcPr>
          <w:p w14:paraId="47F45EBF"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Comments</w:t>
            </w:r>
          </w:p>
        </w:tc>
      </w:tr>
      <w:tr w:rsidR="00794DBA" w:rsidRPr="0001092B" w14:paraId="0DC6A803" w14:textId="77777777" w:rsidTr="00794DBA">
        <w:trPr>
          <w:trHeight w:val="585"/>
        </w:trPr>
        <w:tc>
          <w:tcPr>
            <w:tcW w:w="1514" w:type="dxa"/>
            <w:tcBorders>
              <w:top w:val="nil"/>
              <w:left w:val="nil"/>
              <w:bottom w:val="nil"/>
              <w:right w:val="nil"/>
            </w:tcBorders>
            <w:shd w:val="clear" w:color="auto" w:fill="auto"/>
            <w:vAlign w:val="bottom"/>
            <w:hideMark/>
          </w:tcPr>
          <w:p w14:paraId="2B7A2494" w14:textId="77777777" w:rsidR="00794DBA" w:rsidRPr="0001092B" w:rsidRDefault="00794DBA" w:rsidP="00794DBA">
            <w:pPr>
              <w:jc w:val="cente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07DA1C6F"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5581798F"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vAlign w:val="bottom"/>
            <w:hideMark/>
          </w:tcPr>
          <w:p w14:paraId="6321355E" w14:textId="77777777" w:rsidR="00794DBA" w:rsidRPr="0001092B" w:rsidRDefault="00794DBA" w:rsidP="00794DBA">
            <w:pPr>
              <w:rPr>
                <w:rFonts w:eastAsia="Times New Roman"/>
                <w:sz w:val="20"/>
                <w:szCs w:val="20"/>
              </w:rPr>
            </w:pPr>
          </w:p>
        </w:tc>
        <w:tc>
          <w:tcPr>
            <w:tcW w:w="835" w:type="dxa"/>
            <w:tcBorders>
              <w:top w:val="nil"/>
              <w:left w:val="nil"/>
              <w:bottom w:val="nil"/>
              <w:right w:val="nil"/>
            </w:tcBorders>
            <w:shd w:val="clear" w:color="auto" w:fill="auto"/>
            <w:vAlign w:val="bottom"/>
            <w:hideMark/>
          </w:tcPr>
          <w:p w14:paraId="0C094FDD"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5C49764C" w14:textId="77777777" w:rsidR="00794DBA" w:rsidRPr="0001092B" w:rsidRDefault="00794DBA" w:rsidP="00794DBA">
            <w:pPr>
              <w:rPr>
                <w:rFonts w:eastAsia="Times New Roman"/>
                <w:sz w:val="20"/>
                <w:szCs w:val="20"/>
              </w:rPr>
            </w:pPr>
          </w:p>
        </w:tc>
        <w:tc>
          <w:tcPr>
            <w:tcW w:w="985" w:type="dxa"/>
            <w:tcBorders>
              <w:top w:val="nil"/>
              <w:left w:val="nil"/>
              <w:bottom w:val="single" w:sz="8" w:space="0" w:color="auto"/>
              <w:right w:val="nil"/>
            </w:tcBorders>
            <w:shd w:val="clear" w:color="auto" w:fill="auto"/>
            <w:vAlign w:val="center"/>
            <w:hideMark/>
          </w:tcPr>
          <w:p w14:paraId="094C377A"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1203" w:type="dxa"/>
            <w:tcBorders>
              <w:top w:val="nil"/>
              <w:left w:val="nil"/>
              <w:bottom w:val="single" w:sz="8" w:space="0" w:color="auto"/>
              <w:right w:val="nil"/>
            </w:tcBorders>
            <w:shd w:val="clear" w:color="auto" w:fill="auto"/>
            <w:vAlign w:val="center"/>
            <w:hideMark/>
          </w:tcPr>
          <w:p w14:paraId="4BF8EC15"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c>
          <w:tcPr>
            <w:tcW w:w="591" w:type="dxa"/>
            <w:tcBorders>
              <w:top w:val="nil"/>
              <w:left w:val="nil"/>
              <w:bottom w:val="nil"/>
              <w:right w:val="nil"/>
            </w:tcBorders>
            <w:shd w:val="clear" w:color="auto" w:fill="auto"/>
            <w:vAlign w:val="bottom"/>
            <w:hideMark/>
          </w:tcPr>
          <w:p w14:paraId="2785B447" w14:textId="77777777" w:rsidR="00794DBA" w:rsidRPr="0001092B" w:rsidRDefault="00794DBA" w:rsidP="00794DBA">
            <w:pPr>
              <w:jc w:val="center"/>
              <w:rPr>
                <w:rFonts w:eastAsia="Times New Roman"/>
                <w:b/>
                <w:bCs/>
                <w:color w:val="000000"/>
                <w:sz w:val="22"/>
                <w:szCs w:val="22"/>
              </w:rPr>
            </w:pPr>
          </w:p>
        </w:tc>
        <w:tc>
          <w:tcPr>
            <w:tcW w:w="969" w:type="dxa"/>
            <w:tcBorders>
              <w:top w:val="nil"/>
              <w:left w:val="nil"/>
              <w:bottom w:val="single" w:sz="8" w:space="0" w:color="auto"/>
              <w:right w:val="nil"/>
            </w:tcBorders>
            <w:shd w:val="clear" w:color="auto" w:fill="auto"/>
            <w:vAlign w:val="center"/>
            <w:hideMark/>
          </w:tcPr>
          <w:p w14:paraId="4F61C8AE"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938" w:type="dxa"/>
            <w:gridSpan w:val="2"/>
            <w:tcBorders>
              <w:top w:val="single" w:sz="8" w:space="0" w:color="auto"/>
              <w:left w:val="nil"/>
              <w:bottom w:val="single" w:sz="8" w:space="0" w:color="auto"/>
              <w:right w:val="nil"/>
            </w:tcBorders>
            <w:shd w:val="clear" w:color="auto" w:fill="auto"/>
            <w:vAlign w:val="center"/>
            <w:hideMark/>
          </w:tcPr>
          <w:p w14:paraId="755CA096"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c>
          <w:tcPr>
            <w:tcW w:w="602" w:type="dxa"/>
            <w:tcBorders>
              <w:top w:val="nil"/>
              <w:left w:val="nil"/>
              <w:bottom w:val="nil"/>
              <w:right w:val="nil"/>
            </w:tcBorders>
            <w:shd w:val="clear" w:color="auto" w:fill="auto"/>
            <w:noWrap/>
            <w:vAlign w:val="bottom"/>
            <w:hideMark/>
          </w:tcPr>
          <w:p w14:paraId="7D89917A" w14:textId="77777777" w:rsidR="00794DBA" w:rsidRPr="0001092B" w:rsidRDefault="00794DBA" w:rsidP="00794DBA">
            <w:pPr>
              <w:jc w:val="center"/>
              <w:rPr>
                <w:rFonts w:eastAsia="Times New Roman"/>
                <w:b/>
                <w:bCs/>
                <w:color w:val="000000"/>
                <w:sz w:val="22"/>
                <w:szCs w:val="22"/>
              </w:rPr>
            </w:pPr>
          </w:p>
        </w:tc>
        <w:tc>
          <w:tcPr>
            <w:tcW w:w="1256" w:type="dxa"/>
            <w:tcBorders>
              <w:top w:val="nil"/>
              <w:left w:val="nil"/>
              <w:bottom w:val="single" w:sz="8" w:space="0" w:color="auto"/>
              <w:right w:val="nil"/>
            </w:tcBorders>
            <w:shd w:val="clear" w:color="auto" w:fill="auto"/>
            <w:vAlign w:val="center"/>
            <w:hideMark/>
          </w:tcPr>
          <w:p w14:paraId="219EE03F"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2940" w:type="dxa"/>
            <w:gridSpan w:val="3"/>
            <w:tcBorders>
              <w:top w:val="single" w:sz="8" w:space="0" w:color="auto"/>
              <w:left w:val="nil"/>
              <w:bottom w:val="single" w:sz="8" w:space="0" w:color="auto"/>
              <w:right w:val="nil"/>
            </w:tcBorders>
            <w:shd w:val="clear" w:color="auto" w:fill="auto"/>
            <w:vAlign w:val="center"/>
            <w:hideMark/>
          </w:tcPr>
          <w:p w14:paraId="670D8C27"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r>
      <w:tr w:rsidR="00794DBA" w:rsidRPr="0001092B" w14:paraId="02AFA0F0"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19282786"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Big 4 = 0</w:t>
            </w:r>
          </w:p>
        </w:tc>
        <w:tc>
          <w:tcPr>
            <w:tcW w:w="626" w:type="dxa"/>
            <w:tcBorders>
              <w:top w:val="nil"/>
              <w:left w:val="nil"/>
              <w:bottom w:val="nil"/>
              <w:right w:val="nil"/>
            </w:tcBorders>
            <w:shd w:val="clear" w:color="auto" w:fill="auto"/>
            <w:noWrap/>
            <w:vAlign w:val="center"/>
            <w:hideMark/>
          </w:tcPr>
          <w:p w14:paraId="34810E81"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56164800"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175</w:t>
            </w:r>
          </w:p>
        </w:tc>
        <w:tc>
          <w:tcPr>
            <w:tcW w:w="266" w:type="dxa"/>
            <w:tcBorders>
              <w:top w:val="nil"/>
              <w:left w:val="nil"/>
              <w:bottom w:val="nil"/>
              <w:right w:val="nil"/>
            </w:tcBorders>
            <w:shd w:val="clear" w:color="auto" w:fill="auto"/>
            <w:noWrap/>
            <w:vAlign w:val="bottom"/>
            <w:hideMark/>
          </w:tcPr>
          <w:p w14:paraId="2FD4F960"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186F956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118.5</w:t>
            </w:r>
          </w:p>
        </w:tc>
        <w:tc>
          <w:tcPr>
            <w:tcW w:w="1203" w:type="dxa"/>
            <w:tcBorders>
              <w:top w:val="nil"/>
              <w:left w:val="nil"/>
              <w:bottom w:val="nil"/>
              <w:right w:val="nil"/>
            </w:tcBorders>
            <w:shd w:val="clear" w:color="auto" w:fill="auto"/>
            <w:noWrap/>
            <w:vAlign w:val="center"/>
            <w:hideMark/>
          </w:tcPr>
          <w:p w14:paraId="0BC2FC0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94</w:t>
            </w:r>
          </w:p>
        </w:tc>
        <w:tc>
          <w:tcPr>
            <w:tcW w:w="591" w:type="dxa"/>
            <w:tcBorders>
              <w:top w:val="nil"/>
              <w:left w:val="nil"/>
              <w:bottom w:val="nil"/>
              <w:right w:val="nil"/>
            </w:tcBorders>
            <w:shd w:val="clear" w:color="auto" w:fill="auto"/>
            <w:noWrap/>
            <w:vAlign w:val="center"/>
            <w:hideMark/>
          </w:tcPr>
          <w:p w14:paraId="524BD5E3"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42593F87"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2.86</w:t>
            </w:r>
          </w:p>
        </w:tc>
        <w:tc>
          <w:tcPr>
            <w:tcW w:w="938" w:type="dxa"/>
            <w:gridSpan w:val="2"/>
            <w:tcBorders>
              <w:top w:val="single" w:sz="8" w:space="0" w:color="auto"/>
              <w:left w:val="nil"/>
              <w:bottom w:val="nil"/>
              <w:right w:val="nil"/>
            </w:tcBorders>
            <w:shd w:val="clear" w:color="auto" w:fill="auto"/>
            <w:noWrap/>
            <w:vAlign w:val="center"/>
            <w:hideMark/>
          </w:tcPr>
          <w:p w14:paraId="74E7049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bottom"/>
            <w:hideMark/>
          </w:tcPr>
          <w:p w14:paraId="5DA914C9"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3A8F58B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27.03</w:t>
            </w:r>
          </w:p>
        </w:tc>
        <w:tc>
          <w:tcPr>
            <w:tcW w:w="2940" w:type="dxa"/>
            <w:gridSpan w:val="3"/>
            <w:tcBorders>
              <w:top w:val="single" w:sz="8" w:space="0" w:color="auto"/>
              <w:left w:val="nil"/>
              <w:bottom w:val="nil"/>
              <w:right w:val="nil"/>
            </w:tcBorders>
            <w:shd w:val="clear" w:color="auto" w:fill="auto"/>
            <w:noWrap/>
            <w:vAlign w:val="center"/>
            <w:hideMark/>
          </w:tcPr>
          <w:p w14:paraId="284BE57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13</w:t>
            </w:r>
          </w:p>
        </w:tc>
      </w:tr>
      <w:tr w:rsidR="00794DBA" w:rsidRPr="0001092B" w14:paraId="1FAEE9A2"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26BDD754"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Big 4 = 1</w:t>
            </w:r>
          </w:p>
        </w:tc>
        <w:tc>
          <w:tcPr>
            <w:tcW w:w="626" w:type="dxa"/>
            <w:tcBorders>
              <w:top w:val="nil"/>
              <w:left w:val="nil"/>
              <w:bottom w:val="nil"/>
              <w:right w:val="nil"/>
            </w:tcBorders>
            <w:shd w:val="clear" w:color="auto" w:fill="auto"/>
            <w:noWrap/>
            <w:vAlign w:val="center"/>
            <w:hideMark/>
          </w:tcPr>
          <w:p w14:paraId="5BFA7793"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32CA2CE0"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723</w:t>
            </w:r>
          </w:p>
        </w:tc>
        <w:tc>
          <w:tcPr>
            <w:tcW w:w="266" w:type="dxa"/>
            <w:tcBorders>
              <w:top w:val="nil"/>
              <w:left w:val="nil"/>
              <w:bottom w:val="nil"/>
              <w:right w:val="nil"/>
            </w:tcBorders>
            <w:shd w:val="clear" w:color="auto" w:fill="auto"/>
            <w:noWrap/>
            <w:vAlign w:val="bottom"/>
            <w:hideMark/>
          </w:tcPr>
          <w:p w14:paraId="11286B7D"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56B05348" w14:textId="17E2CE5B"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117</w:t>
            </w:r>
            <w:r w:rsidR="00A7059E">
              <w:rPr>
                <w:rFonts w:eastAsia="Times New Roman"/>
                <w:color w:val="000000"/>
                <w:sz w:val="22"/>
                <w:szCs w:val="22"/>
              </w:rPr>
              <w:t>.00</w:t>
            </w:r>
          </w:p>
        </w:tc>
        <w:tc>
          <w:tcPr>
            <w:tcW w:w="1203" w:type="dxa"/>
            <w:tcBorders>
              <w:top w:val="nil"/>
              <w:left w:val="nil"/>
              <w:bottom w:val="nil"/>
              <w:right w:val="nil"/>
            </w:tcBorders>
            <w:shd w:val="clear" w:color="auto" w:fill="auto"/>
            <w:noWrap/>
            <w:vAlign w:val="center"/>
            <w:hideMark/>
          </w:tcPr>
          <w:p w14:paraId="4577C5D3"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87</w:t>
            </w:r>
          </w:p>
        </w:tc>
        <w:tc>
          <w:tcPr>
            <w:tcW w:w="591" w:type="dxa"/>
            <w:tcBorders>
              <w:top w:val="nil"/>
              <w:left w:val="nil"/>
              <w:bottom w:val="nil"/>
              <w:right w:val="nil"/>
            </w:tcBorders>
            <w:shd w:val="clear" w:color="auto" w:fill="auto"/>
            <w:noWrap/>
            <w:vAlign w:val="center"/>
            <w:hideMark/>
          </w:tcPr>
          <w:p w14:paraId="1EED133C"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0807A7A3"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2.73</w:t>
            </w:r>
          </w:p>
        </w:tc>
        <w:tc>
          <w:tcPr>
            <w:tcW w:w="938" w:type="dxa"/>
            <w:gridSpan w:val="2"/>
            <w:tcBorders>
              <w:top w:val="nil"/>
              <w:left w:val="nil"/>
              <w:bottom w:val="nil"/>
              <w:right w:val="nil"/>
            </w:tcBorders>
            <w:shd w:val="clear" w:color="auto" w:fill="auto"/>
            <w:noWrap/>
            <w:vAlign w:val="center"/>
            <w:hideMark/>
          </w:tcPr>
          <w:p w14:paraId="28B6CC97"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bottom"/>
            <w:hideMark/>
          </w:tcPr>
          <w:p w14:paraId="07D3956D"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5B181E88"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26.44</w:t>
            </w:r>
          </w:p>
        </w:tc>
        <w:tc>
          <w:tcPr>
            <w:tcW w:w="2940" w:type="dxa"/>
            <w:gridSpan w:val="3"/>
            <w:tcBorders>
              <w:top w:val="nil"/>
              <w:left w:val="nil"/>
              <w:bottom w:val="nil"/>
              <w:right w:val="nil"/>
            </w:tcBorders>
            <w:shd w:val="clear" w:color="auto" w:fill="auto"/>
            <w:noWrap/>
            <w:vAlign w:val="center"/>
            <w:hideMark/>
          </w:tcPr>
          <w:p w14:paraId="4758407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22</w:t>
            </w:r>
          </w:p>
        </w:tc>
      </w:tr>
      <w:tr w:rsidR="00794DBA" w:rsidRPr="0001092B" w14:paraId="12E2514D" w14:textId="77777777" w:rsidTr="00794DBA">
        <w:trPr>
          <w:trHeight w:val="615"/>
        </w:trPr>
        <w:tc>
          <w:tcPr>
            <w:tcW w:w="2747" w:type="dxa"/>
            <w:gridSpan w:val="3"/>
            <w:tcBorders>
              <w:top w:val="nil"/>
              <w:left w:val="nil"/>
              <w:bottom w:val="nil"/>
              <w:right w:val="nil"/>
            </w:tcBorders>
            <w:shd w:val="clear" w:color="auto" w:fill="auto"/>
            <w:vAlign w:val="center"/>
            <w:hideMark/>
          </w:tcPr>
          <w:p w14:paraId="1445A6C0"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 test (mean)/</w:t>
            </w:r>
            <w:r w:rsidRPr="0001092B">
              <w:rPr>
                <w:rFonts w:eastAsia="Times New Roman"/>
                <w:color w:val="000000"/>
              </w:rPr>
              <w:t xml:space="preserve"> </w:t>
            </w:r>
            <w:r w:rsidRPr="0001092B">
              <w:rPr>
                <w:rFonts w:eastAsia="Times New Roman"/>
                <w:color w:val="000000"/>
                <w:sz w:val="22"/>
                <w:szCs w:val="22"/>
              </w:rPr>
              <w:t>Wilcoxon rank-sum test (median)</w:t>
            </w:r>
          </w:p>
        </w:tc>
        <w:tc>
          <w:tcPr>
            <w:tcW w:w="626" w:type="dxa"/>
            <w:tcBorders>
              <w:top w:val="nil"/>
              <w:left w:val="nil"/>
              <w:bottom w:val="nil"/>
              <w:right w:val="nil"/>
            </w:tcBorders>
            <w:shd w:val="clear" w:color="auto" w:fill="auto"/>
            <w:noWrap/>
            <w:vAlign w:val="center"/>
            <w:hideMark/>
          </w:tcPr>
          <w:p w14:paraId="4F1ABE62"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50069D00"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28C1FC51" w14:textId="77777777" w:rsidR="00794DBA" w:rsidRPr="0001092B" w:rsidRDefault="00794DBA" w:rsidP="00794DBA">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34F977CF"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0.89</w:t>
            </w:r>
          </w:p>
        </w:tc>
        <w:tc>
          <w:tcPr>
            <w:tcW w:w="1203" w:type="dxa"/>
            <w:tcBorders>
              <w:top w:val="nil"/>
              <w:left w:val="nil"/>
              <w:bottom w:val="nil"/>
              <w:right w:val="nil"/>
            </w:tcBorders>
            <w:shd w:val="clear" w:color="auto" w:fill="auto"/>
            <w:noWrap/>
            <w:vAlign w:val="center"/>
            <w:hideMark/>
          </w:tcPr>
          <w:p w14:paraId="61760582"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0.1</w:t>
            </w:r>
          </w:p>
        </w:tc>
        <w:tc>
          <w:tcPr>
            <w:tcW w:w="591" w:type="dxa"/>
            <w:tcBorders>
              <w:top w:val="nil"/>
              <w:left w:val="nil"/>
              <w:bottom w:val="nil"/>
              <w:right w:val="nil"/>
            </w:tcBorders>
            <w:shd w:val="clear" w:color="auto" w:fill="auto"/>
            <w:noWrap/>
            <w:vAlign w:val="center"/>
            <w:hideMark/>
          </w:tcPr>
          <w:p w14:paraId="07BE26BE"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24E10AB0"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0.48</w:t>
            </w:r>
          </w:p>
        </w:tc>
        <w:tc>
          <w:tcPr>
            <w:tcW w:w="938" w:type="dxa"/>
            <w:gridSpan w:val="2"/>
            <w:tcBorders>
              <w:top w:val="nil"/>
              <w:left w:val="nil"/>
              <w:bottom w:val="nil"/>
              <w:right w:val="nil"/>
            </w:tcBorders>
            <w:shd w:val="clear" w:color="auto" w:fill="auto"/>
            <w:noWrap/>
            <w:vAlign w:val="center"/>
            <w:hideMark/>
          </w:tcPr>
          <w:p w14:paraId="6863B63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0.4</w:t>
            </w:r>
          </w:p>
        </w:tc>
        <w:tc>
          <w:tcPr>
            <w:tcW w:w="602" w:type="dxa"/>
            <w:tcBorders>
              <w:top w:val="nil"/>
              <w:left w:val="nil"/>
              <w:bottom w:val="nil"/>
              <w:right w:val="nil"/>
            </w:tcBorders>
            <w:shd w:val="clear" w:color="auto" w:fill="auto"/>
            <w:noWrap/>
            <w:vAlign w:val="bottom"/>
            <w:hideMark/>
          </w:tcPr>
          <w:p w14:paraId="545313C2"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1229CBE7"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0.79</w:t>
            </w:r>
          </w:p>
        </w:tc>
        <w:tc>
          <w:tcPr>
            <w:tcW w:w="2940" w:type="dxa"/>
            <w:gridSpan w:val="3"/>
            <w:tcBorders>
              <w:top w:val="nil"/>
              <w:left w:val="nil"/>
              <w:bottom w:val="nil"/>
              <w:right w:val="nil"/>
            </w:tcBorders>
            <w:shd w:val="clear" w:color="auto" w:fill="auto"/>
            <w:noWrap/>
            <w:vAlign w:val="center"/>
            <w:hideMark/>
          </w:tcPr>
          <w:p w14:paraId="688008E6"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0.93</w:t>
            </w:r>
          </w:p>
        </w:tc>
      </w:tr>
      <w:tr w:rsidR="00794DBA" w:rsidRPr="0001092B" w14:paraId="44D94F52" w14:textId="77777777" w:rsidTr="00794DBA">
        <w:trPr>
          <w:trHeight w:val="315"/>
        </w:trPr>
        <w:tc>
          <w:tcPr>
            <w:tcW w:w="2747" w:type="dxa"/>
            <w:gridSpan w:val="3"/>
            <w:tcBorders>
              <w:top w:val="nil"/>
              <w:left w:val="nil"/>
              <w:bottom w:val="single" w:sz="8" w:space="0" w:color="auto"/>
              <w:right w:val="nil"/>
            </w:tcBorders>
            <w:shd w:val="clear" w:color="auto" w:fill="auto"/>
            <w:noWrap/>
            <w:vAlign w:val="center"/>
            <w:hideMark/>
          </w:tcPr>
          <w:p w14:paraId="0F55A01D"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Total</w:t>
            </w:r>
          </w:p>
        </w:tc>
        <w:tc>
          <w:tcPr>
            <w:tcW w:w="626" w:type="dxa"/>
            <w:tcBorders>
              <w:top w:val="nil"/>
              <w:left w:val="nil"/>
              <w:bottom w:val="single" w:sz="8" w:space="0" w:color="auto"/>
              <w:right w:val="nil"/>
            </w:tcBorders>
            <w:shd w:val="clear" w:color="auto" w:fill="auto"/>
            <w:noWrap/>
            <w:vAlign w:val="center"/>
            <w:hideMark/>
          </w:tcPr>
          <w:p w14:paraId="62EC214B"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 </w:t>
            </w:r>
          </w:p>
        </w:tc>
        <w:tc>
          <w:tcPr>
            <w:tcW w:w="835" w:type="dxa"/>
            <w:tcBorders>
              <w:top w:val="nil"/>
              <w:left w:val="nil"/>
              <w:bottom w:val="single" w:sz="8" w:space="0" w:color="auto"/>
              <w:right w:val="nil"/>
            </w:tcBorders>
            <w:shd w:val="clear" w:color="auto" w:fill="auto"/>
            <w:noWrap/>
            <w:vAlign w:val="center"/>
            <w:hideMark/>
          </w:tcPr>
          <w:p w14:paraId="17C63342"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898</w:t>
            </w:r>
          </w:p>
        </w:tc>
        <w:tc>
          <w:tcPr>
            <w:tcW w:w="266" w:type="dxa"/>
            <w:tcBorders>
              <w:top w:val="nil"/>
              <w:left w:val="nil"/>
              <w:bottom w:val="single" w:sz="8" w:space="0" w:color="auto"/>
              <w:right w:val="nil"/>
            </w:tcBorders>
            <w:shd w:val="clear" w:color="auto" w:fill="auto"/>
            <w:noWrap/>
            <w:vAlign w:val="bottom"/>
            <w:hideMark/>
          </w:tcPr>
          <w:p w14:paraId="29A92BDE"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85" w:type="dxa"/>
            <w:tcBorders>
              <w:top w:val="nil"/>
              <w:left w:val="nil"/>
              <w:bottom w:val="single" w:sz="8" w:space="0" w:color="auto"/>
              <w:right w:val="nil"/>
            </w:tcBorders>
            <w:shd w:val="clear" w:color="auto" w:fill="auto"/>
            <w:noWrap/>
            <w:vAlign w:val="center"/>
            <w:hideMark/>
          </w:tcPr>
          <w:p w14:paraId="5A04A2A9"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117.3</w:t>
            </w:r>
          </w:p>
        </w:tc>
        <w:tc>
          <w:tcPr>
            <w:tcW w:w="1203" w:type="dxa"/>
            <w:tcBorders>
              <w:top w:val="nil"/>
              <w:left w:val="nil"/>
              <w:bottom w:val="single" w:sz="8" w:space="0" w:color="auto"/>
              <w:right w:val="nil"/>
            </w:tcBorders>
            <w:shd w:val="clear" w:color="auto" w:fill="auto"/>
            <w:noWrap/>
            <w:vAlign w:val="center"/>
            <w:hideMark/>
          </w:tcPr>
          <w:p w14:paraId="7EE12461"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w:t>
            </w:r>
          </w:p>
        </w:tc>
        <w:tc>
          <w:tcPr>
            <w:tcW w:w="591" w:type="dxa"/>
            <w:tcBorders>
              <w:top w:val="nil"/>
              <w:left w:val="nil"/>
              <w:bottom w:val="single" w:sz="8" w:space="0" w:color="auto"/>
              <w:right w:val="nil"/>
            </w:tcBorders>
            <w:shd w:val="clear" w:color="auto" w:fill="auto"/>
            <w:noWrap/>
            <w:vAlign w:val="center"/>
            <w:hideMark/>
          </w:tcPr>
          <w:p w14:paraId="1E3D882A"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69" w:type="dxa"/>
            <w:tcBorders>
              <w:top w:val="nil"/>
              <w:left w:val="nil"/>
              <w:bottom w:val="single" w:sz="8" w:space="0" w:color="auto"/>
              <w:right w:val="nil"/>
            </w:tcBorders>
            <w:shd w:val="clear" w:color="auto" w:fill="auto"/>
            <w:noWrap/>
            <w:vAlign w:val="center"/>
            <w:hideMark/>
          </w:tcPr>
          <w:p w14:paraId="399D6E87"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2.76</w:t>
            </w:r>
          </w:p>
        </w:tc>
        <w:tc>
          <w:tcPr>
            <w:tcW w:w="938" w:type="dxa"/>
            <w:gridSpan w:val="2"/>
            <w:tcBorders>
              <w:top w:val="nil"/>
              <w:left w:val="nil"/>
              <w:bottom w:val="single" w:sz="8" w:space="0" w:color="auto"/>
              <w:right w:val="nil"/>
            </w:tcBorders>
            <w:shd w:val="clear" w:color="auto" w:fill="auto"/>
            <w:noWrap/>
            <w:vAlign w:val="center"/>
            <w:hideMark/>
          </w:tcPr>
          <w:p w14:paraId="67A5FE84"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single" w:sz="8" w:space="0" w:color="auto"/>
              <w:right w:val="nil"/>
            </w:tcBorders>
            <w:shd w:val="clear" w:color="auto" w:fill="auto"/>
            <w:noWrap/>
            <w:vAlign w:val="bottom"/>
            <w:hideMark/>
          </w:tcPr>
          <w:p w14:paraId="6622071C"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1256" w:type="dxa"/>
            <w:tcBorders>
              <w:top w:val="nil"/>
              <w:left w:val="nil"/>
              <w:bottom w:val="single" w:sz="8" w:space="0" w:color="auto"/>
              <w:right w:val="nil"/>
            </w:tcBorders>
            <w:shd w:val="clear" w:color="auto" w:fill="auto"/>
            <w:noWrap/>
            <w:vAlign w:val="center"/>
            <w:hideMark/>
          </w:tcPr>
          <w:p w14:paraId="4277B25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26.55</w:t>
            </w:r>
          </w:p>
        </w:tc>
        <w:tc>
          <w:tcPr>
            <w:tcW w:w="2940" w:type="dxa"/>
            <w:gridSpan w:val="3"/>
            <w:tcBorders>
              <w:top w:val="nil"/>
              <w:left w:val="nil"/>
              <w:bottom w:val="single" w:sz="8" w:space="0" w:color="auto"/>
              <w:right w:val="nil"/>
            </w:tcBorders>
            <w:shd w:val="clear" w:color="auto" w:fill="auto"/>
            <w:noWrap/>
            <w:vAlign w:val="center"/>
            <w:hideMark/>
          </w:tcPr>
          <w:p w14:paraId="05025090"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22</w:t>
            </w:r>
          </w:p>
        </w:tc>
      </w:tr>
      <w:tr w:rsidR="00794DBA" w:rsidRPr="0001092B" w14:paraId="606D1B87" w14:textId="77777777" w:rsidTr="00794DBA">
        <w:trPr>
          <w:trHeight w:val="300"/>
        </w:trPr>
        <w:tc>
          <w:tcPr>
            <w:tcW w:w="2747" w:type="dxa"/>
            <w:gridSpan w:val="3"/>
            <w:tcBorders>
              <w:top w:val="single" w:sz="8" w:space="0" w:color="auto"/>
              <w:left w:val="nil"/>
              <w:bottom w:val="nil"/>
              <w:right w:val="nil"/>
            </w:tcBorders>
            <w:shd w:val="clear" w:color="auto" w:fill="auto"/>
            <w:noWrap/>
            <w:vAlign w:val="center"/>
            <w:hideMark/>
          </w:tcPr>
          <w:p w14:paraId="5FC4E0AB"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lastRenderedPageBreak/>
              <w:t> </w:t>
            </w:r>
          </w:p>
        </w:tc>
        <w:tc>
          <w:tcPr>
            <w:tcW w:w="626" w:type="dxa"/>
            <w:tcBorders>
              <w:top w:val="nil"/>
              <w:left w:val="nil"/>
              <w:bottom w:val="nil"/>
              <w:right w:val="nil"/>
            </w:tcBorders>
            <w:shd w:val="clear" w:color="auto" w:fill="auto"/>
            <w:noWrap/>
            <w:vAlign w:val="center"/>
            <w:hideMark/>
          </w:tcPr>
          <w:p w14:paraId="1EEBDED5"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59D05BA2"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center"/>
            <w:hideMark/>
          </w:tcPr>
          <w:p w14:paraId="29582FEB" w14:textId="77777777" w:rsidR="00794DBA" w:rsidRPr="0001092B" w:rsidRDefault="00794DBA" w:rsidP="00794DBA">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37330A96" w14:textId="77777777" w:rsidR="00794DBA" w:rsidRPr="0001092B" w:rsidRDefault="00794DBA" w:rsidP="00794DBA">
            <w:pPr>
              <w:rPr>
                <w:rFonts w:eastAsia="Times New Roman"/>
                <w:sz w:val="20"/>
                <w:szCs w:val="20"/>
              </w:rPr>
            </w:pPr>
          </w:p>
        </w:tc>
        <w:tc>
          <w:tcPr>
            <w:tcW w:w="1203" w:type="dxa"/>
            <w:tcBorders>
              <w:top w:val="nil"/>
              <w:left w:val="nil"/>
              <w:bottom w:val="nil"/>
              <w:right w:val="nil"/>
            </w:tcBorders>
            <w:shd w:val="clear" w:color="auto" w:fill="auto"/>
            <w:noWrap/>
            <w:vAlign w:val="center"/>
            <w:hideMark/>
          </w:tcPr>
          <w:p w14:paraId="3C29E985" w14:textId="77777777" w:rsidR="00794DBA" w:rsidRPr="0001092B" w:rsidRDefault="00794DBA" w:rsidP="00794DBA">
            <w:pPr>
              <w:rPr>
                <w:rFonts w:eastAsia="Times New Roman"/>
                <w:sz w:val="20"/>
                <w:szCs w:val="20"/>
              </w:rPr>
            </w:pPr>
          </w:p>
        </w:tc>
        <w:tc>
          <w:tcPr>
            <w:tcW w:w="591" w:type="dxa"/>
            <w:tcBorders>
              <w:top w:val="nil"/>
              <w:left w:val="nil"/>
              <w:bottom w:val="nil"/>
              <w:right w:val="nil"/>
            </w:tcBorders>
            <w:shd w:val="clear" w:color="auto" w:fill="auto"/>
            <w:noWrap/>
            <w:vAlign w:val="center"/>
            <w:hideMark/>
          </w:tcPr>
          <w:p w14:paraId="2EF062AB" w14:textId="77777777" w:rsidR="00794DBA" w:rsidRPr="0001092B" w:rsidRDefault="00794DBA" w:rsidP="00794DBA">
            <w:pPr>
              <w:rPr>
                <w:rFonts w:eastAsia="Times New Roman"/>
                <w:sz w:val="20"/>
                <w:szCs w:val="20"/>
              </w:rPr>
            </w:pPr>
          </w:p>
        </w:tc>
        <w:tc>
          <w:tcPr>
            <w:tcW w:w="969" w:type="dxa"/>
            <w:tcBorders>
              <w:top w:val="nil"/>
              <w:left w:val="nil"/>
              <w:bottom w:val="nil"/>
              <w:right w:val="nil"/>
            </w:tcBorders>
            <w:shd w:val="clear" w:color="auto" w:fill="auto"/>
            <w:noWrap/>
            <w:vAlign w:val="center"/>
            <w:hideMark/>
          </w:tcPr>
          <w:p w14:paraId="5705FB4F" w14:textId="77777777" w:rsidR="00794DBA" w:rsidRPr="0001092B" w:rsidRDefault="00794DBA" w:rsidP="00794DBA">
            <w:pPr>
              <w:rPr>
                <w:rFonts w:eastAsia="Times New Roman"/>
                <w:sz w:val="20"/>
                <w:szCs w:val="20"/>
              </w:rPr>
            </w:pPr>
          </w:p>
        </w:tc>
        <w:tc>
          <w:tcPr>
            <w:tcW w:w="938" w:type="dxa"/>
            <w:gridSpan w:val="2"/>
            <w:tcBorders>
              <w:top w:val="single" w:sz="8" w:space="0" w:color="auto"/>
              <w:left w:val="nil"/>
              <w:bottom w:val="nil"/>
              <w:right w:val="nil"/>
            </w:tcBorders>
            <w:shd w:val="clear" w:color="auto" w:fill="auto"/>
            <w:noWrap/>
            <w:vAlign w:val="center"/>
            <w:hideMark/>
          </w:tcPr>
          <w:p w14:paraId="1B86E097"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 </w:t>
            </w:r>
          </w:p>
        </w:tc>
        <w:tc>
          <w:tcPr>
            <w:tcW w:w="602" w:type="dxa"/>
            <w:tcBorders>
              <w:top w:val="nil"/>
              <w:left w:val="nil"/>
              <w:bottom w:val="nil"/>
              <w:right w:val="nil"/>
            </w:tcBorders>
            <w:shd w:val="clear" w:color="auto" w:fill="auto"/>
            <w:noWrap/>
            <w:vAlign w:val="center"/>
            <w:hideMark/>
          </w:tcPr>
          <w:p w14:paraId="2062C0FF" w14:textId="77777777" w:rsidR="00794DBA" w:rsidRPr="0001092B" w:rsidRDefault="00794DBA" w:rsidP="00794DBA">
            <w:pP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0792BCB3" w14:textId="77777777" w:rsidR="00794DBA" w:rsidRPr="0001092B" w:rsidRDefault="00794DBA" w:rsidP="00794DBA">
            <w:pPr>
              <w:rPr>
                <w:rFonts w:eastAsia="Times New Roman"/>
                <w:sz w:val="20"/>
                <w:szCs w:val="20"/>
              </w:rPr>
            </w:pPr>
          </w:p>
        </w:tc>
        <w:tc>
          <w:tcPr>
            <w:tcW w:w="2940" w:type="dxa"/>
            <w:gridSpan w:val="3"/>
            <w:tcBorders>
              <w:top w:val="single" w:sz="8" w:space="0" w:color="auto"/>
              <w:left w:val="nil"/>
              <w:bottom w:val="nil"/>
              <w:right w:val="nil"/>
            </w:tcBorders>
            <w:shd w:val="clear" w:color="auto" w:fill="auto"/>
            <w:noWrap/>
            <w:vAlign w:val="center"/>
            <w:hideMark/>
          </w:tcPr>
          <w:p w14:paraId="235DCC23"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 </w:t>
            </w:r>
          </w:p>
        </w:tc>
      </w:tr>
      <w:tr w:rsidR="00794DBA" w:rsidRPr="0001092B" w14:paraId="23A28308" w14:textId="77777777" w:rsidTr="00794DBA">
        <w:trPr>
          <w:trHeight w:val="315"/>
        </w:trPr>
        <w:tc>
          <w:tcPr>
            <w:tcW w:w="7253" w:type="dxa"/>
            <w:gridSpan w:val="9"/>
            <w:tcBorders>
              <w:top w:val="nil"/>
              <w:left w:val="nil"/>
              <w:bottom w:val="nil"/>
              <w:right w:val="nil"/>
            </w:tcBorders>
            <w:shd w:val="clear" w:color="auto" w:fill="auto"/>
            <w:noWrap/>
            <w:vAlign w:val="center"/>
            <w:hideMark/>
          </w:tcPr>
          <w:p w14:paraId="54C5E874" w14:textId="77777777" w:rsidR="00794DBA" w:rsidRPr="0001092B" w:rsidRDefault="00794DBA" w:rsidP="00794DBA">
            <w:pPr>
              <w:rPr>
                <w:rFonts w:eastAsia="Times New Roman"/>
                <w:b/>
                <w:bCs/>
                <w:color w:val="000000"/>
                <w:sz w:val="22"/>
                <w:szCs w:val="22"/>
              </w:rPr>
            </w:pPr>
            <w:r w:rsidRPr="0001092B">
              <w:rPr>
                <w:rFonts w:eastAsia="Times New Roman"/>
                <w:b/>
                <w:bCs/>
                <w:color w:val="000000"/>
                <w:sz w:val="22"/>
                <w:szCs w:val="22"/>
              </w:rPr>
              <w:t>Panel D. Descriptive statistics of SEC review attributes by earnings of IPO firms</w:t>
            </w:r>
          </w:p>
        </w:tc>
        <w:tc>
          <w:tcPr>
            <w:tcW w:w="969" w:type="dxa"/>
            <w:tcBorders>
              <w:top w:val="nil"/>
              <w:left w:val="nil"/>
              <w:bottom w:val="nil"/>
              <w:right w:val="nil"/>
            </w:tcBorders>
            <w:shd w:val="clear" w:color="auto" w:fill="auto"/>
            <w:noWrap/>
            <w:vAlign w:val="bottom"/>
            <w:hideMark/>
          </w:tcPr>
          <w:p w14:paraId="47737EE2" w14:textId="77777777" w:rsidR="00794DBA" w:rsidRPr="0001092B" w:rsidRDefault="00794DBA" w:rsidP="00794DBA">
            <w:pPr>
              <w:rPr>
                <w:rFonts w:eastAsia="Times New Roman"/>
                <w:b/>
                <w:bCs/>
                <w:color w:val="000000"/>
                <w:sz w:val="22"/>
                <w:szCs w:val="22"/>
              </w:rPr>
            </w:pPr>
          </w:p>
        </w:tc>
        <w:tc>
          <w:tcPr>
            <w:tcW w:w="469" w:type="dxa"/>
            <w:tcBorders>
              <w:top w:val="nil"/>
              <w:left w:val="nil"/>
              <w:bottom w:val="nil"/>
              <w:right w:val="nil"/>
            </w:tcBorders>
            <w:shd w:val="clear" w:color="auto" w:fill="auto"/>
            <w:noWrap/>
            <w:vAlign w:val="bottom"/>
            <w:hideMark/>
          </w:tcPr>
          <w:p w14:paraId="34D78EA7" w14:textId="77777777" w:rsidR="00794DBA" w:rsidRPr="0001092B" w:rsidRDefault="00794DBA" w:rsidP="00794DBA">
            <w:pPr>
              <w:rPr>
                <w:rFonts w:eastAsia="Times New Roman"/>
                <w:sz w:val="20"/>
                <w:szCs w:val="20"/>
              </w:rPr>
            </w:pPr>
          </w:p>
        </w:tc>
        <w:tc>
          <w:tcPr>
            <w:tcW w:w="469" w:type="dxa"/>
            <w:tcBorders>
              <w:top w:val="nil"/>
              <w:left w:val="nil"/>
              <w:bottom w:val="nil"/>
              <w:right w:val="nil"/>
            </w:tcBorders>
            <w:shd w:val="clear" w:color="auto" w:fill="auto"/>
            <w:noWrap/>
            <w:vAlign w:val="bottom"/>
            <w:hideMark/>
          </w:tcPr>
          <w:p w14:paraId="4C885B62" w14:textId="77777777" w:rsidR="00794DBA" w:rsidRPr="0001092B" w:rsidRDefault="00794DBA" w:rsidP="00794DBA">
            <w:pPr>
              <w:rPr>
                <w:rFonts w:eastAsia="Times New Roman"/>
                <w:sz w:val="20"/>
                <w:szCs w:val="20"/>
              </w:rPr>
            </w:pPr>
          </w:p>
        </w:tc>
        <w:tc>
          <w:tcPr>
            <w:tcW w:w="602" w:type="dxa"/>
            <w:tcBorders>
              <w:top w:val="nil"/>
              <w:left w:val="nil"/>
              <w:bottom w:val="nil"/>
              <w:right w:val="nil"/>
            </w:tcBorders>
            <w:shd w:val="clear" w:color="auto" w:fill="auto"/>
            <w:noWrap/>
            <w:vAlign w:val="bottom"/>
            <w:hideMark/>
          </w:tcPr>
          <w:p w14:paraId="262699B7" w14:textId="77777777" w:rsidR="00794DBA" w:rsidRPr="0001092B" w:rsidRDefault="00794DBA" w:rsidP="00794DBA">
            <w:pPr>
              <w:rPr>
                <w:rFonts w:eastAsia="Times New Roman"/>
                <w:sz w:val="20"/>
                <w:szCs w:val="20"/>
              </w:rPr>
            </w:pPr>
          </w:p>
        </w:tc>
        <w:tc>
          <w:tcPr>
            <w:tcW w:w="1256" w:type="dxa"/>
            <w:tcBorders>
              <w:top w:val="nil"/>
              <w:left w:val="nil"/>
              <w:bottom w:val="nil"/>
              <w:right w:val="nil"/>
            </w:tcBorders>
            <w:shd w:val="clear" w:color="auto" w:fill="auto"/>
            <w:noWrap/>
            <w:vAlign w:val="bottom"/>
            <w:hideMark/>
          </w:tcPr>
          <w:p w14:paraId="31E3D686" w14:textId="77777777" w:rsidR="00794DBA" w:rsidRPr="0001092B" w:rsidRDefault="00794DBA" w:rsidP="00794DBA">
            <w:pPr>
              <w:rPr>
                <w:rFonts w:eastAsia="Times New Roman"/>
                <w:sz w:val="20"/>
                <w:szCs w:val="20"/>
              </w:rPr>
            </w:pPr>
          </w:p>
        </w:tc>
        <w:tc>
          <w:tcPr>
            <w:tcW w:w="842" w:type="dxa"/>
            <w:tcBorders>
              <w:top w:val="nil"/>
              <w:left w:val="nil"/>
              <w:bottom w:val="nil"/>
              <w:right w:val="nil"/>
            </w:tcBorders>
            <w:shd w:val="clear" w:color="auto" w:fill="auto"/>
            <w:noWrap/>
            <w:vAlign w:val="bottom"/>
            <w:hideMark/>
          </w:tcPr>
          <w:p w14:paraId="0CA9B2BE" w14:textId="77777777" w:rsidR="00794DBA" w:rsidRPr="0001092B" w:rsidRDefault="00794DBA" w:rsidP="00794DBA">
            <w:pPr>
              <w:rPr>
                <w:rFonts w:eastAsia="Times New Roman"/>
                <w:sz w:val="20"/>
                <w:szCs w:val="20"/>
              </w:rPr>
            </w:pPr>
          </w:p>
        </w:tc>
        <w:tc>
          <w:tcPr>
            <w:tcW w:w="951" w:type="dxa"/>
            <w:tcBorders>
              <w:top w:val="nil"/>
              <w:left w:val="nil"/>
              <w:bottom w:val="nil"/>
              <w:right w:val="nil"/>
            </w:tcBorders>
            <w:shd w:val="clear" w:color="auto" w:fill="auto"/>
            <w:noWrap/>
            <w:vAlign w:val="bottom"/>
            <w:hideMark/>
          </w:tcPr>
          <w:p w14:paraId="653AD141" w14:textId="77777777" w:rsidR="00794DBA" w:rsidRPr="0001092B" w:rsidRDefault="00794DBA" w:rsidP="00794DBA">
            <w:pPr>
              <w:rPr>
                <w:rFonts w:eastAsia="Times New Roman"/>
                <w:sz w:val="20"/>
                <w:szCs w:val="20"/>
              </w:rPr>
            </w:pPr>
          </w:p>
        </w:tc>
        <w:tc>
          <w:tcPr>
            <w:tcW w:w="1147" w:type="dxa"/>
            <w:tcBorders>
              <w:top w:val="nil"/>
              <w:left w:val="nil"/>
              <w:bottom w:val="nil"/>
              <w:right w:val="nil"/>
            </w:tcBorders>
            <w:shd w:val="clear" w:color="auto" w:fill="auto"/>
            <w:vAlign w:val="center"/>
            <w:hideMark/>
          </w:tcPr>
          <w:p w14:paraId="1C7A873A" w14:textId="77777777" w:rsidR="00794DBA" w:rsidRPr="0001092B" w:rsidRDefault="00794DBA" w:rsidP="00794DBA">
            <w:pPr>
              <w:rPr>
                <w:rFonts w:eastAsia="Times New Roman"/>
                <w:sz w:val="20"/>
                <w:szCs w:val="20"/>
              </w:rPr>
            </w:pPr>
          </w:p>
        </w:tc>
      </w:tr>
      <w:tr w:rsidR="00794DBA" w:rsidRPr="0001092B" w14:paraId="500511BC" w14:textId="77777777" w:rsidTr="00794DBA">
        <w:trPr>
          <w:trHeight w:val="315"/>
        </w:trPr>
        <w:tc>
          <w:tcPr>
            <w:tcW w:w="1514" w:type="dxa"/>
            <w:tcBorders>
              <w:top w:val="nil"/>
              <w:left w:val="nil"/>
              <w:bottom w:val="nil"/>
              <w:right w:val="nil"/>
            </w:tcBorders>
            <w:shd w:val="clear" w:color="auto" w:fill="auto"/>
            <w:vAlign w:val="bottom"/>
            <w:hideMark/>
          </w:tcPr>
          <w:p w14:paraId="2C897DE8" w14:textId="77777777" w:rsidR="00794DBA" w:rsidRPr="0001092B" w:rsidRDefault="00794DBA" w:rsidP="00794DBA">
            <w:pPr>
              <w:rPr>
                <w:rFonts w:eastAsia="Times New Roman"/>
                <w:sz w:val="20"/>
                <w:szCs w:val="20"/>
              </w:rPr>
            </w:pPr>
          </w:p>
        </w:tc>
        <w:tc>
          <w:tcPr>
            <w:tcW w:w="607" w:type="dxa"/>
            <w:tcBorders>
              <w:top w:val="nil"/>
              <w:left w:val="nil"/>
              <w:bottom w:val="nil"/>
              <w:right w:val="nil"/>
            </w:tcBorders>
            <w:shd w:val="clear" w:color="auto" w:fill="auto"/>
            <w:vAlign w:val="bottom"/>
            <w:hideMark/>
          </w:tcPr>
          <w:p w14:paraId="31B0095F"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49643E0E"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vAlign w:val="bottom"/>
            <w:hideMark/>
          </w:tcPr>
          <w:p w14:paraId="25AD6FEF" w14:textId="77777777" w:rsidR="00794DBA" w:rsidRPr="0001092B" w:rsidRDefault="00794DBA" w:rsidP="00794DBA">
            <w:pPr>
              <w:rPr>
                <w:rFonts w:eastAsia="Times New Roman"/>
                <w:sz w:val="20"/>
                <w:szCs w:val="20"/>
              </w:rPr>
            </w:pPr>
          </w:p>
        </w:tc>
        <w:tc>
          <w:tcPr>
            <w:tcW w:w="835" w:type="dxa"/>
            <w:tcBorders>
              <w:top w:val="nil"/>
              <w:left w:val="nil"/>
              <w:bottom w:val="single" w:sz="8" w:space="0" w:color="auto"/>
              <w:right w:val="nil"/>
            </w:tcBorders>
            <w:shd w:val="clear" w:color="auto" w:fill="auto"/>
            <w:vAlign w:val="center"/>
            <w:hideMark/>
          </w:tcPr>
          <w:p w14:paraId="09ABFD4B"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N</w:t>
            </w:r>
          </w:p>
        </w:tc>
        <w:tc>
          <w:tcPr>
            <w:tcW w:w="266" w:type="dxa"/>
            <w:tcBorders>
              <w:top w:val="nil"/>
              <w:left w:val="nil"/>
              <w:bottom w:val="nil"/>
              <w:right w:val="nil"/>
            </w:tcBorders>
            <w:shd w:val="clear" w:color="auto" w:fill="auto"/>
            <w:noWrap/>
            <w:vAlign w:val="bottom"/>
            <w:hideMark/>
          </w:tcPr>
          <w:p w14:paraId="2620D514" w14:textId="77777777" w:rsidR="00794DBA" w:rsidRPr="0001092B" w:rsidRDefault="00794DBA" w:rsidP="00794DBA">
            <w:pPr>
              <w:jc w:val="center"/>
              <w:rPr>
                <w:rFonts w:eastAsia="Times New Roman"/>
                <w:b/>
                <w:bCs/>
                <w:color w:val="000000"/>
                <w:sz w:val="22"/>
                <w:szCs w:val="22"/>
              </w:rPr>
            </w:pPr>
          </w:p>
        </w:tc>
        <w:tc>
          <w:tcPr>
            <w:tcW w:w="2188" w:type="dxa"/>
            <w:gridSpan w:val="2"/>
            <w:tcBorders>
              <w:top w:val="nil"/>
              <w:left w:val="nil"/>
              <w:bottom w:val="single" w:sz="8" w:space="0" w:color="auto"/>
              <w:right w:val="nil"/>
            </w:tcBorders>
            <w:shd w:val="clear" w:color="auto" w:fill="auto"/>
            <w:vAlign w:val="center"/>
            <w:hideMark/>
          </w:tcPr>
          <w:p w14:paraId="549B27E5"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Duration</w:t>
            </w:r>
          </w:p>
        </w:tc>
        <w:tc>
          <w:tcPr>
            <w:tcW w:w="591" w:type="dxa"/>
            <w:tcBorders>
              <w:top w:val="nil"/>
              <w:left w:val="nil"/>
              <w:bottom w:val="nil"/>
              <w:right w:val="nil"/>
            </w:tcBorders>
            <w:shd w:val="clear" w:color="auto" w:fill="auto"/>
            <w:vAlign w:val="bottom"/>
            <w:hideMark/>
          </w:tcPr>
          <w:p w14:paraId="5F566EE8" w14:textId="77777777" w:rsidR="00794DBA" w:rsidRPr="0001092B" w:rsidRDefault="00794DBA" w:rsidP="00794DBA">
            <w:pPr>
              <w:jc w:val="center"/>
              <w:rPr>
                <w:rFonts w:eastAsia="Times New Roman"/>
                <w:b/>
                <w:bCs/>
                <w:color w:val="000000"/>
                <w:sz w:val="22"/>
                <w:szCs w:val="22"/>
              </w:rPr>
            </w:pPr>
          </w:p>
        </w:tc>
        <w:tc>
          <w:tcPr>
            <w:tcW w:w="1907" w:type="dxa"/>
            <w:gridSpan w:val="3"/>
            <w:tcBorders>
              <w:top w:val="nil"/>
              <w:left w:val="nil"/>
              <w:bottom w:val="single" w:sz="8" w:space="0" w:color="auto"/>
              <w:right w:val="nil"/>
            </w:tcBorders>
            <w:shd w:val="clear" w:color="auto" w:fill="auto"/>
            <w:vAlign w:val="center"/>
            <w:hideMark/>
          </w:tcPr>
          <w:p w14:paraId="11E997A5"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Letters</w:t>
            </w:r>
          </w:p>
        </w:tc>
        <w:tc>
          <w:tcPr>
            <w:tcW w:w="602" w:type="dxa"/>
            <w:tcBorders>
              <w:top w:val="nil"/>
              <w:left w:val="nil"/>
              <w:bottom w:val="nil"/>
              <w:right w:val="nil"/>
            </w:tcBorders>
            <w:shd w:val="clear" w:color="auto" w:fill="auto"/>
            <w:noWrap/>
            <w:vAlign w:val="bottom"/>
            <w:hideMark/>
          </w:tcPr>
          <w:p w14:paraId="496B54DB" w14:textId="77777777" w:rsidR="00794DBA" w:rsidRPr="0001092B" w:rsidRDefault="00794DBA" w:rsidP="00794DBA">
            <w:pPr>
              <w:jc w:val="center"/>
              <w:rPr>
                <w:rFonts w:eastAsia="Times New Roman"/>
                <w:b/>
                <w:bCs/>
                <w:color w:val="000000"/>
                <w:sz w:val="22"/>
                <w:szCs w:val="22"/>
              </w:rPr>
            </w:pPr>
          </w:p>
        </w:tc>
        <w:tc>
          <w:tcPr>
            <w:tcW w:w="4196" w:type="dxa"/>
            <w:gridSpan w:val="4"/>
            <w:tcBorders>
              <w:top w:val="nil"/>
              <w:left w:val="nil"/>
              <w:bottom w:val="single" w:sz="8" w:space="0" w:color="auto"/>
              <w:right w:val="nil"/>
            </w:tcBorders>
            <w:shd w:val="clear" w:color="auto" w:fill="auto"/>
            <w:vAlign w:val="center"/>
            <w:hideMark/>
          </w:tcPr>
          <w:p w14:paraId="35A32D13"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Comments</w:t>
            </w:r>
          </w:p>
        </w:tc>
      </w:tr>
      <w:tr w:rsidR="00794DBA" w:rsidRPr="0001092B" w14:paraId="2F3DA0CF" w14:textId="77777777" w:rsidTr="00794DBA">
        <w:trPr>
          <w:trHeight w:val="585"/>
        </w:trPr>
        <w:tc>
          <w:tcPr>
            <w:tcW w:w="1514" w:type="dxa"/>
            <w:tcBorders>
              <w:top w:val="nil"/>
              <w:left w:val="nil"/>
              <w:bottom w:val="nil"/>
              <w:right w:val="nil"/>
            </w:tcBorders>
            <w:shd w:val="clear" w:color="auto" w:fill="auto"/>
            <w:vAlign w:val="bottom"/>
            <w:hideMark/>
          </w:tcPr>
          <w:p w14:paraId="6D863F59" w14:textId="77777777" w:rsidR="00794DBA" w:rsidRPr="0001092B" w:rsidRDefault="00794DBA" w:rsidP="00794DBA">
            <w:pPr>
              <w:jc w:val="cente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5239224E"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74E5F69B"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vAlign w:val="bottom"/>
            <w:hideMark/>
          </w:tcPr>
          <w:p w14:paraId="35328435" w14:textId="77777777" w:rsidR="00794DBA" w:rsidRPr="0001092B" w:rsidRDefault="00794DBA" w:rsidP="00794DBA">
            <w:pPr>
              <w:rPr>
                <w:rFonts w:eastAsia="Times New Roman"/>
                <w:sz w:val="20"/>
                <w:szCs w:val="20"/>
              </w:rPr>
            </w:pPr>
          </w:p>
        </w:tc>
        <w:tc>
          <w:tcPr>
            <w:tcW w:w="835" w:type="dxa"/>
            <w:tcBorders>
              <w:top w:val="nil"/>
              <w:left w:val="nil"/>
              <w:bottom w:val="nil"/>
              <w:right w:val="nil"/>
            </w:tcBorders>
            <w:shd w:val="clear" w:color="auto" w:fill="auto"/>
            <w:vAlign w:val="bottom"/>
            <w:hideMark/>
          </w:tcPr>
          <w:p w14:paraId="6E06AE4E"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1159EA5D" w14:textId="77777777" w:rsidR="00794DBA" w:rsidRPr="0001092B" w:rsidRDefault="00794DBA" w:rsidP="00794DBA">
            <w:pPr>
              <w:rPr>
                <w:rFonts w:eastAsia="Times New Roman"/>
                <w:sz w:val="20"/>
                <w:szCs w:val="20"/>
              </w:rPr>
            </w:pPr>
          </w:p>
        </w:tc>
        <w:tc>
          <w:tcPr>
            <w:tcW w:w="985" w:type="dxa"/>
            <w:tcBorders>
              <w:top w:val="nil"/>
              <w:left w:val="nil"/>
              <w:bottom w:val="single" w:sz="8" w:space="0" w:color="auto"/>
              <w:right w:val="nil"/>
            </w:tcBorders>
            <w:shd w:val="clear" w:color="auto" w:fill="auto"/>
            <w:vAlign w:val="center"/>
            <w:hideMark/>
          </w:tcPr>
          <w:p w14:paraId="4180A75C"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1203" w:type="dxa"/>
            <w:tcBorders>
              <w:top w:val="nil"/>
              <w:left w:val="nil"/>
              <w:bottom w:val="single" w:sz="8" w:space="0" w:color="auto"/>
              <w:right w:val="nil"/>
            </w:tcBorders>
            <w:shd w:val="clear" w:color="auto" w:fill="auto"/>
            <w:vAlign w:val="center"/>
            <w:hideMark/>
          </w:tcPr>
          <w:p w14:paraId="7FA14963"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c>
          <w:tcPr>
            <w:tcW w:w="591" w:type="dxa"/>
            <w:tcBorders>
              <w:top w:val="nil"/>
              <w:left w:val="nil"/>
              <w:bottom w:val="nil"/>
              <w:right w:val="nil"/>
            </w:tcBorders>
            <w:shd w:val="clear" w:color="auto" w:fill="auto"/>
            <w:vAlign w:val="bottom"/>
            <w:hideMark/>
          </w:tcPr>
          <w:p w14:paraId="69895A6A" w14:textId="77777777" w:rsidR="00794DBA" w:rsidRPr="0001092B" w:rsidRDefault="00794DBA" w:rsidP="00794DBA">
            <w:pPr>
              <w:jc w:val="center"/>
              <w:rPr>
                <w:rFonts w:eastAsia="Times New Roman"/>
                <w:b/>
                <w:bCs/>
                <w:color w:val="000000"/>
                <w:sz w:val="22"/>
                <w:szCs w:val="22"/>
              </w:rPr>
            </w:pPr>
          </w:p>
        </w:tc>
        <w:tc>
          <w:tcPr>
            <w:tcW w:w="969" w:type="dxa"/>
            <w:tcBorders>
              <w:top w:val="nil"/>
              <w:left w:val="nil"/>
              <w:bottom w:val="single" w:sz="8" w:space="0" w:color="auto"/>
              <w:right w:val="nil"/>
            </w:tcBorders>
            <w:shd w:val="clear" w:color="auto" w:fill="auto"/>
            <w:vAlign w:val="center"/>
            <w:hideMark/>
          </w:tcPr>
          <w:p w14:paraId="555E93A9"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938" w:type="dxa"/>
            <w:gridSpan w:val="2"/>
            <w:tcBorders>
              <w:top w:val="single" w:sz="8" w:space="0" w:color="auto"/>
              <w:left w:val="nil"/>
              <w:bottom w:val="single" w:sz="8" w:space="0" w:color="auto"/>
              <w:right w:val="nil"/>
            </w:tcBorders>
            <w:shd w:val="clear" w:color="auto" w:fill="auto"/>
            <w:vAlign w:val="center"/>
            <w:hideMark/>
          </w:tcPr>
          <w:p w14:paraId="28539D9A"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c>
          <w:tcPr>
            <w:tcW w:w="602" w:type="dxa"/>
            <w:tcBorders>
              <w:top w:val="nil"/>
              <w:left w:val="nil"/>
              <w:bottom w:val="nil"/>
              <w:right w:val="nil"/>
            </w:tcBorders>
            <w:shd w:val="clear" w:color="auto" w:fill="auto"/>
            <w:noWrap/>
            <w:vAlign w:val="bottom"/>
            <w:hideMark/>
          </w:tcPr>
          <w:p w14:paraId="2AD1E34E" w14:textId="77777777" w:rsidR="00794DBA" w:rsidRPr="0001092B" w:rsidRDefault="00794DBA" w:rsidP="00794DBA">
            <w:pPr>
              <w:jc w:val="center"/>
              <w:rPr>
                <w:rFonts w:eastAsia="Times New Roman"/>
                <w:b/>
                <w:bCs/>
                <w:color w:val="000000"/>
                <w:sz w:val="22"/>
                <w:szCs w:val="22"/>
              </w:rPr>
            </w:pPr>
          </w:p>
        </w:tc>
        <w:tc>
          <w:tcPr>
            <w:tcW w:w="1256" w:type="dxa"/>
            <w:tcBorders>
              <w:top w:val="nil"/>
              <w:left w:val="nil"/>
              <w:bottom w:val="single" w:sz="8" w:space="0" w:color="auto"/>
              <w:right w:val="nil"/>
            </w:tcBorders>
            <w:shd w:val="clear" w:color="auto" w:fill="auto"/>
            <w:vAlign w:val="center"/>
            <w:hideMark/>
          </w:tcPr>
          <w:p w14:paraId="5109F051"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2940" w:type="dxa"/>
            <w:gridSpan w:val="3"/>
            <w:tcBorders>
              <w:top w:val="single" w:sz="8" w:space="0" w:color="auto"/>
              <w:left w:val="nil"/>
              <w:bottom w:val="single" w:sz="8" w:space="0" w:color="auto"/>
              <w:right w:val="nil"/>
            </w:tcBorders>
            <w:shd w:val="clear" w:color="auto" w:fill="auto"/>
            <w:vAlign w:val="center"/>
            <w:hideMark/>
          </w:tcPr>
          <w:p w14:paraId="05552A1F"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r>
      <w:tr w:rsidR="00794DBA" w:rsidRPr="0001092B" w14:paraId="48140768"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6A4EEBDB" w14:textId="77777777" w:rsidR="00794DBA" w:rsidRPr="0001092B" w:rsidRDefault="00794DBA" w:rsidP="00794DBA">
            <w:pPr>
              <w:rPr>
                <w:rFonts w:eastAsia="Times New Roman"/>
                <w:color w:val="000000"/>
                <w:sz w:val="22"/>
                <w:szCs w:val="22"/>
              </w:rPr>
            </w:pPr>
            <w:proofErr w:type="gramStart"/>
            <w:r w:rsidRPr="0001092B">
              <w:rPr>
                <w:rFonts w:eastAsia="Times New Roman"/>
                <w:color w:val="000000"/>
                <w:sz w:val="22"/>
                <w:szCs w:val="22"/>
              </w:rPr>
              <w:t>positive-earnings</w:t>
            </w:r>
            <w:proofErr w:type="gramEnd"/>
            <w:r w:rsidRPr="0001092B">
              <w:rPr>
                <w:rFonts w:eastAsia="Times New Roman"/>
                <w:color w:val="000000"/>
                <w:sz w:val="22"/>
                <w:szCs w:val="22"/>
              </w:rPr>
              <w:t xml:space="preserve"> = 0</w:t>
            </w:r>
          </w:p>
        </w:tc>
        <w:tc>
          <w:tcPr>
            <w:tcW w:w="626" w:type="dxa"/>
            <w:tcBorders>
              <w:top w:val="nil"/>
              <w:left w:val="nil"/>
              <w:bottom w:val="nil"/>
              <w:right w:val="nil"/>
            </w:tcBorders>
            <w:shd w:val="clear" w:color="auto" w:fill="auto"/>
            <w:noWrap/>
            <w:vAlign w:val="center"/>
            <w:hideMark/>
          </w:tcPr>
          <w:p w14:paraId="70BB1569"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543149B7"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546</w:t>
            </w:r>
          </w:p>
        </w:tc>
        <w:tc>
          <w:tcPr>
            <w:tcW w:w="266" w:type="dxa"/>
            <w:tcBorders>
              <w:top w:val="nil"/>
              <w:left w:val="nil"/>
              <w:bottom w:val="nil"/>
              <w:right w:val="nil"/>
            </w:tcBorders>
            <w:shd w:val="clear" w:color="auto" w:fill="auto"/>
            <w:noWrap/>
            <w:vAlign w:val="bottom"/>
            <w:hideMark/>
          </w:tcPr>
          <w:p w14:paraId="01E5D2F7"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68DB0D44" w14:textId="5AC0C83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104</w:t>
            </w:r>
            <w:r w:rsidR="00A7059E">
              <w:rPr>
                <w:rFonts w:eastAsia="Times New Roman"/>
                <w:color w:val="000000"/>
                <w:sz w:val="22"/>
                <w:szCs w:val="22"/>
              </w:rPr>
              <w:t>.00</w:t>
            </w:r>
          </w:p>
        </w:tc>
        <w:tc>
          <w:tcPr>
            <w:tcW w:w="1203" w:type="dxa"/>
            <w:tcBorders>
              <w:top w:val="nil"/>
              <w:left w:val="nil"/>
              <w:bottom w:val="nil"/>
              <w:right w:val="nil"/>
            </w:tcBorders>
            <w:shd w:val="clear" w:color="auto" w:fill="auto"/>
            <w:noWrap/>
            <w:vAlign w:val="center"/>
            <w:hideMark/>
          </w:tcPr>
          <w:p w14:paraId="3698EB1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76</w:t>
            </w:r>
          </w:p>
        </w:tc>
        <w:tc>
          <w:tcPr>
            <w:tcW w:w="591" w:type="dxa"/>
            <w:tcBorders>
              <w:top w:val="nil"/>
              <w:left w:val="nil"/>
              <w:bottom w:val="nil"/>
              <w:right w:val="nil"/>
            </w:tcBorders>
            <w:shd w:val="clear" w:color="auto" w:fill="auto"/>
            <w:noWrap/>
            <w:vAlign w:val="center"/>
            <w:hideMark/>
          </w:tcPr>
          <w:p w14:paraId="23804FE4"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0C85929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2.41</w:t>
            </w:r>
          </w:p>
        </w:tc>
        <w:tc>
          <w:tcPr>
            <w:tcW w:w="938" w:type="dxa"/>
            <w:gridSpan w:val="2"/>
            <w:tcBorders>
              <w:top w:val="single" w:sz="8" w:space="0" w:color="auto"/>
              <w:left w:val="nil"/>
              <w:bottom w:val="nil"/>
              <w:right w:val="nil"/>
            </w:tcBorders>
            <w:shd w:val="clear" w:color="auto" w:fill="auto"/>
            <w:noWrap/>
            <w:vAlign w:val="center"/>
            <w:hideMark/>
          </w:tcPr>
          <w:p w14:paraId="7B550CC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w:t>
            </w:r>
          </w:p>
        </w:tc>
        <w:tc>
          <w:tcPr>
            <w:tcW w:w="602" w:type="dxa"/>
            <w:tcBorders>
              <w:top w:val="nil"/>
              <w:left w:val="nil"/>
              <w:bottom w:val="nil"/>
              <w:right w:val="nil"/>
            </w:tcBorders>
            <w:shd w:val="clear" w:color="auto" w:fill="auto"/>
            <w:noWrap/>
            <w:vAlign w:val="bottom"/>
            <w:hideMark/>
          </w:tcPr>
          <w:p w14:paraId="08D94143"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11A955B9"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21.44</w:t>
            </w:r>
          </w:p>
        </w:tc>
        <w:tc>
          <w:tcPr>
            <w:tcW w:w="2940" w:type="dxa"/>
            <w:gridSpan w:val="3"/>
            <w:tcBorders>
              <w:top w:val="single" w:sz="8" w:space="0" w:color="auto"/>
              <w:left w:val="nil"/>
              <w:bottom w:val="nil"/>
              <w:right w:val="nil"/>
            </w:tcBorders>
            <w:shd w:val="clear" w:color="auto" w:fill="auto"/>
            <w:noWrap/>
            <w:vAlign w:val="center"/>
            <w:hideMark/>
          </w:tcPr>
          <w:p w14:paraId="284A5E6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6</w:t>
            </w:r>
          </w:p>
        </w:tc>
      </w:tr>
      <w:tr w:rsidR="00794DBA" w:rsidRPr="0001092B" w14:paraId="340796E4"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436CFBE5" w14:textId="77777777" w:rsidR="00794DBA" w:rsidRPr="0001092B" w:rsidRDefault="00794DBA" w:rsidP="00794DBA">
            <w:pPr>
              <w:rPr>
                <w:rFonts w:eastAsia="Times New Roman"/>
                <w:color w:val="000000"/>
                <w:sz w:val="22"/>
                <w:szCs w:val="22"/>
              </w:rPr>
            </w:pPr>
            <w:proofErr w:type="gramStart"/>
            <w:r w:rsidRPr="0001092B">
              <w:rPr>
                <w:rFonts w:eastAsia="Times New Roman"/>
                <w:color w:val="000000"/>
                <w:sz w:val="22"/>
                <w:szCs w:val="22"/>
              </w:rPr>
              <w:t>positive-earnings</w:t>
            </w:r>
            <w:proofErr w:type="gramEnd"/>
            <w:r w:rsidRPr="0001092B">
              <w:rPr>
                <w:rFonts w:eastAsia="Times New Roman"/>
                <w:color w:val="000000"/>
                <w:sz w:val="22"/>
                <w:szCs w:val="22"/>
              </w:rPr>
              <w:t xml:space="preserve"> = 1 </w:t>
            </w:r>
          </w:p>
        </w:tc>
        <w:tc>
          <w:tcPr>
            <w:tcW w:w="626" w:type="dxa"/>
            <w:tcBorders>
              <w:top w:val="nil"/>
              <w:left w:val="nil"/>
              <w:bottom w:val="nil"/>
              <w:right w:val="nil"/>
            </w:tcBorders>
            <w:shd w:val="clear" w:color="auto" w:fill="auto"/>
            <w:noWrap/>
            <w:vAlign w:val="center"/>
            <w:hideMark/>
          </w:tcPr>
          <w:p w14:paraId="4708553C"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25BABED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363</w:t>
            </w:r>
          </w:p>
        </w:tc>
        <w:tc>
          <w:tcPr>
            <w:tcW w:w="266" w:type="dxa"/>
            <w:tcBorders>
              <w:top w:val="nil"/>
              <w:left w:val="nil"/>
              <w:bottom w:val="nil"/>
              <w:right w:val="nil"/>
            </w:tcBorders>
            <w:shd w:val="clear" w:color="auto" w:fill="auto"/>
            <w:noWrap/>
            <w:vAlign w:val="center"/>
            <w:hideMark/>
          </w:tcPr>
          <w:p w14:paraId="0838AC28"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013130C9"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144.4</w:t>
            </w:r>
          </w:p>
        </w:tc>
        <w:tc>
          <w:tcPr>
            <w:tcW w:w="1203" w:type="dxa"/>
            <w:tcBorders>
              <w:top w:val="nil"/>
              <w:left w:val="nil"/>
              <w:bottom w:val="nil"/>
              <w:right w:val="nil"/>
            </w:tcBorders>
            <w:shd w:val="clear" w:color="auto" w:fill="auto"/>
            <w:noWrap/>
            <w:vAlign w:val="center"/>
            <w:hideMark/>
          </w:tcPr>
          <w:p w14:paraId="57292F9D"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103</w:t>
            </w:r>
          </w:p>
        </w:tc>
        <w:tc>
          <w:tcPr>
            <w:tcW w:w="591" w:type="dxa"/>
            <w:tcBorders>
              <w:top w:val="nil"/>
              <w:left w:val="nil"/>
              <w:bottom w:val="nil"/>
              <w:right w:val="nil"/>
            </w:tcBorders>
            <w:shd w:val="clear" w:color="auto" w:fill="auto"/>
            <w:noWrap/>
            <w:vAlign w:val="center"/>
            <w:hideMark/>
          </w:tcPr>
          <w:p w14:paraId="62147466"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45C2549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3.31</w:t>
            </w:r>
          </w:p>
        </w:tc>
        <w:tc>
          <w:tcPr>
            <w:tcW w:w="938" w:type="dxa"/>
            <w:gridSpan w:val="2"/>
            <w:tcBorders>
              <w:top w:val="nil"/>
              <w:left w:val="nil"/>
              <w:bottom w:val="nil"/>
              <w:right w:val="nil"/>
            </w:tcBorders>
            <w:shd w:val="clear" w:color="auto" w:fill="auto"/>
            <w:noWrap/>
            <w:vAlign w:val="center"/>
            <w:hideMark/>
          </w:tcPr>
          <w:p w14:paraId="4B349932"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center"/>
            <w:hideMark/>
          </w:tcPr>
          <w:p w14:paraId="3BE5F9AB"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00A7DB2F"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34.42</w:t>
            </w:r>
          </w:p>
        </w:tc>
        <w:tc>
          <w:tcPr>
            <w:tcW w:w="2940" w:type="dxa"/>
            <w:gridSpan w:val="3"/>
            <w:tcBorders>
              <w:top w:val="nil"/>
              <w:left w:val="nil"/>
              <w:bottom w:val="nil"/>
              <w:right w:val="nil"/>
            </w:tcBorders>
            <w:shd w:val="clear" w:color="auto" w:fill="auto"/>
            <w:noWrap/>
            <w:vAlign w:val="center"/>
            <w:hideMark/>
          </w:tcPr>
          <w:p w14:paraId="4290472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36</w:t>
            </w:r>
          </w:p>
        </w:tc>
      </w:tr>
      <w:tr w:rsidR="00794DBA" w:rsidRPr="0001092B" w14:paraId="1BE629E7" w14:textId="77777777" w:rsidTr="00794DBA">
        <w:trPr>
          <w:trHeight w:val="600"/>
        </w:trPr>
        <w:tc>
          <w:tcPr>
            <w:tcW w:w="2747" w:type="dxa"/>
            <w:gridSpan w:val="3"/>
            <w:tcBorders>
              <w:top w:val="nil"/>
              <w:left w:val="nil"/>
              <w:bottom w:val="nil"/>
              <w:right w:val="nil"/>
            </w:tcBorders>
            <w:shd w:val="clear" w:color="auto" w:fill="auto"/>
            <w:vAlign w:val="center"/>
            <w:hideMark/>
          </w:tcPr>
          <w:p w14:paraId="22346C57"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 test (mean)/ Wilcoxon rank-sum test (median)</w:t>
            </w:r>
          </w:p>
        </w:tc>
        <w:tc>
          <w:tcPr>
            <w:tcW w:w="626" w:type="dxa"/>
            <w:tcBorders>
              <w:top w:val="nil"/>
              <w:left w:val="nil"/>
              <w:bottom w:val="nil"/>
              <w:right w:val="nil"/>
            </w:tcBorders>
            <w:shd w:val="clear" w:color="auto" w:fill="auto"/>
            <w:noWrap/>
            <w:vAlign w:val="center"/>
            <w:hideMark/>
          </w:tcPr>
          <w:p w14:paraId="502D1255"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6C2520B7"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67650483" w14:textId="77777777" w:rsidR="00794DBA" w:rsidRPr="0001092B" w:rsidRDefault="00794DBA" w:rsidP="00794DBA">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296B157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1203" w:type="dxa"/>
            <w:tcBorders>
              <w:top w:val="nil"/>
              <w:left w:val="nil"/>
              <w:bottom w:val="nil"/>
              <w:right w:val="nil"/>
            </w:tcBorders>
            <w:shd w:val="clear" w:color="auto" w:fill="auto"/>
            <w:noWrap/>
            <w:vAlign w:val="center"/>
            <w:hideMark/>
          </w:tcPr>
          <w:p w14:paraId="0C245EF0"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591" w:type="dxa"/>
            <w:tcBorders>
              <w:top w:val="nil"/>
              <w:left w:val="nil"/>
              <w:bottom w:val="nil"/>
              <w:right w:val="nil"/>
            </w:tcBorders>
            <w:shd w:val="clear" w:color="auto" w:fill="auto"/>
            <w:noWrap/>
            <w:vAlign w:val="center"/>
            <w:hideMark/>
          </w:tcPr>
          <w:p w14:paraId="6A5AE0B2"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3B6AFFC1"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938" w:type="dxa"/>
            <w:gridSpan w:val="2"/>
            <w:tcBorders>
              <w:top w:val="nil"/>
              <w:left w:val="nil"/>
              <w:bottom w:val="nil"/>
              <w:right w:val="nil"/>
            </w:tcBorders>
            <w:shd w:val="clear" w:color="auto" w:fill="auto"/>
            <w:noWrap/>
            <w:vAlign w:val="center"/>
            <w:hideMark/>
          </w:tcPr>
          <w:p w14:paraId="12E268F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602" w:type="dxa"/>
            <w:tcBorders>
              <w:top w:val="nil"/>
              <w:left w:val="nil"/>
              <w:bottom w:val="nil"/>
              <w:right w:val="nil"/>
            </w:tcBorders>
            <w:shd w:val="clear" w:color="auto" w:fill="auto"/>
            <w:noWrap/>
            <w:vAlign w:val="bottom"/>
            <w:hideMark/>
          </w:tcPr>
          <w:p w14:paraId="12E12A51"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63211873"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2940" w:type="dxa"/>
            <w:gridSpan w:val="3"/>
            <w:tcBorders>
              <w:top w:val="nil"/>
              <w:left w:val="nil"/>
              <w:bottom w:val="nil"/>
              <w:right w:val="nil"/>
            </w:tcBorders>
            <w:shd w:val="clear" w:color="auto" w:fill="auto"/>
            <w:noWrap/>
            <w:vAlign w:val="center"/>
            <w:hideMark/>
          </w:tcPr>
          <w:p w14:paraId="07B3E85F"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r>
      <w:tr w:rsidR="00794DBA" w:rsidRPr="0001092B" w14:paraId="22918DBD" w14:textId="77777777" w:rsidTr="00794DBA">
        <w:trPr>
          <w:trHeight w:val="315"/>
        </w:trPr>
        <w:tc>
          <w:tcPr>
            <w:tcW w:w="2747" w:type="dxa"/>
            <w:gridSpan w:val="3"/>
            <w:tcBorders>
              <w:top w:val="nil"/>
              <w:left w:val="nil"/>
              <w:bottom w:val="single" w:sz="8" w:space="0" w:color="auto"/>
              <w:right w:val="nil"/>
            </w:tcBorders>
            <w:shd w:val="clear" w:color="auto" w:fill="auto"/>
            <w:noWrap/>
            <w:vAlign w:val="center"/>
            <w:hideMark/>
          </w:tcPr>
          <w:p w14:paraId="67E24EE5"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Total</w:t>
            </w:r>
          </w:p>
        </w:tc>
        <w:tc>
          <w:tcPr>
            <w:tcW w:w="626" w:type="dxa"/>
            <w:tcBorders>
              <w:top w:val="nil"/>
              <w:left w:val="nil"/>
              <w:bottom w:val="single" w:sz="8" w:space="0" w:color="auto"/>
              <w:right w:val="nil"/>
            </w:tcBorders>
            <w:shd w:val="clear" w:color="auto" w:fill="auto"/>
            <w:noWrap/>
            <w:vAlign w:val="center"/>
            <w:hideMark/>
          </w:tcPr>
          <w:p w14:paraId="6FF98812"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 </w:t>
            </w:r>
          </w:p>
        </w:tc>
        <w:tc>
          <w:tcPr>
            <w:tcW w:w="835" w:type="dxa"/>
            <w:tcBorders>
              <w:top w:val="nil"/>
              <w:left w:val="nil"/>
              <w:bottom w:val="single" w:sz="8" w:space="0" w:color="auto"/>
              <w:right w:val="nil"/>
            </w:tcBorders>
            <w:shd w:val="clear" w:color="auto" w:fill="auto"/>
            <w:noWrap/>
            <w:vAlign w:val="center"/>
            <w:hideMark/>
          </w:tcPr>
          <w:p w14:paraId="52E6156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909</w:t>
            </w:r>
          </w:p>
        </w:tc>
        <w:tc>
          <w:tcPr>
            <w:tcW w:w="266" w:type="dxa"/>
            <w:tcBorders>
              <w:top w:val="nil"/>
              <w:left w:val="nil"/>
              <w:bottom w:val="single" w:sz="8" w:space="0" w:color="auto"/>
              <w:right w:val="nil"/>
            </w:tcBorders>
            <w:shd w:val="clear" w:color="auto" w:fill="auto"/>
            <w:noWrap/>
            <w:vAlign w:val="bottom"/>
            <w:hideMark/>
          </w:tcPr>
          <w:p w14:paraId="5FD0A5E0"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85" w:type="dxa"/>
            <w:tcBorders>
              <w:top w:val="nil"/>
              <w:left w:val="nil"/>
              <w:bottom w:val="single" w:sz="8" w:space="0" w:color="auto"/>
              <w:right w:val="nil"/>
            </w:tcBorders>
            <w:shd w:val="clear" w:color="auto" w:fill="auto"/>
            <w:noWrap/>
            <w:vAlign w:val="center"/>
            <w:hideMark/>
          </w:tcPr>
          <w:p w14:paraId="627873D1"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120.1</w:t>
            </w:r>
          </w:p>
        </w:tc>
        <w:tc>
          <w:tcPr>
            <w:tcW w:w="1203" w:type="dxa"/>
            <w:tcBorders>
              <w:top w:val="nil"/>
              <w:left w:val="nil"/>
              <w:bottom w:val="single" w:sz="8" w:space="0" w:color="auto"/>
              <w:right w:val="nil"/>
            </w:tcBorders>
            <w:shd w:val="clear" w:color="auto" w:fill="auto"/>
            <w:noWrap/>
            <w:vAlign w:val="center"/>
            <w:hideMark/>
          </w:tcPr>
          <w:p w14:paraId="41FFF2E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w:t>
            </w:r>
          </w:p>
        </w:tc>
        <w:tc>
          <w:tcPr>
            <w:tcW w:w="591" w:type="dxa"/>
            <w:tcBorders>
              <w:top w:val="nil"/>
              <w:left w:val="nil"/>
              <w:bottom w:val="single" w:sz="8" w:space="0" w:color="auto"/>
              <w:right w:val="nil"/>
            </w:tcBorders>
            <w:shd w:val="clear" w:color="auto" w:fill="auto"/>
            <w:noWrap/>
            <w:vAlign w:val="center"/>
            <w:hideMark/>
          </w:tcPr>
          <w:p w14:paraId="1316DA9F"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69" w:type="dxa"/>
            <w:tcBorders>
              <w:top w:val="nil"/>
              <w:left w:val="nil"/>
              <w:bottom w:val="single" w:sz="8" w:space="0" w:color="auto"/>
              <w:right w:val="nil"/>
            </w:tcBorders>
            <w:shd w:val="clear" w:color="auto" w:fill="auto"/>
            <w:noWrap/>
            <w:vAlign w:val="center"/>
            <w:hideMark/>
          </w:tcPr>
          <w:p w14:paraId="6ECDB08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2.77</w:t>
            </w:r>
          </w:p>
        </w:tc>
        <w:tc>
          <w:tcPr>
            <w:tcW w:w="938" w:type="dxa"/>
            <w:gridSpan w:val="2"/>
            <w:tcBorders>
              <w:top w:val="nil"/>
              <w:left w:val="nil"/>
              <w:bottom w:val="single" w:sz="8" w:space="0" w:color="auto"/>
              <w:right w:val="nil"/>
            </w:tcBorders>
            <w:shd w:val="clear" w:color="auto" w:fill="auto"/>
            <w:noWrap/>
            <w:vAlign w:val="center"/>
            <w:hideMark/>
          </w:tcPr>
          <w:p w14:paraId="63FAB9D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single" w:sz="8" w:space="0" w:color="auto"/>
              <w:right w:val="nil"/>
            </w:tcBorders>
            <w:shd w:val="clear" w:color="auto" w:fill="auto"/>
            <w:noWrap/>
            <w:vAlign w:val="bottom"/>
            <w:hideMark/>
          </w:tcPr>
          <w:p w14:paraId="24B80B9A"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1256" w:type="dxa"/>
            <w:tcBorders>
              <w:top w:val="nil"/>
              <w:left w:val="nil"/>
              <w:bottom w:val="single" w:sz="8" w:space="0" w:color="auto"/>
              <w:right w:val="nil"/>
            </w:tcBorders>
            <w:shd w:val="clear" w:color="auto" w:fill="auto"/>
            <w:noWrap/>
            <w:vAlign w:val="center"/>
            <w:hideMark/>
          </w:tcPr>
          <w:p w14:paraId="43A1EA03"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26.63</w:t>
            </w:r>
          </w:p>
        </w:tc>
        <w:tc>
          <w:tcPr>
            <w:tcW w:w="2940" w:type="dxa"/>
            <w:gridSpan w:val="3"/>
            <w:tcBorders>
              <w:top w:val="nil"/>
              <w:left w:val="nil"/>
              <w:bottom w:val="single" w:sz="8" w:space="0" w:color="auto"/>
              <w:right w:val="nil"/>
            </w:tcBorders>
            <w:shd w:val="clear" w:color="auto" w:fill="auto"/>
            <w:noWrap/>
            <w:vAlign w:val="center"/>
            <w:hideMark/>
          </w:tcPr>
          <w:p w14:paraId="359B517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22</w:t>
            </w:r>
          </w:p>
        </w:tc>
      </w:tr>
      <w:tr w:rsidR="00794DBA" w:rsidRPr="0001092B" w14:paraId="5E2C5D24" w14:textId="77777777" w:rsidTr="0001092B">
        <w:trPr>
          <w:trHeight w:val="300"/>
        </w:trPr>
        <w:tc>
          <w:tcPr>
            <w:tcW w:w="13958" w:type="dxa"/>
            <w:gridSpan w:val="17"/>
            <w:tcBorders>
              <w:top w:val="single" w:sz="8" w:space="0" w:color="auto"/>
              <w:left w:val="nil"/>
              <w:bottom w:val="nil"/>
              <w:right w:val="nil"/>
            </w:tcBorders>
            <w:shd w:val="clear" w:color="auto" w:fill="auto"/>
            <w:noWrap/>
            <w:vAlign w:val="center"/>
            <w:hideMark/>
          </w:tcPr>
          <w:p w14:paraId="44F74C06" w14:textId="77777777" w:rsidR="00794DBA" w:rsidRPr="0001092B" w:rsidRDefault="00794DBA" w:rsidP="00794DBA">
            <w:pPr>
              <w:rPr>
                <w:rFonts w:eastAsia="Times New Roman"/>
                <w:b/>
                <w:bCs/>
                <w:color w:val="000000"/>
                <w:sz w:val="22"/>
                <w:szCs w:val="22"/>
              </w:rPr>
            </w:pPr>
            <w:r w:rsidRPr="0001092B">
              <w:rPr>
                <w:rFonts w:eastAsia="Times New Roman"/>
                <w:b/>
                <w:bCs/>
                <w:color w:val="000000"/>
                <w:sz w:val="22"/>
                <w:szCs w:val="22"/>
              </w:rPr>
              <w:t>Panel E. Descriptive statistics of SEC review attributes by CEO-chairman of board member</w:t>
            </w:r>
          </w:p>
        </w:tc>
      </w:tr>
      <w:tr w:rsidR="00794DBA" w:rsidRPr="0001092B" w14:paraId="110B12D9" w14:textId="77777777" w:rsidTr="00794DBA">
        <w:trPr>
          <w:trHeight w:val="315"/>
        </w:trPr>
        <w:tc>
          <w:tcPr>
            <w:tcW w:w="1514" w:type="dxa"/>
            <w:tcBorders>
              <w:top w:val="nil"/>
              <w:left w:val="nil"/>
              <w:bottom w:val="nil"/>
              <w:right w:val="nil"/>
            </w:tcBorders>
            <w:shd w:val="clear" w:color="auto" w:fill="auto"/>
            <w:vAlign w:val="bottom"/>
            <w:hideMark/>
          </w:tcPr>
          <w:p w14:paraId="66FE1B8C" w14:textId="77777777" w:rsidR="00794DBA" w:rsidRPr="0001092B" w:rsidRDefault="00794DBA" w:rsidP="00794DBA">
            <w:pP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3D73B229"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1A86A2BE"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vAlign w:val="bottom"/>
            <w:hideMark/>
          </w:tcPr>
          <w:p w14:paraId="3A1E1051" w14:textId="77777777" w:rsidR="00794DBA" w:rsidRPr="0001092B" w:rsidRDefault="00794DBA" w:rsidP="00794DBA">
            <w:pPr>
              <w:rPr>
                <w:rFonts w:eastAsia="Times New Roman"/>
                <w:sz w:val="20"/>
                <w:szCs w:val="20"/>
              </w:rPr>
            </w:pPr>
          </w:p>
        </w:tc>
        <w:tc>
          <w:tcPr>
            <w:tcW w:w="835" w:type="dxa"/>
            <w:tcBorders>
              <w:top w:val="nil"/>
              <w:left w:val="nil"/>
              <w:bottom w:val="single" w:sz="8" w:space="0" w:color="auto"/>
              <w:right w:val="nil"/>
            </w:tcBorders>
            <w:shd w:val="clear" w:color="auto" w:fill="auto"/>
            <w:vAlign w:val="center"/>
            <w:hideMark/>
          </w:tcPr>
          <w:p w14:paraId="2E64BD3B"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N</w:t>
            </w:r>
          </w:p>
        </w:tc>
        <w:tc>
          <w:tcPr>
            <w:tcW w:w="266" w:type="dxa"/>
            <w:tcBorders>
              <w:top w:val="nil"/>
              <w:left w:val="nil"/>
              <w:bottom w:val="nil"/>
              <w:right w:val="nil"/>
            </w:tcBorders>
            <w:shd w:val="clear" w:color="auto" w:fill="auto"/>
            <w:noWrap/>
            <w:vAlign w:val="bottom"/>
            <w:hideMark/>
          </w:tcPr>
          <w:p w14:paraId="69BC570C" w14:textId="77777777" w:rsidR="00794DBA" w:rsidRPr="0001092B" w:rsidRDefault="00794DBA" w:rsidP="00794DBA">
            <w:pPr>
              <w:jc w:val="center"/>
              <w:rPr>
                <w:rFonts w:eastAsia="Times New Roman"/>
                <w:b/>
                <w:bCs/>
                <w:color w:val="000000"/>
                <w:sz w:val="22"/>
                <w:szCs w:val="22"/>
              </w:rPr>
            </w:pPr>
          </w:p>
        </w:tc>
        <w:tc>
          <w:tcPr>
            <w:tcW w:w="2188" w:type="dxa"/>
            <w:gridSpan w:val="2"/>
            <w:tcBorders>
              <w:top w:val="nil"/>
              <w:left w:val="nil"/>
              <w:bottom w:val="single" w:sz="8" w:space="0" w:color="auto"/>
              <w:right w:val="nil"/>
            </w:tcBorders>
            <w:shd w:val="clear" w:color="auto" w:fill="auto"/>
            <w:vAlign w:val="center"/>
            <w:hideMark/>
          </w:tcPr>
          <w:p w14:paraId="796466A9"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Duration</w:t>
            </w:r>
          </w:p>
        </w:tc>
        <w:tc>
          <w:tcPr>
            <w:tcW w:w="591" w:type="dxa"/>
            <w:tcBorders>
              <w:top w:val="nil"/>
              <w:left w:val="nil"/>
              <w:bottom w:val="nil"/>
              <w:right w:val="nil"/>
            </w:tcBorders>
            <w:shd w:val="clear" w:color="auto" w:fill="auto"/>
            <w:vAlign w:val="bottom"/>
            <w:hideMark/>
          </w:tcPr>
          <w:p w14:paraId="1BC3528A" w14:textId="77777777" w:rsidR="00794DBA" w:rsidRPr="0001092B" w:rsidRDefault="00794DBA" w:rsidP="00794DBA">
            <w:pPr>
              <w:jc w:val="center"/>
              <w:rPr>
                <w:rFonts w:eastAsia="Times New Roman"/>
                <w:b/>
                <w:bCs/>
                <w:color w:val="000000"/>
                <w:sz w:val="22"/>
                <w:szCs w:val="22"/>
              </w:rPr>
            </w:pPr>
          </w:p>
        </w:tc>
        <w:tc>
          <w:tcPr>
            <w:tcW w:w="1907" w:type="dxa"/>
            <w:gridSpan w:val="3"/>
            <w:tcBorders>
              <w:top w:val="nil"/>
              <w:left w:val="nil"/>
              <w:bottom w:val="single" w:sz="8" w:space="0" w:color="auto"/>
              <w:right w:val="nil"/>
            </w:tcBorders>
            <w:shd w:val="clear" w:color="auto" w:fill="auto"/>
            <w:vAlign w:val="center"/>
            <w:hideMark/>
          </w:tcPr>
          <w:p w14:paraId="2F423666"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Letters</w:t>
            </w:r>
          </w:p>
        </w:tc>
        <w:tc>
          <w:tcPr>
            <w:tcW w:w="602" w:type="dxa"/>
            <w:tcBorders>
              <w:top w:val="nil"/>
              <w:left w:val="nil"/>
              <w:bottom w:val="nil"/>
              <w:right w:val="nil"/>
            </w:tcBorders>
            <w:shd w:val="clear" w:color="auto" w:fill="auto"/>
            <w:noWrap/>
            <w:vAlign w:val="bottom"/>
            <w:hideMark/>
          </w:tcPr>
          <w:p w14:paraId="1A2DBEB9" w14:textId="77777777" w:rsidR="00794DBA" w:rsidRPr="0001092B" w:rsidRDefault="00794DBA" w:rsidP="00794DBA">
            <w:pPr>
              <w:jc w:val="center"/>
              <w:rPr>
                <w:rFonts w:eastAsia="Times New Roman"/>
                <w:b/>
                <w:bCs/>
                <w:color w:val="000000"/>
                <w:sz w:val="22"/>
                <w:szCs w:val="22"/>
              </w:rPr>
            </w:pPr>
          </w:p>
        </w:tc>
        <w:tc>
          <w:tcPr>
            <w:tcW w:w="4196" w:type="dxa"/>
            <w:gridSpan w:val="4"/>
            <w:tcBorders>
              <w:top w:val="nil"/>
              <w:left w:val="nil"/>
              <w:bottom w:val="single" w:sz="8" w:space="0" w:color="auto"/>
              <w:right w:val="nil"/>
            </w:tcBorders>
            <w:shd w:val="clear" w:color="auto" w:fill="auto"/>
            <w:vAlign w:val="center"/>
            <w:hideMark/>
          </w:tcPr>
          <w:p w14:paraId="67FA869D"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Comments</w:t>
            </w:r>
          </w:p>
        </w:tc>
      </w:tr>
      <w:tr w:rsidR="00794DBA" w:rsidRPr="0001092B" w14:paraId="65B9798C" w14:textId="77777777" w:rsidTr="00794DBA">
        <w:trPr>
          <w:trHeight w:val="585"/>
        </w:trPr>
        <w:tc>
          <w:tcPr>
            <w:tcW w:w="1514" w:type="dxa"/>
            <w:tcBorders>
              <w:top w:val="nil"/>
              <w:left w:val="nil"/>
              <w:bottom w:val="nil"/>
              <w:right w:val="nil"/>
            </w:tcBorders>
            <w:shd w:val="clear" w:color="auto" w:fill="auto"/>
            <w:vAlign w:val="bottom"/>
            <w:hideMark/>
          </w:tcPr>
          <w:p w14:paraId="70DED231" w14:textId="77777777" w:rsidR="00794DBA" w:rsidRPr="0001092B" w:rsidRDefault="00794DBA" w:rsidP="00794DBA">
            <w:pPr>
              <w:jc w:val="center"/>
              <w:rPr>
                <w:rFonts w:eastAsia="Times New Roman"/>
                <w:b/>
                <w:bCs/>
                <w:color w:val="000000"/>
                <w:sz w:val="22"/>
                <w:szCs w:val="22"/>
              </w:rPr>
            </w:pPr>
          </w:p>
        </w:tc>
        <w:tc>
          <w:tcPr>
            <w:tcW w:w="607" w:type="dxa"/>
            <w:tcBorders>
              <w:top w:val="nil"/>
              <w:left w:val="nil"/>
              <w:bottom w:val="nil"/>
              <w:right w:val="nil"/>
            </w:tcBorders>
            <w:shd w:val="clear" w:color="auto" w:fill="auto"/>
            <w:vAlign w:val="bottom"/>
            <w:hideMark/>
          </w:tcPr>
          <w:p w14:paraId="2F3286F5"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noWrap/>
            <w:vAlign w:val="bottom"/>
            <w:hideMark/>
          </w:tcPr>
          <w:p w14:paraId="407020DF" w14:textId="77777777" w:rsidR="00794DBA" w:rsidRPr="0001092B" w:rsidRDefault="00794DBA" w:rsidP="00794DBA">
            <w:pPr>
              <w:rPr>
                <w:rFonts w:eastAsia="Times New Roman"/>
                <w:sz w:val="20"/>
                <w:szCs w:val="20"/>
              </w:rPr>
            </w:pPr>
          </w:p>
        </w:tc>
        <w:tc>
          <w:tcPr>
            <w:tcW w:w="626" w:type="dxa"/>
            <w:tcBorders>
              <w:top w:val="nil"/>
              <w:left w:val="nil"/>
              <w:bottom w:val="nil"/>
              <w:right w:val="nil"/>
            </w:tcBorders>
            <w:shd w:val="clear" w:color="auto" w:fill="auto"/>
            <w:vAlign w:val="bottom"/>
            <w:hideMark/>
          </w:tcPr>
          <w:p w14:paraId="28A9E9DF" w14:textId="77777777" w:rsidR="00794DBA" w:rsidRPr="0001092B" w:rsidRDefault="00794DBA" w:rsidP="00794DBA">
            <w:pPr>
              <w:rPr>
                <w:rFonts w:eastAsia="Times New Roman"/>
                <w:sz w:val="20"/>
                <w:szCs w:val="20"/>
              </w:rPr>
            </w:pPr>
          </w:p>
        </w:tc>
        <w:tc>
          <w:tcPr>
            <w:tcW w:w="835" w:type="dxa"/>
            <w:tcBorders>
              <w:top w:val="nil"/>
              <w:left w:val="nil"/>
              <w:bottom w:val="nil"/>
              <w:right w:val="nil"/>
            </w:tcBorders>
            <w:shd w:val="clear" w:color="auto" w:fill="auto"/>
            <w:vAlign w:val="bottom"/>
            <w:hideMark/>
          </w:tcPr>
          <w:p w14:paraId="197DE834"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0E41E4B7" w14:textId="77777777" w:rsidR="00794DBA" w:rsidRPr="0001092B" w:rsidRDefault="00794DBA" w:rsidP="00794DBA">
            <w:pPr>
              <w:rPr>
                <w:rFonts w:eastAsia="Times New Roman"/>
                <w:sz w:val="20"/>
                <w:szCs w:val="20"/>
              </w:rPr>
            </w:pPr>
          </w:p>
        </w:tc>
        <w:tc>
          <w:tcPr>
            <w:tcW w:w="985" w:type="dxa"/>
            <w:tcBorders>
              <w:top w:val="nil"/>
              <w:left w:val="nil"/>
              <w:bottom w:val="single" w:sz="8" w:space="0" w:color="auto"/>
              <w:right w:val="nil"/>
            </w:tcBorders>
            <w:shd w:val="clear" w:color="auto" w:fill="auto"/>
            <w:vAlign w:val="center"/>
            <w:hideMark/>
          </w:tcPr>
          <w:p w14:paraId="10F00172"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1203" w:type="dxa"/>
            <w:tcBorders>
              <w:top w:val="nil"/>
              <w:left w:val="nil"/>
              <w:bottom w:val="single" w:sz="8" w:space="0" w:color="auto"/>
              <w:right w:val="nil"/>
            </w:tcBorders>
            <w:shd w:val="clear" w:color="auto" w:fill="auto"/>
            <w:vAlign w:val="center"/>
            <w:hideMark/>
          </w:tcPr>
          <w:p w14:paraId="62743865"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c>
          <w:tcPr>
            <w:tcW w:w="591" w:type="dxa"/>
            <w:tcBorders>
              <w:top w:val="nil"/>
              <w:left w:val="nil"/>
              <w:bottom w:val="nil"/>
              <w:right w:val="nil"/>
            </w:tcBorders>
            <w:shd w:val="clear" w:color="auto" w:fill="auto"/>
            <w:vAlign w:val="bottom"/>
            <w:hideMark/>
          </w:tcPr>
          <w:p w14:paraId="1FA46D8F" w14:textId="77777777" w:rsidR="00794DBA" w:rsidRPr="0001092B" w:rsidRDefault="00794DBA" w:rsidP="00794DBA">
            <w:pPr>
              <w:jc w:val="center"/>
              <w:rPr>
                <w:rFonts w:eastAsia="Times New Roman"/>
                <w:b/>
                <w:bCs/>
                <w:color w:val="000000"/>
                <w:sz w:val="22"/>
                <w:szCs w:val="22"/>
              </w:rPr>
            </w:pPr>
          </w:p>
        </w:tc>
        <w:tc>
          <w:tcPr>
            <w:tcW w:w="969" w:type="dxa"/>
            <w:tcBorders>
              <w:top w:val="nil"/>
              <w:left w:val="nil"/>
              <w:bottom w:val="single" w:sz="8" w:space="0" w:color="auto"/>
              <w:right w:val="nil"/>
            </w:tcBorders>
            <w:shd w:val="clear" w:color="auto" w:fill="auto"/>
            <w:vAlign w:val="center"/>
            <w:hideMark/>
          </w:tcPr>
          <w:p w14:paraId="020BCBE3"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938" w:type="dxa"/>
            <w:gridSpan w:val="2"/>
            <w:tcBorders>
              <w:top w:val="single" w:sz="8" w:space="0" w:color="auto"/>
              <w:left w:val="nil"/>
              <w:bottom w:val="single" w:sz="8" w:space="0" w:color="auto"/>
              <w:right w:val="nil"/>
            </w:tcBorders>
            <w:shd w:val="clear" w:color="auto" w:fill="auto"/>
            <w:vAlign w:val="center"/>
            <w:hideMark/>
          </w:tcPr>
          <w:p w14:paraId="19997B24"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c>
          <w:tcPr>
            <w:tcW w:w="602" w:type="dxa"/>
            <w:tcBorders>
              <w:top w:val="nil"/>
              <w:left w:val="nil"/>
              <w:bottom w:val="nil"/>
              <w:right w:val="nil"/>
            </w:tcBorders>
            <w:shd w:val="clear" w:color="auto" w:fill="auto"/>
            <w:noWrap/>
            <w:vAlign w:val="bottom"/>
            <w:hideMark/>
          </w:tcPr>
          <w:p w14:paraId="3015C5FC" w14:textId="77777777" w:rsidR="00794DBA" w:rsidRPr="0001092B" w:rsidRDefault="00794DBA" w:rsidP="00794DBA">
            <w:pPr>
              <w:jc w:val="center"/>
              <w:rPr>
                <w:rFonts w:eastAsia="Times New Roman"/>
                <w:b/>
                <w:bCs/>
                <w:color w:val="000000"/>
                <w:sz w:val="22"/>
                <w:szCs w:val="22"/>
              </w:rPr>
            </w:pPr>
          </w:p>
        </w:tc>
        <w:tc>
          <w:tcPr>
            <w:tcW w:w="1256" w:type="dxa"/>
            <w:tcBorders>
              <w:top w:val="nil"/>
              <w:left w:val="nil"/>
              <w:bottom w:val="single" w:sz="8" w:space="0" w:color="auto"/>
              <w:right w:val="nil"/>
            </w:tcBorders>
            <w:shd w:val="clear" w:color="auto" w:fill="auto"/>
            <w:vAlign w:val="center"/>
            <w:hideMark/>
          </w:tcPr>
          <w:p w14:paraId="4E591DFA"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Mean</w:t>
            </w:r>
          </w:p>
        </w:tc>
        <w:tc>
          <w:tcPr>
            <w:tcW w:w="2940" w:type="dxa"/>
            <w:gridSpan w:val="3"/>
            <w:tcBorders>
              <w:top w:val="single" w:sz="8" w:space="0" w:color="auto"/>
              <w:left w:val="nil"/>
              <w:bottom w:val="single" w:sz="8" w:space="0" w:color="auto"/>
              <w:right w:val="nil"/>
            </w:tcBorders>
            <w:shd w:val="clear" w:color="auto" w:fill="auto"/>
            <w:vAlign w:val="center"/>
            <w:hideMark/>
          </w:tcPr>
          <w:p w14:paraId="4BDFD9F5" w14:textId="77777777" w:rsidR="00794DBA" w:rsidRPr="0001092B" w:rsidRDefault="00794DBA" w:rsidP="00794DBA">
            <w:pPr>
              <w:jc w:val="center"/>
              <w:rPr>
                <w:rFonts w:eastAsia="Times New Roman"/>
                <w:b/>
                <w:bCs/>
                <w:color w:val="000000"/>
                <w:sz w:val="22"/>
                <w:szCs w:val="22"/>
              </w:rPr>
            </w:pPr>
            <w:r w:rsidRPr="0001092B">
              <w:rPr>
                <w:rFonts w:eastAsia="Times New Roman"/>
                <w:b/>
                <w:bCs/>
                <w:color w:val="000000"/>
                <w:sz w:val="22"/>
                <w:szCs w:val="22"/>
              </w:rPr>
              <w:t>Median</w:t>
            </w:r>
          </w:p>
        </w:tc>
      </w:tr>
      <w:tr w:rsidR="00794DBA" w:rsidRPr="0001092B" w14:paraId="19893F29"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1778DF21"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CEO-chairman = 0</w:t>
            </w:r>
          </w:p>
        </w:tc>
        <w:tc>
          <w:tcPr>
            <w:tcW w:w="626" w:type="dxa"/>
            <w:tcBorders>
              <w:top w:val="nil"/>
              <w:left w:val="nil"/>
              <w:bottom w:val="nil"/>
              <w:right w:val="nil"/>
            </w:tcBorders>
            <w:shd w:val="clear" w:color="auto" w:fill="auto"/>
            <w:noWrap/>
            <w:vAlign w:val="center"/>
            <w:hideMark/>
          </w:tcPr>
          <w:p w14:paraId="1314C4B7"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1ECB5E26"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439</w:t>
            </w:r>
          </w:p>
        </w:tc>
        <w:tc>
          <w:tcPr>
            <w:tcW w:w="266" w:type="dxa"/>
            <w:tcBorders>
              <w:top w:val="nil"/>
              <w:left w:val="nil"/>
              <w:bottom w:val="nil"/>
              <w:right w:val="nil"/>
            </w:tcBorders>
            <w:shd w:val="clear" w:color="auto" w:fill="auto"/>
            <w:noWrap/>
            <w:vAlign w:val="bottom"/>
            <w:hideMark/>
          </w:tcPr>
          <w:p w14:paraId="7AE79E16"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22A89A5F"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78.59</w:t>
            </w:r>
          </w:p>
        </w:tc>
        <w:tc>
          <w:tcPr>
            <w:tcW w:w="1203" w:type="dxa"/>
            <w:tcBorders>
              <w:top w:val="nil"/>
              <w:left w:val="nil"/>
              <w:bottom w:val="nil"/>
              <w:right w:val="nil"/>
            </w:tcBorders>
            <w:shd w:val="clear" w:color="auto" w:fill="auto"/>
            <w:noWrap/>
            <w:vAlign w:val="center"/>
            <w:hideMark/>
          </w:tcPr>
          <w:p w14:paraId="3936E30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43</w:t>
            </w:r>
          </w:p>
        </w:tc>
        <w:tc>
          <w:tcPr>
            <w:tcW w:w="591" w:type="dxa"/>
            <w:tcBorders>
              <w:top w:val="nil"/>
              <w:left w:val="nil"/>
              <w:bottom w:val="nil"/>
              <w:right w:val="nil"/>
            </w:tcBorders>
            <w:shd w:val="clear" w:color="auto" w:fill="auto"/>
            <w:noWrap/>
            <w:vAlign w:val="center"/>
            <w:hideMark/>
          </w:tcPr>
          <w:p w14:paraId="09B0B6C6"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5B608FF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1.95</w:t>
            </w:r>
          </w:p>
        </w:tc>
        <w:tc>
          <w:tcPr>
            <w:tcW w:w="938" w:type="dxa"/>
            <w:gridSpan w:val="2"/>
            <w:tcBorders>
              <w:top w:val="single" w:sz="8" w:space="0" w:color="auto"/>
              <w:left w:val="nil"/>
              <w:bottom w:val="nil"/>
              <w:right w:val="nil"/>
            </w:tcBorders>
            <w:shd w:val="clear" w:color="auto" w:fill="auto"/>
            <w:noWrap/>
            <w:vAlign w:val="center"/>
            <w:hideMark/>
          </w:tcPr>
          <w:p w14:paraId="2280B062"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w:t>
            </w:r>
          </w:p>
        </w:tc>
        <w:tc>
          <w:tcPr>
            <w:tcW w:w="602" w:type="dxa"/>
            <w:tcBorders>
              <w:top w:val="nil"/>
              <w:left w:val="nil"/>
              <w:bottom w:val="nil"/>
              <w:right w:val="nil"/>
            </w:tcBorders>
            <w:shd w:val="clear" w:color="auto" w:fill="auto"/>
            <w:noWrap/>
            <w:vAlign w:val="bottom"/>
            <w:hideMark/>
          </w:tcPr>
          <w:p w14:paraId="3DFB606A"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6FAEA0E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10.8</w:t>
            </w:r>
          </w:p>
        </w:tc>
        <w:tc>
          <w:tcPr>
            <w:tcW w:w="2940" w:type="dxa"/>
            <w:gridSpan w:val="3"/>
            <w:tcBorders>
              <w:top w:val="single" w:sz="8" w:space="0" w:color="auto"/>
              <w:left w:val="nil"/>
              <w:bottom w:val="nil"/>
              <w:right w:val="nil"/>
            </w:tcBorders>
            <w:shd w:val="clear" w:color="auto" w:fill="auto"/>
            <w:noWrap/>
            <w:vAlign w:val="center"/>
            <w:hideMark/>
          </w:tcPr>
          <w:p w14:paraId="19602C1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r>
      <w:tr w:rsidR="00794DBA" w:rsidRPr="0001092B" w14:paraId="4594C2B3" w14:textId="77777777" w:rsidTr="00794DBA">
        <w:trPr>
          <w:trHeight w:val="300"/>
        </w:trPr>
        <w:tc>
          <w:tcPr>
            <w:tcW w:w="2747" w:type="dxa"/>
            <w:gridSpan w:val="3"/>
            <w:tcBorders>
              <w:top w:val="nil"/>
              <w:left w:val="nil"/>
              <w:bottom w:val="nil"/>
              <w:right w:val="nil"/>
            </w:tcBorders>
            <w:shd w:val="clear" w:color="auto" w:fill="auto"/>
            <w:noWrap/>
            <w:vAlign w:val="center"/>
            <w:hideMark/>
          </w:tcPr>
          <w:p w14:paraId="4148CD94"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CEO-chairman = 1</w:t>
            </w:r>
          </w:p>
        </w:tc>
        <w:tc>
          <w:tcPr>
            <w:tcW w:w="626" w:type="dxa"/>
            <w:tcBorders>
              <w:top w:val="nil"/>
              <w:left w:val="nil"/>
              <w:bottom w:val="nil"/>
              <w:right w:val="nil"/>
            </w:tcBorders>
            <w:shd w:val="clear" w:color="auto" w:fill="auto"/>
            <w:noWrap/>
            <w:vAlign w:val="center"/>
            <w:hideMark/>
          </w:tcPr>
          <w:p w14:paraId="21037DC2"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1DFC50E6"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470</w:t>
            </w:r>
          </w:p>
        </w:tc>
        <w:tc>
          <w:tcPr>
            <w:tcW w:w="266" w:type="dxa"/>
            <w:tcBorders>
              <w:top w:val="nil"/>
              <w:left w:val="nil"/>
              <w:bottom w:val="nil"/>
              <w:right w:val="nil"/>
            </w:tcBorders>
            <w:shd w:val="clear" w:color="auto" w:fill="auto"/>
            <w:noWrap/>
            <w:vAlign w:val="bottom"/>
            <w:hideMark/>
          </w:tcPr>
          <w:p w14:paraId="73B83DBA" w14:textId="77777777" w:rsidR="00794DBA" w:rsidRPr="0001092B" w:rsidRDefault="00794DBA" w:rsidP="00794DBA">
            <w:pPr>
              <w:jc w:val="center"/>
              <w:rPr>
                <w:rFonts w:eastAsia="Times New Roman"/>
                <w:color w:val="000000"/>
                <w:sz w:val="22"/>
                <w:szCs w:val="22"/>
              </w:rPr>
            </w:pPr>
          </w:p>
        </w:tc>
        <w:tc>
          <w:tcPr>
            <w:tcW w:w="985" w:type="dxa"/>
            <w:tcBorders>
              <w:top w:val="nil"/>
              <w:left w:val="nil"/>
              <w:bottom w:val="nil"/>
              <w:right w:val="nil"/>
            </w:tcBorders>
            <w:shd w:val="clear" w:color="auto" w:fill="auto"/>
            <w:noWrap/>
            <w:vAlign w:val="center"/>
            <w:hideMark/>
          </w:tcPr>
          <w:p w14:paraId="7E24EEE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158.9</w:t>
            </w:r>
          </w:p>
        </w:tc>
        <w:tc>
          <w:tcPr>
            <w:tcW w:w="1203" w:type="dxa"/>
            <w:tcBorders>
              <w:top w:val="nil"/>
              <w:left w:val="nil"/>
              <w:bottom w:val="nil"/>
              <w:right w:val="nil"/>
            </w:tcBorders>
            <w:shd w:val="clear" w:color="auto" w:fill="auto"/>
            <w:noWrap/>
            <w:vAlign w:val="center"/>
            <w:hideMark/>
          </w:tcPr>
          <w:p w14:paraId="69EEB25E"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109</w:t>
            </w:r>
          </w:p>
        </w:tc>
        <w:tc>
          <w:tcPr>
            <w:tcW w:w="591" w:type="dxa"/>
            <w:tcBorders>
              <w:top w:val="nil"/>
              <w:left w:val="nil"/>
              <w:bottom w:val="nil"/>
              <w:right w:val="nil"/>
            </w:tcBorders>
            <w:shd w:val="clear" w:color="auto" w:fill="auto"/>
            <w:noWrap/>
            <w:vAlign w:val="center"/>
            <w:hideMark/>
          </w:tcPr>
          <w:p w14:paraId="053DA9E0"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29AAB52B"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3.54</w:t>
            </w:r>
          </w:p>
        </w:tc>
        <w:tc>
          <w:tcPr>
            <w:tcW w:w="938" w:type="dxa"/>
            <w:gridSpan w:val="2"/>
            <w:tcBorders>
              <w:top w:val="nil"/>
              <w:left w:val="nil"/>
              <w:bottom w:val="nil"/>
              <w:right w:val="nil"/>
            </w:tcBorders>
            <w:shd w:val="clear" w:color="auto" w:fill="auto"/>
            <w:noWrap/>
            <w:vAlign w:val="center"/>
            <w:hideMark/>
          </w:tcPr>
          <w:p w14:paraId="14F4EE58"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nil"/>
              <w:right w:val="nil"/>
            </w:tcBorders>
            <w:shd w:val="clear" w:color="auto" w:fill="auto"/>
            <w:noWrap/>
            <w:vAlign w:val="bottom"/>
            <w:hideMark/>
          </w:tcPr>
          <w:p w14:paraId="13685088"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23E62B7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41.41</w:t>
            </w:r>
          </w:p>
        </w:tc>
        <w:tc>
          <w:tcPr>
            <w:tcW w:w="2940" w:type="dxa"/>
            <w:gridSpan w:val="3"/>
            <w:tcBorders>
              <w:top w:val="nil"/>
              <w:left w:val="nil"/>
              <w:bottom w:val="nil"/>
              <w:right w:val="nil"/>
            </w:tcBorders>
            <w:shd w:val="clear" w:color="auto" w:fill="auto"/>
            <w:noWrap/>
            <w:vAlign w:val="center"/>
            <w:hideMark/>
          </w:tcPr>
          <w:p w14:paraId="501EB864"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44</w:t>
            </w:r>
          </w:p>
        </w:tc>
      </w:tr>
      <w:tr w:rsidR="00794DBA" w:rsidRPr="0001092B" w14:paraId="3E314ABF" w14:textId="77777777" w:rsidTr="00794DBA">
        <w:trPr>
          <w:trHeight w:val="615"/>
        </w:trPr>
        <w:tc>
          <w:tcPr>
            <w:tcW w:w="2747" w:type="dxa"/>
            <w:gridSpan w:val="3"/>
            <w:tcBorders>
              <w:top w:val="nil"/>
              <w:left w:val="nil"/>
              <w:bottom w:val="nil"/>
              <w:right w:val="nil"/>
            </w:tcBorders>
            <w:shd w:val="clear" w:color="auto" w:fill="auto"/>
            <w:vAlign w:val="center"/>
            <w:hideMark/>
          </w:tcPr>
          <w:p w14:paraId="76FE15DB"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 test (mean)/</w:t>
            </w:r>
            <w:r w:rsidRPr="0001092B">
              <w:rPr>
                <w:rFonts w:eastAsia="Times New Roman"/>
                <w:color w:val="000000"/>
              </w:rPr>
              <w:t xml:space="preserve"> </w:t>
            </w:r>
            <w:r w:rsidRPr="0001092B">
              <w:rPr>
                <w:rFonts w:eastAsia="Times New Roman"/>
                <w:color w:val="000000"/>
                <w:sz w:val="22"/>
                <w:szCs w:val="22"/>
              </w:rPr>
              <w:t>Wilcoxon rank-sum test (median)</w:t>
            </w:r>
          </w:p>
        </w:tc>
        <w:tc>
          <w:tcPr>
            <w:tcW w:w="626" w:type="dxa"/>
            <w:tcBorders>
              <w:top w:val="nil"/>
              <w:left w:val="nil"/>
              <w:bottom w:val="nil"/>
              <w:right w:val="nil"/>
            </w:tcBorders>
            <w:shd w:val="clear" w:color="auto" w:fill="auto"/>
            <w:noWrap/>
            <w:vAlign w:val="center"/>
            <w:hideMark/>
          </w:tcPr>
          <w:p w14:paraId="0C9961AE" w14:textId="77777777" w:rsidR="00794DBA" w:rsidRPr="0001092B" w:rsidRDefault="00794DBA" w:rsidP="00794DBA">
            <w:pPr>
              <w:rPr>
                <w:rFonts w:eastAsia="Times New Roman"/>
                <w:color w:val="000000"/>
                <w:sz w:val="22"/>
                <w:szCs w:val="22"/>
              </w:rPr>
            </w:pPr>
          </w:p>
        </w:tc>
        <w:tc>
          <w:tcPr>
            <w:tcW w:w="835" w:type="dxa"/>
            <w:tcBorders>
              <w:top w:val="nil"/>
              <w:left w:val="nil"/>
              <w:bottom w:val="nil"/>
              <w:right w:val="nil"/>
            </w:tcBorders>
            <w:shd w:val="clear" w:color="auto" w:fill="auto"/>
            <w:noWrap/>
            <w:vAlign w:val="center"/>
            <w:hideMark/>
          </w:tcPr>
          <w:p w14:paraId="73451212" w14:textId="77777777" w:rsidR="00794DBA" w:rsidRPr="0001092B" w:rsidRDefault="00794DBA" w:rsidP="00794DBA">
            <w:pPr>
              <w:rPr>
                <w:rFonts w:eastAsia="Times New Roman"/>
                <w:sz w:val="20"/>
                <w:szCs w:val="20"/>
              </w:rPr>
            </w:pPr>
          </w:p>
        </w:tc>
        <w:tc>
          <w:tcPr>
            <w:tcW w:w="266" w:type="dxa"/>
            <w:tcBorders>
              <w:top w:val="nil"/>
              <w:left w:val="nil"/>
              <w:bottom w:val="nil"/>
              <w:right w:val="nil"/>
            </w:tcBorders>
            <w:shd w:val="clear" w:color="auto" w:fill="auto"/>
            <w:noWrap/>
            <w:vAlign w:val="bottom"/>
            <w:hideMark/>
          </w:tcPr>
          <w:p w14:paraId="3BD32FC8" w14:textId="77777777" w:rsidR="00794DBA" w:rsidRPr="0001092B" w:rsidRDefault="00794DBA" w:rsidP="00794DBA">
            <w:pPr>
              <w:rPr>
                <w:rFonts w:eastAsia="Times New Roman"/>
                <w:sz w:val="20"/>
                <w:szCs w:val="20"/>
              </w:rPr>
            </w:pPr>
          </w:p>
        </w:tc>
        <w:tc>
          <w:tcPr>
            <w:tcW w:w="985" w:type="dxa"/>
            <w:tcBorders>
              <w:top w:val="nil"/>
              <w:left w:val="nil"/>
              <w:bottom w:val="nil"/>
              <w:right w:val="nil"/>
            </w:tcBorders>
            <w:shd w:val="clear" w:color="auto" w:fill="auto"/>
            <w:noWrap/>
            <w:vAlign w:val="center"/>
            <w:hideMark/>
          </w:tcPr>
          <w:p w14:paraId="2FDCCD38"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1203" w:type="dxa"/>
            <w:tcBorders>
              <w:top w:val="nil"/>
              <w:left w:val="nil"/>
              <w:bottom w:val="nil"/>
              <w:right w:val="nil"/>
            </w:tcBorders>
            <w:shd w:val="clear" w:color="auto" w:fill="auto"/>
            <w:noWrap/>
            <w:vAlign w:val="center"/>
            <w:hideMark/>
          </w:tcPr>
          <w:p w14:paraId="44B9B4B6"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591" w:type="dxa"/>
            <w:tcBorders>
              <w:top w:val="nil"/>
              <w:left w:val="nil"/>
              <w:bottom w:val="nil"/>
              <w:right w:val="nil"/>
            </w:tcBorders>
            <w:shd w:val="clear" w:color="auto" w:fill="auto"/>
            <w:noWrap/>
            <w:vAlign w:val="center"/>
            <w:hideMark/>
          </w:tcPr>
          <w:p w14:paraId="23567C04" w14:textId="77777777" w:rsidR="00794DBA" w:rsidRPr="0001092B" w:rsidRDefault="00794DBA" w:rsidP="00794DBA">
            <w:pPr>
              <w:jc w:val="center"/>
              <w:rPr>
                <w:rFonts w:eastAsia="Times New Roman"/>
                <w:color w:val="000000"/>
                <w:sz w:val="22"/>
                <w:szCs w:val="22"/>
              </w:rPr>
            </w:pPr>
          </w:p>
        </w:tc>
        <w:tc>
          <w:tcPr>
            <w:tcW w:w="969" w:type="dxa"/>
            <w:tcBorders>
              <w:top w:val="nil"/>
              <w:left w:val="nil"/>
              <w:bottom w:val="nil"/>
              <w:right w:val="nil"/>
            </w:tcBorders>
            <w:shd w:val="clear" w:color="auto" w:fill="auto"/>
            <w:noWrap/>
            <w:vAlign w:val="center"/>
            <w:hideMark/>
          </w:tcPr>
          <w:p w14:paraId="47E06D62"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938" w:type="dxa"/>
            <w:gridSpan w:val="2"/>
            <w:tcBorders>
              <w:top w:val="nil"/>
              <w:left w:val="nil"/>
              <w:bottom w:val="nil"/>
              <w:right w:val="nil"/>
            </w:tcBorders>
            <w:shd w:val="clear" w:color="auto" w:fill="auto"/>
            <w:noWrap/>
            <w:vAlign w:val="center"/>
            <w:hideMark/>
          </w:tcPr>
          <w:p w14:paraId="07D130D5"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602" w:type="dxa"/>
            <w:tcBorders>
              <w:top w:val="nil"/>
              <w:left w:val="nil"/>
              <w:bottom w:val="nil"/>
              <w:right w:val="nil"/>
            </w:tcBorders>
            <w:shd w:val="clear" w:color="auto" w:fill="auto"/>
            <w:noWrap/>
            <w:vAlign w:val="bottom"/>
            <w:hideMark/>
          </w:tcPr>
          <w:p w14:paraId="7F4B01E3" w14:textId="77777777" w:rsidR="00794DBA" w:rsidRPr="0001092B" w:rsidRDefault="00794DBA" w:rsidP="00794DBA">
            <w:pPr>
              <w:jc w:val="center"/>
              <w:rPr>
                <w:rFonts w:eastAsia="Times New Roman"/>
                <w:color w:val="000000"/>
                <w:sz w:val="22"/>
                <w:szCs w:val="22"/>
              </w:rPr>
            </w:pPr>
          </w:p>
        </w:tc>
        <w:tc>
          <w:tcPr>
            <w:tcW w:w="1256" w:type="dxa"/>
            <w:tcBorders>
              <w:top w:val="nil"/>
              <w:left w:val="nil"/>
              <w:bottom w:val="nil"/>
              <w:right w:val="nil"/>
            </w:tcBorders>
            <w:shd w:val="clear" w:color="auto" w:fill="auto"/>
            <w:noWrap/>
            <w:vAlign w:val="center"/>
            <w:hideMark/>
          </w:tcPr>
          <w:p w14:paraId="7B946F9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c>
          <w:tcPr>
            <w:tcW w:w="2940" w:type="dxa"/>
            <w:gridSpan w:val="3"/>
            <w:tcBorders>
              <w:top w:val="nil"/>
              <w:left w:val="nil"/>
              <w:bottom w:val="nil"/>
              <w:right w:val="nil"/>
            </w:tcBorders>
            <w:shd w:val="clear" w:color="auto" w:fill="auto"/>
            <w:noWrap/>
            <w:vAlign w:val="center"/>
            <w:hideMark/>
          </w:tcPr>
          <w:p w14:paraId="088A56D1"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0</w:t>
            </w:r>
          </w:p>
        </w:tc>
      </w:tr>
      <w:tr w:rsidR="00794DBA" w:rsidRPr="0001092B" w14:paraId="031BAEE8" w14:textId="77777777" w:rsidTr="00794DBA">
        <w:trPr>
          <w:trHeight w:val="315"/>
        </w:trPr>
        <w:tc>
          <w:tcPr>
            <w:tcW w:w="2747" w:type="dxa"/>
            <w:gridSpan w:val="3"/>
            <w:tcBorders>
              <w:top w:val="nil"/>
              <w:left w:val="nil"/>
              <w:bottom w:val="single" w:sz="8" w:space="0" w:color="auto"/>
              <w:right w:val="nil"/>
            </w:tcBorders>
            <w:shd w:val="clear" w:color="auto" w:fill="auto"/>
            <w:noWrap/>
            <w:vAlign w:val="center"/>
            <w:hideMark/>
          </w:tcPr>
          <w:p w14:paraId="040D4B6B"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Totals</w:t>
            </w:r>
          </w:p>
        </w:tc>
        <w:tc>
          <w:tcPr>
            <w:tcW w:w="626" w:type="dxa"/>
            <w:tcBorders>
              <w:top w:val="nil"/>
              <w:left w:val="nil"/>
              <w:bottom w:val="single" w:sz="8" w:space="0" w:color="auto"/>
              <w:right w:val="nil"/>
            </w:tcBorders>
            <w:shd w:val="clear" w:color="auto" w:fill="auto"/>
            <w:noWrap/>
            <w:vAlign w:val="center"/>
            <w:hideMark/>
          </w:tcPr>
          <w:p w14:paraId="0D130D09" w14:textId="77777777" w:rsidR="00794DBA" w:rsidRPr="0001092B" w:rsidRDefault="00794DBA" w:rsidP="00794DBA">
            <w:pPr>
              <w:rPr>
                <w:rFonts w:eastAsia="Times New Roman"/>
                <w:color w:val="000000"/>
                <w:sz w:val="22"/>
                <w:szCs w:val="22"/>
              </w:rPr>
            </w:pPr>
            <w:r w:rsidRPr="0001092B">
              <w:rPr>
                <w:rFonts w:eastAsia="Times New Roman"/>
                <w:color w:val="000000"/>
                <w:sz w:val="22"/>
                <w:szCs w:val="22"/>
              </w:rPr>
              <w:t> </w:t>
            </w:r>
          </w:p>
        </w:tc>
        <w:tc>
          <w:tcPr>
            <w:tcW w:w="835" w:type="dxa"/>
            <w:tcBorders>
              <w:top w:val="nil"/>
              <w:left w:val="nil"/>
              <w:bottom w:val="single" w:sz="8" w:space="0" w:color="auto"/>
              <w:right w:val="nil"/>
            </w:tcBorders>
            <w:shd w:val="clear" w:color="auto" w:fill="auto"/>
            <w:noWrap/>
            <w:vAlign w:val="center"/>
            <w:hideMark/>
          </w:tcPr>
          <w:p w14:paraId="2EE7B87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909</w:t>
            </w:r>
          </w:p>
        </w:tc>
        <w:tc>
          <w:tcPr>
            <w:tcW w:w="266" w:type="dxa"/>
            <w:tcBorders>
              <w:top w:val="nil"/>
              <w:left w:val="nil"/>
              <w:bottom w:val="single" w:sz="8" w:space="0" w:color="auto"/>
              <w:right w:val="nil"/>
            </w:tcBorders>
            <w:shd w:val="clear" w:color="auto" w:fill="auto"/>
            <w:noWrap/>
            <w:vAlign w:val="bottom"/>
            <w:hideMark/>
          </w:tcPr>
          <w:p w14:paraId="0A9D38F4"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85" w:type="dxa"/>
            <w:tcBorders>
              <w:top w:val="nil"/>
              <w:left w:val="nil"/>
              <w:bottom w:val="single" w:sz="8" w:space="0" w:color="auto"/>
              <w:right w:val="nil"/>
            </w:tcBorders>
            <w:shd w:val="clear" w:color="auto" w:fill="auto"/>
            <w:noWrap/>
            <w:vAlign w:val="center"/>
            <w:hideMark/>
          </w:tcPr>
          <w:p w14:paraId="4C9E9C31"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120.1</w:t>
            </w:r>
          </w:p>
        </w:tc>
        <w:tc>
          <w:tcPr>
            <w:tcW w:w="1203" w:type="dxa"/>
            <w:tcBorders>
              <w:top w:val="nil"/>
              <w:left w:val="nil"/>
              <w:bottom w:val="single" w:sz="8" w:space="0" w:color="auto"/>
              <w:right w:val="nil"/>
            </w:tcBorders>
            <w:shd w:val="clear" w:color="auto" w:fill="auto"/>
            <w:noWrap/>
            <w:vAlign w:val="center"/>
            <w:hideMark/>
          </w:tcPr>
          <w:p w14:paraId="7BDADC70"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90</w:t>
            </w:r>
          </w:p>
        </w:tc>
        <w:tc>
          <w:tcPr>
            <w:tcW w:w="591" w:type="dxa"/>
            <w:tcBorders>
              <w:top w:val="nil"/>
              <w:left w:val="nil"/>
              <w:bottom w:val="single" w:sz="8" w:space="0" w:color="auto"/>
              <w:right w:val="nil"/>
            </w:tcBorders>
            <w:shd w:val="clear" w:color="auto" w:fill="auto"/>
            <w:noWrap/>
            <w:vAlign w:val="center"/>
            <w:hideMark/>
          </w:tcPr>
          <w:p w14:paraId="1647B052"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969" w:type="dxa"/>
            <w:tcBorders>
              <w:top w:val="nil"/>
              <w:left w:val="nil"/>
              <w:bottom w:val="single" w:sz="8" w:space="0" w:color="auto"/>
              <w:right w:val="nil"/>
            </w:tcBorders>
            <w:shd w:val="clear" w:color="auto" w:fill="auto"/>
            <w:noWrap/>
            <w:vAlign w:val="center"/>
            <w:hideMark/>
          </w:tcPr>
          <w:p w14:paraId="5744088A"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2.77</w:t>
            </w:r>
          </w:p>
        </w:tc>
        <w:tc>
          <w:tcPr>
            <w:tcW w:w="938" w:type="dxa"/>
            <w:gridSpan w:val="2"/>
            <w:tcBorders>
              <w:top w:val="nil"/>
              <w:left w:val="nil"/>
              <w:bottom w:val="single" w:sz="8" w:space="0" w:color="auto"/>
              <w:right w:val="nil"/>
            </w:tcBorders>
            <w:shd w:val="clear" w:color="auto" w:fill="auto"/>
            <w:noWrap/>
            <w:vAlign w:val="center"/>
            <w:hideMark/>
          </w:tcPr>
          <w:p w14:paraId="68086C4C"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3</w:t>
            </w:r>
          </w:p>
        </w:tc>
        <w:tc>
          <w:tcPr>
            <w:tcW w:w="602" w:type="dxa"/>
            <w:tcBorders>
              <w:top w:val="nil"/>
              <w:left w:val="nil"/>
              <w:bottom w:val="single" w:sz="8" w:space="0" w:color="auto"/>
              <w:right w:val="nil"/>
            </w:tcBorders>
            <w:shd w:val="clear" w:color="auto" w:fill="auto"/>
            <w:noWrap/>
            <w:vAlign w:val="bottom"/>
            <w:hideMark/>
          </w:tcPr>
          <w:p w14:paraId="262F9B78" w14:textId="77777777" w:rsidR="00794DBA" w:rsidRPr="0001092B" w:rsidRDefault="00794DBA" w:rsidP="00794DBA">
            <w:pPr>
              <w:rPr>
                <w:rFonts w:ascii="Calibri" w:eastAsia="Times New Roman" w:hAnsi="Calibri" w:cs="Calibri"/>
                <w:color w:val="000000"/>
                <w:sz w:val="22"/>
                <w:szCs w:val="22"/>
              </w:rPr>
            </w:pPr>
            <w:r w:rsidRPr="0001092B">
              <w:rPr>
                <w:rFonts w:ascii="Calibri" w:eastAsia="Times New Roman" w:hAnsi="Calibri" w:cs="Calibri"/>
                <w:color w:val="000000"/>
                <w:sz w:val="22"/>
                <w:szCs w:val="22"/>
              </w:rPr>
              <w:t> </w:t>
            </w:r>
          </w:p>
        </w:tc>
        <w:tc>
          <w:tcPr>
            <w:tcW w:w="1256" w:type="dxa"/>
            <w:tcBorders>
              <w:top w:val="nil"/>
              <w:left w:val="nil"/>
              <w:bottom w:val="single" w:sz="8" w:space="0" w:color="auto"/>
              <w:right w:val="nil"/>
            </w:tcBorders>
            <w:shd w:val="clear" w:color="auto" w:fill="auto"/>
            <w:noWrap/>
            <w:vAlign w:val="center"/>
            <w:hideMark/>
          </w:tcPr>
          <w:p w14:paraId="0B6C07BD"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26.63</w:t>
            </w:r>
          </w:p>
        </w:tc>
        <w:tc>
          <w:tcPr>
            <w:tcW w:w="2940" w:type="dxa"/>
            <w:gridSpan w:val="3"/>
            <w:tcBorders>
              <w:top w:val="nil"/>
              <w:left w:val="nil"/>
              <w:bottom w:val="single" w:sz="8" w:space="0" w:color="auto"/>
              <w:right w:val="nil"/>
            </w:tcBorders>
            <w:shd w:val="clear" w:color="auto" w:fill="auto"/>
            <w:noWrap/>
            <w:vAlign w:val="center"/>
            <w:hideMark/>
          </w:tcPr>
          <w:p w14:paraId="4A719987" w14:textId="77777777" w:rsidR="00794DBA" w:rsidRPr="0001092B" w:rsidRDefault="00794DBA" w:rsidP="00794DBA">
            <w:pPr>
              <w:jc w:val="center"/>
              <w:rPr>
                <w:rFonts w:eastAsia="Times New Roman"/>
                <w:color w:val="000000"/>
                <w:sz w:val="22"/>
                <w:szCs w:val="22"/>
              </w:rPr>
            </w:pPr>
            <w:r w:rsidRPr="0001092B">
              <w:rPr>
                <w:rFonts w:eastAsia="Times New Roman"/>
                <w:color w:val="000000"/>
                <w:sz w:val="22"/>
                <w:szCs w:val="22"/>
              </w:rPr>
              <w:t>22</w:t>
            </w:r>
          </w:p>
        </w:tc>
      </w:tr>
    </w:tbl>
    <w:p w14:paraId="566F450A" w14:textId="77777777" w:rsidR="00F47976" w:rsidRDefault="0001092B" w:rsidP="003876B9">
      <w:pPr>
        <w:rPr>
          <w:lang w:eastAsia="en-US"/>
        </w:rPr>
        <w:sectPr w:rsidR="00F47976" w:rsidSect="00703A27">
          <w:headerReference w:type="default" r:id="rId19"/>
          <w:footerReference w:type="default" r:id="rId20"/>
          <w:pgSz w:w="16838" w:h="11906" w:orient="landscape"/>
          <w:pgMar w:top="1135" w:right="1440" w:bottom="1440" w:left="1440" w:header="708" w:footer="708" w:gutter="0"/>
          <w:cols w:space="708"/>
          <w:docGrid w:linePitch="360"/>
        </w:sectPr>
      </w:pPr>
      <w:r>
        <w:rPr>
          <w:lang w:eastAsia="en-US"/>
        </w:rPr>
        <w:fldChar w:fldCharType="end"/>
      </w:r>
    </w:p>
    <w:p w14:paraId="7F8D386A" w14:textId="276D9AA3" w:rsidR="00032B57" w:rsidRDefault="00F47976" w:rsidP="003876B9">
      <w:pPr>
        <w:rPr>
          <w:lang w:eastAsia="en-US"/>
        </w:rPr>
      </w:pPr>
      <w:r w:rsidRPr="00F47976">
        <w:rPr>
          <w:noProof/>
        </w:rPr>
        <w:lastRenderedPageBreak/>
        <w:drawing>
          <wp:inline distT="0" distB="0" distL="0" distR="0" wp14:anchorId="32D2366F" wp14:editId="43AC1336">
            <wp:extent cx="5925185" cy="88099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5185" cy="8809990"/>
                    </a:xfrm>
                    <a:prstGeom prst="rect">
                      <a:avLst/>
                    </a:prstGeom>
                    <a:noFill/>
                    <a:ln>
                      <a:noFill/>
                    </a:ln>
                  </pic:spPr>
                </pic:pic>
              </a:graphicData>
            </a:graphic>
          </wp:inline>
        </w:drawing>
      </w:r>
    </w:p>
    <w:p w14:paraId="372399AD" w14:textId="460C50D7" w:rsidR="00F47976" w:rsidRPr="0001092B" w:rsidRDefault="00F47976" w:rsidP="003876B9">
      <w:pPr>
        <w:rPr>
          <w:b/>
          <w:lang w:eastAsia="en-US"/>
        </w:rPr>
        <w:sectPr w:rsidR="00F47976" w:rsidRPr="0001092B" w:rsidSect="00F47976">
          <w:headerReference w:type="default" r:id="rId22"/>
          <w:footerReference w:type="default" r:id="rId23"/>
          <w:pgSz w:w="11906" w:h="16838"/>
          <w:pgMar w:top="1440" w:right="1440" w:bottom="1440" w:left="1135" w:header="708" w:footer="708" w:gutter="0"/>
          <w:cols w:space="708"/>
          <w:docGrid w:linePitch="360"/>
        </w:sectPr>
      </w:pPr>
    </w:p>
    <w:p w14:paraId="23916FE1" w14:textId="7F4657A6" w:rsidR="009B1C8B" w:rsidRPr="00F47976" w:rsidRDefault="00F47976" w:rsidP="00F47976">
      <w:pPr>
        <w:pStyle w:val="Caption"/>
        <w:rPr>
          <w:rFonts w:asciiTheme="minorHAnsi" w:hAnsiTheme="minorHAnsi" w:cstheme="minorBidi"/>
          <w:b/>
          <w:i w:val="0"/>
          <w:color w:val="000000" w:themeColor="text1"/>
          <w:sz w:val="24"/>
          <w:szCs w:val="24"/>
          <w:lang w:eastAsia="en-US"/>
        </w:rPr>
      </w:pPr>
      <w:bookmarkStart w:id="57" w:name="_Toc7375497"/>
      <w:r w:rsidRPr="00F47976">
        <w:rPr>
          <w:b/>
          <w:i w:val="0"/>
          <w:color w:val="000000" w:themeColor="text1"/>
          <w:sz w:val="24"/>
          <w:szCs w:val="24"/>
        </w:rPr>
        <w:lastRenderedPageBreak/>
        <w:t xml:space="preserve">Table </w:t>
      </w:r>
      <w:r w:rsidR="00174399">
        <w:rPr>
          <w:b/>
          <w:i w:val="0"/>
          <w:color w:val="000000" w:themeColor="text1"/>
          <w:sz w:val="24"/>
          <w:szCs w:val="24"/>
        </w:rPr>
        <w:t>8</w:t>
      </w:r>
      <w:r w:rsidRPr="00F47976">
        <w:rPr>
          <w:b/>
          <w:i w:val="0"/>
          <w:color w:val="000000" w:themeColor="text1"/>
          <w:sz w:val="24"/>
          <w:szCs w:val="24"/>
        </w:rPr>
        <w:t xml:space="preserve">. Impact of </w:t>
      </w:r>
      <w:r w:rsidR="00D92D32">
        <w:rPr>
          <w:b/>
          <w:i w:val="0"/>
          <w:color w:val="000000" w:themeColor="text1"/>
          <w:sz w:val="24"/>
          <w:szCs w:val="24"/>
        </w:rPr>
        <w:t>incidences</w:t>
      </w:r>
      <w:r w:rsidRPr="00F47976">
        <w:rPr>
          <w:b/>
          <w:i w:val="0"/>
          <w:color w:val="000000" w:themeColor="text1"/>
          <w:sz w:val="24"/>
          <w:szCs w:val="24"/>
        </w:rPr>
        <w:t xml:space="preserve"> on the SEC review attributes</w:t>
      </w:r>
      <w:bookmarkEnd w:id="57"/>
      <w:r w:rsidR="003876B9">
        <w:rPr>
          <w:b/>
          <w:i w:val="0"/>
          <w:color w:val="000000" w:themeColor="text1"/>
          <w:sz w:val="24"/>
          <w:szCs w:val="24"/>
        </w:rPr>
        <w:fldChar w:fldCharType="begin"/>
      </w:r>
      <w:r w:rsidR="003876B9" w:rsidRPr="00F47976">
        <w:rPr>
          <w:b/>
          <w:i w:val="0"/>
          <w:color w:val="000000" w:themeColor="text1"/>
          <w:sz w:val="24"/>
          <w:szCs w:val="24"/>
        </w:rPr>
        <w:instrText xml:space="preserve"> LINK </w:instrText>
      </w:r>
      <w:r w:rsidR="00E06724">
        <w:rPr>
          <w:b/>
          <w:i w:val="0"/>
          <w:color w:val="000000" w:themeColor="text1"/>
          <w:sz w:val="24"/>
          <w:szCs w:val="24"/>
        </w:rPr>
        <w:instrText xml:space="preserve">Excel.Sheet.12 "E:\\PhD journey\\Descriptive statistics\\writing\\Descriptive statistics_SEC review attributes (edited).xlsx" "Summary special events!R1C1:R22C16" </w:instrText>
      </w:r>
      <w:r w:rsidR="003876B9" w:rsidRPr="00F47976">
        <w:rPr>
          <w:b/>
          <w:i w:val="0"/>
          <w:color w:val="000000" w:themeColor="text1"/>
          <w:sz w:val="24"/>
          <w:szCs w:val="24"/>
        </w:rPr>
        <w:instrText xml:space="preserve">\a \f 4 \h  \* MERGEFORMAT </w:instrText>
      </w:r>
      <w:r w:rsidR="003876B9">
        <w:rPr>
          <w:b/>
          <w:i w:val="0"/>
          <w:color w:val="000000" w:themeColor="text1"/>
          <w:sz w:val="24"/>
          <w:szCs w:val="24"/>
        </w:rPr>
        <w:fldChar w:fldCharType="separate"/>
      </w:r>
    </w:p>
    <w:p w14:paraId="2DB7523A" w14:textId="31D27E41" w:rsidR="00543BBE" w:rsidRDefault="003876B9" w:rsidP="003876B9">
      <w:pPr>
        <w:rPr>
          <w:rFonts w:asciiTheme="minorHAnsi" w:hAnsiTheme="minorHAnsi" w:cstheme="minorBidi"/>
          <w:sz w:val="22"/>
          <w:szCs w:val="22"/>
          <w:lang w:eastAsia="en-US"/>
        </w:rPr>
      </w:pPr>
      <w:r>
        <w:fldChar w:fldCharType="end"/>
      </w:r>
      <w:r w:rsidR="00543BBE">
        <w:fldChar w:fldCharType="begin"/>
      </w:r>
      <w:r w:rsidR="00543BBE">
        <w:instrText xml:space="preserve"> LINK </w:instrText>
      </w:r>
      <w:r w:rsidR="00E06724">
        <w:instrText xml:space="preserve">Excel.Sheet.12 "E:\\PhD journey\\Descriptive statistics\\writing\\Descriptive statistics_SEC review attributes (edited).xlsx" "Summary special events!R1C1:R22C16" </w:instrText>
      </w:r>
      <w:r w:rsidR="00543BBE">
        <w:instrText xml:space="preserve">\a \f 4 \h  \* MERGEFORMAT </w:instrText>
      </w:r>
      <w:r w:rsidR="00543BBE">
        <w:fldChar w:fldCharType="separate"/>
      </w:r>
    </w:p>
    <w:tbl>
      <w:tblPr>
        <w:tblW w:w="13895" w:type="dxa"/>
        <w:tblLook w:val="04A0" w:firstRow="1" w:lastRow="0" w:firstColumn="1" w:lastColumn="0" w:noHBand="0" w:noVBand="1"/>
      </w:tblPr>
      <w:tblGrid>
        <w:gridCol w:w="2523"/>
        <w:gridCol w:w="271"/>
        <w:gridCol w:w="609"/>
        <w:gridCol w:w="283"/>
        <w:gridCol w:w="1170"/>
        <w:gridCol w:w="507"/>
        <w:gridCol w:w="1719"/>
        <w:gridCol w:w="489"/>
        <w:gridCol w:w="879"/>
        <w:gridCol w:w="1039"/>
        <w:gridCol w:w="419"/>
        <w:gridCol w:w="786"/>
        <w:gridCol w:w="1039"/>
        <w:gridCol w:w="337"/>
        <w:gridCol w:w="786"/>
        <w:gridCol w:w="1039"/>
      </w:tblGrid>
      <w:tr w:rsidR="00543BBE" w:rsidRPr="00543BBE" w14:paraId="1EBDD1C8" w14:textId="77777777" w:rsidTr="00543BBE">
        <w:trPr>
          <w:trHeight w:val="300"/>
        </w:trPr>
        <w:tc>
          <w:tcPr>
            <w:tcW w:w="13895" w:type="dxa"/>
            <w:gridSpan w:val="16"/>
            <w:tcBorders>
              <w:top w:val="single" w:sz="4" w:space="0" w:color="auto"/>
              <w:left w:val="nil"/>
              <w:bottom w:val="nil"/>
              <w:right w:val="nil"/>
            </w:tcBorders>
            <w:shd w:val="clear" w:color="auto" w:fill="auto"/>
            <w:noWrap/>
            <w:vAlign w:val="bottom"/>
            <w:hideMark/>
          </w:tcPr>
          <w:p w14:paraId="718F3A55" w14:textId="4228AE66" w:rsidR="00543BBE" w:rsidRPr="00543BBE" w:rsidRDefault="00543BBE">
            <w:pPr>
              <w:rPr>
                <w:rFonts w:eastAsia="Times New Roman"/>
                <w:b/>
                <w:bCs/>
                <w:color w:val="000000"/>
                <w:sz w:val="22"/>
                <w:szCs w:val="22"/>
              </w:rPr>
            </w:pPr>
            <w:r w:rsidRPr="00543BBE">
              <w:rPr>
                <w:rFonts w:eastAsia="Times New Roman"/>
                <w:b/>
                <w:bCs/>
                <w:color w:val="000000"/>
                <w:sz w:val="22"/>
                <w:szCs w:val="22"/>
              </w:rPr>
              <w:t>Panel A. Impact of JOBs Act 2012</w:t>
            </w:r>
          </w:p>
        </w:tc>
      </w:tr>
      <w:tr w:rsidR="00543BBE" w:rsidRPr="00543BBE" w14:paraId="7C74AACA" w14:textId="77777777" w:rsidTr="00543BBE">
        <w:trPr>
          <w:trHeight w:val="885"/>
        </w:trPr>
        <w:tc>
          <w:tcPr>
            <w:tcW w:w="2523" w:type="dxa"/>
            <w:tcBorders>
              <w:top w:val="nil"/>
              <w:left w:val="nil"/>
              <w:bottom w:val="nil"/>
              <w:right w:val="nil"/>
            </w:tcBorders>
            <w:shd w:val="clear" w:color="auto" w:fill="auto"/>
            <w:noWrap/>
            <w:vAlign w:val="bottom"/>
            <w:hideMark/>
          </w:tcPr>
          <w:p w14:paraId="7325A5B8" w14:textId="77777777" w:rsidR="00543BBE" w:rsidRPr="00543BBE" w:rsidRDefault="00543BBE" w:rsidP="00543BBE">
            <w:pPr>
              <w:rPr>
                <w:rFonts w:eastAsia="Times New Roman"/>
                <w:b/>
                <w:bCs/>
                <w:color w:val="000000"/>
                <w:sz w:val="22"/>
                <w:szCs w:val="22"/>
              </w:rPr>
            </w:pPr>
          </w:p>
        </w:tc>
        <w:tc>
          <w:tcPr>
            <w:tcW w:w="271" w:type="dxa"/>
            <w:tcBorders>
              <w:top w:val="nil"/>
              <w:left w:val="nil"/>
              <w:bottom w:val="nil"/>
              <w:right w:val="nil"/>
            </w:tcBorders>
            <w:shd w:val="clear" w:color="auto" w:fill="auto"/>
            <w:noWrap/>
            <w:vAlign w:val="bottom"/>
            <w:hideMark/>
          </w:tcPr>
          <w:p w14:paraId="0653694D" w14:textId="77777777" w:rsidR="00543BBE" w:rsidRPr="00543BBE" w:rsidRDefault="00543BBE" w:rsidP="00543BBE">
            <w:pPr>
              <w:jc w:val="center"/>
              <w:rPr>
                <w:rFonts w:eastAsia="Times New Roman"/>
                <w:sz w:val="20"/>
                <w:szCs w:val="20"/>
              </w:rPr>
            </w:pPr>
          </w:p>
        </w:tc>
        <w:tc>
          <w:tcPr>
            <w:tcW w:w="609" w:type="dxa"/>
            <w:tcBorders>
              <w:top w:val="nil"/>
              <w:left w:val="nil"/>
              <w:bottom w:val="single" w:sz="4" w:space="0" w:color="auto"/>
              <w:right w:val="nil"/>
            </w:tcBorders>
            <w:shd w:val="clear" w:color="auto" w:fill="auto"/>
            <w:noWrap/>
            <w:vAlign w:val="bottom"/>
            <w:hideMark/>
          </w:tcPr>
          <w:p w14:paraId="48FB605A"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N</w:t>
            </w:r>
          </w:p>
        </w:tc>
        <w:tc>
          <w:tcPr>
            <w:tcW w:w="283" w:type="dxa"/>
            <w:tcBorders>
              <w:top w:val="nil"/>
              <w:left w:val="nil"/>
              <w:bottom w:val="nil"/>
              <w:right w:val="nil"/>
            </w:tcBorders>
            <w:shd w:val="clear" w:color="auto" w:fill="auto"/>
            <w:noWrap/>
            <w:vAlign w:val="bottom"/>
            <w:hideMark/>
          </w:tcPr>
          <w:p w14:paraId="6EAC2B11" w14:textId="77777777" w:rsidR="00543BBE" w:rsidRPr="00543BBE" w:rsidRDefault="00543BBE" w:rsidP="00543BBE">
            <w:pPr>
              <w:jc w:val="center"/>
              <w:rPr>
                <w:rFonts w:eastAsia="Times New Roman"/>
                <w:b/>
                <w:bCs/>
                <w:color w:val="000000"/>
                <w:sz w:val="22"/>
                <w:szCs w:val="22"/>
              </w:rPr>
            </w:pPr>
          </w:p>
        </w:tc>
        <w:tc>
          <w:tcPr>
            <w:tcW w:w="1170" w:type="dxa"/>
            <w:tcBorders>
              <w:top w:val="nil"/>
              <w:left w:val="nil"/>
              <w:bottom w:val="single" w:sz="4" w:space="0" w:color="auto"/>
              <w:right w:val="nil"/>
            </w:tcBorders>
            <w:shd w:val="clear" w:color="auto" w:fill="auto"/>
            <w:vAlign w:val="bottom"/>
            <w:hideMark/>
          </w:tcPr>
          <w:p w14:paraId="5DFD2B3A"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Number of EGC</w:t>
            </w:r>
          </w:p>
        </w:tc>
        <w:tc>
          <w:tcPr>
            <w:tcW w:w="507" w:type="dxa"/>
            <w:tcBorders>
              <w:top w:val="nil"/>
              <w:left w:val="nil"/>
              <w:bottom w:val="nil"/>
              <w:right w:val="nil"/>
            </w:tcBorders>
            <w:shd w:val="clear" w:color="auto" w:fill="auto"/>
            <w:vAlign w:val="bottom"/>
            <w:hideMark/>
          </w:tcPr>
          <w:p w14:paraId="54703A3E" w14:textId="77777777" w:rsidR="00543BBE" w:rsidRPr="00543BBE" w:rsidRDefault="00543BBE" w:rsidP="00543BBE">
            <w:pPr>
              <w:jc w:val="center"/>
              <w:rPr>
                <w:rFonts w:eastAsia="Times New Roman"/>
                <w:b/>
                <w:bCs/>
                <w:color w:val="000000"/>
                <w:sz w:val="22"/>
                <w:szCs w:val="22"/>
              </w:rPr>
            </w:pPr>
          </w:p>
        </w:tc>
        <w:tc>
          <w:tcPr>
            <w:tcW w:w="1719" w:type="dxa"/>
            <w:tcBorders>
              <w:top w:val="nil"/>
              <w:left w:val="nil"/>
              <w:bottom w:val="single" w:sz="4" w:space="0" w:color="auto"/>
              <w:right w:val="nil"/>
            </w:tcBorders>
            <w:shd w:val="clear" w:color="auto" w:fill="auto"/>
            <w:vAlign w:val="bottom"/>
            <w:hideMark/>
          </w:tcPr>
          <w:p w14:paraId="7077451F"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Proportion of EGC</w:t>
            </w:r>
          </w:p>
        </w:tc>
        <w:tc>
          <w:tcPr>
            <w:tcW w:w="489" w:type="dxa"/>
            <w:tcBorders>
              <w:top w:val="nil"/>
              <w:left w:val="nil"/>
              <w:bottom w:val="nil"/>
              <w:right w:val="nil"/>
            </w:tcBorders>
            <w:shd w:val="clear" w:color="auto" w:fill="auto"/>
            <w:vAlign w:val="bottom"/>
            <w:hideMark/>
          </w:tcPr>
          <w:p w14:paraId="2AA3A5FB" w14:textId="77777777" w:rsidR="00543BBE" w:rsidRPr="00543BBE" w:rsidRDefault="00543BBE" w:rsidP="00543BBE">
            <w:pPr>
              <w:jc w:val="center"/>
              <w:rPr>
                <w:rFonts w:eastAsia="Times New Roman"/>
                <w:b/>
                <w:bCs/>
                <w:color w:val="000000"/>
                <w:sz w:val="22"/>
                <w:szCs w:val="22"/>
              </w:rPr>
            </w:pPr>
          </w:p>
        </w:tc>
        <w:tc>
          <w:tcPr>
            <w:tcW w:w="1918" w:type="dxa"/>
            <w:gridSpan w:val="2"/>
            <w:tcBorders>
              <w:top w:val="nil"/>
              <w:left w:val="nil"/>
              <w:bottom w:val="single" w:sz="4" w:space="0" w:color="auto"/>
              <w:right w:val="nil"/>
            </w:tcBorders>
            <w:shd w:val="clear" w:color="auto" w:fill="auto"/>
            <w:vAlign w:val="bottom"/>
            <w:hideMark/>
          </w:tcPr>
          <w:p w14:paraId="6323616D"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Duration</w:t>
            </w:r>
          </w:p>
        </w:tc>
        <w:tc>
          <w:tcPr>
            <w:tcW w:w="419" w:type="dxa"/>
            <w:tcBorders>
              <w:top w:val="nil"/>
              <w:left w:val="nil"/>
              <w:bottom w:val="nil"/>
              <w:right w:val="nil"/>
            </w:tcBorders>
            <w:shd w:val="clear" w:color="auto" w:fill="auto"/>
            <w:vAlign w:val="bottom"/>
            <w:hideMark/>
          </w:tcPr>
          <w:p w14:paraId="5F5D8B3B" w14:textId="77777777" w:rsidR="00543BBE" w:rsidRPr="00543BBE" w:rsidRDefault="00543BBE" w:rsidP="00543BBE">
            <w:pPr>
              <w:jc w:val="center"/>
              <w:rPr>
                <w:rFonts w:eastAsia="Times New Roman"/>
                <w:b/>
                <w:bCs/>
                <w:color w:val="000000"/>
                <w:sz w:val="22"/>
                <w:szCs w:val="22"/>
              </w:rPr>
            </w:pPr>
          </w:p>
        </w:tc>
        <w:tc>
          <w:tcPr>
            <w:tcW w:w="1825" w:type="dxa"/>
            <w:gridSpan w:val="2"/>
            <w:tcBorders>
              <w:top w:val="nil"/>
              <w:left w:val="nil"/>
              <w:bottom w:val="single" w:sz="4" w:space="0" w:color="auto"/>
              <w:right w:val="nil"/>
            </w:tcBorders>
            <w:shd w:val="clear" w:color="auto" w:fill="auto"/>
            <w:vAlign w:val="bottom"/>
            <w:hideMark/>
          </w:tcPr>
          <w:p w14:paraId="22B34135" w14:textId="7219CA31" w:rsidR="00543BBE" w:rsidRPr="00543BBE" w:rsidRDefault="00543BBE" w:rsidP="00543BBE">
            <w:pPr>
              <w:jc w:val="center"/>
              <w:rPr>
                <w:rFonts w:eastAsia="Times New Roman"/>
                <w:b/>
                <w:bCs/>
                <w:color w:val="000000"/>
                <w:sz w:val="22"/>
                <w:szCs w:val="22"/>
              </w:rPr>
            </w:pPr>
            <w:r>
              <w:rPr>
                <w:rFonts w:eastAsia="Times New Roman"/>
                <w:b/>
                <w:bCs/>
                <w:color w:val="000000"/>
                <w:sz w:val="22"/>
                <w:szCs w:val="22"/>
              </w:rPr>
              <w:t>Letters</w:t>
            </w:r>
          </w:p>
        </w:tc>
        <w:tc>
          <w:tcPr>
            <w:tcW w:w="337" w:type="dxa"/>
            <w:tcBorders>
              <w:top w:val="nil"/>
              <w:left w:val="nil"/>
              <w:bottom w:val="nil"/>
              <w:right w:val="nil"/>
            </w:tcBorders>
            <w:shd w:val="clear" w:color="auto" w:fill="auto"/>
            <w:vAlign w:val="bottom"/>
            <w:hideMark/>
          </w:tcPr>
          <w:p w14:paraId="51D961E0" w14:textId="77777777" w:rsidR="00543BBE" w:rsidRPr="00543BBE" w:rsidRDefault="00543BBE" w:rsidP="00543BBE">
            <w:pPr>
              <w:jc w:val="center"/>
              <w:rPr>
                <w:rFonts w:eastAsia="Times New Roman"/>
                <w:b/>
                <w:bCs/>
                <w:color w:val="000000"/>
                <w:sz w:val="22"/>
                <w:szCs w:val="22"/>
              </w:rPr>
            </w:pPr>
          </w:p>
        </w:tc>
        <w:tc>
          <w:tcPr>
            <w:tcW w:w="1825" w:type="dxa"/>
            <w:gridSpan w:val="2"/>
            <w:tcBorders>
              <w:top w:val="nil"/>
              <w:left w:val="nil"/>
              <w:bottom w:val="single" w:sz="4" w:space="0" w:color="auto"/>
              <w:right w:val="nil"/>
            </w:tcBorders>
            <w:shd w:val="clear" w:color="auto" w:fill="auto"/>
            <w:vAlign w:val="bottom"/>
            <w:hideMark/>
          </w:tcPr>
          <w:p w14:paraId="1B8C9D21" w14:textId="6569A07B" w:rsidR="00543BBE" w:rsidRPr="00543BBE" w:rsidRDefault="00543BBE" w:rsidP="00543BBE">
            <w:pPr>
              <w:jc w:val="center"/>
              <w:rPr>
                <w:rFonts w:eastAsia="Times New Roman"/>
                <w:b/>
                <w:bCs/>
                <w:color w:val="000000"/>
                <w:sz w:val="22"/>
                <w:szCs w:val="22"/>
              </w:rPr>
            </w:pPr>
            <w:r>
              <w:rPr>
                <w:rFonts w:eastAsia="Times New Roman"/>
                <w:b/>
                <w:bCs/>
                <w:color w:val="000000"/>
                <w:sz w:val="22"/>
                <w:szCs w:val="22"/>
              </w:rPr>
              <w:t>Comments</w:t>
            </w:r>
          </w:p>
        </w:tc>
      </w:tr>
      <w:tr w:rsidR="00543BBE" w:rsidRPr="00543BBE" w14:paraId="4AB668A4" w14:textId="77777777" w:rsidTr="00543BBE">
        <w:trPr>
          <w:trHeight w:val="300"/>
        </w:trPr>
        <w:tc>
          <w:tcPr>
            <w:tcW w:w="2523" w:type="dxa"/>
            <w:tcBorders>
              <w:top w:val="nil"/>
              <w:left w:val="nil"/>
              <w:bottom w:val="nil"/>
              <w:right w:val="nil"/>
            </w:tcBorders>
            <w:shd w:val="clear" w:color="auto" w:fill="auto"/>
            <w:noWrap/>
            <w:vAlign w:val="bottom"/>
            <w:hideMark/>
          </w:tcPr>
          <w:p w14:paraId="22C9033E" w14:textId="77777777" w:rsidR="00543BBE" w:rsidRPr="00543BBE" w:rsidRDefault="00543BBE" w:rsidP="00543BBE">
            <w:pPr>
              <w:jc w:val="center"/>
              <w:rPr>
                <w:rFonts w:eastAsia="Times New Roman"/>
                <w:b/>
                <w:bCs/>
                <w:color w:val="000000"/>
                <w:sz w:val="22"/>
                <w:szCs w:val="22"/>
              </w:rPr>
            </w:pPr>
          </w:p>
        </w:tc>
        <w:tc>
          <w:tcPr>
            <w:tcW w:w="271" w:type="dxa"/>
            <w:tcBorders>
              <w:top w:val="nil"/>
              <w:left w:val="nil"/>
              <w:bottom w:val="nil"/>
              <w:right w:val="nil"/>
            </w:tcBorders>
            <w:shd w:val="clear" w:color="auto" w:fill="auto"/>
            <w:noWrap/>
            <w:vAlign w:val="bottom"/>
            <w:hideMark/>
          </w:tcPr>
          <w:p w14:paraId="148E1EBE" w14:textId="77777777" w:rsidR="00543BBE" w:rsidRPr="00543BBE" w:rsidRDefault="00543BBE" w:rsidP="00543BBE">
            <w:pPr>
              <w:jc w:val="center"/>
              <w:rPr>
                <w:rFonts w:eastAsia="Times New Roman"/>
                <w:sz w:val="20"/>
                <w:szCs w:val="20"/>
              </w:rPr>
            </w:pPr>
          </w:p>
        </w:tc>
        <w:tc>
          <w:tcPr>
            <w:tcW w:w="609" w:type="dxa"/>
            <w:tcBorders>
              <w:top w:val="nil"/>
              <w:left w:val="nil"/>
              <w:bottom w:val="nil"/>
              <w:right w:val="nil"/>
            </w:tcBorders>
            <w:shd w:val="clear" w:color="auto" w:fill="auto"/>
            <w:noWrap/>
            <w:vAlign w:val="bottom"/>
            <w:hideMark/>
          </w:tcPr>
          <w:p w14:paraId="2B3E21DC" w14:textId="77777777" w:rsidR="00543BBE" w:rsidRPr="00543BBE" w:rsidRDefault="00543BBE" w:rsidP="00543BBE">
            <w:pPr>
              <w:jc w:val="center"/>
              <w:rPr>
                <w:rFonts w:eastAsia="Times New Roman"/>
                <w:sz w:val="20"/>
                <w:szCs w:val="20"/>
              </w:rPr>
            </w:pPr>
          </w:p>
        </w:tc>
        <w:tc>
          <w:tcPr>
            <w:tcW w:w="283" w:type="dxa"/>
            <w:tcBorders>
              <w:top w:val="nil"/>
              <w:left w:val="nil"/>
              <w:bottom w:val="nil"/>
              <w:right w:val="nil"/>
            </w:tcBorders>
            <w:shd w:val="clear" w:color="auto" w:fill="auto"/>
            <w:noWrap/>
            <w:vAlign w:val="bottom"/>
            <w:hideMark/>
          </w:tcPr>
          <w:p w14:paraId="09A5CFAA" w14:textId="77777777" w:rsidR="00543BBE" w:rsidRPr="00543BBE" w:rsidRDefault="00543BBE" w:rsidP="00543BBE">
            <w:pPr>
              <w:jc w:val="center"/>
              <w:rPr>
                <w:rFonts w:eastAsia="Times New Roman"/>
                <w:sz w:val="20"/>
                <w:szCs w:val="20"/>
              </w:rPr>
            </w:pPr>
          </w:p>
        </w:tc>
        <w:tc>
          <w:tcPr>
            <w:tcW w:w="1170" w:type="dxa"/>
            <w:tcBorders>
              <w:top w:val="nil"/>
              <w:left w:val="nil"/>
              <w:bottom w:val="nil"/>
              <w:right w:val="nil"/>
            </w:tcBorders>
            <w:shd w:val="clear" w:color="auto" w:fill="auto"/>
            <w:noWrap/>
            <w:vAlign w:val="bottom"/>
            <w:hideMark/>
          </w:tcPr>
          <w:p w14:paraId="391C5EF6" w14:textId="77777777" w:rsidR="00543BBE" w:rsidRPr="00543BBE" w:rsidRDefault="00543BBE" w:rsidP="00543BBE">
            <w:pPr>
              <w:jc w:val="center"/>
              <w:rPr>
                <w:rFonts w:eastAsia="Times New Roman"/>
                <w:sz w:val="20"/>
                <w:szCs w:val="20"/>
              </w:rPr>
            </w:pPr>
          </w:p>
        </w:tc>
        <w:tc>
          <w:tcPr>
            <w:tcW w:w="507" w:type="dxa"/>
            <w:tcBorders>
              <w:top w:val="nil"/>
              <w:left w:val="nil"/>
              <w:bottom w:val="nil"/>
              <w:right w:val="nil"/>
            </w:tcBorders>
            <w:shd w:val="clear" w:color="auto" w:fill="auto"/>
            <w:noWrap/>
            <w:vAlign w:val="bottom"/>
            <w:hideMark/>
          </w:tcPr>
          <w:p w14:paraId="1073D1AC" w14:textId="77777777" w:rsidR="00543BBE" w:rsidRPr="00543BBE" w:rsidRDefault="00543BBE" w:rsidP="00543BBE">
            <w:pPr>
              <w:jc w:val="center"/>
              <w:rPr>
                <w:rFonts w:eastAsia="Times New Roman"/>
                <w:sz w:val="20"/>
                <w:szCs w:val="20"/>
              </w:rPr>
            </w:pPr>
          </w:p>
        </w:tc>
        <w:tc>
          <w:tcPr>
            <w:tcW w:w="1719" w:type="dxa"/>
            <w:tcBorders>
              <w:top w:val="nil"/>
              <w:left w:val="nil"/>
              <w:bottom w:val="nil"/>
              <w:right w:val="nil"/>
            </w:tcBorders>
            <w:shd w:val="clear" w:color="auto" w:fill="auto"/>
            <w:noWrap/>
            <w:vAlign w:val="bottom"/>
            <w:hideMark/>
          </w:tcPr>
          <w:p w14:paraId="463F5FD8" w14:textId="77777777" w:rsidR="00543BBE" w:rsidRPr="00543BBE" w:rsidRDefault="00543BBE" w:rsidP="00543BBE">
            <w:pPr>
              <w:jc w:val="center"/>
              <w:rPr>
                <w:rFonts w:eastAsia="Times New Roman"/>
                <w:sz w:val="20"/>
                <w:szCs w:val="20"/>
              </w:rPr>
            </w:pPr>
          </w:p>
        </w:tc>
        <w:tc>
          <w:tcPr>
            <w:tcW w:w="489" w:type="dxa"/>
            <w:tcBorders>
              <w:top w:val="nil"/>
              <w:left w:val="nil"/>
              <w:bottom w:val="nil"/>
              <w:right w:val="nil"/>
            </w:tcBorders>
            <w:shd w:val="clear" w:color="auto" w:fill="auto"/>
            <w:noWrap/>
            <w:vAlign w:val="bottom"/>
            <w:hideMark/>
          </w:tcPr>
          <w:p w14:paraId="084CA954" w14:textId="77777777" w:rsidR="00543BBE" w:rsidRPr="00543BBE" w:rsidRDefault="00543BBE" w:rsidP="00543BBE">
            <w:pPr>
              <w:jc w:val="center"/>
              <w:rPr>
                <w:rFonts w:eastAsia="Times New Roman"/>
                <w:sz w:val="20"/>
                <w:szCs w:val="20"/>
              </w:rPr>
            </w:pPr>
          </w:p>
        </w:tc>
        <w:tc>
          <w:tcPr>
            <w:tcW w:w="879" w:type="dxa"/>
            <w:tcBorders>
              <w:top w:val="nil"/>
              <w:left w:val="nil"/>
              <w:bottom w:val="single" w:sz="4" w:space="0" w:color="auto"/>
              <w:right w:val="nil"/>
            </w:tcBorders>
            <w:shd w:val="clear" w:color="auto" w:fill="auto"/>
            <w:noWrap/>
            <w:vAlign w:val="bottom"/>
            <w:hideMark/>
          </w:tcPr>
          <w:p w14:paraId="0008B66A"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694AAB24"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c>
          <w:tcPr>
            <w:tcW w:w="419" w:type="dxa"/>
            <w:tcBorders>
              <w:top w:val="nil"/>
              <w:left w:val="nil"/>
              <w:bottom w:val="nil"/>
              <w:right w:val="nil"/>
            </w:tcBorders>
            <w:shd w:val="clear" w:color="auto" w:fill="auto"/>
            <w:noWrap/>
            <w:vAlign w:val="bottom"/>
            <w:hideMark/>
          </w:tcPr>
          <w:p w14:paraId="70946B7A" w14:textId="77777777" w:rsidR="00543BBE" w:rsidRPr="00543BBE" w:rsidRDefault="00543BBE" w:rsidP="00543BBE">
            <w:pPr>
              <w:jc w:val="center"/>
              <w:rPr>
                <w:rFonts w:eastAsia="Times New Roman"/>
                <w:b/>
                <w:bCs/>
                <w:color w:val="000000"/>
                <w:sz w:val="22"/>
                <w:szCs w:val="22"/>
              </w:rPr>
            </w:pPr>
          </w:p>
        </w:tc>
        <w:tc>
          <w:tcPr>
            <w:tcW w:w="786" w:type="dxa"/>
            <w:tcBorders>
              <w:top w:val="nil"/>
              <w:left w:val="nil"/>
              <w:bottom w:val="single" w:sz="4" w:space="0" w:color="auto"/>
              <w:right w:val="nil"/>
            </w:tcBorders>
            <w:shd w:val="clear" w:color="auto" w:fill="auto"/>
            <w:noWrap/>
            <w:vAlign w:val="bottom"/>
            <w:hideMark/>
          </w:tcPr>
          <w:p w14:paraId="08EC2847"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66D1D022"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c>
          <w:tcPr>
            <w:tcW w:w="337" w:type="dxa"/>
            <w:tcBorders>
              <w:top w:val="nil"/>
              <w:left w:val="nil"/>
              <w:bottom w:val="nil"/>
              <w:right w:val="nil"/>
            </w:tcBorders>
            <w:shd w:val="clear" w:color="auto" w:fill="auto"/>
            <w:noWrap/>
            <w:vAlign w:val="bottom"/>
            <w:hideMark/>
          </w:tcPr>
          <w:p w14:paraId="1A2A85DD" w14:textId="77777777" w:rsidR="00543BBE" w:rsidRPr="00543BBE" w:rsidRDefault="00543BBE" w:rsidP="00543BBE">
            <w:pPr>
              <w:jc w:val="center"/>
              <w:rPr>
                <w:rFonts w:eastAsia="Times New Roman"/>
                <w:b/>
                <w:bCs/>
                <w:color w:val="000000"/>
                <w:sz w:val="22"/>
                <w:szCs w:val="22"/>
              </w:rPr>
            </w:pPr>
          </w:p>
        </w:tc>
        <w:tc>
          <w:tcPr>
            <w:tcW w:w="786" w:type="dxa"/>
            <w:tcBorders>
              <w:top w:val="nil"/>
              <w:left w:val="nil"/>
              <w:bottom w:val="single" w:sz="4" w:space="0" w:color="auto"/>
              <w:right w:val="nil"/>
            </w:tcBorders>
            <w:shd w:val="clear" w:color="auto" w:fill="auto"/>
            <w:noWrap/>
            <w:vAlign w:val="bottom"/>
            <w:hideMark/>
          </w:tcPr>
          <w:p w14:paraId="6C5E3D22"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765C36FC"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r>
      <w:tr w:rsidR="00543BBE" w:rsidRPr="00543BBE" w14:paraId="76C2D2C7" w14:textId="77777777" w:rsidTr="00543BBE">
        <w:trPr>
          <w:trHeight w:val="300"/>
        </w:trPr>
        <w:tc>
          <w:tcPr>
            <w:tcW w:w="2523" w:type="dxa"/>
            <w:tcBorders>
              <w:top w:val="nil"/>
              <w:left w:val="nil"/>
              <w:bottom w:val="nil"/>
              <w:right w:val="nil"/>
            </w:tcBorders>
            <w:shd w:val="clear" w:color="auto" w:fill="auto"/>
            <w:vAlign w:val="center"/>
            <w:hideMark/>
          </w:tcPr>
          <w:p w14:paraId="52D94899"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Pre-JOBS Act (2005-2011)</w:t>
            </w:r>
          </w:p>
        </w:tc>
        <w:tc>
          <w:tcPr>
            <w:tcW w:w="271" w:type="dxa"/>
            <w:tcBorders>
              <w:top w:val="nil"/>
              <w:left w:val="nil"/>
              <w:bottom w:val="nil"/>
              <w:right w:val="nil"/>
            </w:tcBorders>
            <w:shd w:val="clear" w:color="auto" w:fill="auto"/>
            <w:noWrap/>
            <w:vAlign w:val="bottom"/>
            <w:hideMark/>
          </w:tcPr>
          <w:p w14:paraId="74C2FA6F" w14:textId="77777777" w:rsidR="00543BBE" w:rsidRPr="00543BBE" w:rsidRDefault="00543BBE" w:rsidP="00543BBE">
            <w:pPr>
              <w:rPr>
                <w:rFonts w:eastAsia="Times New Roman"/>
                <w:color w:val="000000"/>
                <w:sz w:val="22"/>
                <w:szCs w:val="22"/>
              </w:rPr>
            </w:pPr>
          </w:p>
        </w:tc>
        <w:tc>
          <w:tcPr>
            <w:tcW w:w="609" w:type="dxa"/>
            <w:tcBorders>
              <w:top w:val="nil"/>
              <w:left w:val="nil"/>
              <w:bottom w:val="nil"/>
              <w:right w:val="nil"/>
            </w:tcBorders>
            <w:shd w:val="clear" w:color="auto" w:fill="auto"/>
            <w:vAlign w:val="center"/>
            <w:hideMark/>
          </w:tcPr>
          <w:p w14:paraId="770E60E4"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448</w:t>
            </w:r>
          </w:p>
        </w:tc>
        <w:tc>
          <w:tcPr>
            <w:tcW w:w="283" w:type="dxa"/>
            <w:tcBorders>
              <w:top w:val="nil"/>
              <w:left w:val="nil"/>
              <w:bottom w:val="nil"/>
              <w:right w:val="nil"/>
            </w:tcBorders>
            <w:shd w:val="clear" w:color="auto" w:fill="auto"/>
            <w:vAlign w:val="center"/>
            <w:hideMark/>
          </w:tcPr>
          <w:p w14:paraId="7DA812AB" w14:textId="77777777" w:rsidR="00543BBE" w:rsidRPr="00543BBE" w:rsidRDefault="00543BBE" w:rsidP="00543BBE">
            <w:pPr>
              <w:jc w:val="center"/>
              <w:rPr>
                <w:rFonts w:eastAsia="Times New Roman"/>
                <w:color w:val="000000"/>
                <w:sz w:val="22"/>
                <w:szCs w:val="22"/>
              </w:rPr>
            </w:pPr>
          </w:p>
        </w:tc>
        <w:tc>
          <w:tcPr>
            <w:tcW w:w="1170" w:type="dxa"/>
            <w:tcBorders>
              <w:top w:val="nil"/>
              <w:left w:val="nil"/>
              <w:bottom w:val="nil"/>
              <w:right w:val="nil"/>
            </w:tcBorders>
            <w:shd w:val="clear" w:color="auto" w:fill="auto"/>
            <w:vAlign w:val="center"/>
            <w:hideMark/>
          </w:tcPr>
          <w:p w14:paraId="33E1367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392</w:t>
            </w:r>
          </w:p>
        </w:tc>
        <w:tc>
          <w:tcPr>
            <w:tcW w:w="507" w:type="dxa"/>
            <w:tcBorders>
              <w:top w:val="nil"/>
              <w:left w:val="nil"/>
              <w:bottom w:val="nil"/>
              <w:right w:val="nil"/>
            </w:tcBorders>
            <w:shd w:val="clear" w:color="auto" w:fill="auto"/>
            <w:vAlign w:val="center"/>
            <w:hideMark/>
          </w:tcPr>
          <w:p w14:paraId="61F32EF2" w14:textId="77777777" w:rsidR="00543BBE" w:rsidRPr="00543BBE" w:rsidRDefault="00543BBE" w:rsidP="00543BBE">
            <w:pPr>
              <w:jc w:val="center"/>
              <w:rPr>
                <w:rFonts w:eastAsia="Times New Roman"/>
                <w:color w:val="000000"/>
                <w:sz w:val="22"/>
                <w:szCs w:val="22"/>
              </w:rPr>
            </w:pPr>
          </w:p>
        </w:tc>
        <w:tc>
          <w:tcPr>
            <w:tcW w:w="1719" w:type="dxa"/>
            <w:tcBorders>
              <w:top w:val="nil"/>
              <w:left w:val="nil"/>
              <w:bottom w:val="nil"/>
              <w:right w:val="nil"/>
            </w:tcBorders>
            <w:shd w:val="clear" w:color="auto" w:fill="auto"/>
            <w:noWrap/>
            <w:vAlign w:val="center"/>
            <w:hideMark/>
          </w:tcPr>
          <w:p w14:paraId="495CF133"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87.5</w:t>
            </w:r>
          </w:p>
        </w:tc>
        <w:tc>
          <w:tcPr>
            <w:tcW w:w="489" w:type="dxa"/>
            <w:tcBorders>
              <w:top w:val="nil"/>
              <w:left w:val="nil"/>
              <w:bottom w:val="nil"/>
              <w:right w:val="nil"/>
            </w:tcBorders>
            <w:shd w:val="clear" w:color="auto" w:fill="auto"/>
            <w:noWrap/>
            <w:vAlign w:val="center"/>
            <w:hideMark/>
          </w:tcPr>
          <w:p w14:paraId="0D9E11F7" w14:textId="77777777" w:rsidR="00543BBE" w:rsidRPr="00543BBE" w:rsidRDefault="00543BBE" w:rsidP="00543BBE">
            <w:pPr>
              <w:jc w:val="center"/>
              <w:rPr>
                <w:rFonts w:eastAsia="Times New Roman"/>
                <w:color w:val="000000"/>
                <w:sz w:val="22"/>
                <w:szCs w:val="22"/>
              </w:rPr>
            </w:pPr>
          </w:p>
        </w:tc>
        <w:tc>
          <w:tcPr>
            <w:tcW w:w="879" w:type="dxa"/>
            <w:tcBorders>
              <w:top w:val="nil"/>
              <w:left w:val="nil"/>
              <w:bottom w:val="nil"/>
              <w:right w:val="nil"/>
            </w:tcBorders>
            <w:shd w:val="clear" w:color="auto" w:fill="auto"/>
            <w:noWrap/>
            <w:vAlign w:val="center"/>
            <w:hideMark/>
          </w:tcPr>
          <w:p w14:paraId="0423DB7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169.69</w:t>
            </w:r>
          </w:p>
        </w:tc>
        <w:tc>
          <w:tcPr>
            <w:tcW w:w="1039" w:type="dxa"/>
            <w:tcBorders>
              <w:top w:val="nil"/>
              <w:left w:val="nil"/>
              <w:bottom w:val="nil"/>
              <w:right w:val="nil"/>
            </w:tcBorders>
            <w:shd w:val="clear" w:color="auto" w:fill="auto"/>
            <w:noWrap/>
            <w:vAlign w:val="center"/>
            <w:hideMark/>
          </w:tcPr>
          <w:p w14:paraId="6EA6460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112</w:t>
            </w:r>
          </w:p>
        </w:tc>
        <w:tc>
          <w:tcPr>
            <w:tcW w:w="419" w:type="dxa"/>
            <w:tcBorders>
              <w:top w:val="nil"/>
              <w:left w:val="nil"/>
              <w:bottom w:val="nil"/>
              <w:right w:val="nil"/>
            </w:tcBorders>
            <w:shd w:val="clear" w:color="auto" w:fill="auto"/>
            <w:noWrap/>
            <w:vAlign w:val="center"/>
            <w:hideMark/>
          </w:tcPr>
          <w:p w14:paraId="7BDA7647"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06F870EA"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3.74</w:t>
            </w:r>
          </w:p>
        </w:tc>
        <w:tc>
          <w:tcPr>
            <w:tcW w:w="1039" w:type="dxa"/>
            <w:tcBorders>
              <w:top w:val="nil"/>
              <w:left w:val="nil"/>
              <w:bottom w:val="nil"/>
              <w:right w:val="nil"/>
            </w:tcBorders>
            <w:shd w:val="clear" w:color="auto" w:fill="auto"/>
            <w:noWrap/>
            <w:vAlign w:val="center"/>
            <w:hideMark/>
          </w:tcPr>
          <w:p w14:paraId="041082E0"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w:t>
            </w:r>
          </w:p>
        </w:tc>
        <w:tc>
          <w:tcPr>
            <w:tcW w:w="337" w:type="dxa"/>
            <w:tcBorders>
              <w:top w:val="nil"/>
              <w:left w:val="nil"/>
              <w:bottom w:val="nil"/>
              <w:right w:val="nil"/>
            </w:tcBorders>
            <w:shd w:val="clear" w:color="auto" w:fill="auto"/>
            <w:noWrap/>
            <w:vAlign w:val="center"/>
            <w:hideMark/>
          </w:tcPr>
          <w:p w14:paraId="087971E4"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3612F93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44.29</w:t>
            </w:r>
          </w:p>
        </w:tc>
        <w:tc>
          <w:tcPr>
            <w:tcW w:w="1039" w:type="dxa"/>
            <w:tcBorders>
              <w:top w:val="nil"/>
              <w:left w:val="nil"/>
              <w:bottom w:val="nil"/>
              <w:right w:val="nil"/>
            </w:tcBorders>
            <w:shd w:val="clear" w:color="auto" w:fill="auto"/>
            <w:noWrap/>
            <w:vAlign w:val="center"/>
            <w:hideMark/>
          </w:tcPr>
          <w:p w14:paraId="10F088F5"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46</w:t>
            </w:r>
          </w:p>
        </w:tc>
      </w:tr>
      <w:tr w:rsidR="00543BBE" w:rsidRPr="00543BBE" w14:paraId="2D095E4D" w14:textId="77777777" w:rsidTr="00543BBE">
        <w:trPr>
          <w:trHeight w:val="600"/>
        </w:trPr>
        <w:tc>
          <w:tcPr>
            <w:tcW w:w="2523" w:type="dxa"/>
            <w:tcBorders>
              <w:top w:val="nil"/>
              <w:left w:val="nil"/>
              <w:bottom w:val="nil"/>
              <w:right w:val="nil"/>
            </w:tcBorders>
            <w:shd w:val="clear" w:color="auto" w:fill="auto"/>
            <w:vAlign w:val="center"/>
            <w:hideMark/>
          </w:tcPr>
          <w:p w14:paraId="2B1D09D7"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Post-JOBS Act (2012-2017)</w:t>
            </w:r>
          </w:p>
        </w:tc>
        <w:tc>
          <w:tcPr>
            <w:tcW w:w="271" w:type="dxa"/>
            <w:tcBorders>
              <w:top w:val="nil"/>
              <w:left w:val="nil"/>
              <w:bottom w:val="nil"/>
              <w:right w:val="nil"/>
            </w:tcBorders>
            <w:shd w:val="clear" w:color="auto" w:fill="auto"/>
            <w:noWrap/>
            <w:vAlign w:val="bottom"/>
            <w:hideMark/>
          </w:tcPr>
          <w:p w14:paraId="140F462A" w14:textId="77777777" w:rsidR="00543BBE" w:rsidRPr="00543BBE" w:rsidRDefault="00543BBE" w:rsidP="00543BBE">
            <w:pPr>
              <w:rPr>
                <w:rFonts w:eastAsia="Times New Roman"/>
                <w:color w:val="000000"/>
                <w:sz w:val="22"/>
                <w:szCs w:val="22"/>
              </w:rPr>
            </w:pPr>
          </w:p>
        </w:tc>
        <w:tc>
          <w:tcPr>
            <w:tcW w:w="609" w:type="dxa"/>
            <w:tcBorders>
              <w:top w:val="nil"/>
              <w:left w:val="nil"/>
              <w:bottom w:val="nil"/>
              <w:right w:val="nil"/>
            </w:tcBorders>
            <w:shd w:val="clear" w:color="auto" w:fill="auto"/>
            <w:vAlign w:val="center"/>
            <w:hideMark/>
          </w:tcPr>
          <w:p w14:paraId="2903708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461</w:t>
            </w:r>
          </w:p>
        </w:tc>
        <w:tc>
          <w:tcPr>
            <w:tcW w:w="283" w:type="dxa"/>
            <w:tcBorders>
              <w:top w:val="nil"/>
              <w:left w:val="nil"/>
              <w:bottom w:val="nil"/>
              <w:right w:val="nil"/>
            </w:tcBorders>
            <w:shd w:val="clear" w:color="auto" w:fill="auto"/>
            <w:vAlign w:val="center"/>
            <w:hideMark/>
          </w:tcPr>
          <w:p w14:paraId="0401D361" w14:textId="77777777" w:rsidR="00543BBE" w:rsidRPr="00543BBE" w:rsidRDefault="00543BBE" w:rsidP="00543BBE">
            <w:pPr>
              <w:jc w:val="center"/>
              <w:rPr>
                <w:rFonts w:eastAsia="Times New Roman"/>
                <w:color w:val="000000"/>
                <w:sz w:val="22"/>
                <w:szCs w:val="22"/>
              </w:rPr>
            </w:pPr>
          </w:p>
        </w:tc>
        <w:tc>
          <w:tcPr>
            <w:tcW w:w="1170" w:type="dxa"/>
            <w:tcBorders>
              <w:top w:val="nil"/>
              <w:left w:val="nil"/>
              <w:bottom w:val="nil"/>
              <w:right w:val="nil"/>
            </w:tcBorders>
            <w:shd w:val="clear" w:color="auto" w:fill="auto"/>
            <w:vAlign w:val="center"/>
            <w:hideMark/>
          </w:tcPr>
          <w:p w14:paraId="5516D0E8"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392</w:t>
            </w:r>
          </w:p>
        </w:tc>
        <w:tc>
          <w:tcPr>
            <w:tcW w:w="507" w:type="dxa"/>
            <w:tcBorders>
              <w:top w:val="nil"/>
              <w:left w:val="nil"/>
              <w:bottom w:val="nil"/>
              <w:right w:val="nil"/>
            </w:tcBorders>
            <w:shd w:val="clear" w:color="auto" w:fill="auto"/>
            <w:vAlign w:val="center"/>
            <w:hideMark/>
          </w:tcPr>
          <w:p w14:paraId="6759359C" w14:textId="77777777" w:rsidR="00543BBE" w:rsidRPr="00543BBE" w:rsidRDefault="00543BBE" w:rsidP="00543BBE">
            <w:pPr>
              <w:jc w:val="center"/>
              <w:rPr>
                <w:rFonts w:eastAsia="Times New Roman"/>
                <w:color w:val="000000"/>
                <w:sz w:val="22"/>
                <w:szCs w:val="22"/>
              </w:rPr>
            </w:pPr>
          </w:p>
        </w:tc>
        <w:tc>
          <w:tcPr>
            <w:tcW w:w="1719" w:type="dxa"/>
            <w:tcBorders>
              <w:top w:val="nil"/>
              <w:left w:val="nil"/>
              <w:bottom w:val="nil"/>
              <w:right w:val="nil"/>
            </w:tcBorders>
            <w:shd w:val="clear" w:color="auto" w:fill="auto"/>
            <w:noWrap/>
            <w:vAlign w:val="center"/>
            <w:hideMark/>
          </w:tcPr>
          <w:p w14:paraId="646AA000"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85.03</w:t>
            </w:r>
          </w:p>
        </w:tc>
        <w:tc>
          <w:tcPr>
            <w:tcW w:w="489" w:type="dxa"/>
            <w:tcBorders>
              <w:top w:val="nil"/>
              <w:left w:val="nil"/>
              <w:bottom w:val="nil"/>
              <w:right w:val="nil"/>
            </w:tcBorders>
            <w:shd w:val="clear" w:color="auto" w:fill="auto"/>
            <w:noWrap/>
            <w:vAlign w:val="center"/>
            <w:hideMark/>
          </w:tcPr>
          <w:p w14:paraId="69890347" w14:textId="77777777" w:rsidR="00543BBE" w:rsidRPr="00543BBE" w:rsidRDefault="00543BBE" w:rsidP="00543BBE">
            <w:pPr>
              <w:jc w:val="center"/>
              <w:rPr>
                <w:rFonts w:eastAsia="Times New Roman"/>
                <w:color w:val="000000"/>
                <w:sz w:val="22"/>
                <w:szCs w:val="22"/>
              </w:rPr>
            </w:pPr>
          </w:p>
        </w:tc>
        <w:tc>
          <w:tcPr>
            <w:tcW w:w="879" w:type="dxa"/>
            <w:tcBorders>
              <w:top w:val="nil"/>
              <w:left w:val="nil"/>
              <w:bottom w:val="nil"/>
              <w:right w:val="nil"/>
            </w:tcBorders>
            <w:shd w:val="clear" w:color="auto" w:fill="auto"/>
            <w:noWrap/>
            <w:vAlign w:val="center"/>
            <w:hideMark/>
          </w:tcPr>
          <w:p w14:paraId="484FAE7B"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71.93</w:t>
            </w:r>
          </w:p>
        </w:tc>
        <w:tc>
          <w:tcPr>
            <w:tcW w:w="1039" w:type="dxa"/>
            <w:tcBorders>
              <w:top w:val="nil"/>
              <w:left w:val="nil"/>
              <w:bottom w:val="nil"/>
              <w:right w:val="nil"/>
            </w:tcBorders>
            <w:shd w:val="clear" w:color="auto" w:fill="auto"/>
            <w:noWrap/>
            <w:vAlign w:val="center"/>
            <w:hideMark/>
          </w:tcPr>
          <w:p w14:paraId="33E58FE8"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41</w:t>
            </w:r>
          </w:p>
        </w:tc>
        <w:tc>
          <w:tcPr>
            <w:tcW w:w="419" w:type="dxa"/>
            <w:tcBorders>
              <w:top w:val="nil"/>
              <w:left w:val="nil"/>
              <w:bottom w:val="nil"/>
              <w:right w:val="nil"/>
            </w:tcBorders>
            <w:shd w:val="clear" w:color="auto" w:fill="auto"/>
            <w:noWrap/>
            <w:vAlign w:val="center"/>
            <w:hideMark/>
          </w:tcPr>
          <w:p w14:paraId="08CE8E5A"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7737C8B7"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1.82</w:t>
            </w:r>
          </w:p>
        </w:tc>
        <w:tc>
          <w:tcPr>
            <w:tcW w:w="1039" w:type="dxa"/>
            <w:tcBorders>
              <w:top w:val="nil"/>
              <w:left w:val="nil"/>
              <w:bottom w:val="nil"/>
              <w:right w:val="nil"/>
            </w:tcBorders>
            <w:shd w:val="clear" w:color="auto" w:fill="auto"/>
            <w:noWrap/>
            <w:vAlign w:val="center"/>
            <w:hideMark/>
          </w:tcPr>
          <w:p w14:paraId="321C1343"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w:t>
            </w:r>
          </w:p>
        </w:tc>
        <w:tc>
          <w:tcPr>
            <w:tcW w:w="337" w:type="dxa"/>
            <w:tcBorders>
              <w:top w:val="nil"/>
              <w:left w:val="nil"/>
              <w:bottom w:val="nil"/>
              <w:right w:val="nil"/>
            </w:tcBorders>
            <w:shd w:val="clear" w:color="auto" w:fill="auto"/>
            <w:noWrap/>
            <w:vAlign w:val="center"/>
            <w:hideMark/>
          </w:tcPr>
          <w:p w14:paraId="7A1BB1B3"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137D215B"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9.46</w:t>
            </w:r>
          </w:p>
        </w:tc>
        <w:tc>
          <w:tcPr>
            <w:tcW w:w="1039" w:type="dxa"/>
            <w:tcBorders>
              <w:top w:val="nil"/>
              <w:left w:val="nil"/>
              <w:bottom w:val="nil"/>
              <w:right w:val="nil"/>
            </w:tcBorders>
            <w:shd w:val="clear" w:color="auto" w:fill="auto"/>
            <w:noWrap/>
            <w:vAlign w:val="center"/>
            <w:hideMark/>
          </w:tcPr>
          <w:p w14:paraId="42756751"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2</w:t>
            </w:r>
          </w:p>
        </w:tc>
      </w:tr>
      <w:tr w:rsidR="00543BBE" w:rsidRPr="00543BBE" w14:paraId="0C2E94EF" w14:textId="77777777" w:rsidTr="00543BBE">
        <w:trPr>
          <w:trHeight w:val="615"/>
        </w:trPr>
        <w:tc>
          <w:tcPr>
            <w:tcW w:w="2523" w:type="dxa"/>
            <w:tcBorders>
              <w:top w:val="nil"/>
              <w:left w:val="nil"/>
              <w:bottom w:val="nil"/>
              <w:right w:val="nil"/>
            </w:tcBorders>
            <w:shd w:val="clear" w:color="auto" w:fill="auto"/>
            <w:vAlign w:val="center"/>
            <w:hideMark/>
          </w:tcPr>
          <w:p w14:paraId="5B737B93"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t test (mean)/</w:t>
            </w:r>
            <w:r w:rsidRPr="00543BBE">
              <w:rPr>
                <w:rFonts w:eastAsia="Times New Roman"/>
                <w:color w:val="000000"/>
              </w:rPr>
              <w:t xml:space="preserve"> </w:t>
            </w:r>
            <w:r w:rsidRPr="00543BBE">
              <w:rPr>
                <w:rFonts w:eastAsia="Times New Roman"/>
                <w:color w:val="000000"/>
                <w:sz w:val="22"/>
                <w:szCs w:val="22"/>
              </w:rPr>
              <w:t>Wilcoxon rank-sum test (median)</w:t>
            </w:r>
          </w:p>
        </w:tc>
        <w:tc>
          <w:tcPr>
            <w:tcW w:w="271" w:type="dxa"/>
            <w:tcBorders>
              <w:top w:val="nil"/>
              <w:left w:val="nil"/>
              <w:bottom w:val="nil"/>
              <w:right w:val="nil"/>
            </w:tcBorders>
            <w:shd w:val="clear" w:color="auto" w:fill="auto"/>
            <w:noWrap/>
            <w:vAlign w:val="bottom"/>
            <w:hideMark/>
          </w:tcPr>
          <w:p w14:paraId="78589ACE" w14:textId="77777777" w:rsidR="00543BBE" w:rsidRPr="00543BBE" w:rsidRDefault="00543BBE" w:rsidP="00543BBE">
            <w:pPr>
              <w:rPr>
                <w:rFonts w:eastAsia="Times New Roman"/>
                <w:color w:val="000000"/>
                <w:sz w:val="22"/>
                <w:szCs w:val="22"/>
              </w:rPr>
            </w:pPr>
          </w:p>
        </w:tc>
        <w:tc>
          <w:tcPr>
            <w:tcW w:w="609" w:type="dxa"/>
            <w:tcBorders>
              <w:top w:val="nil"/>
              <w:left w:val="nil"/>
              <w:bottom w:val="nil"/>
              <w:right w:val="nil"/>
            </w:tcBorders>
            <w:shd w:val="clear" w:color="auto" w:fill="auto"/>
            <w:vAlign w:val="center"/>
            <w:hideMark/>
          </w:tcPr>
          <w:p w14:paraId="7A37B9F5" w14:textId="77777777" w:rsidR="00543BBE" w:rsidRPr="00543BBE" w:rsidRDefault="00543BBE" w:rsidP="00543BBE">
            <w:pPr>
              <w:jc w:val="center"/>
              <w:rPr>
                <w:rFonts w:eastAsia="Times New Roman"/>
                <w:sz w:val="20"/>
                <w:szCs w:val="20"/>
              </w:rPr>
            </w:pPr>
          </w:p>
        </w:tc>
        <w:tc>
          <w:tcPr>
            <w:tcW w:w="283" w:type="dxa"/>
            <w:tcBorders>
              <w:top w:val="nil"/>
              <w:left w:val="nil"/>
              <w:bottom w:val="nil"/>
              <w:right w:val="nil"/>
            </w:tcBorders>
            <w:shd w:val="clear" w:color="auto" w:fill="auto"/>
            <w:vAlign w:val="center"/>
            <w:hideMark/>
          </w:tcPr>
          <w:p w14:paraId="46E5E636" w14:textId="77777777" w:rsidR="00543BBE" w:rsidRPr="00543BBE" w:rsidRDefault="00543BBE" w:rsidP="00543BBE">
            <w:pPr>
              <w:jc w:val="center"/>
              <w:rPr>
                <w:rFonts w:eastAsia="Times New Roman"/>
                <w:sz w:val="20"/>
                <w:szCs w:val="20"/>
              </w:rPr>
            </w:pPr>
          </w:p>
        </w:tc>
        <w:tc>
          <w:tcPr>
            <w:tcW w:w="1170" w:type="dxa"/>
            <w:tcBorders>
              <w:top w:val="nil"/>
              <w:left w:val="nil"/>
              <w:bottom w:val="nil"/>
              <w:right w:val="nil"/>
            </w:tcBorders>
            <w:shd w:val="clear" w:color="auto" w:fill="auto"/>
            <w:vAlign w:val="center"/>
            <w:hideMark/>
          </w:tcPr>
          <w:p w14:paraId="7CBD8958" w14:textId="77777777" w:rsidR="00543BBE" w:rsidRPr="00543BBE" w:rsidRDefault="00543BBE" w:rsidP="00543BBE">
            <w:pPr>
              <w:jc w:val="center"/>
              <w:rPr>
                <w:rFonts w:eastAsia="Times New Roman"/>
                <w:sz w:val="20"/>
                <w:szCs w:val="20"/>
              </w:rPr>
            </w:pPr>
          </w:p>
        </w:tc>
        <w:tc>
          <w:tcPr>
            <w:tcW w:w="507" w:type="dxa"/>
            <w:tcBorders>
              <w:top w:val="nil"/>
              <w:left w:val="nil"/>
              <w:bottom w:val="nil"/>
              <w:right w:val="nil"/>
            </w:tcBorders>
            <w:shd w:val="clear" w:color="auto" w:fill="auto"/>
            <w:vAlign w:val="center"/>
            <w:hideMark/>
          </w:tcPr>
          <w:p w14:paraId="0E4AEC1C" w14:textId="77777777" w:rsidR="00543BBE" w:rsidRPr="00543BBE" w:rsidRDefault="00543BBE" w:rsidP="00543BBE">
            <w:pPr>
              <w:jc w:val="center"/>
              <w:rPr>
                <w:rFonts w:eastAsia="Times New Roman"/>
                <w:sz w:val="20"/>
                <w:szCs w:val="20"/>
              </w:rPr>
            </w:pPr>
          </w:p>
        </w:tc>
        <w:tc>
          <w:tcPr>
            <w:tcW w:w="1719" w:type="dxa"/>
            <w:tcBorders>
              <w:top w:val="nil"/>
              <w:left w:val="nil"/>
              <w:bottom w:val="nil"/>
              <w:right w:val="nil"/>
            </w:tcBorders>
            <w:shd w:val="clear" w:color="auto" w:fill="auto"/>
            <w:noWrap/>
            <w:vAlign w:val="center"/>
            <w:hideMark/>
          </w:tcPr>
          <w:p w14:paraId="6B509A74" w14:textId="77777777" w:rsidR="00543BBE" w:rsidRPr="00543BBE" w:rsidRDefault="00543BBE" w:rsidP="00543BBE">
            <w:pPr>
              <w:jc w:val="center"/>
              <w:rPr>
                <w:rFonts w:eastAsia="Times New Roman"/>
                <w:sz w:val="20"/>
                <w:szCs w:val="20"/>
              </w:rPr>
            </w:pPr>
          </w:p>
        </w:tc>
        <w:tc>
          <w:tcPr>
            <w:tcW w:w="489" w:type="dxa"/>
            <w:tcBorders>
              <w:top w:val="nil"/>
              <w:left w:val="nil"/>
              <w:bottom w:val="nil"/>
              <w:right w:val="nil"/>
            </w:tcBorders>
            <w:shd w:val="clear" w:color="auto" w:fill="auto"/>
            <w:noWrap/>
            <w:vAlign w:val="center"/>
            <w:hideMark/>
          </w:tcPr>
          <w:p w14:paraId="0E423B65" w14:textId="77777777" w:rsidR="00543BBE" w:rsidRPr="00543BBE" w:rsidRDefault="00543BBE" w:rsidP="00543BBE">
            <w:pPr>
              <w:jc w:val="center"/>
              <w:rPr>
                <w:rFonts w:eastAsia="Times New Roman"/>
                <w:sz w:val="20"/>
                <w:szCs w:val="20"/>
              </w:rPr>
            </w:pPr>
          </w:p>
        </w:tc>
        <w:tc>
          <w:tcPr>
            <w:tcW w:w="879" w:type="dxa"/>
            <w:tcBorders>
              <w:top w:val="nil"/>
              <w:left w:val="nil"/>
              <w:bottom w:val="nil"/>
              <w:right w:val="nil"/>
            </w:tcBorders>
            <w:shd w:val="clear" w:color="auto" w:fill="auto"/>
            <w:noWrap/>
            <w:vAlign w:val="center"/>
            <w:hideMark/>
          </w:tcPr>
          <w:p w14:paraId="1DED50DC"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w:t>
            </w:r>
          </w:p>
        </w:tc>
        <w:tc>
          <w:tcPr>
            <w:tcW w:w="1039" w:type="dxa"/>
            <w:tcBorders>
              <w:top w:val="nil"/>
              <w:left w:val="nil"/>
              <w:bottom w:val="nil"/>
              <w:right w:val="nil"/>
            </w:tcBorders>
            <w:shd w:val="clear" w:color="auto" w:fill="auto"/>
            <w:noWrap/>
            <w:vAlign w:val="center"/>
            <w:hideMark/>
          </w:tcPr>
          <w:p w14:paraId="3443C01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w:t>
            </w:r>
          </w:p>
        </w:tc>
        <w:tc>
          <w:tcPr>
            <w:tcW w:w="419" w:type="dxa"/>
            <w:tcBorders>
              <w:top w:val="nil"/>
              <w:left w:val="nil"/>
              <w:bottom w:val="nil"/>
              <w:right w:val="nil"/>
            </w:tcBorders>
            <w:shd w:val="clear" w:color="auto" w:fill="auto"/>
            <w:noWrap/>
            <w:vAlign w:val="center"/>
            <w:hideMark/>
          </w:tcPr>
          <w:p w14:paraId="262E2195"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52CB0D1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w:t>
            </w:r>
          </w:p>
        </w:tc>
        <w:tc>
          <w:tcPr>
            <w:tcW w:w="1039" w:type="dxa"/>
            <w:tcBorders>
              <w:top w:val="nil"/>
              <w:left w:val="nil"/>
              <w:bottom w:val="nil"/>
              <w:right w:val="nil"/>
            </w:tcBorders>
            <w:shd w:val="clear" w:color="auto" w:fill="auto"/>
            <w:noWrap/>
            <w:vAlign w:val="center"/>
            <w:hideMark/>
          </w:tcPr>
          <w:p w14:paraId="52C1515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w:t>
            </w:r>
          </w:p>
        </w:tc>
        <w:tc>
          <w:tcPr>
            <w:tcW w:w="337" w:type="dxa"/>
            <w:tcBorders>
              <w:top w:val="nil"/>
              <w:left w:val="nil"/>
              <w:bottom w:val="nil"/>
              <w:right w:val="nil"/>
            </w:tcBorders>
            <w:shd w:val="clear" w:color="auto" w:fill="auto"/>
            <w:noWrap/>
            <w:vAlign w:val="center"/>
            <w:hideMark/>
          </w:tcPr>
          <w:p w14:paraId="5D5B5737"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142DD18B"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w:t>
            </w:r>
          </w:p>
        </w:tc>
        <w:tc>
          <w:tcPr>
            <w:tcW w:w="1039" w:type="dxa"/>
            <w:tcBorders>
              <w:top w:val="nil"/>
              <w:left w:val="nil"/>
              <w:bottom w:val="nil"/>
              <w:right w:val="nil"/>
            </w:tcBorders>
            <w:shd w:val="clear" w:color="auto" w:fill="auto"/>
            <w:noWrap/>
            <w:vAlign w:val="center"/>
            <w:hideMark/>
          </w:tcPr>
          <w:p w14:paraId="3CCC7EF0"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w:t>
            </w:r>
          </w:p>
        </w:tc>
      </w:tr>
      <w:tr w:rsidR="00543BBE" w:rsidRPr="00543BBE" w14:paraId="3C61DF9E" w14:textId="77777777" w:rsidTr="00543BBE">
        <w:trPr>
          <w:trHeight w:val="300"/>
        </w:trPr>
        <w:tc>
          <w:tcPr>
            <w:tcW w:w="2523" w:type="dxa"/>
            <w:tcBorders>
              <w:top w:val="nil"/>
              <w:left w:val="nil"/>
              <w:bottom w:val="single" w:sz="4" w:space="0" w:color="auto"/>
              <w:right w:val="nil"/>
            </w:tcBorders>
            <w:shd w:val="clear" w:color="auto" w:fill="auto"/>
            <w:noWrap/>
            <w:vAlign w:val="center"/>
            <w:hideMark/>
          </w:tcPr>
          <w:p w14:paraId="72143CD5"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Totals</w:t>
            </w:r>
          </w:p>
        </w:tc>
        <w:tc>
          <w:tcPr>
            <w:tcW w:w="271" w:type="dxa"/>
            <w:tcBorders>
              <w:top w:val="nil"/>
              <w:left w:val="nil"/>
              <w:bottom w:val="single" w:sz="4" w:space="0" w:color="auto"/>
              <w:right w:val="nil"/>
            </w:tcBorders>
            <w:shd w:val="clear" w:color="auto" w:fill="auto"/>
            <w:noWrap/>
            <w:vAlign w:val="bottom"/>
            <w:hideMark/>
          </w:tcPr>
          <w:p w14:paraId="0D6EB76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609" w:type="dxa"/>
            <w:tcBorders>
              <w:top w:val="nil"/>
              <w:left w:val="nil"/>
              <w:bottom w:val="single" w:sz="4" w:space="0" w:color="auto"/>
              <w:right w:val="nil"/>
            </w:tcBorders>
            <w:shd w:val="clear" w:color="auto" w:fill="auto"/>
            <w:noWrap/>
            <w:vAlign w:val="center"/>
            <w:hideMark/>
          </w:tcPr>
          <w:p w14:paraId="6B7FE12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909</w:t>
            </w:r>
          </w:p>
        </w:tc>
        <w:tc>
          <w:tcPr>
            <w:tcW w:w="283" w:type="dxa"/>
            <w:tcBorders>
              <w:top w:val="nil"/>
              <w:left w:val="nil"/>
              <w:bottom w:val="single" w:sz="4" w:space="0" w:color="auto"/>
              <w:right w:val="nil"/>
            </w:tcBorders>
            <w:shd w:val="clear" w:color="auto" w:fill="auto"/>
            <w:noWrap/>
            <w:vAlign w:val="center"/>
            <w:hideMark/>
          </w:tcPr>
          <w:p w14:paraId="23ECBDF4"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1170" w:type="dxa"/>
            <w:tcBorders>
              <w:top w:val="nil"/>
              <w:left w:val="nil"/>
              <w:bottom w:val="single" w:sz="4" w:space="0" w:color="auto"/>
              <w:right w:val="nil"/>
            </w:tcBorders>
            <w:shd w:val="clear" w:color="auto" w:fill="auto"/>
            <w:noWrap/>
            <w:vAlign w:val="center"/>
            <w:hideMark/>
          </w:tcPr>
          <w:p w14:paraId="4C4002F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764</w:t>
            </w:r>
          </w:p>
        </w:tc>
        <w:tc>
          <w:tcPr>
            <w:tcW w:w="507" w:type="dxa"/>
            <w:tcBorders>
              <w:top w:val="nil"/>
              <w:left w:val="nil"/>
              <w:bottom w:val="single" w:sz="4" w:space="0" w:color="auto"/>
              <w:right w:val="nil"/>
            </w:tcBorders>
            <w:shd w:val="clear" w:color="auto" w:fill="auto"/>
            <w:noWrap/>
            <w:vAlign w:val="center"/>
            <w:hideMark/>
          </w:tcPr>
          <w:p w14:paraId="4EBFC3C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1719" w:type="dxa"/>
            <w:tcBorders>
              <w:top w:val="nil"/>
              <w:left w:val="nil"/>
              <w:bottom w:val="single" w:sz="4" w:space="0" w:color="auto"/>
              <w:right w:val="nil"/>
            </w:tcBorders>
            <w:shd w:val="clear" w:color="auto" w:fill="auto"/>
            <w:noWrap/>
            <w:vAlign w:val="center"/>
            <w:hideMark/>
          </w:tcPr>
          <w:p w14:paraId="2DC7A781"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84.05</w:t>
            </w:r>
          </w:p>
        </w:tc>
        <w:tc>
          <w:tcPr>
            <w:tcW w:w="489" w:type="dxa"/>
            <w:tcBorders>
              <w:top w:val="nil"/>
              <w:left w:val="nil"/>
              <w:bottom w:val="single" w:sz="4" w:space="0" w:color="auto"/>
              <w:right w:val="nil"/>
            </w:tcBorders>
            <w:shd w:val="clear" w:color="auto" w:fill="auto"/>
            <w:noWrap/>
            <w:vAlign w:val="center"/>
            <w:hideMark/>
          </w:tcPr>
          <w:p w14:paraId="5F71C864"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879" w:type="dxa"/>
            <w:tcBorders>
              <w:top w:val="nil"/>
              <w:left w:val="nil"/>
              <w:bottom w:val="single" w:sz="4" w:space="0" w:color="auto"/>
              <w:right w:val="nil"/>
            </w:tcBorders>
            <w:shd w:val="clear" w:color="auto" w:fill="auto"/>
            <w:noWrap/>
            <w:vAlign w:val="center"/>
            <w:hideMark/>
          </w:tcPr>
          <w:p w14:paraId="2B219DF0"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120.11</w:t>
            </w:r>
          </w:p>
        </w:tc>
        <w:tc>
          <w:tcPr>
            <w:tcW w:w="1039" w:type="dxa"/>
            <w:tcBorders>
              <w:top w:val="nil"/>
              <w:left w:val="nil"/>
              <w:bottom w:val="single" w:sz="4" w:space="0" w:color="auto"/>
              <w:right w:val="nil"/>
            </w:tcBorders>
            <w:shd w:val="clear" w:color="auto" w:fill="auto"/>
            <w:noWrap/>
            <w:vAlign w:val="center"/>
            <w:hideMark/>
          </w:tcPr>
          <w:p w14:paraId="43B4D275"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90</w:t>
            </w:r>
          </w:p>
        </w:tc>
        <w:tc>
          <w:tcPr>
            <w:tcW w:w="419" w:type="dxa"/>
            <w:tcBorders>
              <w:top w:val="nil"/>
              <w:left w:val="nil"/>
              <w:bottom w:val="single" w:sz="4" w:space="0" w:color="auto"/>
              <w:right w:val="nil"/>
            </w:tcBorders>
            <w:shd w:val="clear" w:color="auto" w:fill="auto"/>
            <w:noWrap/>
            <w:vAlign w:val="center"/>
            <w:hideMark/>
          </w:tcPr>
          <w:p w14:paraId="0AFABD48"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786" w:type="dxa"/>
            <w:tcBorders>
              <w:top w:val="nil"/>
              <w:left w:val="nil"/>
              <w:bottom w:val="single" w:sz="4" w:space="0" w:color="auto"/>
              <w:right w:val="nil"/>
            </w:tcBorders>
            <w:shd w:val="clear" w:color="auto" w:fill="auto"/>
            <w:noWrap/>
            <w:vAlign w:val="center"/>
            <w:hideMark/>
          </w:tcPr>
          <w:p w14:paraId="503C206A"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2.77</w:t>
            </w:r>
          </w:p>
        </w:tc>
        <w:tc>
          <w:tcPr>
            <w:tcW w:w="1039" w:type="dxa"/>
            <w:tcBorders>
              <w:top w:val="nil"/>
              <w:left w:val="nil"/>
              <w:bottom w:val="single" w:sz="4" w:space="0" w:color="auto"/>
              <w:right w:val="nil"/>
            </w:tcBorders>
            <w:shd w:val="clear" w:color="auto" w:fill="auto"/>
            <w:noWrap/>
            <w:vAlign w:val="center"/>
            <w:hideMark/>
          </w:tcPr>
          <w:p w14:paraId="2DB4514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w:t>
            </w:r>
          </w:p>
        </w:tc>
        <w:tc>
          <w:tcPr>
            <w:tcW w:w="337" w:type="dxa"/>
            <w:tcBorders>
              <w:top w:val="nil"/>
              <w:left w:val="nil"/>
              <w:bottom w:val="single" w:sz="4" w:space="0" w:color="auto"/>
              <w:right w:val="nil"/>
            </w:tcBorders>
            <w:shd w:val="clear" w:color="auto" w:fill="auto"/>
            <w:noWrap/>
            <w:vAlign w:val="center"/>
            <w:hideMark/>
          </w:tcPr>
          <w:p w14:paraId="799E2724"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786" w:type="dxa"/>
            <w:tcBorders>
              <w:top w:val="nil"/>
              <w:left w:val="nil"/>
              <w:bottom w:val="single" w:sz="4" w:space="0" w:color="auto"/>
              <w:right w:val="nil"/>
            </w:tcBorders>
            <w:shd w:val="clear" w:color="auto" w:fill="auto"/>
            <w:noWrap/>
            <w:vAlign w:val="center"/>
            <w:hideMark/>
          </w:tcPr>
          <w:p w14:paraId="43508BE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26.63</w:t>
            </w:r>
          </w:p>
        </w:tc>
        <w:tc>
          <w:tcPr>
            <w:tcW w:w="1039" w:type="dxa"/>
            <w:tcBorders>
              <w:top w:val="nil"/>
              <w:left w:val="nil"/>
              <w:bottom w:val="single" w:sz="4" w:space="0" w:color="auto"/>
              <w:right w:val="nil"/>
            </w:tcBorders>
            <w:shd w:val="clear" w:color="auto" w:fill="auto"/>
            <w:noWrap/>
            <w:vAlign w:val="center"/>
            <w:hideMark/>
          </w:tcPr>
          <w:p w14:paraId="04153368"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22</w:t>
            </w:r>
          </w:p>
        </w:tc>
      </w:tr>
      <w:tr w:rsidR="00543BBE" w:rsidRPr="00543BBE" w14:paraId="6F029647" w14:textId="77777777" w:rsidTr="00543BBE">
        <w:trPr>
          <w:trHeight w:val="870"/>
        </w:trPr>
        <w:tc>
          <w:tcPr>
            <w:tcW w:w="13895" w:type="dxa"/>
            <w:gridSpan w:val="16"/>
            <w:tcBorders>
              <w:top w:val="nil"/>
              <w:left w:val="nil"/>
              <w:bottom w:val="nil"/>
              <w:right w:val="nil"/>
            </w:tcBorders>
            <w:shd w:val="clear" w:color="auto" w:fill="auto"/>
            <w:noWrap/>
            <w:vAlign w:val="bottom"/>
            <w:hideMark/>
          </w:tcPr>
          <w:p w14:paraId="11CC8B24" w14:textId="63E765B0" w:rsidR="00543BBE" w:rsidRPr="00543BBE" w:rsidRDefault="00543BBE" w:rsidP="00543BBE">
            <w:pPr>
              <w:rPr>
                <w:rFonts w:eastAsia="Times New Roman"/>
                <w:b/>
                <w:bCs/>
                <w:color w:val="000000"/>
                <w:sz w:val="22"/>
                <w:szCs w:val="22"/>
              </w:rPr>
            </w:pPr>
            <w:r w:rsidRPr="00543BBE">
              <w:rPr>
                <w:rFonts w:eastAsia="Times New Roman"/>
                <w:b/>
                <w:bCs/>
                <w:color w:val="000000"/>
                <w:sz w:val="22"/>
                <w:szCs w:val="22"/>
              </w:rPr>
              <w:t>Panel B.</w:t>
            </w:r>
            <w:r>
              <w:rPr>
                <w:rFonts w:eastAsia="Times New Roman"/>
                <w:b/>
                <w:bCs/>
                <w:color w:val="000000"/>
                <w:sz w:val="22"/>
                <w:szCs w:val="22"/>
              </w:rPr>
              <w:t xml:space="preserve"> </w:t>
            </w:r>
            <w:r w:rsidRPr="00543BBE">
              <w:rPr>
                <w:rFonts w:eastAsia="Times New Roman"/>
                <w:b/>
                <w:bCs/>
                <w:color w:val="000000"/>
                <w:sz w:val="22"/>
                <w:szCs w:val="22"/>
              </w:rPr>
              <w:t>Impact of Dodd-Frank Wall Street Reform and Consumer Protection Act 2010</w:t>
            </w:r>
          </w:p>
        </w:tc>
      </w:tr>
      <w:tr w:rsidR="00543BBE" w:rsidRPr="00543BBE" w14:paraId="00828AF6" w14:textId="77777777" w:rsidTr="00543BBE">
        <w:trPr>
          <w:trHeight w:val="585"/>
        </w:trPr>
        <w:tc>
          <w:tcPr>
            <w:tcW w:w="2523" w:type="dxa"/>
            <w:tcBorders>
              <w:top w:val="nil"/>
              <w:left w:val="nil"/>
              <w:bottom w:val="nil"/>
              <w:right w:val="nil"/>
            </w:tcBorders>
            <w:shd w:val="clear" w:color="auto" w:fill="auto"/>
            <w:noWrap/>
            <w:vAlign w:val="bottom"/>
            <w:hideMark/>
          </w:tcPr>
          <w:p w14:paraId="514C1675" w14:textId="77777777" w:rsidR="00543BBE" w:rsidRPr="00543BBE" w:rsidRDefault="00543BBE" w:rsidP="00543BBE">
            <w:pPr>
              <w:rPr>
                <w:rFonts w:eastAsia="Times New Roman"/>
                <w:b/>
                <w:bCs/>
                <w:color w:val="000000"/>
                <w:sz w:val="22"/>
                <w:szCs w:val="22"/>
              </w:rPr>
            </w:pPr>
          </w:p>
        </w:tc>
        <w:tc>
          <w:tcPr>
            <w:tcW w:w="271" w:type="dxa"/>
            <w:tcBorders>
              <w:top w:val="nil"/>
              <w:left w:val="nil"/>
              <w:bottom w:val="nil"/>
              <w:right w:val="nil"/>
            </w:tcBorders>
            <w:shd w:val="clear" w:color="auto" w:fill="auto"/>
            <w:noWrap/>
            <w:vAlign w:val="bottom"/>
            <w:hideMark/>
          </w:tcPr>
          <w:p w14:paraId="6F06594C" w14:textId="77777777" w:rsidR="00543BBE" w:rsidRPr="00543BBE" w:rsidRDefault="00543BBE" w:rsidP="00543BBE">
            <w:pPr>
              <w:jc w:val="center"/>
              <w:rPr>
                <w:rFonts w:eastAsia="Times New Roman"/>
                <w:sz w:val="20"/>
                <w:szCs w:val="20"/>
              </w:rPr>
            </w:pPr>
          </w:p>
        </w:tc>
        <w:tc>
          <w:tcPr>
            <w:tcW w:w="2569" w:type="dxa"/>
            <w:gridSpan w:val="4"/>
            <w:tcBorders>
              <w:top w:val="nil"/>
              <w:left w:val="nil"/>
              <w:bottom w:val="single" w:sz="4" w:space="0" w:color="auto"/>
              <w:right w:val="nil"/>
            </w:tcBorders>
            <w:shd w:val="clear" w:color="auto" w:fill="auto"/>
            <w:noWrap/>
            <w:vAlign w:val="bottom"/>
            <w:hideMark/>
          </w:tcPr>
          <w:p w14:paraId="619CADCC"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N</w:t>
            </w:r>
          </w:p>
        </w:tc>
        <w:tc>
          <w:tcPr>
            <w:tcW w:w="1719" w:type="dxa"/>
            <w:tcBorders>
              <w:top w:val="nil"/>
              <w:left w:val="nil"/>
              <w:bottom w:val="nil"/>
              <w:right w:val="nil"/>
            </w:tcBorders>
            <w:shd w:val="clear" w:color="auto" w:fill="auto"/>
            <w:vAlign w:val="bottom"/>
            <w:hideMark/>
          </w:tcPr>
          <w:p w14:paraId="52C4483F" w14:textId="77777777" w:rsidR="00543BBE" w:rsidRPr="00543BBE" w:rsidRDefault="00543BBE" w:rsidP="00543BBE">
            <w:pPr>
              <w:jc w:val="center"/>
              <w:rPr>
                <w:rFonts w:eastAsia="Times New Roman"/>
                <w:b/>
                <w:bCs/>
                <w:color w:val="000000"/>
                <w:sz w:val="22"/>
                <w:szCs w:val="22"/>
              </w:rPr>
            </w:pPr>
          </w:p>
        </w:tc>
        <w:tc>
          <w:tcPr>
            <w:tcW w:w="489" w:type="dxa"/>
            <w:tcBorders>
              <w:top w:val="nil"/>
              <w:left w:val="nil"/>
              <w:bottom w:val="nil"/>
              <w:right w:val="nil"/>
            </w:tcBorders>
            <w:shd w:val="clear" w:color="auto" w:fill="auto"/>
            <w:vAlign w:val="bottom"/>
            <w:hideMark/>
          </w:tcPr>
          <w:p w14:paraId="4F146A42" w14:textId="77777777" w:rsidR="00543BBE" w:rsidRPr="00543BBE" w:rsidRDefault="00543BBE" w:rsidP="00543BBE">
            <w:pPr>
              <w:jc w:val="center"/>
              <w:rPr>
                <w:rFonts w:eastAsia="Times New Roman"/>
                <w:sz w:val="20"/>
                <w:szCs w:val="20"/>
              </w:rPr>
            </w:pPr>
          </w:p>
        </w:tc>
        <w:tc>
          <w:tcPr>
            <w:tcW w:w="1918" w:type="dxa"/>
            <w:gridSpan w:val="2"/>
            <w:tcBorders>
              <w:top w:val="nil"/>
              <w:left w:val="nil"/>
              <w:bottom w:val="single" w:sz="4" w:space="0" w:color="auto"/>
              <w:right w:val="nil"/>
            </w:tcBorders>
            <w:shd w:val="clear" w:color="auto" w:fill="auto"/>
            <w:vAlign w:val="bottom"/>
            <w:hideMark/>
          </w:tcPr>
          <w:p w14:paraId="5D3D49DB"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Duration</w:t>
            </w:r>
          </w:p>
        </w:tc>
        <w:tc>
          <w:tcPr>
            <w:tcW w:w="419" w:type="dxa"/>
            <w:tcBorders>
              <w:top w:val="nil"/>
              <w:left w:val="nil"/>
              <w:bottom w:val="nil"/>
              <w:right w:val="nil"/>
            </w:tcBorders>
            <w:shd w:val="clear" w:color="auto" w:fill="auto"/>
            <w:vAlign w:val="bottom"/>
            <w:hideMark/>
          </w:tcPr>
          <w:p w14:paraId="13473545" w14:textId="77777777" w:rsidR="00543BBE" w:rsidRPr="00543BBE" w:rsidRDefault="00543BBE" w:rsidP="00543BBE">
            <w:pPr>
              <w:jc w:val="center"/>
              <w:rPr>
                <w:rFonts w:eastAsia="Times New Roman"/>
                <w:b/>
                <w:bCs/>
                <w:color w:val="000000"/>
                <w:sz w:val="22"/>
                <w:szCs w:val="22"/>
              </w:rPr>
            </w:pPr>
          </w:p>
        </w:tc>
        <w:tc>
          <w:tcPr>
            <w:tcW w:w="1825" w:type="dxa"/>
            <w:gridSpan w:val="2"/>
            <w:tcBorders>
              <w:top w:val="nil"/>
              <w:left w:val="nil"/>
              <w:bottom w:val="single" w:sz="4" w:space="0" w:color="auto"/>
              <w:right w:val="nil"/>
            </w:tcBorders>
            <w:shd w:val="clear" w:color="auto" w:fill="auto"/>
            <w:vAlign w:val="bottom"/>
            <w:hideMark/>
          </w:tcPr>
          <w:p w14:paraId="2DD36252" w14:textId="0FAF6FEA" w:rsidR="00543BBE" w:rsidRPr="00543BBE" w:rsidRDefault="00543BBE" w:rsidP="00543BBE">
            <w:pPr>
              <w:jc w:val="center"/>
              <w:rPr>
                <w:rFonts w:eastAsia="Times New Roman"/>
                <w:b/>
                <w:bCs/>
                <w:color w:val="000000"/>
                <w:sz w:val="22"/>
                <w:szCs w:val="22"/>
              </w:rPr>
            </w:pPr>
            <w:r>
              <w:rPr>
                <w:rFonts w:eastAsia="Times New Roman"/>
                <w:b/>
                <w:bCs/>
                <w:color w:val="000000"/>
                <w:sz w:val="22"/>
                <w:szCs w:val="22"/>
              </w:rPr>
              <w:t>Letters</w:t>
            </w:r>
          </w:p>
        </w:tc>
        <w:tc>
          <w:tcPr>
            <w:tcW w:w="337" w:type="dxa"/>
            <w:tcBorders>
              <w:top w:val="nil"/>
              <w:left w:val="nil"/>
              <w:bottom w:val="nil"/>
              <w:right w:val="nil"/>
            </w:tcBorders>
            <w:shd w:val="clear" w:color="auto" w:fill="auto"/>
            <w:vAlign w:val="bottom"/>
            <w:hideMark/>
          </w:tcPr>
          <w:p w14:paraId="216FBDDB" w14:textId="77777777" w:rsidR="00543BBE" w:rsidRPr="00543BBE" w:rsidRDefault="00543BBE" w:rsidP="00543BBE">
            <w:pPr>
              <w:jc w:val="center"/>
              <w:rPr>
                <w:rFonts w:eastAsia="Times New Roman"/>
                <w:b/>
                <w:bCs/>
                <w:color w:val="000000"/>
                <w:sz w:val="22"/>
                <w:szCs w:val="22"/>
              </w:rPr>
            </w:pPr>
          </w:p>
        </w:tc>
        <w:tc>
          <w:tcPr>
            <w:tcW w:w="1825" w:type="dxa"/>
            <w:gridSpan w:val="2"/>
            <w:tcBorders>
              <w:top w:val="nil"/>
              <w:left w:val="nil"/>
              <w:bottom w:val="single" w:sz="4" w:space="0" w:color="auto"/>
              <w:right w:val="nil"/>
            </w:tcBorders>
            <w:shd w:val="clear" w:color="auto" w:fill="auto"/>
            <w:vAlign w:val="bottom"/>
            <w:hideMark/>
          </w:tcPr>
          <w:p w14:paraId="56D33AC5" w14:textId="58755880" w:rsidR="00543BBE" w:rsidRPr="00543BBE" w:rsidRDefault="00543BBE" w:rsidP="00543BBE">
            <w:pPr>
              <w:jc w:val="center"/>
              <w:rPr>
                <w:rFonts w:eastAsia="Times New Roman"/>
                <w:b/>
                <w:bCs/>
                <w:color w:val="000000"/>
                <w:sz w:val="22"/>
                <w:szCs w:val="22"/>
              </w:rPr>
            </w:pPr>
            <w:r>
              <w:rPr>
                <w:rFonts w:eastAsia="Times New Roman"/>
                <w:b/>
                <w:bCs/>
                <w:color w:val="000000"/>
                <w:sz w:val="22"/>
                <w:szCs w:val="22"/>
              </w:rPr>
              <w:t>Comments</w:t>
            </w:r>
          </w:p>
        </w:tc>
      </w:tr>
      <w:tr w:rsidR="00543BBE" w:rsidRPr="00543BBE" w14:paraId="48592F51" w14:textId="77777777" w:rsidTr="00543BBE">
        <w:trPr>
          <w:trHeight w:val="300"/>
        </w:trPr>
        <w:tc>
          <w:tcPr>
            <w:tcW w:w="2523" w:type="dxa"/>
            <w:tcBorders>
              <w:top w:val="nil"/>
              <w:left w:val="nil"/>
              <w:bottom w:val="nil"/>
              <w:right w:val="nil"/>
            </w:tcBorders>
            <w:shd w:val="clear" w:color="auto" w:fill="auto"/>
            <w:noWrap/>
            <w:vAlign w:val="bottom"/>
            <w:hideMark/>
          </w:tcPr>
          <w:p w14:paraId="2B19A85B" w14:textId="77777777" w:rsidR="00543BBE" w:rsidRPr="00543BBE" w:rsidRDefault="00543BBE" w:rsidP="00543BBE">
            <w:pPr>
              <w:jc w:val="center"/>
              <w:rPr>
                <w:rFonts w:eastAsia="Times New Roman"/>
                <w:b/>
                <w:bCs/>
                <w:color w:val="000000"/>
                <w:sz w:val="22"/>
                <w:szCs w:val="22"/>
              </w:rPr>
            </w:pPr>
          </w:p>
        </w:tc>
        <w:tc>
          <w:tcPr>
            <w:tcW w:w="271" w:type="dxa"/>
            <w:tcBorders>
              <w:top w:val="nil"/>
              <w:left w:val="nil"/>
              <w:bottom w:val="nil"/>
              <w:right w:val="nil"/>
            </w:tcBorders>
            <w:shd w:val="clear" w:color="auto" w:fill="auto"/>
            <w:noWrap/>
            <w:vAlign w:val="bottom"/>
            <w:hideMark/>
          </w:tcPr>
          <w:p w14:paraId="125C6C40" w14:textId="77777777" w:rsidR="00543BBE" w:rsidRPr="00543BBE" w:rsidRDefault="00543BBE" w:rsidP="00543BBE">
            <w:pPr>
              <w:jc w:val="center"/>
              <w:rPr>
                <w:rFonts w:eastAsia="Times New Roman"/>
                <w:sz w:val="20"/>
                <w:szCs w:val="20"/>
              </w:rPr>
            </w:pPr>
          </w:p>
        </w:tc>
        <w:tc>
          <w:tcPr>
            <w:tcW w:w="609" w:type="dxa"/>
            <w:tcBorders>
              <w:top w:val="nil"/>
              <w:left w:val="nil"/>
              <w:bottom w:val="nil"/>
              <w:right w:val="nil"/>
            </w:tcBorders>
            <w:shd w:val="clear" w:color="auto" w:fill="auto"/>
            <w:noWrap/>
            <w:vAlign w:val="bottom"/>
            <w:hideMark/>
          </w:tcPr>
          <w:p w14:paraId="7EB19346" w14:textId="77777777" w:rsidR="00543BBE" w:rsidRPr="00543BBE" w:rsidRDefault="00543BBE" w:rsidP="00543BBE">
            <w:pPr>
              <w:jc w:val="center"/>
              <w:rPr>
                <w:rFonts w:eastAsia="Times New Roman"/>
                <w:sz w:val="20"/>
                <w:szCs w:val="20"/>
              </w:rPr>
            </w:pPr>
          </w:p>
        </w:tc>
        <w:tc>
          <w:tcPr>
            <w:tcW w:w="283" w:type="dxa"/>
            <w:tcBorders>
              <w:top w:val="nil"/>
              <w:left w:val="nil"/>
              <w:bottom w:val="nil"/>
              <w:right w:val="nil"/>
            </w:tcBorders>
            <w:shd w:val="clear" w:color="auto" w:fill="auto"/>
            <w:noWrap/>
            <w:vAlign w:val="bottom"/>
            <w:hideMark/>
          </w:tcPr>
          <w:p w14:paraId="7D6BD994" w14:textId="77777777" w:rsidR="00543BBE" w:rsidRPr="00543BBE" w:rsidRDefault="00543BBE" w:rsidP="00543BBE">
            <w:pPr>
              <w:jc w:val="center"/>
              <w:rPr>
                <w:rFonts w:eastAsia="Times New Roman"/>
                <w:sz w:val="20"/>
                <w:szCs w:val="20"/>
              </w:rPr>
            </w:pPr>
          </w:p>
        </w:tc>
        <w:tc>
          <w:tcPr>
            <w:tcW w:w="1170" w:type="dxa"/>
            <w:tcBorders>
              <w:top w:val="nil"/>
              <w:left w:val="nil"/>
              <w:bottom w:val="nil"/>
              <w:right w:val="nil"/>
            </w:tcBorders>
            <w:shd w:val="clear" w:color="auto" w:fill="auto"/>
            <w:noWrap/>
            <w:vAlign w:val="bottom"/>
            <w:hideMark/>
          </w:tcPr>
          <w:p w14:paraId="2D86EFA3" w14:textId="77777777" w:rsidR="00543BBE" w:rsidRPr="00543BBE" w:rsidRDefault="00543BBE" w:rsidP="00543BBE">
            <w:pPr>
              <w:jc w:val="center"/>
              <w:rPr>
                <w:rFonts w:eastAsia="Times New Roman"/>
                <w:sz w:val="20"/>
                <w:szCs w:val="20"/>
              </w:rPr>
            </w:pPr>
          </w:p>
        </w:tc>
        <w:tc>
          <w:tcPr>
            <w:tcW w:w="507" w:type="dxa"/>
            <w:tcBorders>
              <w:top w:val="nil"/>
              <w:left w:val="nil"/>
              <w:bottom w:val="nil"/>
              <w:right w:val="nil"/>
            </w:tcBorders>
            <w:shd w:val="clear" w:color="auto" w:fill="auto"/>
            <w:noWrap/>
            <w:vAlign w:val="bottom"/>
            <w:hideMark/>
          </w:tcPr>
          <w:p w14:paraId="2CA41735" w14:textId="77777777" w:rsidR="00543BBE" w:rsidRPr="00543BBE" w:rsidRDefault="00543BBE" w:rsidP="00543BBE">
            <w:pPr>
              <w:jc w:val="center"/>
              <w:rPr>
                <w:rFonts w:eastAsia="Times New Roman"/>
                <w:sz w:val="20"/>
                <w:szCs w:val="20"/>
              </w:rPr>
            </w:pPr>
          </w:p>
        </w:tc>
        <w:tc>
          <w:tcPr>
            <w:tcW w:w="1719" w:type="dxa"/>
            <w:tcBorders>
              <w:top w:val="nil"/>
              <w:left w:val="nil"/>
              <w:bottom w:val="nil"/>
              <w:right w:val="nil"/>
            </w:tcBorders>
            <w:shd w:val="clear" w:color="auto" w:fill="auto"/>
            <w:noWrap/>
            <w:vAlign w:val="bottom"/>
            <w:hideMark/>
          </w:tcPr>
          <w:p w14:paraId="2E1B21AC" w14:textId="77777777" w:rsidR="00543BBE" w:rsidRPr="00543BBE" w:rsidRDefault="00543BBE" w:rsidP="00543BBE">
            <w:pPr>
              <w:jc w:val="center"/>
              <w:rPr>
                <w:rFonts w:eastAsia="Times New Roman"/>
                <w:sz w:val="20"/>
                <w:szCs w:val="20"/>
              </w:rPr>
            </w:pPr>
          </w:p>
        </w:tc>
        <w:tc>
          <w:tcPr>
            <w:tcW w:w="489" w:type="dxa"/>
            <w:tcBorders>
              <w:top w:val="nil"/>
              <w:left w:val="nil"/>
              <w:bottom w:val="nil"/>
              <w:right w:val="nil"/>
            </w:tcBorders>
            <w:shd w:val="clear" w:color="auto" w:fill="auto"/>
            <w:noWrap/>
            <w:vAlign w:val="bottom"/>
            <w:hideMark/>
          </w:tcPr>
          <w:p w14:paraId="61E7A005" w14:textId="77777777" w:rsidR="00543BBE" w:rsidRPr="00543BBE" w:rsidRDefault="00543BBE" w:rsidP="00543BBE">
            <w:pPr>
              <w:jc w:val="center"/>
              <w:rPr>
                <w:rFonts w:eastAsia="Times New Roman"/>
                <w:sz w:val="20"/>
                <w:szCs w:val="20"/>
              </w:rPr>
            </w:pPr>
          </w:p>
        </w:tc>
        <w:tc>
          <w:tcPr>
            <w:tcW w:w="879" w:type="dxa"/>
            <w:tcBorders>
              <w:top w:val="nil"/>
              <w:left w:val="nil"/>
              <w:bottom w:val="single" w:sz="4" w:space="0" w:color="auto"/>
              <w:right w:val="nil"/>
            </w:tcBorders>
            <w:shd w:val="clear" w:color="auto" w:fill="auto"/>
            <w:noWrap/>
            <w:vAlign w:val="bottom"/>
            <w:hideMark/>
          </w:tcPr>
          <w:p w14:paraId="0DF2C62C"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35A93E1B"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c>
          <w:tcPr>
            <w:tcW w:w="419" w:type="dxa"/>
            <w:tcBorders>
              <w:top w:val="nil"/>
              <w:left w:val="nil"/>
              <w:bottom w:val="nil"/>
              <w:right w:val="nil"/>
            </w:tcBorders>
            <w:shd w:val="clear" w:color="auto" w:fill="auto"/>
            <w:noWrap/>
            <w:vAlign w:val="bottom"/>
            <w:hideMark/>
          </w:tcPr>
          <w:p w14:paraId="38C06D86" w14:textId="77777777" w:rsidR="00543BBE" w:rsidRPr="00543BBE" w:rsidRDefault="00543BBE" w:rsidP="00543BBE">
            <w:pPr>
              <w:jc w:val="center"/>
              <w:rPr>
                <w:rFonts w:eastAsia="Times New Roman"/>
                <w:b/>
                <w:bCs/>
                <w:color w:val="000000"/>
                <w:sz w:val="22"/>
                <w:szCs w:val="22"/>
              </w:rPr>
            </w:pPr>
          </w:p>
        </w:tc>
        <w:tc>
          <w:tcPr>
            <w:tcW w:w="786" w:type="dxa"/>
            <w:tcBorders>
              <w:top w:val="nil"/>
              <w:left w:val="nil"/>
              <w:bottom w:val="single" w:sz="4" w:space="0" w:color="auto"/>
              <w:right w:val="nil"/>
            </w:tcBorders>
            <w:shd w:val="clear" w:color="auto" w:fill="auto"/>
            <w:noWrap/>
            <w:vAlign w:val="bottom"/>
            <w:hideMark/>
          </w:tcPr>
          <w:p w14:paraId="49366DBE"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481CF77A"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c>
          <w:tcPr>
            <w:tcW w:w="337" w:type="dxa"/>
            <w:tcBorders>
              <w:top w:val="nil"/>
              <w:left w:val="nil"/>
              <w:bottom w:val="nil"/>
              <w:right w:val="nil"/>
            </w:tcBorders>
            <w:shd w:val="clear" w:color="auto" w:fill="auto"/>
            <w:noWrap/>
            <w:vAlign w:val="bottom"/>
            <w:hideMark/>
          </w:tcPr>
          <w:p w14:paraId="1A4EDAEA" w14:textId="77777777" w:rsidR="00543BBE" w:rsidRPr="00543BBE" w:rsidRDefault="00543BBE" w:rsidP="00543BBE">
            <w:pPr>
              <w:jc w:val="center"/>
              <w:rPr>
                <w:rFonts w:eastAsia="Times New Roman"/>
                <w:b/>
                <w:bCs/>
                <w:color w:val="000000"/>
                <w:sz w:val="22"/>
                <w:szCs w:val="22"/>
              </w:rPr>
            </w:pPr>
          </w:p>
        </w:tc>
        <w:tc>
          <w:tcPr>
            <w:tcW w:w="786" w:type="dxa"/>
            <w:tcBorders>
              <w:top w:val="nil"/>
              <w:left w:val="nil"/>
              <w:bottom w:val="single" w:sz="4" w:space="0" w:color="auto"/>
              <w:right w:val="nil"/>
            </w:tcBorders>
            <w:shd w:val="clear" w:color="auto" w:fill="auto"/>
            <w:noWrap/>
            <w:vAlign w:val="bottom"/>
            <w:hideMark/>
          </w:tcPr>
          <w:p w14:paraId="5E310372"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195E0E59"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r>
      <w:tr w:rsidR="00543BBE" w:rsidRPr="00543BBE" w14:paraId="01270005" w14:textId="77777777" w:rsidTr="00543BBE">
        <w:trPr>
          <w:trHeight w:val="600"/>
        </w:trPr>
        <w:tc>
          <w:tcPr>
            <w:tcW w:w="2523" w:type="dxa"/>
            <w:tcBorders>
              <w:top w:val="nil"/>
              <w:left w:val="nil"/>
              <w:bottom w:val="nil"/>
              <w:right w:val="nil"/>
            </w:tcBorders>
            <w:shd w:val="clear" w:color="auto" w:fill="auto"/>
            <w:vAlign w:val="center"/>
            <w:hideMark/>
          </w:tcPr>
          <w:p w14:paraId="20791F1A"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Pre-Dodd Frank (2005-2009)</w:t>
            </w:r>
          </w:p>
        </w:tc>
        <w:tc>
          <w:tcPr>
            <w:tcW w:w="271" w:type="dxa"/>
            <w:tcBorders>
              <w:top w:val="nil"/>
              <w:left w:val="nil"/>
              <w:bottom w:val="nil"/>
              <w:right w:val="nil"/>
            </w:tcBorders>
            <w:shd w:val="clear" w:color="auto" w:fill="auto"/>
            <w:noWrap/>
            <w:vAlign w:val="bottom"/>
            <w:hideMark/>
          </w:tcPr>
          <w:p w14:paraId="61AAF8C4" w14:textId="77777777" w:rsidR="00543BBE" w:rsidRPr="00543BBE" w:rsidRDefault="00543BBE" w:rsidP="00543BBE">
            <w:pPr>
              <w:rPr>
                <w:rFonts w:eastAsia="Times New Roman"/>
                <w:color w:val="000000"/>
                <w:sz w:val="22"/>
                <w:szCs w:val="22"/>
              </w:rPr>
            </w:pPr>
          </w:p>
        </w:tc>
        <w:tc>
          <w:tcPr>
            <w:tcW w:w="2569" w:type="dxa"/>
            <w:gridSpan w:val="4"/>
            <w:tcBorders>
              <w:top w:val="nil"/>
              <w:left w:val="nil"/>
              <w:bottom w:val="nil"/>
              <w:right w:val="nil"/>
            </w:tcBorders>
            <w:shd w:val="clear" w:color="auto" w:fill="auto"/>
            <w:vAlign w:val="center"/>
            <w:hideMark/>
          </w:tcPr>
          <w:p w14:paraId="77166C9D"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314</w:t>
            </w:r>
          </w:p>
        </w:tc>
        <w:tc>
          <w:tcPr>
            <w:tcW w:w="1719" w:type="dxa"/>
            <w:tcBorders>
              <w:top w:val="nil"/>
              <w:left w:val="nil"/>
              <w:bottom w:val="nil"/>
              <w:right w:val="nil"/>
            </w:tcBorders>
            <w:shd w:val="clear" w:color="auto" w:fill="auto"/>
            <w:noWrap/>
            <w:vAlign w:val="bottom"/>
            <w:hideMark/>
          </w:tcPr>
          <w:p w14:paraId="3251B514" w14:textId="77777777" w:rsidR="00543BBE" w:rsidRPr="00543BBE" w:rsidRDefault="00543BBE" w:rsidP="00543BBE">
            <w:pPr>
              <w:jc w:val="center"/>
              <w:rPr>
                <w:rFonts w:eastAsia="Times New Roman"/>
                <w:color w:val="000000"/>
                <w:sz w:val="22"/>
                <w:szCs w:val="22"/>
              </w:rPr>
            </w:pPr>
          </w:p>
        </w:tc>
        <w:tc>
          <w:tcPr>
            <w:tcW w:w="489" w:type="dxa"/>
            <w:tcBorders>
              <w:top w:val="nil"/>
              <w:left w:val="nil"/>
              <w:bottom w:val="nil"/>
              <w:right w:val="nil"/>
            </w:tcBorders>
            <w:shd w:val="clear" w:color="auto" w:fill="auto"/>
            <w:vAlign w:val="center"/>
            <w:hideMark/>
          </w:tcPr>
          <w:p w14:paraId="039C856E" w14:textId="77777777" w:rsidR="00543BBE" w:rsidRPr="00543BBE" w:rsidRDefault="00543BBE" w:rsidP="00543BBE">
            <w:pPr>
              <w:jc w:val="center"/>
              <w:rPr>
                <w:rFonts w:eastAsia="Times New Roman"/>
                <w:sz w:val="20"/>
                <w:szCs w:val="20"/>
              </w:rPr>
            </w:pPr>
          </w:p>
        </w:tc>
        <w:tc>
          <w:tcPr>
            <w:tcW w:w="879" w:type="dxa"/>
            <w:tcBorders>
              <w:top w:val="nil"/>
              <w:left w:val="nil"/>
              <w:bottom w:val="nil"/>
              <w:right w:val="nil"/>
            </w:tcBorders>
            <w:shd w:val="clear" w:color="auto" w:fill="auto"/>
            <w:noWrap/>
            <w:vAlign w:val="center"/>
            <w:hideMark/>
          </w:tcPr>
          <w:p w14:paraId="26B7732D"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155.66</w:t>
            </w:r>
          </w:p>
        </w:tc>
        <w:tc>
          <w:tcPr>
            <w:tcW w:w="1039" w:type="dxa"/>
            <w:tcBorders>
              <w:top w:val="nil"/>
              <w:left w:val="nil"/>
              <w:bottom w:val="nil"/>
              <w:right w:val="nil"/>
            </w:tcBorders>
            <w:shd w:val="clear" w:color="auto" w:fill="auto"/>
            <w:noWrap/>
            <w:vAlign w:val="center"/>
            <w:hideMark/>
          </w:tcPr>
          <w:p w14:paraId="66CA513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107.5</w:t>
            </w:r>
          </w:p>
        </w:tc>
        <w:tc>
          <w:tcPr>
            <w:tcW w:w="419" w:type="dxa"/>
            <w:tcBorders>
              <w:top w:val="nil"/>
              <w:left w:val="nil"/>
              <w:bottom w:val="nil"/>
              <w:right w:val="nil"/>
            </w:tcBorders>
            <w:shd w:val="clear" w:color="auto" w:fill="auto"/>
            <w:noWrap/>
            <w:vAlign w:val="center"/>
            <w:hideMark/>
          </w:tcPr>
          <w:p w14:paraId="7A9BDE29"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48A6C9E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3.46</w:t>
            </w:r>
          </w:p>
        </w:tc>
        <w:tc>
          <w:tcPr>
            <w:tcW w:w="1039" w:type="dxa"/>
            <w:tcBorders>
              <w:top w:val="nil"/>
              <w:left w:val="nil"/>
              <w:bottom w:val="nil"/>
              <w:right w:val="nil"/>
            </w:tcBorders>
            <w:shd w:val="clear" w:color="auto" w:fill="auto"/>
            <w:noWrap/>
            <w:vAlign w:val="center"/>
            <w:hideMark/>
          </w:tcPr>
          <w:p w14:paraId="419C51E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w:t>
            </w:r>
          </w:p>
        </w:tc>
        <w:tc>
          <w:tcPr>
            <w:tcW w:w="337" w:type="dxa"/>
            <w:tcBorders>
              <w:top w:val="nil"/>
              <w:left w:val="nil"/>
              <w:bottom w:val="nil"/>
              <w:right w:val="nil"/>
            </w:tcBorders>
            <w:shd w:val="clear" w:color="auto" w:fill="auto"/>
            <w:noWrap/>
            <w:vAlign w:val="center"/>
            <w:hideMark/>
          </w:tcPr>
          <w:p w14:paraId="24FEBA20"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5B3721BC"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44.57</w:t>
            </w:r>
          </w:p>
        </w:tc>
        <w:tc>
          <w:tcPr>
            <w:tcW w:w="1039" w:type="dxa"/>
            <w:tcBorders>
              <w:top w:val="nil"/>
              <w:left w:val="nil"/>
              <w:bottom w:val="nil"/>
              <w:right w:val="nil"/>
            </w:tcBorders>
            <w:shd w:val="clear" w:color="auto" w:fill="auto"/>
            <w:noWrap/>
            <w:vAlign w:val="center"/>
            <w:hideMark/>
          </w:tcPr>
          <w:p w14:paraId="6D160768"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48</w:t>
            </w:r>
          </w:p>
        </w:tc>
      </w:tr>
      <w:tr w:rsidR="00543BBE" w:rsidRPr="00543BBE" w14:paraId="424DCDE5" w14:textId="77777777" w:rsidTr="00543BBE">
        <w:trPr>
          <w:trHeight w:val="570"/>
        </w:trPr>
        <w:tc>
          <w:tcPr>
            <w:tcW w:w="2523" w:type="dxa"/>
            <w:tcBorders>
              <w:top w:val="nil"/>
              <w:left w:val="nil"/>
              <w:bottom w:val="nil"/>
              <w:right w:val="nil"/>
            </w:tcBorders>
            <w:shd w:val="clear" w:color="auto" w:fill="auto"/>
            <w:vAlign w:val="bottom"/>
            <w:hideMark/>
          </w:tcPr>
          <w:p w14:paraId="50386E32"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Post-Dodd Frank &amp; Pre-JOBs Act (2010-2011)</w:t>
            </w:r>
          </w:p>
        </w:tc>
        <w:tc>
          <w:tcPr>
            <w:tcW w:w="271" w:type="dxa"/>
            <w:tcBorders>
              <w:top w:val="nil"/>
              <w:left w:val="nil"/>
              <w:bottom w:val="nil"/>
              <w:right w:val="nil"/>
            </w:tcBorders>
            <w:shd w:val="clear" w:color="auto" w:fill="auto"/>
            <w:noWrap/>
            <w:vAlign w:val="bottom"/>
            <w:hideMark/>
          </w:tcPr>
          <w:p w14:paraId="1FE85EB7" w14:textId="77777777" w:rsidR="00543BBE" w:rsidRPr="00543BBE" w:rsidRDefault="00543BBE" w:rsidP="00543BBE">
            <w:pPr>
              <w:rPr>
                <w:rFonts w:eastAsia="Times New Roman"/>
                <w:color w:val="000000"/>
                <w:sz w:val="22"/>
                <w:szCs w:val="22"/>
              </w:rPr>
            </w:pPr>
          </w:p>
        </w:tc>
        <w:tc>
          <w:tcPr>
            <w:tcW w:w="2569" w:type="dxa"/>
            <w:gridSpan w:val="4"/>
            <w:tcBorders>
              <w:top w:val="nil"/>
              <w:left w:val="nil"/>
              <w:bottom w:val="nil"/>
              <w:right w:val="nil"/>
            </w:tcBorders>
            <w:shd w:val="clear" w:color="auto" w:fill="auto"/>
            <w:vAlign w:val="center"/>
            <w:hideMark/>
          </w:tcPr>
          <w:p w14:paraId="30865CA9"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134</w:t>
            </w:r>
          </w:p>
        </w:tc>
        <w:tc>
          <w:tcPr>
            <w:tcW w:w="1719" w:type="dxa"/>
            <w:tcBorders>
              <w:top w:val="nil"/>
              <w:left w:val="nil"/>
              <w:bottom w:val="nil"/>
              <w:right w:val="nil"/>
            </w:tcBorders>
            <w:shd w:val="clear" w:color="auto" w:fill="auto"/>
            <w:noWrap/>
            <w:vAlign w:val="bottom"/>
            <w:hideMark/>
          </w:tcPr>
          <w:p w14:paraId="2D9D927E" w14:textId="77777777" w:rsidR="00543BBE" w:rsidRPr="00543BBE" w:rsidRDefault="00543BBE" w:rsidP="00543BBE">
            <w:pPr>
              <w:jc w:val="center"/>
              <w:rPr>
                <w:rFonts w:eastAsia="Times New Roman"/>
                <w:color w:val="000000"/>
                <w:sz w:val="22"/>
                <w:szCs w:val="22"/>
              </w:rPr>
            </w:pPr>
          </w:p>
        </w:tc>
        <w:tc>
          <w:tcPr>
            <w:tcW w:w="489" w:type="dxa"/>
            <w:tcBorders>
              <w:top w:val="nil"/>
              <w:left w:val="nil"/>
              <w:bottom w:val="nil"/>
              <w:right w:val="nil"/>
            </w:tcBorders>
            <w:shd w:val="clear" w:color="auto" w:fill="auto"/>
            <w:vAlign w:val="center"/>
            <w:hideMark/>
          </w:tcPr>
          <w:p w14:paraId="1109B01C" w14:textId="77777777" w:rsidR="00543BBE" w:rsidRPr="00543BBE" w:rsidRDefault="00543BBE" w:rsidP="00543BBE">
            <w:pPr>
              <w:jc w:val="center"/>
              <w:rPr>
                <w:rFonts w:eastAsia="Times New Roman"/>
                <w:sz w:val="20"/>
                <w:szCs w:val="20"/>
              </w:rPr>
            </w:pPr>
          </w:p>
        </w:tc>
        <w:tc>
          <w:tcPr>
            <w:tcW w:w="879" w:type="dxa"/>
            <w:tcBorders>
              <w:top w:val="nil"/>
              <w:left w:val="nil"/>
              <w:bottom w:val="nil"/>
              <w:right w:val="nil"/>
            </w:tcBorders>
            <w:shd w:val="clear" w:color="auto" w:fill="auto"/>
            <w:noWrap/>
            <w:vAlign w:val="center"/>
            <w:hideMark/>
          </w:tcPr>
          <w:p w14:paraId="3BB5EED3"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202.56</w:t>
            </w:r>
          </w:p>
        </w:tc>
        <w:tc>
          <w:tcPr>
            <w:tcW w:w="1039" w:type="dxa"/>
            <w:tcBorders>
              <w:top w:val="nil"/>
              <w:left w:val="nil"/>
              <w:bottom w:val="nil"/>
              <w:right w:val="nil"/>
            </w:tcBorders>
            <w:shd w:val="clear" w:color="auto" w:fill="auto"/>
            <w:noWrap/>
            <w:vAlign w:val="center"/>
            <w:hideMark/>
          </w:tcPr>
          <w:p w14:paraId="4D97E78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130.5</w:t>
            </w:r>
          </w:p>
        </w:tc>
        <w:tc>
          <w:tcPr>
            <w:tcW w:w="419" w:type="dxa"/>
            <w:tcBorders>
              <w:top w:val="nil"/>
              <w:left w:val="nil"/>
              <w:bottom w:val="nil"/>
              <w:right w:val="nil"/>
            </w:tcBorders>
            <w:shd w:val="clear" w:color="auto" w:fill="auto"/>
            <w:noWrap/>
            <w:vAlign w:val="center"/>
            <w:hideMark/>
          </w:tcPr>
          <w:p w14:paraId="5799D579"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439F5BF9"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w:t>
            </w:r>
          </w:p>
        </w:tc>
        <w:tc>
          <w:tcPr>
            <w:tcW w:w="1039" w:type="dxa"/>
            <w:tcBorders>
              <w:top w:val="nil"/>
              <w:left w:val="nil"/>
              <w:bottom w:val="nil"/>
              <w:right w:val="nil"/>
            </w:tcBorders>
            <w:shd w:val="clear" w:color="auto" w:fill="auto"/>
            <w:noWrap/>
            <w:vAlign w:val="center"/>
            <w:hideMark/>
          </w:tcPr>
          <w:p w14:paraId="53983134"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w:t>
            </w:r>
          </w:p>
        </w:tc>
        <w:tc>
          <w:tcPr>
            <w:tcW w:w="337" w:type="dxa"/>
            <w:tcBorders>
              <w:top w:val="nil"/>
              <w:left w:val="nil"/>
              <w:bottom w:val="nil"/>
              <w:right w:val="nil"/>
            </w:tcBorders>
            <w:shd w:val="clear" w:color="auto" w:fill="auto"/>
            <w:noWrap/>
            <w:vAlign w:val="center"/>
            <w:hideMark/>
          </w:tcPr>
          <w:p w14:paraId="10A47840"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10A5F95B"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43.65</w:t>
            </w:r>
          </w:p>
        </w:tc>
        <w:tc>
          <w:tcPr>
            <w:tcW w:w="1039" w:type="dxa"/>
            <w:tcBorders>
              <w:top w:val="nil"/>
              <w:left w:val="nil"/>
              <w:bottom w:val="nil"/>
              <w:right w:val="nil"/>
            </w:tcBorders>
            <w:shd w:val="clear" w:color="auto" w:fill="auto"/>
            <w:noWrap/>
            <w:vAlign w:val="center"/>
            <w:hideMark/>
          </w:tcPr>
          <w:p w14:paraId="4A5BE42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43</w:t>
            </w:r>
          </w:p>
        </w:tc>
      </w:tr>
      <w:tr w:rsidR="00543BBE" w:rsidRPr="00543BBE" w14:paraId="5878DBBF" w14:textId="77777777" w:rsidTr="00F47976">
        <w:trPr>
          <w:trHeight w:val="978"/>
        </w:trPr>
        <w:tc>
          <w:tcPr>
            <w:tcW w:w="2523" w:type="dxa"/>
            <w:tcBorders>
              <w:top w:val="nil"/>
              <w:left w:val="nil"/>
              <w:bottom w:val="nil"/>
              <w:right w:val="nil"/>
            </w:tcBorders>
            <w:shd w:val="clear" w:color="auto" w:fill="auto"/>
            <w:vAlign w:val="center"/>
            <w:hideMark/>
          </w:tcPr>
          <w:p w14:paraId="3DE09678"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t test (mean)/</w:t>
            </w:r>
            <w:r w:rsidRPr="00543BBE">
              <w:rPr>
                <w:rFonts w:eastAsia="Times New Roman"/>
                <w:color w:val="000000"/>
              </w:rPr>
              <w:t xml:space="preserve"> </w:t>
            </w:r>
            <w:r w:rsidRPr="00543BBE">
              <w:rPr>
                <w:rFonts w:eastAsia="Times New Roman"/>
                <w:color w:val="000000"/>
                <w:sz w:val="22"/>
                <w:szCs w:val="22"/>
              </w:rPr>
              <w:t>Wilcoxon rank-sum test (median)</w:t>
            </w:r>
          </w:p>
        </w:tc>
        <w:tc>
          <w:tcPr>
            <w:tcW w:w="271" w:type="dxa"/>
            <w:tcBorders>
              <w:top w:val="nil"/>
              <w:left w:val="nil"/>
              <w:bottom w:val="nil"/>
              <w:right w:val="nil"/>
            </w:tcBorders>
            <w:shd w:val="clear" w:color="auto" w:fill="auto"/>
            <w:noWrap/>
            <w:vAlign w:val="bottom"/>
            <w:hideMark/>
          </w:tcPr>
          <w:p w14:paraId="6BF94FFC" w14:textId="77777777" w:rsidR="00543BBE" w:rsidRPr="00543BBE" w:rsidRDefault="00543BBE" w:rsidP="00543BBE">
            <w:pPr>
              <w:rPr>
                <w:rFonts w:eastAsia="Times New Roman"/>
                <w:color w:val="000000"/>
                <w:sz w:val="22"/>
                <w:szCs w:val="22"/>
              </w:rPr>
            </w:pPr>
          </w:p>
        </w:tc>
        <w:tc>
          <w:tcPr>
            <w:tcW w:w="609" w:type="dxa"/>
            <w:tcBorders>
              <w:top w:val="nil"/>
              <w:left w:val="nil"/>
              <w:bottom w:val="nil"/>
              <w:right w:val="nil"/>
            </w:tcBorders>
            <w:shd w:val="clear" w:color="auto" w:fill="auto"/>
            <w:vAlign w:val="center"/>
            <w:hideMark/>
          </w:tcPr>
          <w:p w14:paraId="567E60F2" w14:textId="77777777" w:rsidR="00543BBE" w:rsidRPr="00543BBE" w:rsidRDefault="00543BBE" w:rsidP="00543BBE">
            <w:pPr>
              <w:jc w:val="center"/>
              <w:rPr>
                <w:rFonts w:eastAsia="Times New Roman"/>
                <w:sz w:val="20"/>
                <w:szCs w:val="20"/>
              </w:rPr>
            </w:pPr>
          </w:p>
        </w:tc>
        <w:tc>
          <w:tcPr>
            <w:tcW w:w="283" w:type="dxa"/>
            <w:tcBorders>
              <w:top w:val="nil"/>
              <w:left w:val="nil"/>
              <w:bottom w:val="nil"/>
              <w:right w:val="nil"/>
            </w:tcBorders>
            <w:shd w:val="clear" w:color="auto" w:fill="auto"/>
            <w:noWrap/>
            <w:vAlign w:val="bottom"/>
            <w:hideMark/>
          </w:tcPr>
          <w:p w14:paraId="4959FB0E" w14:textId="77777777" w:rsidR="00543BBE" w:rsidRPr="00543BBE" w:rsidRDefault="00543BBE" w:rsidP="00543BBE">
            <w:pPr>
              <w:jc w:val="center"/>
              <w:rPr>
                <w:rFonts w:eastAsia="Times New Roman"/>
                <w:sz w:val="20"/>
                <w:szCs w:val="20"/>
              </w:rPr>
            </w:pPr>
          </w:p>
        </w:tc>
        <w:tc>
          <w:tcPr>
            <w:tcW w:w="1170" w:type="dxa"/>
            <w:tcBorders>
              <w:top w:val="nil"/>
              <w:left w:val="nil"/>
              <w:bottom w:val="nil"/>
              <w:right w:val="nil"/>
            </w:tcBorders>
            <w:shd w:val="clear" w:color="auto" w:fill="auto"/>
            <w:noWrap/>
            <w:vAlign w:val="bottom"/>
            <w:hideMark/>
          </w:tcPr>
          <w:p w14:paraId="1C012B72" w14:textId="77777777" w:rsidR="00543BBE" w:rsidRPr="00543BBE" w:rsidRDefault="00543BBE" w:rsidP="00543BBE">
            <w:pPr>
              <w:jc w:val="center"/>
              <w:rPr>
                <w:rFonts w:eastAsia="Times New Roman"/>
                <w:sz w:val="20"/>
                <w:szCs w:val="20"/>
              </w:rPr>
            </w:pPr>
          </w:p>
        </w:tc>
        <w:tc>
          <w:tcPr>
            <w:tcW w:w="507" w:type="dxa"/>
            <w:tcBorders>
              <w:top w:val="nil"/>
              <w:left w:val="nil"/>
              <w:bottom w:val="nil"/>
              <w:right w:val="nil"/>
            </w:tcBorders>
            <w:shd w:val="clear" w:color="auto" w:fill="auto"/>
            <w:noWrap/>
            <w:vAlign w:val="bottom"/>
            <w:hideMark/>
          </w:tcPr>
          <w:p w14:paraId="73EC6258" w14:textId="77777777" w:rsidR="00543BBE" w:rsidRPr="00543BBE" w:rsidRDefault="00543BBE" w:rsidP="00543BBE">
            <w:pPr>
              <w:jc w:val="center"/>
              <w:rPr>
                <w:rFonts w:eastAsia="Times New Roman"/>
                <w:sz w:val="20"/>
                <w:szCs w:val="20"/>
              </w:rPr>
            </w:pPr>
          </w:p>
        </w:tc>
        <w:tc>
          <w:tcPr>
            <w:tcW w:w="1719" w:type="dxa"/>
            <w:tcBorders>
              <w:top w:val="nil"/>
              <w:left w:val="nil"/>
              <w:bottom w:val="nil"/>
              <w:right w:val="nil"/>
            </w:tcBorders>
            <w:shd w:val="clear" w:color="auto" w:fill="auto"/>
            <w:noWrap/>
            <w:vAlign w:val="bottom"/>
            <w:hideMark/>
          </w:tcPr>
          <w:p w14:paraId="4E85B112" w14:textId="77777777" w:rsidR="00543BBE" w:rsidRPr="00543BBE" w:rsidRDefault="00543BBE" w:rsidP="00543BBE">
            <w:pPr>
              <w:jc w:val="center"/>
              <w:rPr>
                <w:rFonts w:eastAsia="Times New Roman"/>
                <w:sz w:val="20"/>
                <w:szCs w:val="20"/>
              </w:rPr>
            </w:pPr>
          </w:p>
        </w:tc>
        <w:tc>
          <w:tcPr>
            <w:tcW w:w="489" w:type="dxa"/>
            <w:tcBorders>
              <w:top w:val="nil"/>
              <w:left w:val="nil"/>
              <w:bottom w:val="nil"/>
              <w:right w:val="nil"/>
            </w:tcBorders>
            <w:shd w:val="clear" w:color="auto" w:fill="auto"/>
            <w:vAlign w:val="center"/>
            <w:hideMark/>
          </w:tcPr>
          <w:p w14:paraId="79E6D6FA" w14:textId="77777777" w:rsidR="00543BBE" w:rsidRPr="00543BBE" w:rsidRDefault="00543BBE" w:rsidP="00543BBE">
            <w:pPr>
              <w:jc w:val="center"/>
              <w:rPr>
                <w:rFonts w:eastAsia="Times New Roman"/>
                <w:sz w:val="20"/>
                <w:szCs w:val="20"/>
              </w:rPr>
            </w:pPr>
          </w:p>
        </w:tc>
        <w:tc>
          <w:tcPr>
            <w:tcW w:w="879" w:type="dxa"/>
            <w:tcBorders>
              <w:top w:val="nil"/>
              <w:left w:val="nil"/>
              <w:bottom w:val="nil"/>
              <w:right w:val="nil"/>
            </w:tcBorders>
            <w:shd w:val="clear" w:color="auto" w:fill="auto"/>
            <w:noWrap/>
            <w:vAlign w:val="center"/>
            <w:hideMark/>
          </w:tcPr>
          <w:p w14:paraId="27D2340D"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0.01</w:t>
            </w:r>
          </w:p>
        </w:tc>
        <w:tc>
          <w:tcPr>
            <w:tcW w:w="1039" w:type="dxa"/>
            <w:tcBorders>
              <w:top w:val="nil"/>
              <w:left w:val="nil"/>
              <w:bottom w:val="nil"/>
              <w:right w:val="nil"/>
            </w:tcBorders>
            <w:shd w:val="clear" w:color="auto" w:fill="auto"/>
            <w:noWrap/>
            <w:vAlign w:val="center"/>
            <w:hideMark/>
          </w:tcPr>
          <w:p w14:paraId="46239AA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0.00 </w:t>
            </w:r>
          </w:p>
        </w:tc>
        <w:tc>
          <w:tcPr>
            <w:tcW w:w="419" w:type="dxa"/>
            <w:tcBorders>
              <w:top w:val="nil"/>
              <w:left w:val="nil"/>
              <w:bottom w:val="nil"/>
              <w:right w:val="nil"/>
            </w:tcBorders>
            <w:shd w:val="clear" w:color="auto" w:fill="auto"/>
            <w:noWrap/>
            <w:vAlign w:val="center"/>
            <w:hideMark/>
          </w:tcPr>
          <w:p w14:paraId="5EF1FBBF"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0453B5DE" w14:textId="5AAFB1CD"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w:t>
            </w:r>
            <w:r w:rsidR="00A7059E">
              <w:rPr>
                <w:rFonts w:eastAsia="Times New Roman"/>
                <w:color w:val="000000"/>
                <w:sz w:val="22"/>
                <w:szCs w:val="22"/>
              </w:rPr>
              <w:t>.00</w:t>
            </w:r>
          </w:p>
        </w:tc>
        <w:tc>
          <w:tcPr>
            <w:tcW w:w="1039" w:type="dxa"/>
            <w:tcBorders>
              <w:top w:val="nil"/>
              <w:left w:val="nil"/>
              <w:bottom w:val="nil"/>
              <w:right w:val="nil"/>
            </w:tcBorders>
            <w:shd w:val="clear" w:color="auto" w:fill="auto"/>
            <w:noWrap/>
            <w:vAlign w:val="center"/>
            <w:hideMark/>
          </w:tcPr>
          <w:p w14:paraId="1A74B335"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0.00 </w:t>
            </w:r>
          </w:p>
        </w:tc>
        <w:tc>
          <w:tcPr>
            <w:tcW w:w="337" w:type="dxa"/>
            <w:tcBorders>
              <w:top w:val="nil"/>
              <w:left w:val="nil"/>
              <w:bottom w:val="nil"/>
              <w:right w:val="nil"/>
            </w:tcBorders>
            <w:shd w:val="clear" w:color="auto" w:fill="auto"/>
            <w:noWrap/>
            <w:vAlign w:val="center"/>
            <w:hideMark/>
          </w:tcPr>
          <w:p w14:paraId="0A0BBC84"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7F4BD9A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0.69</w:t>
            </w:r>
          </w:p>
        </w:tc>
        <w:tc>
          <w:tcPr>
            <w:tcW w:w="1039" w:type="dxa"/>
            <w:tcBorders>
              <w:top w:val="nil"/>
              <w:left w:val="nil"/>
              <w:bottom w:val="nil"/>
              <w:right w:val="nil"/>
            </w:tcBorders>
            <w:shd w:val="clear" w:color="auto" w:fill="auto"/>
            <w:noWrap/>
            <w:vAlign w:val="center"/>
            <w:hideMark/>
          </w:tcPr>
          <w:p w14:paraId="1BE9193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0.30 </w:t>
            </w:r>
          </w:p>
        </w:tc>
      </w:tr>
      <w:tr w:rsidR="00543BBE" w:rsidRPr="00543BBE" w14:paraId="1935FB4E" w14:textId="77777777" w:rsidTr="00543BBE">
        <w:trPr>
          <w:trHeight w:val="300"/>
        </w:trPr>
        <w:tc>
          <w:tcPr>
            <w:tcW w:w="2523" w:type="dxa"/>
            <w:tcBorders>
              <w:top w:val="nil"/>
              <w:left w:val="nil"/>
              <w:bottom w:val="single" w:sz="4" w:space="0" w:color="auto"/>
              <w:right w:val="nil"/>
            </w:tcBorders>
            <w:shd w:val="clear" w:color="auto" w:fill="auto"/>
            <w:noWrap/>
            <w:vAlign w:val="center"/>
            <w:hideMark/>
          </w:tcPr>
          <w:p w14:paraId="2F9311E5"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Totals</w:t>
            </w:r>
          </w:p>
        </w:tc>
        <w:tc>
          <w:tcPr>
            <w:tcW w:w="271" w:type="dxa"/>
            <w:tcBorders>
              <w:top w:val="nil"/>
              <w:left w:val="nil"/>
              <w:bottom w:val="single" w:sz="4" w:space="0" w:color="auto"/>
              <w:right w:val="nil"/>
            </w:tcBorders>
            <w:shd w:val="clear" w:color="auto" w:fill="auto"/>
            <w:noWrap/>
            <w:vAlign w:val="bottom"/>
            <w:hideMark/>
          </w:tcPr>
          <w:p w14:paraId="38223A0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2569" w:type="dxa"/>
            <w:gridSpan w:val="4"/>
            <w:tcBorders>
              <w:top w:val="nil"/>
              <w:left w:val="nil"/>
              <w:bottom w:val="single" w:sz="4" w:space="0" w:color="auto"/>
              <w:right w:val="nil"/>
            </w:tcBorders>
            <w:shd w:val="clear" w:color="auto" w:fill="auto"/>
            <w:noWrap/>
            <w:vAlign w:val="center"/>
            <w:hideMark/>
          </w:tcPr>
          <w:p w14:paraId="141A3050"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448</w:t>
            </w:r>
          </w:p>
        </w:tc>
        <w:tc>
          <w:tcPr>
            <w:tcW w:w="1719" w:type="dxa"/>
            <w:tcBorders>
              <w:top w:val="nil"/>
              <w:left w:val="nil"/>
              <w:bottom w:val="single" w:sz="4" w:space="0" w:color="auto"/>
              <w:right w:val="nil"/>
            </w:tcBorders>
            <w:shd w:val="clear" w:color="auto" w:fill="auto"/>
            <w:noWrap/>
            <w:vAlign w:val="bottom"/>
            <w:hideMark/>
          </w:tcPr>
          <w:p w14:paraId="4BBC1EE4"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489" w:type="dxa"/>
            <w:tcBorders>
              <w:top w:val="nil"/>
              <w:left w:val="nil"/>
              <w:bottom w:val="single" w:sz="4" w:space="0" w:color="auto"/>
              <w:right w:val="nil"/>
            </w:tcBorders>
            <w:shd w:val="clear" w:color="auto" w:fill="auto"/>
            <w:noWrap/>
            <w:vAlign w:val="center"/>
            <w:hideMark/>
          </w:tcPr>
          <w:p w14:paraId="0AF9E2A7"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879" w:type="dxa"/>
            <w:tcBorders>
              <w:top w:val="nil"/>
              <w:left w:val="nil"/>
              <w:bottom w:val="single" w:sz="4" w:space="0" w:color="auto"/>
              <w:right w:val="nil"/>
            </w:tcBorders>
            <w:shd w:val="clear" w:color="auto" w:fill="auto"/>
            <w:noWrap/>
            <w:vAlign w:val="center"/>
            <w:hideMark/>
          </w:tcPr>
          <w:p w14:paraId="2F78E1A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169.69</w:t>
            </w:r>
          </w:p>
        </w:tc>
        <w:tc>
          <w:tcPr>
            <w:tcW w:w="1039" w:type="dxa"/>
            <w:tcBorders>
              <w:top w:val="nil"/>
              <w:left w:val="nil"/>
              <w:bottom w:val="single" w:sz="4" w:space="0" w:color="auto"/>
              <w:right w:val="nil"/>
            </w:tcBorders>
            <w:shd w:val="clear" w:color="auto" w:fill="auto"/>
            <w:noWrap/>
            <w:vAlign w:val="center"/>
            <w:hideMark/>
          </w:tcPr>
          <w:p w14:paraId="4B74C9D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112</w:t>
            </w:r>
          </w:p>
        </w:tc>
        <w:tc>
          <w:tcPr>
            <w:tcW w:w="419" w:type="dxa"/>
            <w:tcBorders>
              <w:top w:val="nil"/>
              <w:left w:val="nil"/>
              <w:bottom w:val="single" w:sz="4" w:space="0" w:color="auto"/>
              <w:right w:val="nil"/>
            </w:tcBorders>
            <w:shd w:val="clear" w:color="auto" w:fill="auto"/>
            <w:noWrap/>
            <w:vAlign w:val="center"/>
            <w:hideMark/>
          </w:tcPr>
          <w:p w14:paraId="5A6FE33E"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786" w:type="dxa"/>
            <w:tcBorders>
              <w:top w:val="nil"/>
              <w:left w:val="nil"/>
              <w:bottom w:val="single" w:sz="4" w:space="0" w:color="auto"/>
              <w:right w:val="nil"/>
            </w:tcBorders>
            <w:shd w:val="clear" w:color="auto" w:fill="auto"/>
            <w:noWrap/>
            <w:vAlign w:val="center"/>
            <w:hideMark/>
          </w:tcPr>
          <w:p w14:paraId="116DACD3"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3.74</w:t>
            </w:r>
          </w:p>
        </w:tc>
        <w:tc>
          <w:tcPr>
            <w:tcW w:w="1039" w:type="dxa"/>
            <w:tcBorders>
              <w:top w:val="nil"/>
              <w:left w:val="nil"/>
              <w:bottom w:val="single" w:sz="4" w:space="0" w:color="auto"/>
              <w:right w:val="nil"/>
            </w:tcBorders>
            <w:shd w:val="clear" w:color="auto" w:fill="auto"/>
            <w:noWrap/>
            <w:vAlign w:val="center"/>
            <w:hideMark/>
          </w:tcPr>
          <w:p w14:paraId="378BD253"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w:t>
            </w:r>
          </w:p>
        </w:tc>
        <w:tc>
          <w:tcPr>
            <w:tcW w:w="337" w:type="dxa"/>
            <w:tcBorders>
              <w:top w:val="nil"/>
              <w:left w:val="nil"/>
              <w:bottom w:val="single" w:sz="4" w:space="0" w:color="auto"/>
              <w:right w:val="nil"/>
            </w:tcBorders>
            <w:shd w:val="clear" w:color="auto" w:fill="auto"/>
            <w:noWrap/>
            <w:vAlign w:val="center"/>
            <w:hideMark/>
          </w:tcPr>
          <w:p w14:paraId="0A10926C"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786" w:type="dxa"/>
            <w:tcBorders>
              <w:top w:val="nil"/>
              <w:left w:val="nil"/>
              <w:bottom w:val="single" w:sz="4" w:space="0" w:color="auto"/>
              <w:right w:val="nil"/>
            </w:tcBorders>
            <w:shd w:val="clear" w:color="auto" w:fill="auto"/>
            <w:noWrap/>
            <w:vAlign w:val="center"/>
            <w:hideMark/>
          </w:tcPr>
          <w:p w14:paraId="38CDEBA9"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44.29</w:t>
            </w:r>
          </w:p>
        </w:tc>
        <w:tc>
          <w:tcPr>
            <w:tcW w:w="1039" w:type="dxa"/>
            <w:tcBorders>
              <w:top w:val="nil"/>
              <w:left w:val="nil"/>
              <w:bottom w:val="single" w:sz="4" w:space="0" w:color="auto"/>
              <w:right w:val="nil"/>
            </w:tcBorders>
            <w:shd w:val="clear" w:color="auto" w:fill="auto"/>
            <w:noWrap/>
            <w:vAlign w:val="center"/>
            <w:hideMark/>
          </w:tcPr>
          <w:p w14:paraId="4ED69599"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46</w:t>
            </w:r>
          </w:p>
        </w:tc>
      </w:tr>
      <w:tr w:rsidR="00543BBE" w:rsidRPr="00543BBE" w14:paraId="7FA4021D" w14:textId="77777777" w:rsidTr="00543BBE">
        <w:trPr>
          <w:trHeight w:val="810"/>
        </w:trPr>
        <w:tc>
          <w:tcPr>
            <w:tcW w:w="13895" w:type="dxa"/>
            <w:gridSpan w:val="16"/>
            <w:tcBorders>
              <w:top w:val="nil"/>
              <w:left w:val="nil"/>
              <w:bottom w:val="nil"/>
              <w:right w:val="nil"/>
            </w:tcBorders>
            <w:shd w:val="clear" w:color="auto" w:fill="auto"/>
            <w:noWrap/>
            <w:vAlign w:val="bottom"/>
            <w:hideMark/>
          </w:tcPr>
          <w:p w14:paraId="46F6A851" w14:textId="77777777" w:rsidR="00543BBE" w:rsidRPr="00543BBE" w:rsidRDefault="00543BBE" w:rsidP="00543BBE">
            <w:pPr>
              <w:rPr>
                <w:rFonts w:eastAsia="Times New Roman"/>
                <w:b/>
                <w:bCs/>
                <w:color w:val="000000"/>
                <w:sz w:val="22"/>
                <w:szCs w:val="22"/>
              </w:rPr>
            </w:pPr>
            <w:r w:rsidRPr="00543BBE">
              <w:rPr>
                <w:rFonts w:eastAsia="Times New Roman"/>
                <w:b/>
                <w:bCs/>
                <w:color w:val="000000"/>
                <w:sz w:val="22"/>
                <w:szCs w:val="22"/>
              </w:rPr>
              <w:lastRenderedPageBreak/>
              <w:t>Panel C. Impact of financial crisis in 2008, 2009</w:t>
            </w:r>
          </w:p>
        </w:tc>
      </w:tr>
      <w:tr w:rsidR="00543BBE" w:rsidRPr="00543BBE" w14:paraId="5E424B02" w14:textId="77777777" w:rsidTr="00543BBE">
        <w:trPr>
          <w:trHeight w:val="825"/>
        </w:trPr>
        <w:tc>
          <w:tcPr>
            <w:tcW w:w="2523" w:type="dxa"/>
            <w:tcBorders>
              <w:top w:val="nil"/>
              <w:left w:val="nil"/>
              <w:bottom w:val="single" w:sz="4" w:space="0" w:color="auto"/>
              <w:right w:val="nil"/>
            </w:tcBorders>
            <w:shd w:val="clear" w:color="auto" w:fill="auto"/>
            <w:noWrap/>
            <w:vAlign w:val="bottom"/>
            <w:hideMark/>
          </w:tcPr>
          <w:p w14:paraId="51F218CE"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Filing year</w:t>
            </w:r>
          </w:p>
        </w:tc>
        <w:tc>
          <w:tcPr>
            <w:tcW w:w="271" w:type="dxa"/>
            <w:tcBorders>
              <w:top w:val="nil"/>
              <w:left w:val="nil"/>
              <w:bottom w:val="nil"/>
              <w:right w:val="nil"/>
            </w:tcBorders>
            <w:shd w:val="clear" w:color="auto" w:fill="auto"/>
            <w:noWrap/>
            <w:vAlign w:val="bottom"/>
            <w:hideMark/>
          </w:tcPr>
          <w:p w14:paraId="4FAE83DB" w14:textId="77777777" w:rsidR="00543BBE" w:rsidRPr="00543BBE" w:rsidRDefault="00543BBE" w:rsidP="00543BBE">
            <w:pPr>
              <w:jc w:val="center"/>
              <w:rPr>
                <w:rFonts w:eastAsia="Times New Roman"/>
                <w:b/>
                <w:bCs/>
                <w:color w:val="000000"/>
                <w:sz w:val="22"/>
                <w:szCs w:val="22"/>
              </w:rPr>
            </w:pPr>
          </w:p>
        </w:tc>
        <w:tc>
          <w:tcPr>
            <w:tcW w:w="2569" w:type="dxa"/>
            <w:gridSpan w:val="4"/>
            <w:tcBorders>
              <w:top w:val="nil"/>
              <w:left w:val="nil"/>
              <w:bottom w:val="single" w:sz="4" w:space="0" w:color="auto"/>
              <w:right w:val="nil"/>
            </w:tcBorders>
            <w:shd w:val="clear" w:color="auto" w:fill="auto"/>
            <w:noWrap/>
            <w:vAlign w:val="bottom"/>
            <w:hideMark/>
          </w:tcPr>
          <w:p w14:paraId="75054D69"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N</w:t>
            </w:r>
          </w:p>
        </w:tc>
        <w:tc>
          <w:tcPr>
            <w:tcW w:w="1719" w:type="dxa"/>
            <w:tcBorders>
              <w:top w:val="nil"/>
              <w:left w:val="nil"/>
              <w:bottom w:val="nil"/>
              <w:right w:val="nil"/>
            </w:tcBorders>
            <w:shd w:val="clear" w:color="auto" w:fill="auto"/>
            <w:vAlign w:val="bottom"/>
            <w:hideMark/>
          </w:tcPr>
          <w:p w14:paraId="6777A1B7" w14:textId="77777777" w:rsidR="00543BBE" w:rsidRPr="00543BBE" w:rsidRDefault="00543BBE" w:rsidP="00543BBE">
            <w:pPr>
              <w:jc w:val="center"/>
              <w:rPr>
                <w:rFonts w:eastAsia="Times New Roman"/>
                <w:b/>
                <w:bCs/>
                <w:color w:val="000000"/>
                <w:sz w:val="22"/>
                <w:szCs w:val="22"/>
              </w:rPr>
            </w:pPr>
          </w:p>
        </w:tc>
        <w:tc>
          <w:tcPr>
            <w:tcW w:w="489" w:type="dxa"/>
            <w:tcBorders>
              <w:top w:val="nil"/>
              <w:left w:val="nil"/>
              <w:bottom w:val="nil"/>
              <w:right w:val="nil"/>
            </w:tcBorders>
            <w:shd w:val="clear" w:color="auto" w:fill="auto"/>
            <w:vAlign w:val="bottom"/>
            <w:hideMark/>
          </w:tcPr>
          <w:p w14:paraId="7383CAF6" w14:textId="77777777" w:rsidR="00543BBE" w:rsidRPr="00543BBE" w:rsidRDefault="00543BBE" w:rsidP="00543BBE">
            <w:pPr>
              <w:jc w:val="center"/>
              <w:rPr>
                <w:rFonts w:eastAsia="Times New Roman"/>
                <w:sz w:val="20"/>
                <w:szCs w:val="20"/>
              </w:rPr>
            </w:pPr>
          </w:p>
        </w:tc>
        <w:tc>
          <w:tcPr>
            <w:tcW w:w="1918" w:type="dxa"/>
            <w:gridSpan w:val="2"/>
            <w:tcBorders>
              <w:top w:val="nil"/>
              <w:left w:val="nil"/>
              <w:bottom w:val="single" w:sz="4" w:space="0" w:color="auto"/>
              <w:right w:val="nil"/>
            </w:tcBorders>
            <w:shd w:val="clear" w:color="auto" w:fill="auto"/>
            <w:vAlign w:val="bottom"/>
            <w:hideMark/>
          </w:tcPr>
          <w:p w14:paraId="220E2546"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Duration</w:t>
            </w:r>
          </w:p>
        </w:tc>
        <w:tc>
          <w:tcPr>
            <w:tcW w:w="419" w:type="dxa"/>
            <w:tcBorders>
              <w:top w:val="nil"/>
              <w:left w:val="nil"/>
              <w:bottom w:val="nil"/>
              <w:right w:val="nil"/>
            </w:tcBorders>
            <w:shd w:val="clear" w:color="auto" w:fill="auto"/>
            <w:vAlign w:val="bottom"/>
            <w:hideMark/>
          </w:tcPr>
          <w:p w14:paraId="13B8A31B" w14:textId="77777777" w:rsidR="00543BBE" w:rsidRPr="00543BBE" w:rsidRDefault="00543BBE" w:rsidP="00543BBE">
            <w:pPr>
              <w:jc w:val="center"/>
              <w:rPr>
                <w:rFonts w:eastAsia="Times New Roman"/>
                <w:b/>
                <w:bCs/>
                <w:color w:val="000000"/>
                <w:sz w:val="22"/>
                <w:szCs w:val="22"/>
              </w:rPr>
            </w:pPr>
          </w:p>
        </w:tc>
        <w:tc>
          <w:tcPr>
            <w:tcW w:w="1825" w:type="dxa"/>
            <w:gridSpan w:val="2"/>
            <w:tcBorders>
              <w:top w:val="nil"/>
              <w:left w:val="nil"/>
              <w:bottom w:val="single" w:sz="4" w:space="0" w:color="auto"/>
              <w:right w:val="nil"/>
            </w:tcBorders>
            <w:shd w:val="clear" w:color="auto" w:fill="auto"/>
            <w:vAlign w:val="bottom"/>
            <w:hideMark/>
          </w:tcPr>
          <w:p w14:paraId="2D5610E3" w14:textId="3A46FD81" w:rsidR="00543BBE" w:rsidRPr="00543BBE" w:rsidRDefault="00543BBE" w:rsidP="00543BBE">
            <w:pPr>
              <w:jc w:val="center"/>
              <w:rPr>
                <w:rFonts w:eastAsia="Times New Roman"/>
                <w:b/>
                <w:bCs/>
                <w:color w:val="000000"/>
                <w:sz w:val="22"/>
                <w:szCs w:val="22"/>
              </w:rPr>
            </w:pPr>
            <w:r>
              <w:rPr>
                <w:rFonts w:eastAsia="Times New Roman"/>
                <w:b/>
                <w:bCs/>
                <w:color w:val="000000"/>
                <w:sz w:val="22"/>
                <w:szCs w:val="22"/>
              </w:rPr>
              <w:t>Letters</w:t>
            </w:r>
          </w:p>
        </w:tc>
        <w:tc>
          <w:tcPr>
            <w:tcW w:w="337" w:type="dxa"/>
            <w:tcBorders>
              <w:top w:val="nil"/>
              <w:left w:val="nil"/>
              <w:bottom w:val="nil"/>
              <w:right w:val="nil"/>
            </w:tcBorders>
            <w:shd w:val="clear" w:color="auto" w:fill="auto"/>
            <w:vAlign w:val="bottom"/>
            <w:hideMark/>
          </w:tcPr>
          <w:p w14:paraId="59D29248" w14:textId="77777777" w:rsidR="00543BBE" w:rsidRPr="00543BBE" w:rsidRDefault="00543BBE" w:rsidP="00543BBE">
            <w:pPr>
              <w:jc w:val="center"/>
              <w:rPr>
                <w:rFonts w:eastAsia="Times New Roman"/>
                <w:b/>
                <w:bCs/>
                <w:color w:val="000000"/>
                <w:sz w:val="22"/>
                <w:szCs w:val="22"/>
              </w:rPr>
            </w:pPr>
          </w:p>
        </w:tc>
        <w:tc>
          <w:tcPr>
            <w:tcW w:w="1825" w:type="dxa"/>
            <w:gridSpan w:val="2"/>
            <w:tcBorders>
              <w:top w:val="nil"/>
              <w:left w:val="nil"/>
              <w:bottom w:val="single" w:sz="4" w:space="0" w:color="auto"/>
              <w:right w:val="nil"/>
            </w:tcBorders>
            <w:shd w:val="clear" w:color="auto" w:fill="auto"/>
            <w:vAlign w:val="bottom"/>
            <w:hideMark/>
          </w:tcPr>
          <w:p w14:paraId="7E42A85F" w14:textId="377B47F0" w:rsidR="00543BBE" w:rsidRPr="00543BBE" w:rsidRDefault="00543BBE" w:rsidP="00543BBE">
            <w:pPr>
              <w:jc w:val="center"/>
              <w:rPr>
                <w:rFonts w:eastAsia="Times New Roman"/>
                <w:b/>
                <w:bCs/>
                <w:color w:val="000000"/>
                <w:sz w:val="22"/>
                <w:szCs w:val="22"/>
              </w:rPr>
            </w:pPr>
            <w:r>
              <w:rPr>
                <w:rFonts w:eastAsia="Times New Roman"/>
                <w:b/>
                <w:bCs/>
                <w:color w:val="000000"/>
                <w:sz w:val="22"/>
                <w:szCs w:val="22"/>
              </w:rPr>
              <w:t>Comments</w:t>
            </w:r>
          </w:p>
        </w:tc>
      </w:tr>
      <w:tr w:rsidR="00543BBE" w:rsidRPr="00543BBE" w14:paraId="2A9436EC" w14:textId="77777777" w:rsidTr="00543BBE">
        <w:trPr>
          <w:trHeight w:val="300"/>
        </w:trPr>
        <w:tc>
          <w:tcPr>
            <w:tcW w:w="2523" w:type="dxa"/>
            <w:tcBorders>
              <w:top w:val="nil"/>
              <w:left w:val="nil"/>
              <w:bottom w:val="nil"/>
              <w:right w:val="nil"/>
            </w:tcBorders>
            <w:shd w:val="clear" w:color="auto" w:fill="auto"/>
            <w:noWrap/>
            <w:vAlign w:val="bottom"/>
            <w:hideMark/>
          </w:tcPr>
          <w:p w14:paraId="3044675D" w14:textId="77777777" w:rsidR="00543BBE" w:rsidRPr="00543BBE" w:rsidRDefault="00543BBE" w:rsidP="00543BBE">
            <w:pPr>
              <w:jc w:val="center"/>
              <w:rPr>
                <w:rFonts w:eastAsia="Times New Roman"/>
                <w:b/>
                <w:bCs/>
                <w:color w:val="000000"/>
                <w:sz w:val="22"/>
                <w:szCs w:val="22"/>
              </w:rPr>
            </w:pPr>
          </w:p>
        </w:tc>
        <w:tc>
          <w:tcPr>
            <w:tcW w:w="271" w:type="dxa"/>
            <w:tcBorders>
              <w:top w:val="nil"/>
              <w:left w:val="nil"/>
              <w:bottom w:val="nil"/>
              <w:right w:val="nil"/>
            </w:tcBorders>
            <w:shd w:val="clear" w:color="auto" w:fill="auto"/>
            <w:noWrap/>
            <w:vAlign w:val="bottom"/>
            <w:hideMark/>
          </w:tcPr>
          <w:p w14:paraId="4B3E3A3E" w14:textId="77777777" w:rsidR="00543BBE" w:rsidRPr="00543BBE" w:rsidRDefault="00543BBE" w:rsidP="00543BBE">
            <w:pPr>
              <w:jc w:val="center"/>
              <w:rPr>
                <w:rFonts w:eastAsia="Times New Roman"/>
                <w:sz w:val="20"/>
                <w:szCs w:val="20"/>
              </w:rPr>
            </w:pPr>
          </w:p>
        </w:tc>
        <w:tc>
          <w:tcPr>
            <w:tcW w:w="609" w:type="dxa"/>
            <w:tcBorders>
              <w:top w:val="nil"/>
              <w:left w:val="nil"/>
              <w:bottom w:val="nil"/>
              <w:right w:val="nil"/>
            </w:tcBorders>
            <w:shd w:val="clear" w:color="auto" w:fill="auto"/>
            <w:noWrap/>
            <w:vAlign w:val="bottom"/>
            <w:hideMark/>
          </w:tcPr>
          <w:p w14:paraId="2D4D4619" w14:textId="77777777" w:rsidR="00543BBE" w:rsidRPr="00543BBE" w:rsidRDefault="00543BBE" w:rsidP="00543BBE">
            <w:pPr>
              <w:jc w:val="center"/>
              <w:rPr>
                <w:rFonts w:eastAsia="Times New Roman"/>
                <w:sz w:val="20"/>
                <w:szCs w:val="20"/>
              </w:rPr>
            </w:pPr>
          </w:p>
        </w:tc>
        <w:tc>
          <w:tcPr>
            <w:tcW w:w="283" w:type="dxa"/>
            <w:tcBorders>
              <w:top w:val="nil"/>
              <w:left w:val="nil"/>
              <w:bottom w:val="nil"/>
              <w:right w:val="nil"/>
            </w:tcBorders>
            <w:shd w:val="clear" w:color="auto" w:fill="auto"/>
            <w:noWrap/>
            <w:vAlign w:val="bottom"/>
            <w:hideMark/>
          </w:tcPr>
          <w:p w14:paraId="0887044D" w14:textId="77777777" w:rsidR="00543BBE" w:rsidRPr="00543BBE" w:rsidRDefault="00543BBE" w:rsidP="00543BBE">
            <w:pPr>
              <w:jc w:val="center"/>
              <w:rPr>
                <w:rFonts w:eastAsia="Times New Roman"/>
                <w:sz w:val="20"/>
                <w:szCs w:val="20"/>
              </w:rPr>
            </w:pPr>
          </w:p>
        </w:tc>
        <w:tc>
          <w:tcPr>
            <w:tcW w:w="1170" w:type="dxa"/>
            <w:tcBorders>
              <w:top w:val="nil"/>
              <w:left w:val="nil"/>
              <w:bottom w:val="nil"/>
              <w:right w:val="nil"/>
            </w:tcBorders>
            <w:shd w:val="clear" w:color="auto" w:fill="auto"/>
            <w:noWrap/>
            <w:vAlign w:val="bottom"/>
            <w:hideMark/>
          </w:tcPr>
          <w:p w14:paraId="3EBCC1EF" w14:textId="77777777" w:rsidR="00543BBE" w:rsidRPr="00543BBE" w:rsidRDefault="00543BBE" w:rsidP="00543BBE">
            <w:pPr>
              <w:jc w:val="center"/>
              <w:rPr>
                <w:rFonts w:eastAsia="Times New Roman"/>
                <w:sz w:val="20"/>
                <w:szCs w:val="20"/>
              </w:rPr>
            </w:pPr>
          </w:p>
        </w:tc>
        <w:tc>
          <w:tcPr>
            <w:tcW w:w="507" w:type="dxa"/>
            <w:tcBorders>
              <w:top w:val="nil"/>
              <w:left w:val="nil"/>
              <w:bottom w:val="nil"/>
              <w:right w:val="nil"/>
            </w:tcBorders>
            <w:shd w:val="clear" w:color="auto" w:fill="auto"/>
            <w:noWrap/>
            <w:vAlign w:val="bottom"/>
            <w:hideMark/>
          </w:tcPr>
          <w:p w14:paraId="6A68BDFF" w14:textId="77777777" w:rsidR="00543BBE" w:rsidRPr="00543BBE" w:rsidRDefault="00543BBE" w:rsidP="00543BBE">
            <w:pPr>
              <w:jc w:val="center"/>
              <w:rPr>
                <w:rFonts w:eastAsia="Times New Roman"/>
                <w:sz w:val="20"/>
                <w:szCs w:val="20"/>
              </w:rPr>
            </w:pPr>
          </w:p>
        </w:tc>
        <w:tc>
          <w:tcPr>
            <w:tcW w:w="1719" w:type="dxa"/>
            <w:tcBorders>
              <w:top w:val="nil"/>
              <w:left w:val="nil"/>
              <w:bottom w:val="nil"/>
              <w:right w:val="nil"/>
            </w:tcBorders>
            <w:shd w:val="clear" w:color="auto" w:fill="auto"/>
            <w:noWrap/>
            <w:vAlign w:val="bottom"/>
            <w:hideMark/>
          </w:tcPr>
          <w:p w14:paraId="4F4DC71D" w14:textId="77777777" w:rsidR="00543BBE" w:rsidRPr="00543BBE" w:rsidRDefault="00543BBE" w:rsidP="00543BBE">
            <w:pPr>
              <w:jc w:val="center"/>
              <w:rPr>
                <w:rFonts w:eastAsia="Times New Roman"/>
                <w:sz w:val="20"/>
                <w:szCs w:val="20"/>
              </w:rPr>
            </w:pPr>
          </w:p>
        </w:tc>
        <w:tc>
          <w:tcPr>
            <w:tcW w:w="489" w:type="dxa"/>
            <w:tcBorders>
              <w:top w:val="nil"/>
              <w:left w:val="nil"/>
              <w:bottom w:val="nil"/>
              <w:right w:val="nil"/>
            </w:tcBorders>
            <w:shd w:val="clear" w:color="auto" w:fill="auto"/>
            <w:noWrap/>
            <w:vAlign w:val="bottom"/>
            <w:hideMark/>
          </w:tcPr>
          <w:p w14:paraId="75DC7774" w14:textId="77777777" w:rsidR="00543BBE" w:rsidRPr="00543BBE" w:rsidRDefault="00543BBE" w:rsidP="00543BBE">
            <w:pPr>
              <w:jc w:val="center"/>
              <w:rPr>
                <w:rFonts w:eastAsia="Times New Roman"/>
                <w:sz w:val="20"/>
                <w:szCs w:val="20"/>
              </w:rPr>
            </w:pPr>
          </w:p>
        </w:tc>
        <w:tc>
          <w:tcPr>
            <w:tcW w:w="879" w:type="dxa"/>
            <w:tcBorders>
              <w:top w:val="nil"/>
              <w:left w:val="nil"/>
              <w:bottom w:val="single" w:sz="4" w:space="0" w:color="auto"/>
              <w:right w:val="nil"/>
            </w:tcBorders>
            <w:shd w:val="clear" w:color="auto" w:fill="auto"/>
            <w:noWrap/>
            <w:vAlign w:val="bottom"/>
            <w:hideMark/>
          </w:tcPr>
          <w:p w14:paraId="25DF87C4"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0B682FF7"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c>
          <w:tcPr>
            <w:tcW w:w="419" w:type="dxa"/>
            <w:tcBorders>
              <w:top w:val="nil"/>
              <w:left w:val="nil"/>
              <w:bottom w:val="nil"/>
              <w:right w:val="nil"/>
            </w:tcBorders>
            <w:shd w:val="clear" w:color="auto" w:fill="auto"/>
            <w:noWrap/>
            <w:vAlign w:val="bottom"/>
            <w:hideMark/>
          </w:tcPr>
          <w:p w14:paraId="3704CE54" w14:textId="77777777" w:rsidR="00543BBE" w:rsidRPr="00543BBE" w:rsidRDefault="00543BBE" w:rsidP="00543BBE">
            <w:pPr>
              <w:jc w:val="center"/>
              <w:rPr>
                <w:rFonts w:eastAsia="Times New Roman"/>
                <w:b/>
                <w:bCs/>
                <w:color w:val="000000"/>
                <w:sz w:val="22"/>
                <w:szCs w:val="22"/>
              </w:rPr>
            </w:pPr>
          </w:p>
        </w:tc>
        <w:tc>
          <w:tcPr>
            <w:tcW w:w="786" w:type="dxa"/>
            <w:tcBorders>
              <w:top w:val="nil"/>
              <w:left w:val="nil"/>
              <w:bottom w:val="single" w:sz="4" w:space="0" w:color="auto"/>
              <w:right w:val="nil"/>
            </w:tcBorders>
            <w:shd w:val="clear" w:color="auto" w:fill="auto"/>
            <w:noWrap/>
            <w:vAlign w:val="bottom"/>
            <w:hideMark/>
          </w:tcPr>
          <w:p w14:paraId="4E6C3DD0"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298C317A"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c>
          <w:tcPr>
            <w:tcW w:w="337" w:type="dxa"/>
            <w:tcBorders>
              <w:top w:val="nil"/>
              <w:left w:val="nil"/>
              <w:bottom w:val="nil"/>
              <w:right w:val="nil"/>
            </w:tcBorders>
            <w:shd w:val="clear" w:color="auto" w:fill="auto"/>
            <w:noWrap/>
            <w:vAlign w:val="bottom"/>
            <w:hideMark/>
          </w:tcPr>
          <w:p w14:paraId="0252D1CB" w14:textId="77777777" w:rsidR="00543BBE" w:rsidRPr="00543BBE" w:rsidRDefault="00543BBE" w:rsidP="00543BBE">
            <w:pPr>
              <w:jc w:val="center"/>
              <w:rPr>
                <w:rFonts w:eastAsia="Times New Roman"/>
                <w:b/>
                <w:bCs/>
                <w:color w:val="000000"/>
                <w:sz w:val="22"/>
                <w:szCs w:val="22"/>
              </w:rPr>
            </w:pPr>
          </w:p>
        </w:tc>
        <w:tc>
          <w:tcPr>
            <w:tcW w:w="786" w:type="dxa"/>
            <w:tcBorders>
              <w:top w:val="nil"/>
              <w:left w:val="nil"/>
              <w:bottom w:val="single" w:sz="4" w:space="0" w:color="auto"/>
              <w:right w:val="nil"/>
            </w:tcBorders>
            <w:shd w:val="clear" w:color="auto" w:fill="auto"/>
            <w:noWrap/>
            <w:vAlign w:val="bottom"/>
            <w:hideMark/>
          </w:tcPr>
          <w:p w14:paraId="3E46FC43"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Mean</w:t>
            </w:r>
          </w:p>
        </w:tc>
        <w:tc>
          <w:tcPr>
            <w:tcW w:w="1039" w:type="dxa"/>
            <w:tcBorders>
              <w:top w:val="nil"/>
              <w:left w:val="nil"/>
              <w:bottom w:val="single" w:sz="4" w:space="0" w:color="auto"/>
              <w:right w:val="nil"/>
            </w:tcBorders>
            <w:shd w:val="clear" w:color="auto" w:fill="auto"/>
            <w:noWrap/>
            <w:vAlign w:val="bottom"/>
            <w:hideMark/>
          </w:tcPr>
          <w:p w14:paraId="444873ED" w14:textId="77777777" w:rsidR="00543BBE" w:rsidRPr="00543BBE" w:rsidRDefault="00543BBE" w:rsidP="00543BBE">
            <w:pPr>
              <w:jc w:val="center"/>
              <w:rPr>
                <w:rFonts w:eastAsia="Times New Roman"/>
                <w:b/>
                <w:bCs/>
                <w:color w:val="000000"/>
                <w:sz w:val="22"/>
                <w:szCs w:val="22"/>
              </w:rPr>
            </w:pPr>
            <w:r w:rsidRPr="00543BBE">
              <w:rPr>
                <w:rFonts w:eastAsia="Times New Roman"/>
                <w:b/>
                <w:bCs/>
                <w:color w:val="000000"/>
                <w:sz w:val="22"/>
                <w:szCs w:val="22"/>
              </w:rPr>
              <w:t>Median</w:t>
            </w:r>
          </w:p>
        </w:tc>
      </w:tr>
      <w:tr w:rsidR="00543BBE" w:rsidRPr="00543BBE" w14:paraId="28340354" w14:textId="77777777" w:rsidTr="00543BBE">
        <w:trPr>
          <w:trHeight w:val="300"/>
        </w:trPr>
        <w:tc>
          <w:tcPr>
            <w:tcW w:w="2523" w:type="dxa"/>
            <w:tcBorders>
              <w:top w:val="nil"/>
              <w:left w:val="nil"/>
              <w:bottom w:val="nil"/>
              <w:right w:val="nil"/>
            </w:tcBorders>
            <w:shd w:val="clear" w:color="auto" w:fill="auto"/>
            <w:vAlign w:val="center"/>
            <w:hideMark/>
          </w:tcPr>
          <w:p w14:paraId="130BBDD3" w14:textId="48A838CE" w:rsidR="00543BBE" w:rsidRPr="00543BBE" w:rsidRDefault="00A7059E" w:rsidP="00543BBE">
            <w:pPr>
              <w:rPr>
                <w:rFonts w:eastAsia="Times New Roman"/>
                <w:color w:val="000000"/>
                <w:sz w:val="22"/>
                <w:szCs w:val="22"/>
              </w:rPr>
            </w:pPr>
            <w:r>
              <w:rPr>
                <w:rFonts w:eastAsia="Times New Roman"/>
                <w:color w:val="000000"/>
                <w:sz w:val="22"/>
                <w:szCs w:val="22"/>
              </w:rPr>
              <w:t>Financial crisis = 0</w:t>
            </w:r>
          </w:p>
        </w:tc>
        <w:tc>
          <w:tcPr>
            <w:tcW w:w="271" w:type="dxa"/>
            <w:tcBorders>
              <w:top w:val="nil"/>
              <w:left w:val="nil"/>
              <w:bottom w:val="nil"/>
              <w:right w:val="nil"/>
            </w:tcBorders>
            <w:shd w:val="clear" w:color="auto" w:fill="auto"/>
            <w:noWrap/>
            <w:vAlign w:val="center"/>
            <w:hideMark/>
          </w:tcPr>
          <w:p w14:paraId="447E0312" w14:textId="77777777" w:rsidR="00543BBE" w:rsidRPr="00543BBE" w:rsidRDefault="00543BBE" w:rsidP="00543BBE">
            <w:pPr>
              <w:rPr>
                <w:rFonts w:eastAsia="Times New Roman"/>
                <w:color w:val="000000"/>
                <w:sz w:val="22"/>
                <w:szCs w:val="22"/>
              </w:rPr>
            </w:pPr>
          </w:p>
        </w:tc>
        <w:tc>
          <w:tcPr>
            <w:tcW w:w="2569" w:type="dxa"/>
            <w:gridSpan w:val="4"/>
            <w:tcBorders>
              <w:top w:val="nil"/>
              <w:left w:val="nil"/>
              <w:bottom w:val="nil"/>
              <w:right w:val="nil"/>
            </w:tcBorders>
            <w:shd w:val="clear" w:color="auto" w:fill="auto"/>
            <w:noWrap/>
            <w:vAlign w:val="center"/>
            <w:hideMark/>
          </w:tcPr>
          <w:p w14:paraId="3148A4F4" w14:textId="7292E0A7" w:rsidR="00543BBE" w:rsidRPr="00543BBE" w:rsidRDefault="00A7059E" w:rsidP="00543BBE">
            <w:pPr>
              <w:jc w:val="center"/>
              <w:rPr>
                <w:rFonts w:eastAsia="Times New Roman"/>
                <w:color w:val="000000"/>
                <w:sz w:val="22"/>
                <w:szCs w:val="22"/>
              </w:rPr>
            </w:pPr>
            <w:r>
              <w:rPr>
                <w:rFonts w:eastAsia="Times New Roman"/>
                <w:color w:val="000000"/>
                <w:sz w:val="22"/>
                <w:szCs w:val="22"/>
              </w:rPr>
              <w:t>338</w:t>
            </w:r>
          </w:p>
        </w:tc>
        <w:tc>
          <w:tcPr>
            <w:tcW w:w="1719" w:type="dxa"/>
            <w:tcBorders>
              <w:top w:val="nil"/>
              <w:left w:val="nil"/>
              <w:bottom w:val="nil"/>
              <w:right w:val="nil"/>
            </w:tcBorders>
            <w:shd w:val="clear" w:color="auto" w:fill="auto"/>
            <w:noWrap/>
            <w:vAlign w:val="bottom"/>
            <w:hideMark/>
          </w:tcPr>
          <w:p w14:paraId="4AECEF32" w14:textId="77777777" w:rsidR="00543BBE" w:rsidRPr="00543BBE" w:rsidRDefault="00543BBE" w:rsidP="00543BBE">
            <w:pPr>
              <w:jc w:val="center"/>
              <w:rPr>
                <w:rFonts w:eastAsia="Times New Roman"/>
                <w:color w:val="000000"/>
                <w:sz w:val="22"/>
                <w:szCs w:val="22"/>
              </w:rPr>
            </w:pPr>
          </w:p>
        </w:tc>
        <w:tc>
          <w:tcPr>
            <w:tcW w:w="489" w:type="dxa"/>
            <w:tcBorders>
              <w:top w:val="nil"/>
              <w:left w:val="nil"/>
              <w:bottom w:val="nil"/>
              <w:right w:val="nil"/>
            </w:tcBorders>
            <w:shd w:val="clear" w:color="auto" w:fill="auto"/>
            <w:noWrap/>
            <w:vAlign w:val="bottom"/>
            <w:hideMark/>
          </w:tcPr>
          <w:p w14:paraId="7EA120BC" w14:textId="77777777" w:rsidR="00543BBE" w:rsidRPr="00543BBE" w:rsidRDefault="00543BBE" w:rsidP="00543BBE">
            <w:pPr>
              <w:jc w:val="center"/>
              <w:rPr>
                <w:rFonts w:eastAsia="Times New Roman"/>
                <w:sz w:val="20"/>
                <w:szCs w:val="20"/>
              </w:rPr>
            </w:pPr>
          </w:p>
        </w:tc>
        <w:tc>
          <w:tcPr>
            <w:tcW w:w="879" w:type="dxa"/>
            <w:tcBorders>
              <w:top w:val="nil"/>
              <w:left w:val="nil"/>
              <w:bottom w:val="nil"/>
              <w:right w:val="nil"/>
            </w:tcBorders>
            <w:shd w:val="clear" w:color="auto" w:fill="auto"/>
            <w:noWrap/>
            <w:vAlign w:val="center"/>
            <w:hideMark/>
          </w:tcPr>
          <w:p w14:paraId="0671C8C2" w14:textId="51B0C46E" w:rsidR="00543BBE" w:rsidRPr="00543BBE" w:rsidRDefault="00A7059E" w:rsidP="00543BBE">
            <w:pPr>
              <w:jc w:val="center"/>
              <w:rPr>
                <w:rFonts w:eastAsia="Times New Roman"/>
                <w:color w:val="000000"/>
                <w:sz w:val="22"/>
                <w:szCs w:val="22"/>
              </w:rPr>
            </w:pPr>
            <w:r>
              <w:rPr>
                <w:rFonts w:eastAsia="Times New Roman"/>
                <w:color w:val="000000"/>
                <w:sz w:val="22"/>
                <w:szCs w:val="22"/>
              </w:rPr>
              <w:t>159.76</w:t>
            </w:r>
          </w:p>
        </w:tc>
        <w:tc>
          <w:tcPr>
            <w:tcW w:w="1039" w:type="dxa"/>
            <w:tcBorders>
              <w:top w:val="nil"/>
              <w:left w:val="nil"/>
              <w:bottom w:val="nil"/>
              <w:right w:val="nil"/>
            </w:tcBorders>
            <w:shd w:val="clear" w:color="auto" w:fill="auto"/>
            <w:noWrap/>
            <w:vAlign w:val="center"/>
            <w:hideMark/>
          </w:tcPr>
          <w:p w14:paraId="562F62B6" w14:textId="28406F9C" w:rsidR="00543BBE" w:rsidRPr="00543BBE" w:rsidRDefault="00A7059E" w:rsidP="00543BBE">
            <w:pPr>
              <w:jc w:val="center"/>
              <w:rPr>
                <w:rFonts w:eastAsia="Times New Roman"/>
                <w:color w:val="000000"/>
                <w:sz w:val="22"/>
                <w:szCs w:val="22"/>
              </w:rPr>
            </w:pPr>
            <w:r>
              <w:rPr>
                <w:rFonts w:eastAsia="Times New Roman"/>
                <w:color w:val="000000"/>
                <w:sz w:val="22"/>
                <w:szCs w:val="22"/>
              </w:rPr>
              <w:t>111</w:t>
            </w:r>
          </w:p>
        </w:tc>
        <w:tc>
          <w:tcPr>
            <w:tcW w:w="419" w:type="dxa"/>
            <w:tcBorders>
              <w:top w:val="nil"/>
              <w:left w:val="nil"/>
              <w:bottom w:val="nil"/>
              <w:right w:val="nil"/>
            </w:tcBorders>
            <w:shd w:val="clear" w:color="auto" w:fill="auto"/>
            <w:noWrap/>
            <w:vAlign w:val="center"/>
            <w:hideMark/>
          </w:tcPr>
          <w:p w14:paraId="72EACEB5"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3508F9DA" w14:textId="0E2C8E10" w:rsidR="00543BBE" w:rsidRPr="00543BBE" w:rsidRDefault="00A7059E" w:rsidP="00543BBE">
            <w:pPr>
              <w:jc w:val="center"/>
              <w:rPr>
                <w:rFonts w:eastAsia="Times New Roman"/>
                <w:color w:val="000000"/>
                <w:sz w:val="22"/>
                <w:szCs w:val="22"/>
              </w:rPr>
            </w:pPr>
            <w:r>
              <w:rPr>
                <w:rFonts w:eastAsia="Times New Roman"/>
                <w:color w:val="000000"/>
                <w:sz w:val="22"/>
                <w:szCs w:val="22"/>
              </w:rPr>
              <w:t>3.66</w:t>
            </w:r>
          </w:p>
        </w:tc>
        <w:tc>
          <w:tcPr>
            <w:tcW w:w="1039" w:type="dxa"/>
            <w:tcBorders>
              <w:top w:val="nil"/>
              <w:left w:val="nil"/>
              <w:bottom w:val="nil"/>
              <w:right w:val="nil"/>
            </w:tcBorders>
            <w:shd w:val="clear" w:color="auto" w:fill="auto"/>
            <w:noWrap/>
            <w:vAlign w:val="center"/>
            <w:hideMark/>
          </w:tcPr>
          <w:p w14:paraId="34660307" w14:textId="13B13772" w:rsidR="00543BBE" w:rsidRPr="00543BBE" w:rsidRDefault="00A7059E" w:rsidP="00543BBE">
            <w:pPr>
              <w:jc w:val="center"/>
              <w:rPr>
                <w:rFonts w:eastAsia="Times New Roman"/>
                <w:color w:val="000000"/>
                <w:sz w:val="22"/>
                <w:szCs w:val="22"/>
              </w:rPr>
            </w:pPr>
            <w:r>
              <w:rPr>
                <w:rFonts w:eastAsia="Times New Roman"/>
                <w:color w:val="000000"/>
                <w:sz w:val="22"/>
                <w:szCs w:val="22"/>
              </w:rPr>
              <w:t>3</w:t>
            </w:r>
          </w:p>
        </w:tc>
        <w:tc>
          <w:tcPr>
            <w:tcW w:w="337" w:type="dxa"/>
            <w:tcBorders>
              <w:top w:val="nil"/>
              <w:left w:val="nil"/>
              <w:bottom w:val="nil"/>
              <w:right w:val="nil"/>
            </w:tcBorders>
            <w:shd w:val="clear" w:color="auto" w:fill="auto"/>
            <w:noWrap/>
            <w:vAlign w:val="center"/>
            <w:hideMark/>
          </w:tcPr>
          <w:p w14:paraId="488EED6C"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2E3725D2" w14:textId="063B0100" w:rsidR="00543BBE" w:rsidRPr="00543BBE" w:rsidRDefault="00B83248" w:rsidP="00543BBE">
            <w:pPr>
              <w:jc w:val="center"/>
              <w:rPr>
                <w:rFonts w:eastAsia="Times New Roman"/>
                <w:color w:val="000000"/>
                <w:sz w:val="22"/>
                <w:szCs w:val="22"/>
              </w:rPr>
            </w:pPr>
            <w:r>
              <w:rPr>
                <w:rFonts w:eastAsia="Times New Roman"/>
                <w:color w:val="000000"/>
                <w:sz w:val="22"/>
                <w:szCs w:val="22"/>
              </w:rPr>
              <w:t>44.72</w:t>
            </w:r>
          </w:p>
        </w:tc>
        <w:tc>
          <w:tcPr>
            <w:tcW w:w="1039" w:type="dxa"/>
            <w:tcBorders>
              <w:top w:val="nil"/>
              <w:left w:val="nil"/>
              <w:bottom w:val="nil"/>
              <w:right w:val="nil"/>
            </w:tcBorders>
            <w:shd w:val="clear" w:color="auto" w:fill="auto"/>
            <w:noWrap/>
            <w:vAlign w:val="center"/>
            <w:hideMark/>
          </w:tcPr>
          <w:p w14:paraId="14B2BE1C" w14:textId="6977481A" w:rsidR="00543BBE" w:rsidRPr="00543BBE" w:rsidRDefault="00B83248" w:rsidP="00543BBE">
            <w:pPr>
              <w:jc w:val="center"/>
              <w:rPr>
                <w:rFonts w:eastAsia="Times New Roman"/>
                <w:color w:val="000000"/>
                <w:sz w:val="22"/>
                <w:szCs w:val="22"/>
              </w:rPr>
            </w:pPr>
            <w:r>
              <w:rPr>
                <w:rFonts w:eastAsia="Times New Roman"/>
                <w:color w:val="000000"/>
                <w:sz w:val="22"/>
                <w:szCs w:val="22"/>
              </w:rPr>
              <w:t>47</w:t>
            </w:r>
          </w:p>
        </w:tc>
      </w:tr>
      <w:tr w:rsidR="00543BBE" w:rsidRPr="00543BBE" w14:paraId="0A3D6548" w14:textId="77777777" w:rsidTr="00543BBE">
        <w:trPr>
          <w:trHeight w:val="300"/>
        </w:trPr>
        <w:tc>
          <w:tcPr>
            <w:tcW w:w="2523" w:type="dxa"/>
            <w:tcBorders>
              <w:top w:val="nil"/>
              <w:left w:val="nil"/>
              <w:bottom w:val="nil"/>
              <w:right w:val="nil"/>
            </w:tcBorders>
            <w:shd w:val="clear" w:color="auto" w:fill="auto"/>
            <w:vAlign w:val="center"/>
            <w:hideMark/>
          </w:tcPr>
          <w:p w14:paraId="6E70681B" w14:textId="2871200F" w:rsidR="00543BBE" w:rsidRPr="00543BBE" w:rsidRDefault="00A7059E" w:rsidP="00543BBE">
            <w:pPr>
              <w:rPr>
                <w:rFonts w:eastAsia="Times New Roman"/>
                <w:color w:val="000000"/>
                <w:sz w:val="22"/>
                <w:szCs w:val="22"/>
              </w:rPr>
            </w:pPr>
            <w:r>
              <w:rPr>
                <w:rFonts w:eastAsia="Times New Roman"/>
                <w:color w:val="000000"/>
                <w:sz w:val="22"/>
                <w:szCs w:val="22"/>
              </w:rPr>
              <w:t>Financial crisis = 1</w:t>
            </w:r>
          </w:p>
        </w:tc>
        <w:tc>
          <w:tcPr>
            <w:tcW w:w="271" w:type="dxa"/>
            <w:tcBorders>
              <w:top w:val="nil"/>
              <w:left w:val="nil"/>
              <w:bottom w:val="nil"/>
              <w:right w:val="nil"/>
            </w:tcBorders>
            <w:shd w:val="clear" w:color="auto" w:fill="auto"/>
            <w:noWrap/>
            <w:vAlign w:val="center"/>
            <w:hideMark/>
          </w:tcPr>
          <w:p w14:paraId="6956D5A8" w14:textId="77777777" w:rsidR="00543BBE" w:rsidRPr="00543BBE" w:rsidRDefault="00543BBE" w:rsidP="00543BBE">
            <w:pPr>
              <w:rPr>
                <w:rFonts w:eastAsia="Times New Roman"/>
                <w:color w:val="000000"/>
                <w:sz w:val="22"/>
                <w:szCs w:val="22"/>
              </w:rPr>
            </w:pPr>
          </w:p>
        </w:tc>
        <w:tc>
          <w:tcPr>
            <w:tcW w:w="2569" w:type="dxa"/>
            <w:gridSpan w:val="4"/>
            <w:tcBorders>
              <w:top w:val="nil"/>
              <w:left w:val="nil"/>
              <w:bottom w:val="nil"/>
              <w:right w:val="nil"/>
            </w:tcBorders>
            <w:shd w:val="clear" w:color="auto" w:fill="auto"/>
            <w:noWrap/>
            <w:vAlign w:val="center"/>
            <w:hideMark/>
          </w:tcPr>
          <w:p w14:paraId="434F85FE" w14:textId="453BF308" w:rsidR="00543BBE" w:rsidRPr="00543BBE" w:rsidRDefault="00A7059E" w:rsidP="00543BBE">
            <w:pPr>
              <w:jc w:val="center"/>
              <w:rPr>
                <w:rFonts w:eastAsia="Times New Roman"/>
                <w:color w:val="000000"/>
                <w:sz w:val="22"/>
                <w:szCs w:val="22"/>
              </w:rPr>
            </w:pPr>
            <w:r>
              <w:rPr>
                <w:rFonts w:eastAsia="Times New Roman"/>
                <w:color w:val="000000"/>
                <w:sz w:val="22"/>
                <w:szCs w:val="22"/>
              </w:rPr>
              <w:t>60</w:t>
            </w:r>
          </w:p>
        </w:tc>
        <w:tc>
          <w:tcPr>
            <w:tcW w:w="1719" w:type="dxa"/>
            <w:tcBorders>
              <w:top w:val="nil"/>
              <w:left w:val="nil"/>
              <w:bottom w:val="nil"/>
              <w:right w:val="nil"/>
            </w:tcBorders>
            <w:shd w:val="clear" w:color="auto" w:fill="auto"/>
            <w:noWrap/>
            <w:vAlign w:val="bottom"/>
            <w:hideMark/>
          </w:tcPr>
          <w:p w14:paraId="5CD433B1" w14:textId="77777777" w:rsidR="00543BBE" w:rsidRPr="00543BBE" w:rsidRDefault="00543BBE" w:rsidP="00543BBE">
            <w:pPr>
              <w:jc w:val="center"/>
              <w:rPr>
                <w:rFonts w:eastAsia="Times New Roman"/>
                <w:color w:val="000000"/>
                <w:sz w:val="22"/>
                <w:szCs w:val="22"/>
              </w:rPr>
            </w:pPr>
          </w:p>
        </w:tc>
        <w:tc>
          <w:tcPr>
            <w:tcW w:w="489" w:type="dxa"/>
            <w:tcBorders>
              <w:top w:val="nil"/>
              <w:left w:val="nil"/>
              <w:bottom w:val="nil"/>
              <w:right w:val="nil"/>
            </w:tcBorders>
            <w:shd w:val="clear" w:color="auto" w:fill="auto"/>
            <w:noWrap/>
            <w:vAlign w:val="bottom"/>
            <w:hideMark/>
          </w:tcPr>
          <w:p w14:paraId="53D00602" w14:textId="77777777" w:rsidR="00543BBE" w:rsidRPr="00543BBE" w:rsidRDefault="00543BBE" w:rsidP="00543BBE">
            <w:pPr>
              <w:jc w:val="center"/>
              <w:rPr>
                <w:rFonts w:eastAsia="Times New Roman"/>
                <w:sz w:val="20"/>
                <w:szCs w:val="20"/>
              </w:rPr>
            </w:pPr>
          </w:p>
        </w:tc>
        <w:tc>
          <w:tcPr>
            <w:tcW w:w="879" w:type="dxa"/>
            <w:tcBorders>
              <w:top w:val="nil"/>
              <w:left w:val="nil"/>
              <w:bottom w:val="nil"/>
              <w:right w:val="nil"/>
            </w:tcBorders>
            <w:shd w:val="clear" w:color="auto" w:fill="auto"/>
            <w:noWrap/>
            <w:vAlign w:val="center"/>
            <w:hideMark/>
          </w:tcPr>
          <w:p w14:paraId="6E836C77" w14:textId="47518D64" w:rsidR="00543BBE" w:rsidRPr="00543BBE" w:rsidRDefault="00A7059E" w:rsidP="00543BBE">
            <w:pPr>
              <w:jc w:val="center"/>
              <w:rPr>
                <w:rFonts w:eastAsia="Times New Roman"/>
                <w:color w:val="000000"/>
                <w:sz w:val="22"/>
                <w:szCs w:val="22"/>
              </w:rPr>
            </w:pPr>
            <w:r>
              <w:rPr>
                <w:rFonts w:eastAsia="Times New Roman"/>
                <w:color w:val="000000"/>
                <w:sz w:val="22"/>
                <w:szCs w:val="22"/>
              </w:rPr>
              <w:t>233.88</w:t>
            </w:r>
          </w:p>
        </w:tc>
        <w:tc>
          <w:tcPr>
            <w:tcW w:w="1039" w:type="dxa"/>
            <w:tcBorders>
              <w:top w:val="nil"/>
              <w:left w:val="nil"/>
              <w:bottom w:val="nil"/>
              <w:right w:val="nil"/>
            </w:tcBorders>
            <w:shd w:val="clear" w:color="auto" w:fill="auto"/>
            <w:noWrap/>
            <w:vAlign w:val="center"/>
            <w:hideMark/>
          </w:tcPr>
          <w:p w14:paraId="42E50718" w14:textId="629DF577" w:rsidR="00543BBE" w:rsidRPr="00543BBE" w:rsidRDefault="00A7059E" w:rsidP="00543BBE">
            <w:pPr>
              <w:jc w:val="center"/>
              <w:rPr>
                <w:rFonts w:eastAsia="Times New Roman"/>
                <w:color w:val="000000"/>
                <w:sz w:val="22"/>
                <w:szCs w:val="22"/>
              </w:rPr>
            </w:pPr>
            <w:r>
              <w:rPr>
                <w:rFonts w:eastAsia="Times New Roman"/>
                <w:color w:val="000000"/>
                <w:sz w:val="22"/>
                <w:szCs w:val="22"/>
              </w:rPr>
              <w:t>124</w:t>
            </w:r>
          </w:p>
        </w:tc>
        <w:tc>
          <w:tcPr>
            <w:tcW w:w="419" w:type="dxa"/>
            <w:tcBorders>
              <w:top w:val="nil"/>
              <w:left w:val="nil"/>
              <w:bottom w:val="nil"/>
              <w:right w:val="nil"/>
            </w:tcBorders>
            <w:shd w:val="clear" w:color="auto" w:fill="auto"/>
            <w:noWrap/>
            <w:vAlign w:val="center"/>
            <w:hideMark/>
          </w:tcPr>
          <w:p w14:paraId="674DF2EA"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346CFAFD" w14:textId="048E499D" w:rsidR="00543BBE" w:rsidRPr="00543BBE" w:rsidRDefault="00A7059E" w:rsidP="00543BBE">
            <w:pPr>
              <w:jc w:val="center"/>
              <w:rPr>
                <w:rFonts w:eastAsia="Times New Roman"/>
                <w:color w:val="000000"/>
                <w:sz w:val="22"/>
                <w:szCs w:val="22"/>
              </w:rPr>
            </w:pPr>
            <w:r>
              <w:rPr>
                <w:rFonts w:eastAsia="Times New Roman"/>
                <w:color w:val="000000"/>
                <w:sz w:val="22"/>
                <w:szCs w:val="22"/>
              </w:rPr>
              <w:t>4.30</w:t>
            </w:r>
          </w:p>
        </w:tc>
        <w:tc>
          <w:tcPr>
            <w:tcW w:w="1039" w:type="dxa"/>
            <w:tcBorders>
              <w:top w:val="nil"/>
              <w:left w:val="nil"/>
              <w:bottom w:val="nil"/>
              <w:right w:val="nil"/>
            </w:tcBorders>
            <w:shd w:val="clear" w:color="auto" w:fill="auto"/>
            <w:noWrap/>
            <w:vAlign w:val="center"/>
            <w:hideMark/>
          </w:tcPr>
          <w:p w14:paraId="53E578AD"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w:t>
            </w:r>
          </w:p>
        </w:tc>
        <w:tc>
          <w:tcPr>
            <w:tcW w:w="337" w:type="dxa"/>
            <w:tcBorders>
              <w:top w:val="nil"/>
              <w:left w:val="nil"/>
              <w:bottom w:val="nil"/>
              <w:right w:val="nil"/>
            </w:tcBorders>
            <w:shd w:val="clear" w:color="auto" w:fill="auto"/>
            <w:noWrap/>
            <w:vAlign w:val="center"/>
            <w:hideMark/>
          </w:tcPr>
          <w:p w14:paraId="25536A9A" w14:textId="77777777" w:rsidR="00543BBE" w:rsidRPr="00543BBE" w:rsidRDefault="00543BBE" w:rsidP="00543BBE">
            <w:pPr>
              <w:jc w:val="center"/>
              <w:rPr>
                <w:rFonts w:eastAsia="Times New Roman"/>
                <w:color w:val="000000"/>
                <w:sz w:val="22"/>
                <w:szCs w:val="22"/>
              </w:rPr>
            </w:pPr>
          </w:p>
        </w:tc>
        <w:tc>
          <w:tcPr>
            <w:tcW w:w="786" w:type="dxa"/>
            <w:tcBorders>
              <w:top w:val="nil"/>
              <w:left w:val="nil"/>
              <w:bottom w:val="nil"/>
              <w:right w:val="nil"/>
            </w:tcBorders>
            <w:shd w:val="clear" w:color="auto" w:fill="auto"/>
            <w:noWrap/>
            <w:vAlign w:val="center"/>
            <w:hideMark/>
          </w:tcPr>
          <w:p w14:paraId="0C2D630D" w14:textId="1A278EE5" w:rsidR="00543BBE" w:rsidRPr="00543BBE" w:rsidRDefault="00B83248" w:rsidP="00543BBE">
            <w:pPr>
              <w:jc w:val="center"/>
              <w:rPr>
                <w:rFonts w:eastAsia="Times New Roman"/>
                <w:color w:val="000000"/>
                <w:sz w:val="22"/>
                <w:szCs w:val="22"/>
              </w:rPr>
            </w:pPr>
            <w:r>
              <w:rPr>
                <w:rFonts w:eastAsia="Times New Roman"/>
                <w:color w:val="000000"/>
                <w:sz w:val="22"/>
                <w:szCs w:val="22"/>
              </w:rPr>
              <w:t>41.50</w:t>
            </w:r>
          </w:p>
        </w:tc>
        <w:tc>
          <w:tcPr>
            <w:tcW w:w="1039" w:type="dxa"/>
            <w:tcBorders>
              <w:top w:val="nil"/>
              <w:left w:val="nil"/>
              <w:bottom w:val="nil"/>
              <w:right w:val="nil"/>
            </w:tcBorders>
            <w:shd w:val="clear" w:color="auto" w:fill="auto"/>
            <w:noWrap/>
            <w:vAlign w:val="center"/>
            <w:hideMark/>
          </w:tcPr>
          <w:p w14:paraId="443D99AD" w14:textId="408C8197" w:rsidR="00543BBE" w:rsidRPr="00543BBE" w:rsidRDefault="00B83248" w:rsidP="00543BBE">
            <w:pPr>
              <w:jc w:val="center"/>
              <w:rPr>
                <w:rFonts w:eastAsia="Times New Roman"/>
                <w:color w:val="000000"/>
                <w:sz w:val="22"/>
                <w:szCs w:val="22"/>
              </w:rPr>
            </w:pPr>
            <w:r>
              <w:rPr>
                <w:rFonts w:eastAsia="Times New Roman"/>
                <w:color w:val="000000"/>
                <w:sz w:val="22"/>
                <w:szCs w:val="22"/>
              </w:rPr>
              <w:t>39</w:t>
            </w:r>
          </w:p>
        </w:tc>
      </w:tr>
      <w:tr w:rsidR="00543BBE" w:rsidRPr="00543BBE" w14:paraId="53723B6C" w14:textId="77777777" w:rsidTr="00543BBE">
        <w:trPr>
          <w:trHeight w:val="600"/>
        </w:trPr>
        <w:tc>
          <w:tcPr>
            <w:tcW w:w="2523" w:type="dxa"/>
            <w:tcBorders>
              <w:top w:val="nil"/>
              <w:left w:val="nil"/>
              <w:right w:val="nil"/>
            </w:tcBorders>
            <w:shd w:val="clear" w:color="auto" w:fill="auto"/>
            <w:vAlign w:val="center"/>
            <w:hideMark/>
          </w:tcPr>
          <w:p w14:paraId="12FDA653" w14:textId="6A3A2B0E" w:rsidR="00543BBE" w:rsidRPr="00543BBE" w:rsidRDefault="00A7059E" w:rsidP="00543BBE">
            <w:pPr>
              <w:rPr>
                <w:rFonts w:eastAsia="Times New Roman"/>
                <w:color w:val="000000"/>
                <w:sz w:val="22"/>
                <w:szCs w:val="22"/>
              </w:rPr>
            </w:pPr>
            <w:r w:rsidRPr="00543BBE">
              <w:rPr>
                <w:rFonts w:eastAsia="Times New Roman"/>
                <w:color w:val="000000"/>
                <w:sz w:val="22"/>
                <w:szCs w:val="22"/>
              </w:rPr>
              <w:t>t test (mean)/</w:t>
            </w:r>
            <w:r w:rsidRPr="00543BBE">
              <w:rPr>
                <w:rFonts w:eastAsia="Times New Roman"/>
                <w:color w:val="000000"/>
              </w:rPr>
              <w:t xml:space="preserve"> </w:t>
            </w:r>
            <w:r w:rsidRPr="00543BBE">
              <w:rPr>
                <w:rFonts w:eastAsia="Times New Roman"/>
                <w:color w:val="000000"/>
                <w:sz w:val="22"/>
                <w:szCs w:val="22"/>
              </w:rPr>
              <w:t>Wilcoxon rank-sum test (median)</w:t>
            </w:r>
          </w:p>
        </w:tc>
        <w:tc>
          <w:tcPr>
            <w:tcW w:w="271" w:type="dxa"/>
            <w:tcBorders>
              <w:top w:val="nil"/>
              <w:left w:val="nil"/>
              <w:right w:val="nil"/>
            </w:tcBorders>
            <w:shd w:val="clear" w:color="auto" w:fill="auto"/>
            <w:noWrap/>
            <w:vAlign w:val="center"/>
            <w:hideMark/>
          </w:tcPr>
          <w:p w14:paraId="27E27FDE" w14:textId="77777777" w:rsidR="00543BBE" w:rsidRPr="00543BBE" w:rsidRDefault="00543BBE" w:rsidP="00543BBE">
            <w:pPr>
              <w:rPr>
                <w:rFonts w:eastAsia="Times New Roman"/>
                <w:color w:val="000000"/>
                <w:sz w:val="22"/>
                <w:szCs w:val="22"/>
              </w:rPr>
            </w:pPr>
          </w:p>
        </w:tc>
        <w:tc>
          <w:tcPr>
            <w:tcW w:w="2569" w:type="dxa"/>
            <w:gridSpan w:val="4"/>
            <w:tcBorders>
              <w:top w:val="nil"/>
              <w:left w:val="nil"/>
              <w:right w:val="nil"/>
            </w:tcBorders>
            <w:shd w:val="clear" w:color="auto" w:fill="auto"/>
            <w:noWrap/>
            <w:vAlign w:val="center"/>
            <w:hideMark/>
          </w:tcPr>
          <w:p w14:paraId="37502697" w14:textId="77777777" w:rsidR="00543BBE" w:rsidRPr="00543BBE" w:rsidRDefault="00543BBE" w:rsidP="00543BBE">
            <w:pPr>
              <w:rPr>
                <w:rFonts w:eastAsia="Times New Roman"/>
                <w:sz w:val="20"/>
                <w:szCs w:val="20"/>
              </w:rPr>
            </w:pPr>
          </w:p>
        </w:tc>
        <w:tc>
          <w:tcPr>
            <w:tcW w:w="1719" w:type="dxa"/>
            <w:tcBorders>
              <w:top w:val="nil"/>
              <w:left w:val="nil"/>
              <w:right w:val="nil"/>
            </w:tcBorders>
            <w:shd w:val="clear" w:color="auto" w:fill="auto"/>
            <w:noWrap/>
            <w:vAlign w:val="bottom"/>
            <w:hideMark/>
          </w:tcPr>
          <w:p w14:paraId="18E53883" w14:textId="77777777" w:rsidR="00543BBE" w:rsidRPr="00543BBE" w:rsidRDefault="00543BBE" w:rsidP="00543BBE">
            <w:pPr>
              <w:jc w:val="center"/>
              <w:rPr>
                <w:rFonts w:eastAsia="Times New Roman"/>
                <w:sz w:val="20"/>
                <w:szCs w:val="20"/>
              </w:rPr>
            </w:pPr>
          </w:p>
        </w:tc>
        <w:tc>
          <w:tcPr>
            <w:tcW w:w="489" w:type="dxa"/>
            <w:tcBorders>
              <w:top w:val="nil"/>
              <w:left w:val="nil"/>
              <w:right w:val="nil"/>
            </w:tcBorders>
            <w:shd w:val="clear" w:color="auto" w:fill="auto"/>
            <w:noWrap/>
            <w:vAlign w:val="bottom"/>
            <w:hideMark/>
          </w:tcPr>
          <w:p w14:paraId="2CB5C246" w14:textId="77777777" w:rsidR="00543BBE" w:rsidRPr="00543BBE" w:rsidRDefault="00543BBE" w:rsidP="00543BBE">
            <w:pPr>
              <w:jc w:val="center"/>
              <w:rPr>
                <w:rFonts w:eastAsia="Times New Roman"/>
                <w:sz w:val="20"/>
                <w:szCs w:val="20"/>
              </w:rPr>
            </w:pPr>
          </w:p>
        </w:tc>
        <w:tc>
          <w:tcPr>
            <w:tcW w:w="879" w:type="dxa"/>
            <w:tcBorders>
              <w:top w:val="nil"/>
              <w:left w:val="nil"/>
              <w:right w:val="nil"/>
            </w:tcBorders>
            <w:shd w:val="clear" w:color="auto" w:fill="auto"/>
            <w:noWrap/>
            <w:vAlign w:val="center"/>
            <w:hideMark/>
          </w:tcPr>
          <w:p w14:paraId="53EAB23F" w14:textId="5B21A81E"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w:t>
            </w:r>
            <w:r w:rsidR="00A7059E">
              <w:rPr>
                <w:rFonts w:eastAsia="Times New Roman"/>
                <w:color w:val="000000"/>
                <w:sz w:val="22"/>
                <w:szCs w:val="22"/>
              </w:rPr>
              <w:t>.00</w:t>
            </w:r>
          </w:p>
        </w:tc>
        <w:tc>
          <w:tcPr>
            <w:tcW w:w="1039" w:type="dxa"/>
            <w:tcBorders>
              <w:top w:val="nil"/>
              <w:left w:val="nil"/>
              <w:right w:val="nil"/>
            </w:tcBorders>
            <w:shd w:val="clear" w:color="auto" w:fill="auto"/>
            <w:noWrap/>
            <w:vAlign w:val="center"/>
            <w:hideMark/>
          </w:tcPr>
          <w:p w14:paraId="6DC50B47" w14:textId="50988B82" w:rsidR="00543BBE" w:rsidRPr="00543BBE" w:rsidRDefault="00B83248" w:rsidP="00543BBE">
            <w:pPr>
              <w:jc w:val="center"/>
              <w:rPr>
                <w:rFonts w:eastAsia="Times New Roman"/>
                <w:color w:val="000000"/>
                <w:sz w:val="22"/>
                <w:szCs w:val="22"/>
              </w:rPr>
            </w:pPr>
            <w:r>
              <w:rPr>
                <w:rFonts w:eastAsia="Times New Roman"/>
                <w:color w:val="000000"/>
                <w:sz w:val="22"/>
                <w:szCs w:val="22"/>
              </w:rPr>
              <w:t> 0.08</w:t>
            </w:r>
          </w:p>
        </w:tc>
        <w:tc>
          <w:tcPr>
            <w:tcW w:w="419" w:type="dxa"/>
            <w:tcBorders>
              <w:top w:val="nil"/>
              <w:left w:val="nil"/>
              <w:right w:val="nil"/>
            </w:tcBorders>
            <w:shd w:val="clear" w:color="auto" w:fill="auto"/>
            <w:noWrap/>
            <w:vAlign w:val="center"/>
            <w:hideMark/>
          </w:tcPr>
          <w:p w14:paraId="3B4E8E51" w14:textId="77777777" w:rsidR="00543BBE" w:rsidRPr="00543BBE" w:rsidRDefault="00543BBE" w:rsidP="00543BBE">
            <w:pPr>
              <w:jc w:val="center"/>
              <w:rPr>
                <w:rFonts w:eastAsia="Times New Roman"/>
                <w:color w:val="000000"/>
                <w:sz w:val="22"/>
                <w:szCs w:val="22"/>
              </w:rPr>
            </w:pPr>
          </w:p>
        </w:tc>
        <w:tc>
          <w:tcPr>
            <w:tcW w:w="786" w:type="dxa"/>
            <w:tcBorders>
              <w:top w:val="nil"/>
              <w:left w:val="nil"/>
              <w:right w:val="nil"/>
            </w:tcBorders>
            <w:shd w:val="clear" w:color="auto" w:fill="auto"/>
            <w:noWrap/>
            <w:vAlign w:val="center"/>
            <w:hideMark/>
          </w:tcPr>
          <w:p w14:paraId="4FB68614" w14:textId="545F107B"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0</w:t>
            </w:r>
            <w:r w:rsidR="00B83248">
              <w:rPr>
                <w:rFonts w:eastAsia="Times New Roman"/>
                <w:color w:val="000000"/>
                <w:sz w:val="22"/>
                <w:szCs w:val="22"/>
              </w:rPr>
              <w:t>.02</w:t>
            </w:r>
          </w:p>
        </w:tc>
        <w:tc>
          <w:tcPr>
            <w:tcW w:w="1039" w:type="dxa"/>
            <w:tcBorders>
              <w:top w:val="nil"/>
              <w:left w:val="nil"/>
              <w:right w:val="nil"/>
            </w:tcBorders>
            <w:shd w:val="clear" w:color="auto" w:fill="auto"/>
            <w:noWrap/>
            <w:vAlign w:val="center"/>
            <w:hideMark/>
          </w:tcPr>
          <w:p w14:paraId="28428023" w14:textId="0747B7E6" w:rsidR="00543BBE" w:rsidRPr="00543BBE" w:rsidRDefault="00B83248" w:rsidP="00543BBE">
            <w:pPr>
              <w:jc w:val="center"/>
              <w:rPr>
                <w:rFonts w:eastAsia="Times New Roman"/>
                <w:color w:val="000000"/>
                <w:sz w:val="22"/>
                <w:szCs w:val="22"/>
              </w:rPr>
            </w:pPr>
            <w:r>
              <w:rPr>
                <w:rFonts w:eastAsia="Times New Roman"/>
                <w:color w:val="000000"/>
                <w:sz w:val="22"/>
                <w:szCs w:val="22"/>
              </w:rPr>
              <w:t> 0.06</w:t>
            </w:r>
          </w:p>
        </w:tc>
        <w:tc>
          <w:tcPr>
            <w:tcW w:w="337" w:type="dxa"/>
            <w:tcBorders>
              <w:top w:val="nil"/>
              <w:left w:val="nil"/>
              <w:right w:val="nil"/>
            </w:tcBorders>
            <w:shd w:val="clear" w:color="auto" w:fill="auto"/>
            <w:noWrap/>
            <w:vAlign w:val="center"/>
            <w:hideMark/>
          </w:tcPr>
          <w:p w14:paraId="1A3A9483" w14:textId="77777777" w:rsidR="00543BBE" w:rsidRPr="00543BBE" w:rsidRDefault="00543BBE" w:rsidP="00543BBE">
            <w:pPr>
              <w:jc w:val="center"/>
              <w:rPr>
                <w:rFonts w:eastAsia="Times New Roman"/>
                <w:color w:val="000000"/>
                <w:sz w:val="22"/>
                <w:szCs w:val="22"/>
              </w:rPr>
            </w:pPr>
          </w:p>
        </w:tc>
        <w:tc>
          <w:tcPr>
            <w:tcW w:w="786" w:type="dxa"/>
            <w:tcBorders>
              <w:top w:val="nil"/>
              <w:left w:val="nil"/>
              <w:right w:val="nil"/>
            </w:tcBorders>
            <w:shd w:val="clear" w:color="auto" w:fill="auto"/>
            <w:noWrap/>
            <w:vAlign w:val="center"/>
            <w:hideMark/>
          </w:tcPr>
          <w:p w14:paraId="5460183E" w14:textId="40FC0144" w:rsidR="00543BBE" w:rsidRPr="00543BBE" w:rsidRDefault="00543BBE" w:rsidP="00B83248">
            <w:pPr>
              <w:jc w:val="center"/>
              <w:rPr>
                <w:rFonts w:eastAsia="Times New Roman"/>
                <w:color w:val="000000"/>
                <w:sz w:val="22"/>
                <w:szCs w:val="22"/>
              </w:rPr>
            </w:pPr>
            <w:r w:rsidRPr="00543BBE">
              <w:rPr>
                <w:rFonts w:eastAsia="Times New Roman"/>
                <w:color w:val="000000"/>
                <w:sz w:val="22"/>
                <w:szCs w:val="22"/>
              </w:rPr>
              <w:t>0.</w:t>
            </w:r>
            <w:r w:rsidR="00B83248">
              <w:rPr>
                <w:rFonts w:eastAsia="Times New Roman"/>
                <w:color w:val="000000"/>
                <w:sz w:val="22"/>
                <w:szCs w:val="22"/>
              </w:rPr>
              <w:t>31</w:t>
            </w:r>
          </w:p>
        </w:tc>
        <w:tc>
          <w:tcPr>
            <w:tcW w:w="1039" w:type="dxa"/>
            <w:tcBorders>
              <w:top w:val="nil"/>
              <w:left w:val="nil"/>
              <w:right w:val="nil"/>
            </w:tcBorders>
            <w:shd w:val="clear" w:color="auto" w:fill="auto"/>
            <w:noWrap/>
            <w:vAlign w:val="center"/>
            <w:hideMark/>
          </w:tcPr>
          <w:p w14:paraId="058ED446" w14:textId="5133149B" w:rsidR="00543BBE" w:rsidRPr="00543BBE" w:rsidRDefault="00B83248" w:rsidP="00543BBE">
            <w:pPr>
              <w:jc w:val="center"/>
              <w:rPr>
                <w:rFonts w:eastAsia="Times New Roman"/>
                <w:color w:val="000000"/>
                <w:sz w:val="22"/>
                <w:szCs w:val="22"/>
              </w:rPr>
            </w:pPr>
            <w:r>
              <w:rPr>
                <w:rFonts w:eastAsia="Times New Roman"/>
                <w:color w:val="000000"/>
                <w:sz w:val="22"/>
                <w:szCs w:val="22"/>
              </w:rPr>
              <w:t>0.07</w:t>
            </w:r>
          </w:p>
        </w:tc>
      </w:tr>
      <w:tr w:rsidR="00543BBE" w:rsidRPr="00543BBE" w14:paraId="6217B286" w14:textId="77777777" w:rsidTr="00543BBE">
        <w:trPr>
          <w:trHeight w:val="315"/>
        </w:trPr>
        <w:tc>
          <w:tcPr>
            <w:tcW w:w="2523" w:type="dxa"/>
            <w:tcBorders>
              <w:top w:val="nil"/>
              <w:left w:val="nil"/>
              <w:bottom w:val="single" w:sz="4" w:space="0" w:color="auto"/>
              <w:right w:val="nil"/>
            </w:tcBorders>
            <w:shd w:val="clear" w:color="auto" w:fill="auto"/>
            <w:vAlign w:val="center"/>
            <w:hideMark/>
          </w:tcPr>
          <w:p w14:paraId="605E8EB3"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Totals</w:t>
            </w:r>
          </w:p>
        </w:tc>
        <w:tc>
          <w:tcPr>
            <w:tcW w:w="271" w:type="dxa"/>
            <w:tcBorders>
              <w:top w:val="nil"/>
              <w:left w:val="nil"/>
              <w:bottom w:val="single" w:sz="4" w:space="0" w:color="auto"/>
              <w:right w:val="nil"/>
            </w:tcBorders>
            <w:shd w:val="clear" w:color="auto" w:fill="auto"/>
            <w:noWrap/>
            <w:vAlign w:val="center"/>
            <w:hideMark/>
          </w:tcPr>
          <w:p w14:paraId="26955B85" w14:textId="77777777" w:rsidR="00543BBE" w:rsidRPr="00543BBE" w:rsidRDefault="00543BBE" w:rsidP="00543BBE">
            <w:pPr>
              <w:rPr>
                <w:rFonts w:eastAsia="Times New Roman"/>
                <w:color w:val="000000"/>
                <w:sz w:val="22"/>
                <w:szCs w:val="22"/>
              </w:rPr>
            </w:pPr>
            <w:r w:rsidRPr="00543BBE">
              <w:rPr>
                <w:rFonts w:eastAsia="Times New Roman"/>
                <w:color w:val="000000"/>
                <w:sz w:val="22"/>
                <w:szCs w:val="22"/>
              </w:rPr>
              <w:t> </w:t>
            </w:r>
          </w:p>
        </w:tc>
        <w:tc>
          <w:tcPr>
            <w:tcW w:w="2569" w:type="dxa"/>
            <w:gridSpan w:val="4"/>
            <w:tcBorders>
              <w:top w:val="nil"/>
              <w:left w:val="nil"/>
              <w:bottom w:val="single" w:sz="4" w:space="0" w:color="auto"/>
              <w:right w:val="nil"/>
            </w:tcBorders>
            <w:shd w:val="clear" w:color="auto" w:fill="auto"/>
            <w:noWrap/>
            <w:vAlign w:val="center"/>
            <w:hideMark/>
          </w:tcPr>
          <w:p w14:paraId="4AE4C5C6"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448</w:t>
            </w:r>
          </w:p>
        </w:tc>
        <w:tc>
          <w:tcPr>
            <w:tcW w:w="1719" w:type="dxa"/>
            <w:tcBorders>
              <w:top w:val="nil"/>
              <w:left w:val="nil"/>
              <w:bottom w:val="single" w:sz="4" w:space="0" w:color="auto"/>
              <w:right w:val="nil"/>
            </w:tcBorders>
            <w:shd w:val="clear" w:color="auto" w:fill="auto"/>
            <w:noWrap/>
            <w:vAlign w:val="bottom"/>
            <w:hideMark/>
          </w:tcPr>
          <w:p w14:paraId="45840935"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489" w:type="dxa"/>
            <w:tcBorders>
              <w:top w:val="nil"/>
              <w:left w:val="nil"/>
              <w:bottom w:val="single" w:sz="4" w:space="0" w:color="auto"/>
              <w:right w:val="nil"/>
            </w:tcBorders>
            <w:shd w:val="clear" w:color="auto" w:fill="auto"/>
            <w:noWrap/>
            <w:vAlign w:val="bottom"/>
            <w:hideMark/>
          </w:tcPr>
          <w:p w14:paraId="75620CA5"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879" w:type="dxa"/>
            <w:tcBorders>
              <w:top w:val="nil"/>
              <w:left w:val="nil"/>
              <w:bottom w:val="single" w:sz="4" w:space="0" w:color="auto"/>
              <w:right w:val="nil"/>
            </w:tcBorders>
            <w:shd w:val="clear" w:color="auto" w:fill="auto"/>
            <w:noWrap/>
            <w:vAlign w:val="center"/>
            <w:hideMark/>
          </w:tcPr>
          <w:p w14:paraId="4D8C0057"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169.69</w:t>
            </w:r>
          </w:p>
        </w:tc>
        <w:tc>
          <w:tcPr>
            <w:tcW w:w="1039" w:type="dxa"/>
            <w:tcBorders>
              <w:top w:val="nil"/>
              <w:left w:val="nil"/>
              <w:bottom w:val="single" w:sz="4" w:space="0" w:color="auto"/>
              <w:right w:val="nil"/>
            </w:tcBorders>
            <w:shd w:val="clear" w:color="auto" w:fill="auto"/>
            <w:noWrap/>
            <w:vAlign w:val="center"/>
            <w:hideMark/>
          </w:tcPr>
          <w:p w14:paraId="0EF5E0C0"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112</w:t>
            </w:r>
          </w:p>
        </w:tc>
        <w:tc>
          <w:tcPr>
            <w:tcW w:w="419" w:type="dxa"/>
            <w:tcBorders>
              <w:top w:val="nil"/>
              <w:left w:val="nil"/>
              <w:bottom w:val="single" w:sz="4" w:space="0" w:color="auto"/>
              <w:right w:val="nil"/>
            </w:tcBorders>
            <w:shd w:val="clear" w:color="auto" w:fill="auto"/>
            <w:noWrap/>
            <w:vAlign w:val="center"/>
            <w:hideMark/>
          </w:tcPr>
          <w:p w14:paraId="09BBE2BF"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786" w:type="dxa"/>
            <w:tcBorders>
              <w:top w:val="nil"/>
              <w:left w:val="nil"/>
              <w:bottom w:val="single" w:sz="4" w:space="0" w:color="auto"/>
              <w:right w:val="nil"/>
            </w:tcBorders>
            <w:shd w:val="clear" w:color="auto" w:fill="auto"/>
            <w:noWrap/>
            <w:vAlign w:val="center"/>
            <w:hideMark/>
          </w:tcPr>
          <w:p w14:paraId="07F6675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3.74</w:t>
            </w:r>
          </w:p>
        </w:tc>
        <w:tc>
          <w:tcPr>
            <w:tcW w:w="1039" w:type="dxa"/>
            <w:tcBorders>
              <w:top w:val="nil"/>
              <w:left w:val="nil"/>
              <w:bottom w:val="single" w:sz="4" w:space="0" w:color="auto"/>
              <w:right w:val="nil"/>
            </w:tcBorders>
            <w:shd w:val="clear" w:color="auto" w:fill="auto"/>
            <w:noWrap/>
            <w:vAlign w:val="center"/>
            <w:hideMark/>
          </w:tcPr>
          <w:p w14:paraId="12E67588"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w:t>
            </w:r>
          </w:p>
        </w:tc>
        <w:tc>
          <w:tcPr>
            <w:tcW w:w="337" w:type="dxa"/>
            <w:tcBorders>
              <w:top w:val="nil"/>
              <w:left w:val="nil"/>
              <w:bottom w:val="single" w:sz="4" w:space="0" w:color="auto"/>
              <w:right w:val="nil"/>
            </w:tcBorders>
            <w:shd w:val="clear" w:color="auto" w:fill="auto"/>
            <w:noWrap/>
            <w:vAlign w:val="center"/>
            <w:hideMark/>
          </w:tcPr>
          <w:p w14:paraId="2E37937C"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 </w:t>
            </w:r>
          </w:p>
        </w:tc>
        <w:tc>
          <w:tcPr>
            <w:tcW w:w="786" w:type="dxa"/>
            <w:tcBorders>
              <w:top w:val="nil"/>
              <w:left w:val="nil"/>
              <w:bottom w:val="single" w:sz="4" w:space="0" w:color="auto"/>
              <w:right w:val="nil"/>
            </w:tcBorders>
            <w:shd w:val="clear" w:color="auto" w:fill="auto"/>
            <w:noWrap/>
            <w:vAlign w:val="center"/>
            <w:hideMark/>
          </w:tcPr>
          <w:p w14:paraId="2521D4EA"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44.29</w:t>
            </w:r>
          </w:p>
        </w:tc>
        <w:tc>
          <w:tcPr>
            <w:tcW w:w="1039" w:type="dxa"/>
            <w:tcBorders>
              <w:top w:val="nil"/>
              <w:left w:val="nil"/>
              <w:bottom w:val="single" w:sz="4" w:space="0" w:color="auto"/>
              <w:right w:val="nil"/>
            </w:tcBorders>
            <w:shd w:val="clear" w:color="auto" w:fill="auto"/>
            <w:noWrap/>
            <w:vAlign w:val="center"/>
            <w:hideMark/>
          </w:tcPr>
          <w:p w14:paraId="1DF1D8D2" w14:textId="77777777" w:rsidR="00543BBE" w:rsidRPr="00543BBE" w:rsidRDefault="00543BBE" w:rsidP="00543BBE">
            <w:pPr>
              <w:jc w:val="center"/>
              <w:rPr>
                <w:rFonts w:eastAsia="Times New Roman"/>
                <w:color w:val="000000"/>
                <w:sz w:val="22"/>
                <w:szCs w:val="22"/>
              </w:rPr>
            </w:pPr>
            <w:r w:rsidRPr="00543BBE">
              <w:rPr>
                <w:rFonts w:eastAsia="Times New Roman"/>
                <w:color w:val="000000"/>
                <w:sz w:val="22"/>
                <w:szCs w:val="22"/>
              </w:rPr>
              <w:t>46</w:t>
            </w:r>
          </w:p>
        </w:tc>
      </w:tr>
      <w:tr w:rsidR="00543BBE" w:rsidRPr="00543BBE" w14:paraId="7D9F4F39" w14:textId="77777777" w:rsidTr="00543BBE">
        <w:trPr>
          <w:trHeight w:val="315"/>
        </w:trPr>
        <w:tc>
          <w:tcPr>
            <w:tcW w:w="13895" w:type="dxa"/>
            <w:gridSpan w:val="16"/>
            <w:tcBorders>
              <w:top w:val="single" w:sz="4" w:space="0" w:color="auto"/>
              <w:left w:val="nil"/>
              <w:right w:val="nil"/>
            </w:tcBorders>
            <w:shd w:val="clear" w:color="auto" w:fill="auto"/>
            <w:vAlign w:val="center"/>
          </w:tcPr>
          <w:p w14:paraId="37B6DF3F" w14:textId="66347F8D" w:rsidR="00543BBE" w:rsidRPr="00543BBE" w:rsidRDefault="00543BBE" w:rsidP="00543BBE">
            <w:pPr>
              <w:jc w:val="both"/>
              <w:rPr>
                <w:rFonts w:eastAsia="Times New Roman"/>
                <w:color w:val="000000"/>
                <w:sz w:val="22"/>
                <w:szCs w:val="22"/>
              </w:rPr>
            </w:pPr>
            <w:r>
              <w:rPr>
                <w:rFonts w:eastAsia="Times New Roman"/>
                <w:color w:val="000000"/>
                <w:sz w:val="22"/>
                <w:szCs w:val="22"/>
              </w:rPr>
              <w:t xml:space="preserve">           This table presents analyses of difference in the SEC review attributes among period of pre-, post- and within a </w:t>
            </w:r>
            <w:proofErr w:type="gramStart"/>
            <w:r>
              <w:rPr>
                <w:rFonts w:eastAsia="Times New Roman"/>
                <w:color w:val="000000"/>
                <w:sz w:val="22"/>
                <w:szCs w:val="22"/>
              </w:rPr>
              <w:t>special events (regulatory events and crises)</w:t>
            </w:r>
            <w:proofErr w:type="gramEnd"/>
            <w:r>
              <w:rPr>
                <w:rFonts w:eastAsia="Times New Roman"/>
                <w:color w:val="000000"/>
                <w:sz w:val="22"/>
                <w:szCs w:val="22"/>
              </w:rPr>
              <w:t xml:space="preserve">. SEC review attributes include </w:t>
            </w:r>
            <w:r>
              <w:rPr>
                <w:rFonts w:eastAsia="Times New Roman"/>
                <w:i/>
                <w:color w:val="000000"/>
                <w:sz w:val="22"/>
                <w:szCs w:val="22"/>
              </w:rPr>
              <w:t xml:space="preserve">Duration, Letters, Comments. </w:t>
            </w:r>
            <w:r>
              <w:rPr>
                <w:rFonts w:eastAsia="Times New Roman"/>
                <w:color w:val="000000"/>
                <w:sz w:val="22"/>
                <w:szCs w:val="22"/>
              </w:rPr>
              <w:t xml:space="preserve">Special events include </w:t>
            </w:r>
            <w:r>
              <w:rPr>
                <w:rFonts w:eastAsia="Times New Roman"/>
                <w:i/>
                <w:color w:val="000000"/>
                <w:sz w:val="22"/>
                <w:szCs w:val="22"/>
              </w:rPr>
              <w:t xml:space="preserve">JOBs Act, Dodd-Frank </w:t>
            </w:r>
            <w:r>
              <w:rPr>
                <w:rFonts w:eastAsia="Times New Roman"/>
                <w:color w:val="000000"/>
                <w:sz w:val="22"/>
                <w:szCs w:val="22"/>
              </w:rPr>
              <w:t xml:space="preserve">and </w:t>
            </w:r>
            <w:r>
              <w:rPr>
                <w:rFonts w:eastAsia="Times New Roman"/>
                <w:i/>
                <w:color w:val="000000"/>
                <w:sz w:val="22"/>
                <w:szCs w:val="22"/>
              </w:rPr>
              <w:t xml:space="preserve">Financial crisis. </w:t>
            </w:r>
            <w:r>
              <w:rPr>
                <w:rFonts w:eastAsia="Times New Roman"/>
                <w:color w:val="000000"/>
                <w:sz w:val="22"/>
                <w:szCs w:val="22"/>
              </w:rPr>
              <w:t>All variables are defined in Appendix 1. Panel A presents analysis of difference in the SEC review attributes between period pre- and post-JOBs Act 2012. ECG is Emerging Growth Company who has revenue lower than $1 billion. Panel B presents analysis of difference in the SEC review attributes between period pre- and post-Dodd Frank Wall Street Reform and Consumer Protection Act 2010 (excluding the period of post-JOBs Act 2012 which is from 2012 to 2017). Panel C presents analysis of difference in the SEC review attributes among years of financial crisis 2008-2009</w:t>
            </w:r>
            <w:r w:rsidR="006E1168">
              <w:rPr>
                <w:rFonts w:eastAsia="Times New Roman"/>
                <w:color w:val="000000"/>
                <w:sz w:val="22"/>
                <w:szCs w:val="22"/>
              </w:rPr>
              <w:t xml:space="preserve"> and other years (excluding the period of post-JOBs Act 2012, which is from 2012-2017) I perform analyses of differences using two-sample t-tests, and nonparametric Wilcoxon rank-sum tests. Results (p-value) from these tests are presented in the fifth row in each panel. </w:t>
            </w:r>
          </w:p>
        </w:tc>
      </w:tr>
    </w:tbl>
    <w:p w14:paraId="0308FEDA" w14:textId="52E6BF9E" w:rsidR="003876B9" w:rsidRPr="00460E70" w:rsidRDefault="00543BBE" w:rsidP="003876B9">
      <w:r>
        <w:fldChar w:fldCharType="end"/>
      </w:r>
    </w:p>
    <w:p w14:paraId="2D2DFF8A" w14:textId="77777777" w:rsidR="003876B9" w:rsidRDefault="003876B9" w:rsidP="00F91520">
      <w:pPr>
        <w:pStyle w:val="Heading1"/>
        <w:rPr>
          <w:rFonts w:ascii="Times New Roman" w:hAnsi="Times New Roman" w:cs="Times New Roman"/>
          <w:b/>
          <w:color w:val="000000" w:themeColor="text1"/>
          <w:sz w:val="24"/>
          <w:szCs w:val="24"/>
          <w:lang w:eastAsia="en-US"/>
        </w:rPr>
        <w:sectPr w:rsidR="003876B9" w:rsidSect="003876B9">
          <w:headerReference w:type="default" r:id="rId24"/>
          <w:footerReference w:type="default" r:id="rId25"/>
          <w:pgSz w:w="16838" w:h="11906" w:orient="landscape"/>
          <w:pgMar w:top="1276" w:right="1440" w:bottom="1440" w:left="1440" w:header="708" w:footer="708" w:gutter="0"/>
          <w:cols w:space="708"/>
          <w:docGrid w:linePitch="360"/>
        </w:sectPr>
      </w:pPr>
    </w:p>
    <w:p w14:paraId="18B11CB3" w14:textId="13D18C6C" w:rsidR="003876B9" w:rsidRPr="00F47976" w:rsidRDefault="00F47976" w:rsidP="00F47976">
      <w:pPr>
        <w:pStyle w:val="Caption"/>
        <w:rPr>
          <w:b/>
          <w:i w:val="0"/>
          <w:color w:val="auto"/>
          <w:sz w:val="24"/>
          <w:szCs w:val="24"/>
          <w:lang w:eastAsia="en-US"/>
        </w:rPr>
      </w:pPr>
      <w:bookmarkStart w:id="58" w:name="_Toc7375498"/>
      <w:r w:rsidRPr="00F47976">
        <w:rPr>
          <w:b/>
          <w:i w:val="0"/>
          <w:color w:val="000000" w:themeColor="text1"/>
          <w:sz w:val="24"/>
          <w:szCs w:val="24"/>
        </w:rPr>
        <w:lastRenderedPageBreak/>
        <w:t xml:space="preserve">Table </w:t>
      </w:r>
      <w:r w:rsidR="00174399">
        <w:rPr>
          <w:b/>
          <w:i w:val="0"/>
          <w:color w:val="000000" w:themeColor="text1"/>
          <w:sz w:val="24"/>
          <w:szCs w:val="24"/>
        </w:rPr>
        <w:t>9</w:t>
      </w:r>
      <w:r w:rsidRPr="00F47976">
        <w:rPr>
          <w:b/>
          <w:i w:val="0"/>
          <w:color w:val="000000" w:themeColor="text1"/>
          <w:sz w:val="24"/>
          <w:szCs w:val="24"/>
        </w:rPr>
        <w:t>. Impact of industry characteristics on the SEC review attributes</w:t>
      </w:r>
      <w:bookmarkEnd w:id="58"/>
    </w:p>
    <w:tbl>
      <w:tblPr>
        <w:tblW w:w="13041" w:type="dxa"/>
        <w:tblLook w:val="04A0" w:firstRow="1" w:lastRow="0" w:firstColumn="1" w:lastColumn="0" w:noHBand="0" w:noVBand="1"/>
      </w:tblPr>
      <w:tblGrid>
        <w:gridCol w:w="3969"/>
        <w:gridCol w:w="1151"/>
        <w:gridCol w:w="834"/>
        <w:gridCol w:w="408"/>
        <w:gridCol w:w="821"/>
        <w:gridCol w:w="938"/>
        <w:gridCol w:w="711"/>
        <w:gridCol w:w="754"/>
        <w:gridCol w:w="1137"/>
        <w:gridCol w:w="302"/>
        <w:gridCol w:w="938"/>
        <w:gridCol w:w="1078"/>
      </w:tblGrid>
      <w:tr w:rsidR="003876B9" w:rsidRPr="005C3464" w14:paraId="5F8AEB7D" w14:textId="77777777" w:rsidTr="00583CE2">
        <w:trPr>
          <w:trHeight w:val="630"/>
        </w:trPr>
        <w:tc>
          <w:tcPr>
            <w:tcW w:w="13041" w:type="dxa"/>
            <w:gridSpan w:val="12"/>
            <w:tcBorders>
              <w:top w:val="single" w:sz="4" w:space="0" w:color="auto"/>
              <w:left w:val="nil"/>
              <w:bottom w:val="nil"/>
              <w:right w:val="nil"/>
            </w:tcBorders>
            <w:shd w:val="clear" w:color="auto" w:fill="auto"/>
            <w:vAlign w:val="bottom"/>
            <w:hideMark/>
          </w:tcPr>
          <w:p w14:paraId="5DA6B56C" w14:textId="1A62B63E" w:rsidR="003876B9" w:rsidRPr="005C3464" w:rsidRDefault="003876B9" w:rsidP="00583CE2">
            <w:pPr>
              <w:rPr>
                <w:rFonts w:eastAsia="Times New Roman"/>
                <w:b/>
                <w:bCs/>
                <w:color w:val="000000"/>
                <w:sz w:val="22"/>
                <w:szCs w:val="22"/>
                <w:vertAlign w:val="superscript"/>
              </w:rPr>
            </w:pPr>
            <w:r w:rsidRPr="005C3464">
              <w:rPr>
                <w:rFonts w:eastAsia="Times New Roman"/>
                <w:b/>
                <w:bCs/>
                <w:color w:val="000000"/>
                <w:sz w:val="22"/>
                <w:szCs w:val="22"/>
              </w:rPr>
              <w:t>Panel A.</w:t>
            </w:r>
            <w:r>
              <w:rPr>
                <w:rFonts w:eastAsia="Times New Roman"/>
                <w:b/>
                <w:bCs/>
                <w:color w:val="000000"/>
                <w:sz w:val="22"/>
                <w:szCs w:val="22"/>
              </w:rPr>
              <w:t xml:space="preserve"> </w:t>
            </w:r>
            <w:r w:rsidRPr="005C3464">
              <w:rPr>
                <w:rFonts w:eastAsia="Times New Roman"/>
                <w:b/>
                <w:bCs/>
                <w:color w:val="000000"/>
                <w:sz w:val="22"/>
                <w:szCs w:val="22"/>
              </w:rPr>
              <w:t xml:space="preserve">Descriptive statistics of SEC review attributes by regulated </w:t>
            </w:r>
            <w:r w:rsidR="008E08EB">
              <w:rPr>
                <w:rFonts w:eastAsia="Times New Roman"/>
                <w:b/>
                <w:bCs/>
                <w:color w:val="000000"/>
                <w:sz w:val="22"/>
                <w:szCs w:val="22"/>
              </w:rPr>
              <w:t>industries</w:t>
            </w:r>
          </w:p>
        </w:tc>
      </w:tr>
      <w:tr w:rsidR="003876B9" w:rsidRPr="005C3464" w14:paraId="712CF34A" w14:textId="77777777" w:rsidTr="00583CE2">
        <w:trPr>
          <w:trHeight w:val="540"/>
        </w:trPr>
        <w:tc>
          <w:tcPr>
            <w:tcW w:w="3969" w:type="dxa"/>
            <w:tcBorders>
              <w:top w:val="nil"/>
              <w:left w:val="nil"/>
              <w:bottom w:val="single" w:sz="4" w:space="0" w:color="auto"/>
              <w:right w:val="nil"/>
            </w:tcBorders>
            <w:shd w:val="clear" w:color="auto" w:fill="auto"/>
            <w:vAlign w:val="bottom"/>
            <w:hideMark/>
          </w:tcPr>
          <w:p w14:paraId="6F7912E4"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Industry</w:t>
            </w:r>
          </w:p>
        </w:tc>
        <w:tc>
          <w:tcPr>
            <w:tcW w:w="1151" w:type="dxa"/>
            <w:tcBorders>
              <w:top w:val="nil"/>
              <w:left w:val="nil"/>
              <w:bottom w:val="nil"/>
              <w:right w:val="nil"/>
            </w:tcBorders>
            <w:shd w:val="clear" w:color="auto" w:fill="auto"/>
            <w:vAlign w:val="bottom"/>
            <w:hideMark/>
          </w:tcPr>
          <w:p w14:paraId="12D6B808" w14:textId="77777777" w:rsidR="003876B9" w:rsidRPr="005C3464" w:rsidRDefault="003876B9" w:rsidP="00583CE2">
            <w:pPr>
              <w:jc w:val="center"/>
              <w:rPr>
                <w:rFonts w:eastAsia="Times New Roman"/>
                <w:b/>
                <w:bCs/>
                <w:color w:val="000000"/>
                <w:sz w:val="22"/>
                <w:szCs w:val="22"/>
              </w:rPr>
            </w:pPr>
          </w:p>
        </w:tc>
        <w:tc>
          <w:tcPr>
            <w:tcW w:w="834" w:type="dxa"/>
            <w:tcBorders>
              <w:top w:val="nil"/>
              <w:left w:val="nil"/>
              <w:bottom w:val="single" w:sz="4" w:space="0" w:color="auto"/>
              <w:right w:val="nil"/>
            </w:tcBorders>
            <w:shd w:val="clear" w:color="auto" w:fill="auto"/>
            <w:vAlign w:val="bottom"/>
            <w:hideMark/>
          </w:tcPr>
          <w:p w14:paraId="525EC07B"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N</w:t>
            </w:r>
          </w:p>
        </w:tc>
        <w:tc>
          <w:tcPr>
            <w:tcW w:w="408" w:type="dxa"/>
            <w:tcBorders>
              <w:top w:val="nil"/>
              <w:left w:val="nil"/>
              <w:bottom w:val="nil"/>
              <w:right w:val="nil"/>
            </w:tcBorders>
            <w:shd w:val="clear" w:color="auto" w:fill="auto"/>
            <w:vAlign w:val="bottom"/>
            <w:hideMark/>
          </w:tcPr>
          <w:p w14:paraId="180B03A8" w14:textId="77777777" w:rsidR="003876B9" w:rsidRPr="005C3464" w:rsidRDefault="003876B9" w:rsidP="00583CE2">
            <w:pPr>
              <w:jc w:val="center"/>
              <w:rPr>
                <w:rFonts w:eastAsia="Times New Roman"/>
                <w:b/>
                <w:bCs/>
                <w:color w:val="000000"/>
                <w:sz w:val="22"/>
                <w:szCs w:val="22"/>
              </w:rPr>
            </w:pPr>
          </w:p>
        </w:tc>
        <w:tc>
          <w:tcPr>
            <w:tcW w:w="1759" w:type="dxa"/>
            <w:gridSpan w:val="2"/>
            <w:tcBorders>
              <w:top w:val="nil"/>
              <w:left w:val="nil"/>
              <w:bottom w:val="single" w:sz="4" w:space="0" w:color="auto"/>
              <w:right w:val="nil"/>
            </w:tcBorders>
            <w:shd w:val="clear" w:color="auto" w:fill="auto"/>
            <w:vAlign w:val="bottom"/>
            <w:hideMark/>
          </w:tcPr>
          <w:p w14:paraId="7997F6C1"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Duration</w:t>
            </w:r>
          </w:p>
        </w:tc>
        <w:tc>
          <w:tcPr>
            <w:tcW w:w="711" w:type="dxa"/>
            <w:tcBorders>
              <w:top w:val="nil"/>
              <w:left w:val="nil"/>
              <w:bottom w:val="nil"/>
              <w:right w:val="nil"/>
            </w:tcBorders>
            <w:shd w:val="clear" w:color="auto" w:fill="auto"/>
            <w:vAlign w:val="bottom"/>
            <w:hideMark/>
          </w:tcPr>
          <w:p w14:paraId="55E24931" w14:textId="77777777" w:rsidR="003876B9" w:rsidRPr="005C3464" w:rsidRDefault="003876B9" w:rsidP="00583CE2">
            <w:pPr>
              <w:jc w:val="center"/>
              <w:rPr>
                <w:rFonts w:eastAsia="Times New Roman"/>
                <w:b/>
                <w:bCs/>
                <w:color w:val="000000"/>
                <w:sz w:val="22"/>
                <w:szCs w:val="22"/>
              </w:rPr>
            </w:pPr>
          </w:p>
        </w:tc>
        <w:tc>
          <w:tcPr>
            <w:tcW w:w="1891" w:type="dxa"/>
            <w:gridSpan w:val="2"/>
            <w:tcBorders>
              <w:top w:val="nil"/>
              <w:left w:val="nil"/>
              <w:bottom w:val="single" w:sz="4" w:space="0" w:color="auto"/>
              <w:right w:val="nil"/>
            </w:tcBorders>
            <w:shd w:val="clear" w:color="auto" w:fill="auto"/>
            <w:vAlign w:val="bottom"/>
            <w:hideMark/>
          </w:tcPr>
          <w:p w14:paraId="651EB909" w14:textId="723ADD76" w:rsidR="003876B9" w:rsidRPr="005C3464" w:rsidRDefault="00096064" w:rsidP="00583CE2">
            <w:pPr>
              <w:jc w:val="center"/>
              <w:rPr>
                <w:rFonts w:eastAsia="Times New Roman"/>
                <w:b/>
                <w:bCs/>
                <w:color w:val="000000"/>
                <w:sz w:val="22"/>
                <w:szCs w:val="22"/>
              </w:rPr>
            </w:pPr>
            <w:r>
              <w:rPr>
                <w:rFonts w:eastAsia="Times New Roman"/>
                <w:b/>
                <w:bCs/>
                <w:color w:val="000000"/>
                <w:sz w:val="22"/>
                <w:szCs w:val="22"/>
              </w:rPr>
              <w:t>Letters</w:t>
            </w:r>
          </w:p>
        </w:tc>
        <w:tc>
          <w:tcPr>
            <w:tcW w:w="302" w:type="dxa"/>
            <w:tcBorders>
              <w:top w:val="nil"/>
              <w:left w:val="nil"/>
              <w:bottom w:val="nil"/>
              <w:right w:val="nil"/>
            </w:tcBorders>
            <w:shd w:val="clear" w:color="auto" w:fill="auto"/>
            <w:vAlign w:val="bottom"/>
            <w:hideMark/>
          </w:tcPr>
          <w:p w14:paraId="66AD7F1C" w14:textId="77777777" w:rsidR="003876B9" w:rsidRPr="005C3464" w:rsidRDefault="003876B9" w:rsidP="00583CE2">
            <w:pPr>
              <w:jc w:val="center"/>
              <w:rPr>
                <w:rFonts w:eastAsia="Times New Roman"/>
                <w:b/>
                <w:bCs/>
                <w:color w:val="000000"/>
                <w:sz w:val="22"/>
                <w:szCs w:val="22"/>
              </w:rPr>
            </w:pPr>
          </w:p>
        </w:tc>
        <w:tc>
          <w:tcPr>
            <w:tcW w:w="2016" w:type="dxa"/>
            <w:gridSpan w:val="2"/>
            <w:tcBorders>
              <w:top w:val="nil"/>
              <w:left w:val="nil"/>
              <w:bottom w:val="single" w:sz="4" w:space="0" w:color="auto"/>
              <w:right w:val="nil"/>
            </w:tcBorders>
            <w:shd w:val="clear" w:color="auto" w:fill="auto"/>
            <w:vAlign w:val="bottom"/>
            <w:hideMark/>
          </w:tcPr>
          <w:p w14:paraId="28F24424" w14:textId="73A95350" w:rsidR="003876B9" w:rsidRPr="005C3464" w:rsidRDefault="00096064" w:rsidP="00583CE2">
            <w:pPr>
              <w:jc w:val="center"/>
              <w:rPr>
                <w:rFonts w:eastAsia="Times New Roman"/>
                <w:b/>
                <w:bCs/>
                <w:color w:val="000000"/>
                <w:sz w:val="22"/>
                <w:szCs w:val="22"/>
              </w:rPr>
            </w:pPr>
            <w:r>
              <w:rPr>
                <w:rFonts w:eastAsia="Times New Roman"/>
                <w:b/>
                <w:bCs/>
                <w:color w:val="000000"/>
                <w:sz w:val="22"/>
                <w:szCs w:val="22"/>
              </w:rPr>
              <w:t>Comments</w:t>
            </w:r>
          </w:p>
        </w:tc>
      </w:tr>
      <w:tr w:rsidR="003876B9" w:rsidRPr="005C3464" w14:paraId="75DAB468" w14:textId="77777777" w:rsidTr="00583CE2">
        <w:trPr>
          <w:trHeight w:val="285"/>
        </w:trPr>
        <w:tc>
          <w:tcPr>
            <w:tcW w:w="3969" w:type="dxa"/>
            <w:tcBorders>
              <w:top w:val="nil"/>
              <w:left w:val="nil"/>
              <w:bottom w:val="nil"/>
              <w:right w:val="nil"/>
            </w:tcBorders>
            <w:shd w:val="clear" w:color="auto" w:fill="auto"/>
            <w:vAlign w:val="bottom"/>
            <w:hideMark/>
          </w:tcPr>
          <w:p w14:paraId="647E5265" w14:textId="77777777" w:rsidR="003876B9" w:rsidRPr="005C3464" w:rsidRDefault="003876B9" w:rsidP="00583CE2">
            <w:pPr>
              <w:jc w:val="center"/>
              <w:rPr>
                <w:rFonts w:eastAsia="Times New Roman"/>
                <w:b/>
                <w:bCs/>
                <w:color w:val="000000"/>
                <w:sz w:val="22"/>
                <w:szCs w:val="22"/>
              </w:rPr>
            </w:pPr>
          </w:p>
        </w:tc>
        <w:tc>
          <w:tcPr>
            <w:tcW w:w="1151" w:type="dxa"/>
            <w:tcBorders>
              <w:top w:val="nil"/>
              <w:left w:val="nil"/>
              <w:bottom w:val="nil"/>
              <w:right w:val="nil"/>
            </w:tcBorders>
            <w:shd w:val="clear" w:color="auto" w:fill="auto"/>
            <w:vAlign w:val="bottom"/>
            <w:hideMark/>
          </w:tcPr>
          <w:p w14:paraId="5D2BD7EA" w14:textId="77777777" w:rsidR="003876B9" w:rsidRPr="005C3464" w:rsidRDefault="003876B9" w:rsidP="00583CE2">
            <w:pPr>
              <w:jc w:val="center"/>
              <w:rPr>
                <w:rFonts w:eastAsia="Times New Roman"/>
                <w:sz w:val="20"/>
                <w:szCs w:val="20"/>
              </w:rPr>
            </w:pPr>
          </w:p>
        </w:tc>
        <w:tc>
          <w:tcPr>
            <w:tcW w:w="834" w:type="dxa"/>
            <w:tcBorders>
              <w:top w:val="nil"/>
              <w:left w:val="nil"/>
              <w:bottom w:val="nil"/>
              <w:right w:val="nil"/>
            </w:tcBorders>
            <w:shd w:val="clear" w:color="auto" w:fill="auto"/>
            <w:vAlign w:val="bottom"/>
            <w:hideMark/>
          </w:tcPr>
          <w:p w14:paraId="76070312" w14:textId="77777777" w:rsidR="003876B9" w:rsidRPr="005C3464" w:rsidRDefault="003876B9" w:rsidP="00583CE2">
            <w:pPr>
              <w:jc w:val="center"/>
              <w:rPr>
                <w:rFonts w:eastAsia="Times New Roman"/>
                <w:sz w:val="20"/>
                <w:szCs w:val="20"/>
              </w:rPr>
            </w:pPr>
          </w:p>
        </w:tc>
        <w:tc>
          <w:tcPr>
            <w:tcW w:w="408" w:type="dxa"/>
            <w:tcBorders>
              <w:top w:val="nil"/>
              <w:left w:val="nil"/>
              <w:bottom w:val="nil"/>
              <w:right w:val="nil"/>
            </w:tcBorders>
            <w:shd w:val="clear" w:color="auto" w:fill="auto"/>
            <w:vAlign w:val="bottom"/>
            <w:hideMark/>
          </w:tcPr>
          <w:p w14:paraId="060DCC4B" w14:textId="77777777" w:rsidR="003876B9" w:rsidRPr="005C3464" w:rsidRDefault="003876B9" w:rsidP="00583CE2">
            <w:pPr>
              <w:jc w:val="center"/>
              <w:rPr>
                <w:rFonts w:eastAsia="Times New Roman"/>
                <w:sz w:val="20"/>
                <w:szCs w:val="20"/>
              </w:rPr>
            </w:pPr>
          </w:p>
        </w:tc>
        <w:tc>
          <w:tcPr>
            <w:tcW w:w="821" w:type="dxa"/>
            <w:tcBorders>
              <w:top w:val="nil"/>
              <w:left w:val="nil"/>
              <w:bottom w:val="single" w:sz="4" w:space="0" w:color="auto"/>
              <w:right w:val="nil"/>
            </w:tcBorders>
            <w:shd w:val="clear" w:color="auto" w:fill="auto"/>
            <w:vAlign w:val="bottom"/>
            <w:hideMark/>
          </w:tcPr>
          <w:p w14:paraId="5A630B5F"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Mean</w:t>
            </w:r>
          </w:p>
        </w:tc>
        <w:tc>
          <w:tcPr>
            <w:tcW w:w="938" w:type="dxa"/>
            <w:tcBorders>
              <w:top w:val="nil"/>
              <w:left w:val="nil"/>
              <w:bottom w:val="single" w:sz="4" w:space="0" w:color="auto"/>
              <w:right w:val="nil"/>
            </w:tcBorders>
            <w:shd w:val="clear" w:color="auto" w:fill="auto"/>
            <w:vAlign w:val="bottom"/>
            <w:hideMark/>
          </w:tcPr>
          <w:p w14:paraId="24B82935"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Median</w:t>
            </w:r>
          </w:p>
        </w:tc>
        <w:tc>
          <w:tcPr>
            <w:tcW w:w="711" w:type="dxa"/>
            <w:tcBorders>
              <w:top w:val="nil"/>
              <w:left w:val="nil"/>
              <w:bottom w:val="nil"/>
              <w:right w:val="nil"/>
            </w:tcBorders>
            <w:shd w:val="clear" w:color="auto" w:fill="auto"/>
            <w:vAlign w:val="bottom"/>
            <w:hideMark/>
          </w:tcPr>
          <w:p w14:paraId="4811AD18" w14:textId="77777777" w:rsidR="003876B9" w:rsidRPr="005C3464" w:rsidRDefault="003876B9" w:rsidP="00583CE2">
            <w:pPr>
              <w:jc w:val="center"/>
              <w:rPr>
                <w:rFonts w:eastAsia="Times New Roman"/>
                <w:b/>
                <w:bCs/>
                <w:color w:val="000000"/>
                <w:sz w:val="22"/>
                <w:szCs w:val="22"/>
              </w:rPr>
            </w:pPr>
          </w:p>
        </w:tc>
        <w:tc>
          <w:tcPr>
            <w:tcW w:w="754" w:type="dxa"/>
            <w:tcBorders>
              <w:top w:val="nil"/>
              <w:left w:val="nil"/>
              <w:bottom w:val="single" w:sz="4" w:space="0" w:color="auto"/>
              <w:right w:val="nil"/>
            </w:tcBorders>
            <w:shd w:val="clear" w:color="auto" w:fill="auto"/>
            <w:vAlign w:val="bottom"/>
            <w:hideMark/>
          </w:tcPr>
          <w:p w14:paraId="692A5F90"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Mean</w:t>
            </w:r>
          </w:p>
        </w:tc>
        <w:tc>
          <w:tcPr>
            <w:tcW w:w="1137" w:type="dxa"/>
            <w:tcBorders>
              <w:top w:val="nil"/>
              <w:left w:val="nil"/>
              <w:bottom w:val="single" w:sz="4" w:space="0" w:color="auto"/>
              <w:right w:val="nil"/>
            </w:tcBorders>
            <w:shd w:val="clear" w:color="auto" w:fill="auto"/>
            <w:vAlign w:val="bottom"/>
            <w:hideMark/>
          </w:tcPr>
          <w:p w14:paraId="19A0FC18"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Median</w:t>
            </w:r>
          </w:p>
        </w:tc>
        <w:tc>
          <w:tcPr>
            <w:tcW w:w="302" w:type="dxa"/>
            <w:tcBorders>
              <w:top w:val="nil"/>
              <w:left w:val="nil"/>
              <w:bottom w:val="nil"/>
              <w:right w:val="nil"/>
            </w:tcBorders>
            <w:shd w:val="clear" w:color="auto" w:fill="auto"/>
            <w:vAlign w:val="bottom"/>
            <w:hideMark/>
          </w:tcPr>
          <w:p w14:paraId="4FF3E3F5" w14:textId="77777777" w:rsidR="003876B9" w:rsidRPr="005C3464" w:rsidRDefault="003876B9" w:rsidP="00583CE2">
            <w:pPr>
              <w:jc w:val="center"/>
              <w:rPr>
                <w:rFonts w:eastAsia="Times New Roman"/>
                <w:b/>
                <w:bCs/>
                <w:color w:val="000000"/>
                <w:sz w:val="22"/>
                <w:szCs w:val="22"/>
              </w:rPr>
            </w:pPr>
          </w:p>
        </w:tc>
        <w:tc>
          <w:tcPr>
            <w:tcW w:w="938" w:type="dxa"/>
            <w:tcBorders>
              <w:top w:val="nil"/>
              <w:left w:val="nil"/>
              <w:bottom w:val="single" w:sz="4" w:space="0" w:color="auto"/>
              <w:right w:val="nil"/>
            </w:tcBorders>
            <w:shd w:val="clear" w:color="auto" w:fill="auto"/>
            <w:vAlign w:val="bottom"/>
            <w:hideMark/>
          </w:tcPr>
          <w:p w14:paraId="5A7D1388"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Mean</w:t>
            </w:r>
          </w:p>
        </w:tc>
        <w:tc>
          <w:tcPr>
            <w:tcW w:w="1078" w:type="dxa"/>
            <w:tcBorders>
              <w:top w:val="nil"/>
              <w:left w:val="nil"/>
              <w:bottom w:val="single" w:sz="4" w:space="0" w:color="auto"/>
              <w:right w:val="nil"/>
            </w:tcBorders>
            <w:shd w:val="clear" w:color="auto" w:fill="auto"/>
            <w:vAlign w:val="bottom"/>
            <w:hideMark/>
          </w:tcPr>
          <w:p w14:paraId="0B6326F8"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Median</w:t>
            </w:r>
          </w:p>
        </w:tc>
      </w:tr>
      <w:tr w:rsidR="003876B9" w:rsidRPr="005C3464" w14:paraId="4A301AFA" w14:textId="77777777" w:rsidTr="00583CE2">
        <w:trPr>
          <w:trHeight w:val="300"/>
        </w:trPr>
        <w:tc>
          <w:tcPr>
            <w:tcW w:w="3969" w:type="dxa"/>
            <w:tcBorders>
              <w:top w:val="nil"/>
              <w:left w:val="nil"/>
              <w:bottom w:val="nil"/>
              <w:right w:val="nil"/>
            </w:tcBorders>
            <w:shd w:val="clear" w:color="auto" w:fill="auto"/>
            <w:vAlign w:val="center"/>
            <w:hideMark/>
          </w:tcPr>
          <w:p w14:paraId="62480273" w14:textId="51658F43" w:rsidR="003876B9" w:rsidRPr="005C3464" w:rsidRDefault="00096064" w:rsidP="00583CE2">
            <w:pPr>
              <w:rPr>
                <w:rFonts w:eastAsia="Times New Roman"/>
                <w:color w:val="000000"/>
                <w:sz w:val="22"/>
                <w:szCs w:val="22"/>
              </w:rPr>
            </w:pPr>
            <w:r>
              <w:rPr>
                <w:rFonts w:eastAsia="Times New Roman"/>
                <w:color w:val="000000"/>
                <w:sz w:val="22"/>
                <w:szCs w:val="22"/>
              </w:rPr>
              <w:t>Regulated = 0</w:t>
            </w:r>
          </w:p>
        </w:tc>
        <w:tc>
          <w:tcPr>
            <w:tcW w:w="1151" w:type="dxa"/>
            <w:tcBorders>
              <w:top w:val="nil"/>
              <w:left w:val="nil"/>
              <w:bottom w:val="nil"/>
              <w:right w:val="nil"/>
            </w:tcBorders>
            <w:shd w:val="clear" w:color="auto" w:fill="auto"/>
            <w:vAlign w:val="center"/>
            <w:hideMark/>
          </w:tcPr>
          <w:p w14:paraId="7F92DB9A" w14:textId="77777777" w:rsidR="003876B9" w:rsidRPr="005C3464" w:rsidRDefault="003876B9" w:rsidP="00583CE2">
            <w:pPr>
              <w:rPr>
                <w:rFonts w:eastAsia="Times New Roman"/>
                <w:color w:val="000000"/>
                <w:sz w:val="22"/>
                <w:szCs w:val="22"/>
              </w:rPr>
            </w:pPr>
          </w:p>
        </w:tc>
        <w:tc>
          <w:tcPr>
            <w:tcW w:w="834" w:type="dxa"/>
            <w:tcBorders>
              <w:top w:val="nil"/>
              <w:left w:val="nil"/>
              <w:bottom w:val="nil"/>
              <w:right w:val="nil"/>
            </w:tcBorders>
            <w:shd w:val="clear" w:color="auto" w:fill="auto"/>
            <w:vAlign w:val="center"/>
            <w:hideMark/>
          </w:tcPr>
          <w:p w14:paraId="3FFF9D61" w14:textId="021EEA44" w:rsidR="003876B9" w:rsidRPr="005C3464" w:rsidRDefault="007B59D0" w:rsidP="00583CE2">
            <w:pPr>
              <w:jc w:val="center"/>
              <w:rPr>
                <w:rFonts w:eastAsia="Times New Roman"/>
                <w:color w:val="000000"/>
                <w:sz w:val="22"/>
                <w:szCs w:val="22"/>
              </w:rPr>
            </w:pPr>
            <w:r>
              <w:rPr>
                <w:rFonts w:eastAsia="Times New Roman"/>
                <w:color w:val="000000"/>
                <w:sz w:val="22"/>
                <w:szCs w:val="22"/>
              </w:rPr>
              <w:t>896</w:t>
            </w:r>
          </w:p>
        </w:tc>
        <w:tc>
          <w:tcPr>
            <w:tcW w:w="408" w:type="dxa"/>
            <w:tcBorders>
              <w:top w:val="nil"/>
              <w:left w:val="nil"/>
              <w:bottom w:val="nil"/>
              <w:right w:val="nil"/>
            </w:tcBorders>
            <w:shd w:val="clear" w:color="auto" w:fill="auto"/>
            <w:vAlign w:val="center"/>
            <w:hideMark/>
          </w:tcPr>
          <w:p w14:paraId="4C456496" w14:textId="77777777" w:rsidR="003876B9" w:rsidRPr="005C3464" w:rsidRDefault="003876B9"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vAlign w:val="center"/>
            <w:hideMark/>
          </w:tcPr>
          <w:p w14:paraId="1D3099DF" w14:textId="2C9BEE7B" w:rsidR="003876B9" w:rsidRPr="005C3464" w:rsidRDefault="007B59D0" w:rsidP="00583CE2">
            <w:pPr>
              <w:jc w:val="center"/>
              <w:rPr>
                <w:rFonts w:eastAsia="Times New Roman"/>
                <w:color w:val="000000"/>
                <w:sz w:val="22"/>
                <w:szCs w:val="22"/>
              </w:rPr>
            </w:pPr>
            <w:r w:rsidRPr="007B59D0">
              <w:rPr>
                <w:rFonts w:eastAsia="Times New Roman"/>
                <w:color w:val="000000"/>
                <w:sz w:val="22"/>
                <w:szCs w:val="22"/>
              </w:rPr>
              <w:t>119.97</w:t>
            </w:r>
          </w:p>
        </w:tc>
        <w:tc>
          <w:tcPr>
            <w:tcW w:w="938" w:type="dxa"/>
            <w:tcBorders>
              <w:top w:val="nil"/>
              <w:left w:val="nil"/>
              <w:bottom w:val="nil"/>
              <w:right w:val="nil"/>
            </w:tcBorders>
            <w:shd w:val="clear" w:color="auto" w:fill="auto"/>
            <w:vAlign w:val="center"/>
            <w:hideMark/>
          </w:tcPr>
          <w:p w14:paraId="6C8BCF82" w14:textId="164A29FE" w:rsidR="003876B9" w:rsidRPr="005C3464" w:rsidRDefault="007B59D0" w:rsidP="00583CE2">
            <w:pPr>
              <w:jc w:val="center"/>
              <w:rPr>
                <w:rFonts w:eastAsia="Times New Roman"/>
                <w:color w:val="000000"/>
                <w:sz w:val="22"/>
                <w:szCs w:val="22"/>
              </w:rPr>
            </w:pPr>
            <w:r>
              <w:rPr>
                <w:rFonts w:eastAsia="Times New Roman"/>
                <w:color w:val="000000"/>
                <w:sz w:val="22"/>
                <w:szCs w:val="22"/>
              </w:rPr>
              <w:t>90</w:t>
            </w:r>
          </w:p>
        </w:tc>
        <w:tc>
          <w:tcPr>
            <w:tcW w:w="711" w:type="dxa"/>
            <w:tcBorders>
              <w:top w:val="nil"/>
              <w:left w:val="nil"/>
              <w:bottom w:val="nil"/>
              <w:right w:val="nil"/>
            </w:tcBorders>
            <w:shd w:val="clear" w:color="auto" w:fill="auto"/>
            <w:vAlign w:val="bottom"/>
            <w:hideMark/>
          </w:tcPr>
          <w:p w14:paraId="4AA4A3B7" w14:textId="77777777" w:rsidR="003876B9" w:rsidRPr="005C3464" w:rsidRDefault="003876B9" w:rsidP="00583CE2">
            <w:pPr>
              <w:jc w:val="center"/>
              <w:rPr>
                <w:rFonts w:eastAsia="Times New Roman"/>
                <w:color w:val="000000"/>
                <w:sz w:val="22"/>
                <w:szCs w:val="22"/>
              </w:rPr>
            </w:pPr>
          </w:p>
        </w:tc>
        <w:tc>
          <w:tcPr>
            <w:tcW w:w="754" w:type="dxa"/>
            <w:tcBorders>
              <w:top w:val="nil"/>
              <w:left w:val="nil"/>
              <w:bottom w:val="nil"/>
              <w:right w:val="nil"/>
            </w:tcBorders>
            <w:shd w:val="clear" w:color="auto" w:fill="auto"/>
            <w:vAlign w:val="center"/>
            <w:hideMark/>
          </w:tcPr>
          <w:p w14:paraId="29297621" w14:textId="2A802DD8" w:rsidR="003876B9" w:rsidRPr="005C3464" w:rsidRDefault="007B59D0" w:rsidP="00583CE2">
            <w:pPr>
              <w:jc w:val="center"/>
              <w:rPr>
                <w:rFonts w:eastAsia="Times New Roman"/>
                <w:color w:val="000000"/>
                <w:sz w:val="22"/>
                <w:szCs w:val="22"/>
              </w:rPr>
            </w:pPr>
            <w:r>
              <w:rPr>
                <w:rFonts w:eastAsia="Times New Roman"/>
                <w:color w:val="000000"/>
                <w:sz w:val="22"/>
                <w:szCs w:val="22"/>
              </w:rPr>
              <w:t>2.77</w:t>
            </w:r>
          </w:p>
        </w:tc>
        <w:tc>
          <w:tcPr>
            <w:tcW w:w="1137" w:type="dxa"/>
            <w:tcBorders>
              <w:top w:val="nil"/>
              <w:left w:val="nil"/>
              <w:bottom w:val="nil"/>
              <w:right w:val="nil"/>
            </w:tcBorders>
            <w:shd w:val="clear" w:color="auto" w:fill="auto"/>
            <w:vAlign w:val="center"/>
            <w:hideMark/>
          </w:tcPr>
          <w:p w14:paraId="36A590E1" w14:textId="77777777" w:rsidR="003876B9" w:rsidRPr="005C3464" w:rsidRDefault="003876B9" w:rsidP="00583CE2">
            <w:pPr>
              <w:jc w:val="center"/>
              <w:rPr>
                <w:rFonts w:eastAsia="Times New Roman"/>
                <w:color w:val="000000"/>
                <w:sz w:val="22"/>
                <w:szCs w:val="22"/>
              </w:rPr>
            </w:pPr>
            <w:r w:rsidRPr="005C3464">
              <w:rPr>
                <w:rFonts w:eastAsia="Times New Roman"/>
                <w:color w:val="000000"/>
                <w:sz w:val="22"/>
                <w:szCs w:val="22"/>
              </w:rPr>
              <w:t>3</w:t>
            </w:r>
          </w:p>
        </w:tc>
        <w:tc>
          <w:tcPr>
            <w:tcW w:w="302" w:type="dxa"/>
            <w:tcBorders>
              <w:top w:val="nil"/>
              <w:left w:val="nil"/>
              <w:bottom w:val="nil"/>
              <w:right w:val="nil"/>
            </w:tcBorders>
            <w:shd w:val="clear" w:color="auto" w:fill="auto"/>
            <w:vAlign w:val="bottom"/>
            <w:hideMark/>
          </w:tcPr>
          <w:p w14:paraId="08B3C6C2" w14:textId="77777777" w:rsidR="003876B9" w:rsidRPr="005C3464" w:rsidRDefault="003876B9" w:rsidP="00583CE2">
            <w:pPr>
              <w:jc w:val="center"/>
              <w:rPr>
                <w:rFonts w:eastAsia="Times New Roman"/>
                <w:color w:val="000000"/>
                <w:sz w:val="22"/>
                <w:szCs w:val="22"/>
              </w:rPr>
            </w:pPr>
          </w:p>
        </w:tc>
        <w:tc>
          <w:tcPr>
            <w:tcW w:w="938" w:type="dxa"/>
            <w:tcBorders>
              <w:top w:val="nil"/>
              <w:left w:val="nil"/>
              <w:bottom w:val="nil"/>
              <w:right w:val="nil"/>
            </w:tcBorders>
            <w:shd w:val="clear" w:color="auto" w:fill="auto"/>
            <w:vAlign w:val="center"/>
            <w:hideMark/>
          </w:tcPr>
          <w:p w14:paraId="73DCAABC" w14:textId="403EFE32" w:rsidR="003876B9" w:rsidRPr="005C3464" w:rsidRDefault="007B59D0" w:rsidP="00583CE2">
            <w:pPr>
              <w:jc w:val="center"/>
              <w:rPr>
                <w:rFonts w:eastAsia="Times New Roman"/>
                <w:color w:val="000000"/>
                <w:sz w:val="22"/>
                <w:szCs w:val="22"/>
              </w:rPr>
            </w:pPr>
            <w:r>
              <w:rPr>
                <w:rFonts w:eastAsia="Times New Roman"/>
                <w:color w:val="000000"/>
                <w:sz w:val="22"/>
                <w:szCs w:val="22"/>
              </w:rPr>
              <w:t>26.51</w:t>
            </w:r>
          </w:p>
        </w:tc>
        <w:tc>
          <w:tcPr>
            <w:tcW w:w="1078" w:type="dxa"/>
            <w:tcBorders>
              <w:top w:val="nil"/>
              <w:left w:val="nil"/>
              <w:bottom w:val="nil"/>
              <w:right w:val="nil"/>
            </w:tcBorders>
            <w:shd w:val="clear" w:color="auto" w:fill="auto"/>
            <w:vAlign w:val="center"/>
            <w:hideMark/>
          </w:tcPr>
          <w:p w14:paraId="738ED937" w14:textId="54A437CA" w:rsidR="003876B9" w:rsidRPr="005C3464" w:rsidRDefault="007B59D0" w:rsidP="00583CE2">
            <w:pPr>
              <w:jc w:val="center"/>
              <w:rPr>
                <w:rFonts w:eastAsia="Times New Roman"/>
                <w:color w:val="000000"/>
                <w:sz w:val="22"/>
                <w:szCs w:val="22"/>
              </w:rPr>
            </w:pPr>
            <w:r>
              <w:rPr>
                <w:rFonts w:eastAsia="Times New Roman"/>
                <w:color w:val="000000"/>
                <w:sz w:val="22"/>
                <w:szCs w:val="22"/>
              </w:rPr>
              <w:t>22</w:t>
            </w:r>
          </w:p>
        </w:tc>
      </w:tr>
      <w:tr w:rsidR="003876B9" w:rsidRPr="005C3464" w14:paraId="2074C0EA" w14:textId="77777777" w:rsidTr="00583CE2">
        <w:trPr>
          <w:trHeight w:val="300"/>
        </w:trPr>
        <w:tc>
          <w:tcPr>
            <w:tcW w:w="3969" w:type="dxa"/>
            <w:tcBorders>
              <w:top w:val="nil"/>
              <w:left w:val="nil"/>
              <w:bottom w:val="nil"/>
              <w:right w:val="nil"/>
            </w:tcBorders>
            <w:shd w:val="clear" w:color="auto" w:fill="auto"/>
            <w:vAlign w:val="center"/>
            <w:hideMark/>
          </w:tcPr>
          <w:p w14:paraId="3287B65F" w14:textId="13C9B846" w:rsidR="003876B9" w:rsidRPr="005C3464" w:rsidRDefault="00096064" w:rsidP="00583CE2">
            <w:pPr>
              <w:rPr>
                <w:rFonts w:eastAsia="Times New Roman"/>
                <w:color w:val="000000"/>
                <w:sz w:val="22"/>
                <w:szCs w:val="22"/>
              </w:rPr>
            </w:pPr>
            <w:r>
              <w:rPr>
                <w:rFonts w:eastAsia="Times New Roman"/>
                <w:color w:val="000000"/>
                <w:sz w:val="22"/>
                <w:szCs w:val="22"/>
              </w:rPr>
              <w:t xml:space="preserve">Regulated =1 </w:t>
            </w:r>
          </w:p>
        </w:tc>
        <w:tc>
          <w:tcPr>
            <w:tcW w:w="1151" w:type="dxa"/>
            <w:tcBorders>
              <w:top w:val="nil"/>
              <w:left w:val="nil"/>
              <w:bottom w:val="nil"/>
              <w:right w:val="nil"/>
            </w:tcBorders>
            <w:shd w:val="clear" w:color="auto" w:fill="auto"/>
            <w:vAlign w:val="center"/>
            <w:hideMark/>
          </w:tcPr>
          <w:p w14:paraId="1B6C3447" w14:textId="77777777" w:rsidR="003876B9" w:rsidRPr="005C3464" w:rsidRDefault="003876B9" w:rsidP="00583CE2">
            <w:pPr>
              <w:rPr>
                <w:rFonts w:eastAsia="Times New Roman"/>
                <w:color w:val="000000"/>
                <w:sz w:val="22"/>
                <w:szCs w:val="22"/>
              </w:rPr>
            </w:pPr>
          </w:p>
        </w:tc>
        <w:tc>
          <w:tcPr>
            <w:tcW w:w="834" w:type="dxa"/>
            <w:tcBorders>
              <w:top w:val="nil"/>
              <w:left w:val="nil"/>
              <w:bottom w:val="nil"/>
              <w:right w:val="nil"/>
            </w:tcBorders>
            <w:shd w:val="clear" w:color="auto" w:fill="auto"/>
            <w:vAlign w:val="center"/>
            <w:hideMark/>
          </w:tcPr>
          <w:p w14:paraId="211E5280" w14:textId="4BB5B937" w:rsidR="003876B9" w:rsidRPr="005C3464" w:rsidRDefault="007B59D0" w:rsidP="00583CE2">
            <w:pPr>
              <w:jc w:val="center"/>
              <w:rPr>
                <w:rFonts w:eastAsia="Times New Roman"/>
                <w:color w:val="000000"/>
                <w:sz w:val="22"/>
                <w:szCs w:val="22"/>
              </w:rPr>
            </w:pPr>
            <w:r>
              <w:rPr>
                <w:rFonts w:eastAsia="Times New Roman"/>
                <w:color w:val="000000"/>
                <w:sz w:val="22"/>
                <w:szCs w:val="22"/>
              </w:rPr>
              <w:t>13</w:t>
            </w:r>
          </w:p>
        </w:tc>
        <w:tc>
          <w:tcPr>
            <w:tcW w:w="408" w:type="dxa"/>
            <w:tcBorders>
              <w:top w:val="nil"/>
              <w:left w:val="nil"/>
              <w:bottom w:val="nil"/>
              <w:right w:val="nil"/>
            </w:tcBorders>
            <w:shd w:val="clear" w:color="auto" w:fill="auto"/>
            <w:vAlign w:val="center"/>
            <w:hideMark/>
          </w:tcPr>
          <w:p w14:paraId="234FAFA6" w14:textId="77777777" w:rsidR="003876B9" w:rsidRPr="005C3464" w:rsidRDefault="003876B9"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vAlign w:val="center"/>
            <w:hideMark/>
          </w:tcPr>
          <w:p w14:paraId="43124128" w14:textId="4A6EAC5B" w:rsidR="003876B9" w:rsidRPr="005C3464" w:rsidRDefault="007B59D0" w:rsidP="00583CE2">
            <w:pPr>
              <w:jc w:val="center"/>
              <w:rPr>
                <w:rFonts w:eastAsia="Times New Roman"/>
                <w:color w:val="000000"/>
                <w:sz w:val="22"/>
                <w:szCs w:val="22"/>
              </w:rPr>
            </w:pPr>
            <w:r w:rsidRPr="007B59D0">
              <w:rPr>
                <w:rFonts w:eastAsia="Times New Roman"/>
                <w:color w:val="000000"/>
                <w:sz w:val="22"/>
                <w:szCs w:val="22"/>
              </w:rPr>
              <w:t>129.69</w:t>
            </w:r>
          </w:p>
        </w:tc>
        <w:tc>
          <w:tcPr>
            <w:tcW w:w="938" w:type="dxa"/>
            <w:tcBorders>
              <w:top w:val="nil"/>
              <w:left w:val="nil"/>
              <w:bottom w:val="nil"/>
              <w:right w:val="nil"/>
            </w:tcBorders>
            <w:shd w:val="clear" w:color="auto" w:fill="auto"/>
            <w:vAlign w:val="center"/>
            <w:hideMark/>
          </w:tcPr>
          <w:p w14:paraId="2E5A6ACF" w14:textId="1716EA27" w:rsidR="003876B9" w:rsidRPr="005C3464" w:rsidRDefault="007B59D0" w:rsidP="00583CE2">
            <w:pPr>
              <w:jc w:val="center"/>
              <w:rPr>
                <w:rFonts w:eastAsia="Times New Roman"/>
                <w:color w:val="000000"/>
                <w:sz w:val="22"/>
                <w:szCs w:val="22"/>
              </w:rPr>
            </w:pPr>
            <w:r>
              <w:rPr>
                <w:rFonts w:eastAsia="Times New Roman"/>
                <w:color w:val="000000"/>
                <w:sz w:val="22"/>
                <w:szCs w:val="22"/>
              </w:rPr>
              <w:t>79</w:t>
            </w:r>
          </w:p>
        </w:tc>
        <w:tc>
          <w:tcPr>
            <w:tcW w:w="711" w:type="dxa"/>
            <w:tcBorders>
              <w:top w:val="nil"/>
              <w:left w:val="nil"/>
              <w:bottom w:val="nil"/>
              <w:right w:val="nil"/>
            </w:tcBorders>
            <w:shd w:val="clear" w:color="auto" w:fill="auto"/>
            <w:vAlign w:val="bottom"/>
            <w:hideMark/>
          </w:tcPr>
          <w:p w14:paraId="5DC0416B" w14:textId="77777777" w:rsidR="003876B9" w:rsidRPr="005C3464" w:rsidRDefault="003876B9" w:rsidP="00583CE2">
            <w:pPr>
              <w:jc w:val="center"/>
              <w:rPr>
                <w:rFonts w:eastAsia="Times New Roman"/>
                <w:color w:val="000000"/>
                <w:sz w:val="22"/>
                <w:szCs w:val="22"/>
              </w:rPr>
            </w:pPr>
          </w:p>
        </w:tc>
        <w:tc>
          <w:tcPr>
            <w:tcW w:w="754" w:type="dxa"/>
            <w:tcBorders>
              <w:top w:val="nil"/>
              <w:left w:val="nil"/>
              <w:bottom w:val="nil"/>
              <w:right w:val="nil"/>
            </w:tcBorders>
            <w:shd w:val="clear" w:color="auto" w:fill="auto"/>
            <w:vAlign w:val="center"/>
            <w:hideMark/>
          </w:tcPr>
          <w:p w14:paraId="339A84E2" w14:textId="489D5F4F" w:rsidR="003876B9" w:rsidRPr="005C3464" w:rsidRDefault="007B59D0" w:rsidP="00583CE2">
            <w:pPr>
              <w:jc w:val="center"/>
              <w:rPr>
                <w:rFonts w:eastAsia="Times New Roman"/>
                <w:color w:val="000000"/>
                <w:sz w:val="22"/>
                <w:szCs w:val="22"/>
              </w:rPr>
            </w:pPr>
            <w:r>
              <w:rPr>
                <w:rFonts w:eastAsia="Times New Roman"/>
                <w:color w:val="000000"/>
                <w:sz w:val="22"/>
                <w:szCs w:val="22"/>
              </w:rPr>
              <w:t>2.85</w:t>
            </w:r>
          </w:p>
        </w:tc>
        <w:tc>
          <w:tcPr>
            <w:tcW w:w="1137" w:type="dxa"/>
            <w:tcBorders>
              <w:top w:val="nil"/>
              <w:left w:val="nil"/>
              <w:bottom w:val="nil"/>
              <w:right w:val="nil"/>
            </w:tcBorders>
            <w:shd w:val="clear" w:color="auto" w:fill="auto"/>
            <w:vAlign w:val="center"/>
            <w:hideMark/>
          </w:tcPr>
          <w:p w14:paraId="49E891DE" w14:textId="1D690CD9" w:rsidR="003876B9" w:rsidRPr="005C3464" w:rsidRDefault="007B59D0" w:rsidP="00583CE2">
            <w:pPr>
              <w:jc w:val="center"/>
              <w:rPr>
                <w:rFonts w:eastAsia="Times New Roman"/>
                <w:color w:val="000000"/>
                <w:sz w:val="22"/>
                <w:szCs w:val="22"/>
              </w:rPr>
            </w:pPr>
            <w:r>
              <w:rPr>
                <w:rFonts w:eastAsia="Times New Roman"/>
                <w:color w:val="000000"/>
                <w:sz w:val="22"/>
                <w:szCs w:val="22"/>
              </w:rPr>
              <w:t>3</w:t>
            </w:r>
          </w:p>
        </w:tc>
        <w:tc>
          <w:tcPr>
            <w:tcW w:w="302" w:type="dxa"/>
            <w:tcBorders>
              <w:top w:val="nil"/>
              <w:left w:val="nil"/>
              <w:bottom w:val="nil"/>
              <w:right w:val="nil"/>
            </w:tcBorders>
            <w:shd w:val="clear" w:color="auto" w:fill="auto"/>
            <w:vAlign w:val="bottom"/>
            <w:hideMark/>
          </w:tcPr>
          <w:p w14:paraId="7A30BB3A" w14:textId="77777777" w:rsidR="003876B9" w:rsidRPr="005C3464" w:rsidRDefault="003876B9" w:rsidP="00583CE2">
            <w:pPr>
              <w:jc w:val="center"/>
              <w:rPr>
                <w:rFonts w:eastAsia="Times New Roman"/>
                <w:color w:val="000000"/>
                <w:sz w:val="22"/>
                <w:szCs w:val="22"/>
              </w:rPr>
            </w:pPr>
          </w:p>
        </w:tc>
        <w:tc>
          <w:tcPr>
            <w:tcW w:w="938" w:type="dxa"/>
            <w:tcBorders>
              <w:top w:val="nil"/>
              <w:left w:val="nil"/>
              <w:bottom w:val="nil"/>
              <w:right w:val="nil"/>
            </w:tcBorders>
            <w:shd w:val="clear" w:color="auto" w:fill="auto"/>
            <w:vAlign w:val="center"/>
            <w:hideMark/>
          </w:tcPr>
          <w:p w14:paraId="3A8B8825" w14:textId="67529EEA" w:rsidR="003876B9" w:rsidRPr="005C3464" w:rsidRDefault="007B59D0" w:rsidP="00583CE2">
            <w:pPr>
              <w:jc w:val="center"/>
              <w:rPr>
                <w:rFonts w:eastAsia="Times New Roman"/>
                <w:color w:val="000000"/>
                <w:sz w:val="22"/>
                <w:szCs w:val="22"/>
              </w:rPr>
            </w:pPr>
            <w:r>
              <w:rPr>
                <w:rFonts w:eastAsia="Times New Roman"/>
                <w:color w:val="000000"/>
                <w:sz w:val="22"/>
                <w:szCs w:val="22"/>
              </w:rPr>
              <w:t>35.00</w:t>
            </w:r>
          </w:p>
        </w:tc>
        <w:tc>
          <w:tcPr>
            <w:tcW w:w="1078" w:type="dxa"/>
            <w:tcBorders>
              <w:top w:val="nil"/>
              <w:left w:val="nil"/>
              <w:bottom w:val="nil"/>
              <w:right w:val="nil"/>
            </w:tcBorders>
            <w:shd w:val="clear" w:color="auto" w:fill="auto"/>
            <w:vAlign w:val="center"/>
            <w:hideMark/>
          </w:tcPr>
          <w:p w14:paraId="15F2D8D3" w14:textId="605E7A5A" w:rsidR="003876B9" w:rsidRPr="005C3464" w:rsidRDefault="007B59D0" w:rsidP="00583CE2">
            <w:pPr>
              <w:jc w:val="center"/>
              <w:rPr>
                <w:rFonts w:eastAsia="Times New Roman"/>
                <w:color w:val="000000"/>
                <w:sz w:val="22"/>
                <w:szCs w:val="22"/>
              </w:rPr>
            </w:pPr>
            <w:r>
              <w:rPr>
                <w:rFonts w:eastAsia="Times New Roman"/>
                <w:color w:val="000000"/>
                <w:sz w:val="22"/>
                <w:szCs w:val="22"/>
              </w:rPr>
              <w:t>40</w:t>
            </w:r>
          </w:p>
        </w:tc>
      </w:tr>
      <w:tr w:rsidR="003876B9" w:rsidRPr="005C3464" w14:paraId="6321A70A" w14:textId="77777777" w:rsidTr="00583CE2">
        <w:trPr>
          <w:trHeight w:val="615"/>
        </w:trPr>
        <w:tc>
          <w:tcPr>
            <w:tcW w:w="3969" w:type="dxa"/>
            <w:tcBorders>
              <w:top w:val="nil"/>
              <w:left w:val="nil"/>
              <w:bottom w:val="nil"/>
              <w:right w:val="nil"/>
            </w:tcBorders>
            <w:shd w:val="clear" w:color="auto" w:fill="auto"/>
            <w:vAlign w:val="center"/>
            <w:hideMark/>
          </w:tcPr>
          <w:p w14:paraId="3A199591" w14:textId="77777777" w:rsidR="003876B9" w:rsidRPr="005C3464" w:rsidRDefault="003876B9" w:rsidP="00583CE2">
            <w:pPr>
              <w:rPr>
                <w:rFonts w:eastAsia="Times New Roman"/>
                <w:i/>
                <w:iCs/>
                <w:color w:val="000000"/>
                <w:sz w:val="22"/>
                <w:szCs w:val="22"/>
              </w:rPr>
            </w:pPr>
            <w:r w:rsidRPr="005C3464">
              <w:rPr>
                <w:rFonts w:eastAsia="Times New Roman"/>
                <w:i/>
                <w:iCs/>
                <w:color w:val="000000"/>
                <w:sz w:val="22"/>
                <w:szCs w:val="22"/>
              </w:rPr>
              <w:t>t test (mean)/</w:t>
            </w:r>
            <w:r w:rsidRPr="005C3464">
              <w:rPr>
                <w:rFonts w:eastAsia="Times New Roman"/>
                <w:i/>
                <w:iCs/>
                <w:color w:val="000000"/>
              </w:rPr>
              <w:t xml:space="preserve"> </w:t>
            </w:r>
            <w:r w:rsidRPr="005C3464">
              <w:rPr>
                <w:rFonts w:eastAsia="Times New Roman"/>
                <w:i/>
                <w:iCs/>
                <w:color w:val="000000"/>
                <w:sz w:val="22"/>
                <w:szCs w:val="22"/>
              </w:rPr>
              <w:t>Wilcoxon rank-sum test (median)</w:t>
            </w:r>
          </w:p>
        </w:tc>
        <w:tc>
          <w:tcPr>
            <w:tcW w:w="1151" w:type="dxa"/>
            <w:tcBorders>
              <w:top w:val="nil"/>
              <w:left w:val="nil"/>
              <w:bottom w:val="nil"/>
              <w:right w:val="nil"/>
            </w:tcBorders>
            <w:shd w:val="clear" w:color="auto" w:fill="auto"/>
            <w:vAlign w:val="bottom"/>
            <w:hideMark/>
          </w:tcPr>
          <w:p w14:paraId="028BBD3D" w14:textId="77777777" w:rsidR="003876B9" w:rsidRPr="005C3464" w:rsidRDefault="003876B9" w:rsidP="00583CE2">
            <w:pPr>
              <w:rPr>
                <w:rFonts w:eastAsia="Times New Roman"/>
                <w:i/>
                <w:iCs/>
                <w:color w:val="000000"/>
                <w:sz w:val="22"/>
                <w:szCs w:val="22"/>
              </w:rPr>
            </w:pPr>
          </w:p>
        </w:tc>
        <w:tc>
          <w:tcPr>
            <w:tcW w:w="834" w:type="dxa"/>
            <w:tcBorders>
              <w:top w:val="nil"/>
              <w:left w:val="nil"/>
              <w:bottom w:val="nil"/>
              <w:right w:val="nil"/>
            </w:tcBorders>
            <w:shd w:val="clear" w:color="auto" w:fill="auto"/>
            <w:vAlign w:val="bottom"/>
            <w:hideMark/>
          </w:tcPr>
          <w:p w14:paraId="45E76D4E" w14:textId="77777777" w:rsidR="003876B9" w:rsidRPr="005C3464" w:rsidRDefault="003876B9" w:rsidP="00583CE2">
            <w:pPr>
              <w:rPr>
                <w:rFonts w:eastAsia="Times New Roman"/>
                <w:sz w:val="20"/>
                <w:szCs w:val="20"/>
              </w:rPr>
            </w:pPr>
          </w:p>
        </w:tc>
        <w:tc>
          <w:tcPr>
            <w:tcW w:w="408" w:type="dxa"/>
            <w:tcBorders>
              <w:top w:val="nil"/>
              <w:left w:val="nil"/>
              <w:bottom w:val="nil"/>
              <w:right w:val="nil"/>
            </w:tcBorders>
            <w:shd w:val="clear" w:color="auto" w:fill="auto"/>
            <w:vAlign w:val="bottom"/>
            <w:hideMark/>
          </w:tcPr>
          <w:p w14:paraId="5A592041" w14:textId="77777777" w:rsidR="003876B9" w:rsidRPr="005C3464" w:rsidRDefault="003876B9" w:rsidP="00583CE2">
            <w:pPr>
              <w:rPr>
                <w:rFonts w:eastAsia="Times New Roman"/>
                <w:sz w:val="20"/>
                <w:szCs w:val="20"/>
              </w:rPr>
            </w:pPr>
          </w:p>
        </w:tc>
        <w:tc>
          <w:tcPr>
            <w:tcW w:w="821" w:type="dxa"/>
            <w:tcBorders>
              <w:top w:val="nil"/>
              <w:left w:val="nil"/>
              <w:bottom w:val="nil"/>
              <w:right w:val="nil"/>
            </w:tcBorders>
            <w:shd w:val="clear" w:color="auto" w:fill="auto"/>
            <w:vAlign w:val="center"/>
            <w:hideMark/>
          </w:tcPr>
          <w:p w14:paraId="28374311" w14:textId="11836AA3" w:rsidR="003876B9" w:rsidRPr="005C3464" w:rsidRDefault="007B59D0" w:rsidP="00583CE2">
            <w:pPr>
              <w:jc w:val="center"/>
              <w:rPr>
                <w:rFonts w:eastAsia="Times New Roman"/>
                <w:i/>
                <w:iCs/>
                <w:color w:val="000000"/>
                <w:sz w:val="22"/>
                <w:szCs w:val="22"/>
              </w:rPr>
            </w:pPr>
            <w:r>
              <w:rPr>
                <w:rFonts w:eastAsia="Times New Roman"/>
                <w:i/>
                <w:iCs/>
                <w:color w:val="000000"/>
                <w:sz w:val="22"/>
                <w:szCs w:val="22"/>
              </w:rPr>
              <w:t>0.79</w:t>
            </w:r>
          </w:p>
        </w:tc>
        <w:tc>
          <w:tcPr>
            <w:tcW w:w="938" w:type="dxa"/>
            <w:tcBorders>
              <w:top w:val="nil"/>
              <w:left w:val="nil"/>
              <w:bottom w:val="nil"/>
              <w:right w:val="nil"/>
            </w:tcBorders>
            <w:shd w:val="clear" w:color="auto" w:fill="auto"/>
            <w:vAlign w:val="center"/>
            <w:hideMark/>
          </w:tcPr>
          <w:p w14:paraId="6B14BAC4" w14:textId="13B07629" w:rsidR="003876B9" w:rsidRPr="005C3464" w:rsidRDefault="003876B9" w:rsidP="007B59D0">
            <w:pPr>
              <w:jc w:val="center"/>
              <w:rPr>
                <w:rFonts w:eastAsia="Times New Roman"/>
                <w:i/>
                <w:iCs/>
                <w:color w:val="000000"/>
                <w:sz w:val="22"/>
                <w:szCs w:val="22"/>
              </w:rPr>
            </w:pPr>
            <w:r w:rsidRPr="005C3464">
              <w:rPr>
                <w:rFonts w:eastAsia="Times New Roman"/>
                <w:i/>
                <w:iCs/>
                <w:color w:val="000000"/>
                <w:sz w:val="22"/>
                <w:szCs w:val="22"/>
              </w:rPr>
              <w:t> </w:t>
            </w:r>
            <w:r w:rsidR="007B59D0">
              <w:rPr>
                <w:rFonts w:eastAsia="Times New Roman"/>
                <w:i/>
                <w:iCs/>
                <w:color w:val="000000"/>
                <w:sz w:val="22"/>
                <w:szCs w:val="22"/>
              </w:rPr>
              <w:t>0.85</w:t>
            </w:r>
          </w:p>
        </w:tc>
        <w:tc>
          <w:tcPr>
            <w:tcW w:w="711" w:type="dxa"/>
            <w:tcBorders>
              <w:top w:val="nil"/>
              <w:left w:val="nil"/>
              <w:bottom w:val="nil"/>
              <w:right w:val="nil"/>
            </w:tcBorders>
            <w:shd w:val="clear" w:color="auto" w:fill="auto"/>
            <w:vAlign w:val="bottom"/>
            <w:hideMark/>
          </w:tcPr>
          <w:p w14:paraId="154DD802" w14:textId="77777777" w:rsidR="003876B9" w:rsidRPr="005C3464" w:rsidRDefault="003876B9"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vAlign w:val="center"/>
            <w:hideMark/>
          </w:tcPr>
          <w:p w14:paraId="6664804B" w14:textId="0BFA9AD2" w:rsidR="003876B9" w:rsidRPr="005C3464" w:rsidRDefault="007B59D0" w:rsidP="00583CE2">
            <w:pPr>
              <w:jc w:val="center"/>
              <w:rPr>
                <w:rFonts w:eastAsia="Times New Roman"/>
                <w:i/>
                <w:iCs/>
                <w:color w:val="000000"/>
                <w:sz w:val="22"/>
                <w:szCs w:val="22"/>
              </w:rPr>
            </w:pPr>
            <w:r>
              <w:rPr>
                <w:rFonts w:eastAsia="Times New Roman"/>
                <w:i/>
                <w:iCs/>
                <w:color w:val="000000"/>
                <w:sz w:val="22"/>
                <w:szCs w:val="22"/>
              </w:rPr>
              <w:t>0.89</w:t>
            </w:r>
          </w:p>
        </w:tc>
        <w:tc>
          <w:tcPr>
            <w:tcW w:w="1137" w:type="dxa"/>
            <w:tcBorders>
              <w:top w:val="nil"/>
              <w:left w:val="nil"/>
              <w:bottom w:val="nil"/>
              <w:right w:val="nil"/>
            </w:tcBorders>
            <w:shd w:val="clear" w:color="auto" w:fill="auto"/>
            <w:vAlign w:val="center"/>
            <w:hideMark/>
          </w:tcPr>
          <w:p w14:paraId="389AA699" w14:textId="458D4EA3" w:rsidR="003876B9" w:rsidRPr="005C3464" w:rsidRDefault="007B59D0" w:rsidP="00583CE2">
            <w:pPr>
              <w:jc w:val="center"/>
              <w:rPr>
                <w:rFonts w:eastAsia="Times New Roman"/>
                <w:i/>
                <w:iCs/>
                <w:color w:val="000000"/>
                <w:sz w:val="22"/>
                <w:szCs w:val="22"/>
              </w:rPr>
            </w:pPr>
            <w:r>
              <w:rPr>
                <w:rFonts w:eastAsia="Times New Roman"/>
                <w:i/>
                <w:iCs/>
                <w:color w:val="000000"/>
                <w:sz w:val="22"/>
                <w:szCs w:val="22"/>
              </w:rPr>
              <w:t>0.80</w:t>
            </w:r>
          </w:p>
        </w:tc>
        <w:tc>
          <w:tcPr>
            <w:tcW w:w="302" w:type="dxa"/>
            <w:tcBorders>
              <w:top w:val="nil"/>
              <w:left w:val="nil"/>
              <w:bottom w:val="nil"/>
              <w:right w:val="nil"/>
            </w:tcBorders>
            <w:shd w:val="clear" w:color="auto" w:fill="auto"/>
            <w:vAlign w:val="bottom"/>
            <w:hideMark/>
          </w:tcPr>
          <w:p w14:paraId="1FF5FDE5" w14:textId="77777777" w:rsidR="003876B9" w:rsidRPr="005C3464" w:rsidRDefault="003876B9" w:rsidP="00583CE2">
            <w:pPr>
              <w:jc w:val="center"/>
              <w:rPr>
                <w:rFonts w:eastAsia="Times New Roman"/>
                <w:i/>
                <w:iCs/>
                <w:color w:val="000000"/>
                <w:sz w:val="22"/>
                <w:szCs w:val="22"/>
              </w:rPr>
            </w:pPr>
          </w:p>
        </w:tc>
        <w:tc>
          <w:tcPr>
            <w:tcW w:w="938" w:type="dxa"/>
            <w:tcBorders>
              <w:top w:val="nil"/>
              <w:left w:val="nil"/>
              <w:bottom w:val="nil"/>
              <w:right w:val="nil"/>
            </w:tcBorders>
            <w:shd w:val="clear" w:color="auto" w:fill="auto"/>
            <w:vAlign w:val="center"/>
            <w:hideMark/>
          </w:tcPr>
          <w:p w14:paraId="3B1A0A84" w14:textId="6D8A2AA3" w:rsidR="003876B9" w:rsidRPr="005C3464" w:rsidRDefault="007B59D0" w:rsidP="00583CE2">
            <w:pPr>
              <w:jc w:val="center"/>
              <w:rPr>
                <w:rFonts w:eastAsia="Times New Roman"/>
                <w:i/>
                <w:iCs/>
                <w:color w:val="000000"/>
                <w:sz w:val="22"/>
                <w:szCs w:val="22"/>
              </w:rPr>
            </w:pPr>
            <w:r>
              <w:rPr>
                <w:rFonts w:eastAsia="Times New Roman"/>
                <w:i/>
                <w:iCs/>
                <w:color w:val="000000"/>
                <w:sz w:val="22"/>
                <w:szCs w:val="22"/>
              </w:rPr>
              <w:t>0.25</w:t>
            </w:r>
          </w:p>
        </w:tc>
        <w:tc>
          <w:tcPr>
            <w:tcW w:w="1078" w:type="dxa"/>
            <w:tcBorders>
              <w:top w:val="nil"/>
              <w:left w:val="nil"/>
              <w:bottom w:val="nil"/>
              <w:right w:val="nil"/>
            </w:tcBorders>
            <w:shd w:val="clear" w:color="auto" w:fill="auto"/>
            <w:vAlign w:val="center"/>
            <w:hideMark/>
          </w:tcPr>
          <w:p w14:paraId="71123900" w14:textId="1A920D42" w:rsidR="003876B9" w:rsidRPr="005C3464" w:rsidRDefault="003876B9" w:rsidP="007B59D0">
            <w:pPr>
              <w:jc w:val="center"/>
              <w:rPr>
                <w:rFonts w:eastAsia="Times New Roman"/>
                <w:i/>
                <w:iCs/>
                <w:color w:val="000000"/>
                <w:sz w:val="22"/>
                <w:szCs w:val="22"/>
              </w:rPr>
            </w:pPr>
            <w:r w:rsidRPr="005C3464">
              <w:rPr>
                <w:rFonts w:eastAsia="Times New Roman"/>
                <w:i/>
                <w:iCs/>
                <w:color w:val="000000"/>
                <w:sz w:val="22"/>
                <w:szCs w:val="22"/>
              </w:rPr>
              <w:t> </w:t>
            </w:r>
            <w:r w:rsidR="007B59D0">
              <w:rPr>
                <w:rFonts w:eastAsia="Times New Roman"/>
                <w:i/>
                <w:iCs/>
                <w:color w:val="000000"/>
                <w:sz w:val="22"/>
                <w:szCs w:val="22"/>
              </w:rPr>
              <w:t>0.16</w:t>
            </w:r>
          </w:p>
        </w:tc>
      </w:tr>
      <w:tr w:rsidR="003876B9" w:rsidRPr="005C3464" w14:paraId="6B8172EC" w14:textId="77777777" w:rsidTr="00583CE2">
        <w:trPr>
          <w:trHeight w:val="300"/>
        </w:trPr>
        <w:tc>
          <w:tcPr>
            <w:tcW w:w="3969" w:type="dxa"/>
            <w:tcBorders>
              <w:top w:val="nil"/>
              <w:left w:val="nil"/>
              <w:bottom w:val="single" w:sz="4" w:space="0" w:color="auto"/>
              <w:right w:val="nil"/>
            </w:tcBorders>
            <w:shd w:val="clear" w:color="auto" w:fill="auto"/>
            <w:vAlign w:val="center"/>
            <w:hideMark/>
          </w:tcPr>
          <w:p w14:paraId="1D121628" w14:textId="77777777" w:rsidR="003876B9" w:rsidRPr="005C3464" w:rsidRDefault="003876B9" w:rsidP="00583CE2">
            <w:pPr>
              <w:rPr>
                <w:rFonts w:eastAsia="Times New Roman"/>
                <w:color w:val="000000"/>
                <w:sz w:val="22"/>
                <w:szCs w:val="22"/>
              </w:rPr>
            </w:pPr>
            <w:r w:rsidRPr="005C3464">
              <w:rPr>
                <w:rFonts w:eastAsia="Times New Roman"/>
                <w:color w:val="000000"/>
                <w:sz w:val="22"/>
                <w:szCs w:val="22"/>
              </w:rPr>
              <w:t>Total</w:t>
            </w:r>
          </w:p>
        </w:tc>
        <w:tc>
          <w:tcPr>
            <w:tcW w:w="1151" w:type="dxa"/>
            <w:tcBorders>
              <w:top w:val="nil"/>
              <w:left w:val="nil"/>
              <w:bottom w:val="single" w:sz="4" w:space="0" w:color="auto"/>
              <w:right w:val="nil"/>
            </w:tcBorders>
            <w:shd w:val="clear" w:color="auto" w:fill="auto"/>
            <w:vAlign w:val="center"/>
            <w:hideMark/>
          </w:tcPr>
          <w:p w14:paraId="59E8C91B" w14:textId="77777777" w:rsidR="003876B9" w:rsidRPr="005C3464" w:rsidRDefault="003876B9" w:rsidP="00583CE2">
            <w:pPr>
              <w:rPr>
                <w:rFonts w:eastAsia="Times New Roman"/>
                <w:color w:val="000000"/>
                <w:sz w:val="22"/>
                <w:szCs w:val="22"/>
              </w:rPr>
            </w:pPr>
            <w:r w:rsidRPr="005C3464">
              <w:rPr>
                <w:rFonts w:eastAsia="Times New Roman"/>
                <w:color w:val="000000"/>
                <w:sz w:val="22"/>
                <w:szCs w:val="22"/>
              </w:rPr>
              <w:t> </w:t>
            </w:r>
          </w:p>
        </w:tc>
        <w:tc>
          <w:tcPr>
            <w:tcW w:w="834" w:type="dxa"/>
            <w:tcBorders>
              <w:top w:val="nil"/>
              <w:left w:val="nil"/>
              <w:bottom w:val="single" w:sz="4" w:space="0" w:color="auto"/>
              <w:right w:val="nil"/>
            </w:tcBorders>
            <w:shd w:val="clear" w:color="auto" w:fill="auto"/>
            <w:vAlign w:val="center"/>
            <w:hideMark/>
          </w:tcPr>
          <w:p w14:paraId="52780313" w14:textId="100B9879" w:rsidR="003876B9" w:rsidRPr="005C3464" w:rsidRDefault="007B59D0" w:rsidP="00583CE2">
            <w:pPr>
              <w:jc w:val="center"/>
              <w:rPr>
                <w:rFonts w:eastAsia="Times New Roman"/>
                <w:color w:val="000000"/>
                <w:sz w:val="22"/>
                <w:szCs w:val="22"/>
              </w:rPr>
            </w:pPr>
            <w:r>
              <w:rPr>
                <w:rFonts w:eastAsia="Times New Roman"/>
                <w:color w:val="000000"/>
                <w:sz w:val="22"/>
                <w:szCs w:val="22"/>
              </w:rPr>
              <w:t>909</w:t>
            </w:r>
          </w:p>
        </w:tc>
        <w:tc>
          <w:tcPr>
            <w:tcW w:w="408" w:type="dxa"/>
            <w:tcBorders>
              <w:top w:val="nil"/>
              <w:left w:val="nil"/>
              <w:bottom w:val="single" w:sz="4" w:space="0" w:color="auto"/>
              <w:right w:val="nil"/>
            </w:tcBorders>
            <w:shd w:val="clear" w:color="auto" w:fill="auto"/>
            <w:vAlign w:val="bottom"/>
            <w:hideMark/>
          </w:tcPr>
          <w:p w14:paraId="611AC9D1" w14:textId="77777777" w:rsidR="003876B9" w:rsidRPr="005C3464" w:rsidRDefault="003876B9" w:rsidP="00583CE2">
            <w:pPr>
              <w:rPr>
                <w:rFonts w:ascii="Calibri" w:eastAsia="Times New Roman" w:hAnsi="Calibri" w:cs="Calibri"/>
                <w:color w:val="000000"/>
                <w:sz w:val="22"/>
                <w:szCs w:val="22"/>
              </w:rPr>
            </w:pPr>
            <w:r w:rsidRPr="005C3464">
              <w:rPr>
                <w:rFonts w:ascii="Calibri" w:eastAsia="Times New Roman" w:hAnsi="Calibri" w:cs="Calibri"/>
                <w:color w:val="000000"/>
                <w:sz w:val="22"/>
                <w:szCs w:val="22"/>
              </w:rPr>
              <w:t> </w:t>
            </w:r>
          </w:p>
        </w:tc>
        <w:tc>
          <w:tcPr>
            <w:tcW w:w="821" w:type="dxa"/>
            <w:tcBorders>
              <w:top w:val="nil"/>
              <w:left w:val="nil"/>
              <w:bottom w:val="single" w:sz="4" w:space="0" w:color="auto"/>
              <w:right w:val="nil"/>
            </w:tcBorders>
            <w:shd w:val="clear" w:color="auto" w:fill="auto"/>
            <w:vAlign w:val="center"/>
            <w:hideMark/>
          </w:tcPr>
          <w:p w14:paraId="5BBD2F91" w14:textId="087803C2" w:rsidR="003876B9" w:rsidRPr="005C3464" w:rsidRDefault="007B59D0" w:rsidP="00583CE2">
            <w:pPr>
              <w:jc w:val="center"/>
              <w:rPr>
                <w:rFonts w:eastAsia="Times New Roman"/>
                <w:color w:val="000000"/>
                <w:sz w:val="22"/>
                <w:szCs w:val="22"/>
              </w:rPr>
            </w:pPr>
            <w:r>
              <w:rPr>
                <w:rFonts w:eastAsia="Times New Roman"/>
                <w:color w:val="000000"/>
                <w:sz w:val="22"/>
                <w:szCs w:val="22"/>
              </w:rPr>
              <w:t>120.11</w:t>
            </w:r>
          </w:p>
        </w:tc>
        <w:tc>
          <w:tcPr>
            <w:tcW w:w="938" w:type="dxa"/>
            <w:tcBorders>
              <w:top w:val="nil"/>
              <w:left w:val="nil"/>
              <w:bottom w:val="single" w:sz="4" w:space="0" w:color="auto"/>
              <w:right w:val="nil"/>
            </w:tcBorders>
            <w:shd w:val="clear" w:color="auto" w:fill="auto"/>
            <w:vAlign w:val="center"/>
            <w:hideMark/>
          </w:tcPr>
          <w:p w14:paraId="03D6A2F3" w14:textId="284856B8" w:rsidR="003876B9" w:rsidRPr="005C3464" w:rsidRDefault="007B59D0" w:rsidP="00583CE2">
            <w:pPr>
              <w:jc w:val="center"/>
              <w:rPr>
                <w:rFonts w:eastAsia="Times New Roman"/>
                <w:color w:val="000000"/>
                <w:sz w:val="22"/>
                <w:szCs w:val="22"/>
              </w:rPr>
            </w:pPr>
            <w:r>
              <w:rPr>
                <w:rFonts w:eastAsia="Times New Roman"/>
                <w:color w:val="000000"/>
                <w:sz w:val="22"/>
                <w:szCs w:val="22"/>
              </w:rPr>
              <w:t>90</w:t>
            </w:r>
          </w:p>
        </w:tc>
        <w:tc>
          <w:tcPr>
            <w:tcW w:w="711" w:type="dxa"/>
            <w:tcBorders>
              <w:top w:val="nil"/>
              <w:left w:val="nil"/>
              <w:bottom w:val="single" w:sz="4" w:space="0" w:color="auto"/>
              <w:right w:val="nil"/>
            </w:tcBorders>
            <w:shd w:val="clear" w:color="auto" w:fill="auto"/>
            <w:vAlign w:val="bottom"/>
            <w:hideMark/>
          </w:tcPr>
          <w:p w14:paraId="5C35EC83" w14:textId="77777777" w:rsidR="003876B9" w:rsidRPr="005C3464" w:rsidRDefault="003876B9" w:rsidP="00583CE2">
            <w:pPr>
              <w:rPr>
                <w:rFonts w:ascii="Calibri" w:eastAsia="Times New Roman" w:hAnsi="Calibri" w:cs="Calibri"/>
                <w:color w:val="000000"/>
                <w:sz w:val="22"/>
                <w:szCs w:val="22"/>
              </w:rPr>
            </w:pPr>
            <w:r w:rsidRPr="005C3464">
              <w:rPr>
                <w:rFonts w:ascii="Calibri" w:eastAsia="Times New Roman" w:hAnsi="Calibri" w:cs="Calibri"/>
                <w:color w:val="000000"/>
                <w:sz w:val="22"/>
                <w:szCs w:val="22"/>
              </w:rPr>
              <w:t> </w:t>
            </w:r>
          </w:p>
        </w:tc>
        <w:tc>
          <w:tcPr>
            <w:tcW w:w="754" w:type="dxa"/>
            <w:tcBorders>
              <w:top w:val="nil"/>
              <w:left w:val="nil"/>
              <w:bottom w:val="single" w:sz="4" w:space="0" w:color="auto"/>
              <w:right w:val="nil"/>
            </w:tcBorders>
            <w:shd w:val="clear" w:color="auto" w:fill="auto"/>
            <w:vAlign w:val="center"/>
            <w:hideMark/>
          </w:tcPr>
          <w:p w14:paraId="1BBF4C30" w14:textId="54DBDE5D" w:rsidR="003876B9" w:rsidRPr="005C3464" w:rsidRDefault="007B59D0" w:rsidP="00583CE2">
            <w:pPr>
              <w:jc w:val="center"/>
              <w:rPr>
                <w:rFonts w:eastAsia="Times New Roman"/>
                <w:color w:val="000000"/>
                <w:sz w:val="22"/>
                <w:szCs w:val="22"/>
              </w:rPr>
            </w:pPr>
            <w:r>
              <w:rPr>
                <w:rFonts w:eastAsia="Times New Roman"/>
                <w:color w:val="000000"/>
                <w:sz w:val="22"/>
                <w:szCs w:val="22"/>
              </w:rPr>
              <w:t>2.77</w:t>
            </w:r>
          </w:p>
        </w:tc>
        <w:tc>
          <w:tcPr>
            <w:tcW w:w="1137" w:type="dxa"/>
            <w:tcBorders>
              <w:top w:val="nil"/>
              <w:left w:val="nil"/>
              <w:bottom w:val="single" w:sz="4" w:space="0" w:color="auto"/>
              <w:right w:val="nil"/>
            </w:tcBorders>
            <w:shd w:val="clear" w:color="auto" w:fill="auto"/>
            <w:vAlign w:val="center"/>
            <w:hideMark/>
          </w:tcPr>
          <w:p w14:paraId="14DA84D0" w14:textId="77777777" w:rsidR="003876B9" w:rsidRPr="005C3464" w:rsidRDefault="003876B9" w:rsidP="00583CE2">
            <w:pPr>
              <w:jc w:val="center"/>
              <w:rPr>
                <w:rFonts w:eastAsia="Times New Roman"/>
                <w:color w:val="000000"/>
                <w:sz w:val="22"/>
                <w:szCs w:val="22"/>
              </w:rPr>
            </w:pPr>
            <w:r w:rsidRPr="005C3464">
              <w:rPr>
                <w:rFonts w:eastAsia="Times New Roman"/>
                <w:color w:val="000000"/>
                <w:sz w:val="22"/>
                <w:szCs w:val="22"/>
              </w:rPr>
              <w:t>3</w:t>
            </w:r>
          </w:p>
        </w:tc>
        <w:tc>
          <w:tcPr>
            <w:tcW w:w="302" w:type="dxa"/>
            <w:tcBorders>
              <w:top w:val="nil"/>
              <w:left w:val="nil"/>
              <w:bottom w:val="single" w:sz="4" w:space="0" w:color="auto"/>
              <w:right w:val="nil"/>
            </w:tcBorders>
            <w:shd w:val="clear" w:color="auto" w:fill="auto"/>
            <w:vAlign w:val="bottom"/>
            <w:hideMark/>
          </w:tcPr>
          <w:p w14:paraId="1E25DBF5" w14:textId="77777777" w:rsidR="003876B9" w:rsidRPr="005C3464" w:rsidRDefault="003876B9" w:rsidP="00583CE2">
            <w:pPr>
              <w:rPr>
                <w:rFonts w:ascii="Calibri" w:eastAsia="Times New Roman" w:hAnsi="Calibri" w:cs="Calibri"/>
                <w:color w:val="000000"/>
                <w:sz w:val="22"/>
                <w:szCs w:val="22"/>
              </w:rPr>
            </w:pPr>
            <w:r w:rsidRPr="005C3464">
              <w:rPr>
                <w:rFonts w:ascii="Calibri" w:eastAsia="Times New Roman" w:hAnsi="Calibri" w:cs="Calibri"/>
                <w:color w:val="000000"/>
                <w:sz w:val="22"/>
                <w:szCs w:val="22"/>
              </w:rPr>
              <w:t> </w:t>
            </w:r>
          </w:p>
        </w:tc>
        <w:tc>
          <w:tcPr>
            <w:tcW w:w="938" w:type="dxa"/>
            <w:tcBorders>
              <w:top w:val="nil"/>
              <w:left w:val="nil"/>
              <w:bottom w:val="single" w:sz="4" w:space="0" w:color="auto"/>
              <w:right w:val="nil"/>
            </w:tcBorders>
            <w:shd w:val="clear" w:color="auto" w:fill="auto"/>
            <w:vAlign w:val="center"/>
            <w:hideMark/>
          </w:tcPr>
          <w:p w14:paraId="2D7408EB" w14:textId="4F2AF38F" w:rsidR="003876B9" w:rsidRPr="005C3464" w:rsidRDefault="007B59D0" w:rsidP="00583CE2">
            <w:pPr>
              <w:jc w:val="center"/>
              <w:rPr>
                <w:rFonts w:eastAsia="Times New Roman"/>
                <w:color w:val="000000"/>
                <w:sz w:val="22"/>
                <w:szCs w:val="22"/>
              </w:rPr>
            </w:pPr>
            <w:r>
              <w:rPr>
                <w:rFonts w:eastAsia="Times New Roman"/>
                <w:color w:val="000000"/>
                <w:sz w:val="22"/>
                <w:szCs w:val="22"/>
              </w:rPr>
              <w:t>26.36</w:t>
            </w:r>
          </w:p>
        </w:tc>
        <w:tc>
          <w:tcPr>
            <w:tcW w:w="1078" w:type="dxa"/>
            <w:tcBorders>
              <w:top w:val="nil"/>
              <w:left w:val="nil"/>
              <w:bottom w:val="single" w:sz="4" w:space="0" w:color="auto"/>
              <w:right w:val="nil"/>
            </w:tcBorders>
            <w:shd w:val="clear" w:color="auto" w:fill="auto"/>
            <w:vAlign w:val="center"/>
            <w:hideMark/>
          </w:tcPr>
          <w:p w14:paraId="5786DAB7" w14:textId="2C35D59D" w:rsidR="003876B9" w:rsidRPr="005C3464" w:rsidRDefault="007B59D0" w:rsidP="00583CE2">
            <w:pPr>
              <w:jc w:val="center"/>
              <w:rPr>
                <w:rFonts w:eastAsia="Times New Roman"/>
                <w:color w:val="000000"/>
                <w:sz w:val="22"/>
                <w:szCs w:val="22"/>
              </w:rPr>
            </w:pPr>
            <w:r>
              <w:rPr>
                <w:rFonts w:eastAsia="Times New Roman"/>
                <w:color w:val="000000"/>
                <w:sz w:val="22"/>
                <w:szCs w:val="22"/>
              </w:rPr>
              <w:t>22</w:t>
            </w:r>
          </w:p>
        </w:tc>
      </w:tr>
      <w:tr w:rsidR="003876B9" w:rsidRPr="005C3464" w14:paraId="2FB0C748" w14:textId="77777777" w:rsidTr="00583CE2">
        <w:trPr>
          <w:trHeight w:val="720"/>
        </w:trPr>
        <w:tc>
          <w:tcPr>
            <w:tcW w:w="13041" w:type="dxa"/>
            <w:gridSpan w:val="12"/>
            <w:tcBorders>
              <w:top w:val="nil"/>
              <w:left w:val="nil"/>
              <w:bottom w:val="nil"/>
              <w:right w:val="nil"/>
            </w:tcBorders>
            <w:shd w:val="clear" w:color="auto" w:fill="auto"/>
            <w:vAlign w:val="bottom"/>
            <w:hideMark/>
          </w:tcPr>
          <w:p w14:paraId="6022BCC5" w14:textId="5B5FFADC" w:rsidR="003876B9" w:rsidRPr="005C3464" w:rsidRDefault="003876B9" w:rsidP="00583CE2">
            <w:pPr>
              <w:rPr>
                <w:rFonts w:eastAsia="Times New Roman"/>
                <w:b/>
                <w:bCs/>
                <w:color w:val="000000"/>
                <w:sz w:val="22"/>
                <w:szCs w:val="22"/>
                <w:vertAlign w:val="superscript"/>
              </w:rPr>
            </w:pPr>
            <w:r w:rsidRPr="005C3464">
              <w:rPr>
                <w:rFonts w:eastAsia="Times New Roman"/>
                <w:b/>
                <w:bCs/>
                <w:color w:val="000000"/>
                <w:sz w:val="22"/>
                <w:szCs w:val="22"/>
              </w:rPr>
              <w:t xml:space="preserve">Panel B. Descriptive statistics of SEC review attributes by technology </w:t>
            </w:r>
            <w:r w:rsidR="005A46EE">
              <w:rPr>
                <w:rFonts w:eastAsia="Times New Roman"/>
                <w:b/>
                <w:bCs/>
                <w:color w:val="000000"/>
                <w:sz w:val="22"/>
                <w:szCs w:val="22"/>
              </w:rPr>
              <w:t>industries</w:t>
            </w:r>
          </w:p>
        </w:tc>
      </w:tr>
      <w:tr w:rsidR="003876B9" w:rsidRPr="005C3464" w14:paraId="332AA6C7" w14:textId="77777777" w:rsidTr="00583CE2">
        <w:trPr>
          <w:trHeight w:val="585"/>
        </w:trPr>
        <w:tc>
          <w:tcPr>
            <w:tcW w:w="3969" w:type="dxa"/>
            <w:tcBorders>
              <w:top w:val="nil"/>
              <w:left w:val="nil"/>
              <w:bottom w:val="single" w:sz="4" w:space="0" w:color="auto"/>
              <w:right w:val="nil"/>
            </w:tcBorders>
            <w:shd w:val="clear" w:color="auto" w:fill="auto"/>
            <w:vAlign w:val="bottom"/>
            <w:hideMark/>
          </w:tcPr>
          <w:p w14:paraId="2BD9D658"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Industry</w:t>
            </w:r>
          </w:p>
        </w:tc>
        <w:tc>
          <w:tcPr>
            <w:tcW w:w="1151" w:type="dxa"/>
            <w:tcBorders>
              <w:top w:val="nil"/>
              <w:left w:val="nil"/>
              <w:bottom w:val="nil"/>
              <w:right w:val="nil"/>
            </w:tcBorders>
            <w:shd w:val="clear" w:color="auto" w:fill="auto"/>
            <w:vAlign w:val="bottom"/>
            <w:hideMark/>
          </w:tcPr>
          <w:p w14:paraId="5F00C8DB" w14:textId="77777777" w:rsidR="003876B9" w:rsidRPr="005C3464" w:rsidRDefault="003876B9" w:rsidP="00583CE2">
            <w:pPr>
              <w:jc w:val="center"/>
              <w:rPr>
                <w:rFonts w:eastAsia="Times New Roman"/>
                <w:b/>
                <w:bCs/>
                <w:color w:val="000000"/>
                <w:sz w:val="22"/>
                <w:szCs w:val="22"/>
              </w:rPr>
            </w:pPr>
          </w:p>
        </w:tc>
        <w:tc>
          <w:tcPr>
            <w:tcW w:w="834" w:type="dxa"/>
            <w:tcBorders>
              <w:top w:val="nil"/>
              <w:left w:val="nil"/>
              <w:bottom w:val="single" w:sz="4" w:space="0" w:color="auto"/>
              <w:right w:val="nil"/>
            </w:tcBorders>
            <w:shd w:val="clear" w:color="auto" w:fill="auto"/>
            <w:vAlign w:val="bottom"/>
            <w:hideMark/>
          </w:tcPr>
          <w:p w14:paraId="3C266010"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N</w:t>
            </w:r>
          </w:p>
        </w:tc>
        <w:tc>
          <w:tcPr>
            <w:tcW w:w="408" w:type="dxa"/>
            <w:tcBorders>
              <w:top w:val="nil"/>
              <w:left w:val="nil"/>
              <w:bottom w:val="nil"/>
              <w:right w:val="nil"/>
            </w:tcBorders>
            <w:shd w:val="clear" w:color="auto" w:fill="auto"/>
            <w:vAlign w:val="bottom"/>
            <w:hideMark/>
          </w:tcPr>
          <w:p w14:paraId="27400BDF" w14:textId="77777777" w:rsidR="003876B9" w:rsidRPr="005C3464" w:rsidRDefault="003876B9" w:rsidP="00583CE2">
            <w:pPr>
              <w:jc w:val="center"/>
              <w:rPr>
                <w:rFonts w:eastAsia="Times New Roman"/>
                <w:b/>
                <w:bCs/>
                <w:color w:val="000000"/>
                <w:sz w:val="22"/>
                <w:szCs w:val="22"/>
              </w:rPr>
            </w:pPr>
          </w:p>
        </w:tc>
        <w:tc>
          <w:tcPr>
            <w:tcW w:w="1759" w:type="dxa"/>
            <w:gridSpan w:val="2"/>
            <w:tcBorders>
              <w:top w:val="nil"/>
              <w:left w:val="nil"/>
              <w:bottom w:val="single" w:sz="4" w:space="0" w:color="auto"/>
              <w:right w:val="nil"/>
            </w:tcBorders>
            <w:shd w:val="clear" w:color="auto" w:fill="auto"/>
            <w:vAlign w:val="bottom"/>
            <w:hideMark/>
          </w:tcPr>
          <w:p w14:paraId="5F143D7B"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Duration</w:t>
            </w:r>
          </w:p>
        </w:tc>
        <w:tc>
          <w:tcPr>
            <w:tcW w:w="711" w:type="dxa"/>
            <w:tcBorders>
              <w:top w:val="nil"/>
              <w:left w:val="nil"/>
              <w:bottom w:val="nil"/>
              <w:right w:val="nil"/>
            </w:tcBorders>
            <w:shd w:val="clear" w:color="auto" w:fill="auto"/>
            <w:vAlign w:val="bottom"/>
            <w:hideMark/>
          </w:tcPr>
          <w:p w14:paraId="26877EDD" w14:textId="77777777" w:rsidR="003876B9" w:rsidRPr="005C3464" w:rsidRDefault="003876B9" w:rsidP="00583CE2">
            <w:pPr>
              <w:jc w:val="center"/>
              <w:rPr>
                <w:rFonts w:eastAsia="Times New Roman"/>
                <w:b/>
                <w:bCs/>
                <w:color w:val="000000"/>
                <w:sz w:val="22"/>
                <w:szCs w:val="22"/>
              </w:rPr>
            </w:pPr>
          </w:p>
        </w:tc>
        <w:tc>
          <w:tcPr>
            <w:tcW w:w="1891" w:type="dxa"/>
            <w:gridSpan w:val="2"/>
            <w:tcBorders>
              <w:top w:val="nil"/>
              <w:left w:val="nil"/>
              <w:bottom w:val="single" w:sz="4" w:space="0" w:color="auto"/>
              <w:right w:val="nil"/>
            </w:tcBorders>
            <w:shd w:val="clear" w:color="auto" w:fill="auto"/>
            <w:vAlign w:val="bottom"/>
            <w:hideMark/>
          </w:tcPr>
          <w:p w14:paraId="371A9C55" w14:textId="25AE4A9E" w:rsidR="003876B9" w:rsidRPr="005C3464" w:rsidRDefault="00096064" w:rsidP="00583CE2">
            <w:pPr>
              <w:jc w:val="center"/>
              <w:rPr>
                <w:rFonts w:eastAsia="Times New Roman"/>
                <w:b/>
                <w:bCs/>
                <w:color w:val="000000"/>
                <w:sz w:val="22"/>
                <w:szCs w:val="22"/>
              </w:rPr>
            </w:pPr>
            <w:r>
              <w:rPr>
                <w:rFonts w:eastAsia="Times New Roman"/>
                <w:b/>
                <w:bCs/>
                <w:color w:val="000000"/>
                <w:sz w:val="22"/>
                <w:szCs w:val="22"/>
              </w:rPr>
              <w:t>Letters</w:t>
            </w:r>
          </w:p>
        </w:tc>
        <w:tc>
          <w:tcPr>
            <w:tcW w:w="302" w:type="dxa"/>
            <w:tcBorders>
              <w:top w:val="nil"/>
              <w:left w:val="nil"/>
              <w:bottom w:val="nil"/>
              <w:right w:val="nil"/>
            </w:tcBorders>
            <w:shd w:val="clear" w:color="auto" w:fill="auto"/>
            <w:vAlign w:val="bottom"/>
            <w:hideMark/>
          </w:tcPr>
          <w:p w14:paraId="12EC3DA0" w14:textId="77777777" w:rsidR="003876B9" w:rsidRPr="005C3464" w:rsidRDefault="003876B9" w:rsidP="00583CE2">
            <w:pPr>
              <w:jc w:val="center"/>
              <w:rPr>
                <w:rFonts w:eastAsia="Times New Roman"/>
                <w:b/>
                <w:bCs/>
                <w:color w:val="000000"/>
                <w:sz w:val="22"/>
                <w:szCs w:val="22"/>
              </w:rPr>
            </w:pPr>
          </w:p>
        </w:tc>
        <w:tc>
          <w:tcPr>
            <w:tcW w:w="2016" w:type="dxa"/>
            <w:gridSpan w:val="2"/>
            <w:tcBorders>
              <w:top w:val="nil"/>
              <w:left w:val="nil"/>
              <w:bottom w:val="single" w:sz="4" w:space="0" w:color="auto"/>
              <w:right w:val="nil"/>
            </w:tcBorders>
            <w:shd w:val="clear" w:color="auto" w:fill="auto"/>
            <w:vAlign w:val="bottom"/>
            <w:hideMark/>
          </w:tcPr>
          <w:p w14:paraId="0C04E750" w14:textId="32204516" w:rsidR="003876B9" w:rsidRPr="005C3464" w:rsidRDefault="00096064" w:rsidP="00583CE2">
            <w:pPr>
              <w:jc w:val="center"/>
              <w:rPr>
                <w:rFonts w:eastAsia="Times New Roman"/>
                <w:b/>
                <w:bCs/>
                <w:color w:val="000000"/>
                <w:sz w:val="22"/>
                <w:szCs w:val="22"/>
              </w:rPr>
            </w:pPr>
            <w:r>
              <w:rPr>
                <w:rFonts w:eastAsia="Times New Roman"/>
                <w:b/>
                <w:bCs/>
                <w:color w:val="000000"/>
                <w:sz w:val="22"/>
                <w:szCs w:val="22"/>
              </w:rPr>
              <w:t>Comments</w:t>
            </w:r>
          </w:p>
        </w:tc>
      </w:tr>
      <w:tr w:rsidR="003876B9" w:rsidRPr="005C3464" w14:paraId="53E0491A" w14:textId="77777777" w:rsidTr="00583CE2">
        <w:trPr>
          <w:trHeight w:val="285"/>
        </w:trPr>
        <w:tc>
          <w:tcPr>
            <w:tcW w:w="3969" w:type="dxa"/>
            <w:tcBorders>
              <w:top w:val="nil"/>
              <w:left w:val="nil"/>
              <w:bottom w:val="nil"/>
              <w:right w:val="nil"/>
            </w:tcBorders>
            <w:shd w:val="clear" w:color="auto" w:fill="auto"/>
            <w:vAlign w:val="bottom"/>
            <w:hideMark/>
          </w:tcPr>
          <w:p w14:paraId="064CFB69" w14:textId="77777777" w:rsidR="003876B9" w:rsidRPr="005C3464" w:rsidRDefault="003876B9" w:rsidP="00583CE2">
            <w:pPr>
              <w:jc w:val="center"/>
              <w:rPr>
                <w:rFonts w:eastAsia="Times New Roman"/>
                <w:b/>
                <w:bCs/>
                <w:color w:val="000000"/>
                <w:sz w:val="22"/>
                <w:szCs w:val="22"/>
              </w:rPr>
            </w:pPr>
          </w:p>
        </w:tc>
        <w:tc>
          <w:tcPr>
            <w:tcW w:w="1151" w:type="dxa"/>
            <w:tcBorders>
              <w:top w:val="nil"/>
              <w:left w:val="nil"/>
              <w:bottom w:val="nil"/>
              <w:right w:val="nil"/>
            </w:tcBorders>
            <w:shd w:val="clear" w:color="auto" w:fill="auto"/>
            <w:vAlign w:val="bottom"/>
            <w:hideMark/>
          </w:tcPr>
          <w:p w14:paraId="525599D3" w14:textId="77777777" w:rsidR="003876B9" w:rsidRPr="005C3464" w:rsidRDefault="003876B9" w:rsidP="00583CE2">
            <w:pPr>
              <w:jc w:val="center"/>
              <w:rPr>
                <w:rFonts w:eastAsia="Times New Roman"/>
                <w:sz w:val="20"/>
                <w:szCs w:val="20"/>
              </w:rPr>
            </w:pPr>
          </w:p>
        </w:tc>
        <w:tc>
          <w:tcPr>
            <w:tcW w:w="834" w:type="dxa"/>
            <w:tcBorders>
              <w:top w:val="nil"/>
              <w:left w:val="nil"/>
              <w:bottom w:val="nil"/>
              <w:right w:val="nil"/>
            </w:tcBorders>
            <w:shd w:val="clear" w:color="auto" w:fill="auto"/>
            <w:vAlign w:val="bottom"/>
            <w:hideMark/>
          </w:tcPr>
          <w:p w14:paraId="38FB13B6" w14:textId="77777777" w:rsidR="003876B9" w:rsidRPr="005C3464" w:rsidRDefault="003876B9" w:rsidP="00583CE2">
            <w:pPr>
              <w:jc w:val="center"/>
              <w:rPr>
                <w:rFonts w:eastAsia="Times New Roman"/>
                <w:sz w:val="20"/>
                <w:szCs w:val="20"/>
              </w:rPr>
            </w:pPr>
          </w:p>
        </w:tc>
        <w:tc>
          <w:tcPr>
            <w:tcW w:w="408" w:type="dxa"/>
            <w:tcBorders>
              <w:top w:val="nil"/>
              <w:left w:val="nil"/>
              <w:bottom w:val="nil"/>
              <w:right w:val="nil"/>
            </w:tcBorders>
            <w:shd w:val="clear" w:color="auto" w:fill="auto"/>
            <w:vAlign w:val="bottom"/>
            <w:hideMark/>
          </w:tcPr>
          <w:p w14:paraId="133001B7" w14:textId="77777777" w:rsidR="003876B9" w:rsidRPr="005C3464" w:rsidRDefault="003876B9" w:rsidP="00583CE2">
            <w:pPr>
              <w:jc w:val="center"/>
              <w:rPr>
                <w:rFonts w:eastAsia="Times New Roman"/>
                <w:sz w:val="20"/>
                <w:szCs w:val="20"/>
              </w:rPr>
            </w:pPr>
          </w:p>
        </w:tc>
        <w:tc>
          <w:tcPr>
            <w:tcW w:w="821" w:type="dxa"/>
            <w:tcBorders>
              <w:top w:val="nil"/>
              <w:left w:val="nil"/>
              <w:bottom w:val="single" w:sz="4" w:space="0" w:color="auto"/>
              <w:right w:val="nil"/>
            </w:tcBorders>
            <w:shd w:val="clear" w:color="auto" w:fill="auto"/>
            <w:vAlign w:val="bottom"/>
            <w:hideMark/>
          </w:tcPr>
          <w:p w14:paraId="33BE7FBB"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Mean</w:t>
            </w:r>
          </w:p>
        </w:tc>
        <w:tc>
          <w:tcPr>
            <w:tcW w:w="938" w:type="dxa"/>
            <w:tcBorders>
              <w:top w:val="nil"/>
              <w:left w:val="nil"/>
              <w:bottom w:val="single" w:sz="4" w:space="0" w:color="auto"/>
              <w:right w:val="nil"/>
            </w:tcBorders>
            <w:shd w:val="clear" w:color="auto" w:fill="auto"/>
            <w:vAlign w:val="bottom"/>
            <w:hideMark/>
          </w:tcPr>
          <w:p w14:paraId="2E36EFE4"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Median</w:t>
            </w:r>
          </w:p>
        </w:tc>
        <w:tc>
          <w:tcPr>
            <w:tcW w:w="711" w:type="dxa"/>
            <w:tcBorders>
              <w:top w:val="nil"/>
              <w:left w:val="nil"/>
              <w:bottom w:val="nil"/>
              <w:right w:val="nil"/>
            </w:tcBorders>
            <w:shd w:val="clear" w:color="auto" w:fill="auto"/>
            <w:vAlign w:val="bottom"/>
            <w:hideMark/>
          </w:tcPr>
          <w:p w14:paraId="0C9DD832" w14:textId="77777777" w:rsidR="003876B9" w:rsidRPr="005C3464" w:rsidRDefault="003876B9" w:rsidP="00583CE2">
            <w:pPr>
              <w:jc w:val="center"/>
              <w:rPr>
                <w:rFonts w:eastAsia="Times New Roman"/>
                <w:b/>
                <w:bCs/>
                <w:color w:val="000000"/>
                <w:sz w:val="22"/>
                <w:szCs w:val="22"/>
              </w:rPr>
            </w:pPr>
          </w:p>
        </w:tc>
        <w:tc>
          <w:tcPr>
            <w:tcW w:w="754" w:type="dxa"/>
            <w:tcBorders>
              <w:top w:val="nil"/>
              <w:left w:val="nil"/>
              <w:bottom w:val="single" w:sz="4" w:space="0" w:color="auto"/>
              <w:right w:val="nil"/>
            </w:tcBorders>
            <w:shd w:val="clear" w:color="auto" w:fill="auto"/>
            <w:vAlign w:val="bottom"/>
            <w:hideMark/>
          </w:tcPr>
          <w:p w14:paraId="1E7BABE4"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Mean</w:t>
            </w:r>
          </w:p>
        </w:tc>
        <w:tc>
          <w:tcPr>
            <w:tcW w:w="1137" w:type="dxa"/>
            <w:tcBorders>
              <w:top w:val="nil"/>
              <w:left w:val="nil"/>
              <w:bottom w:val="single" w:sz="4" w:space="0" w:color="auto"/>
              <w:right w:val="nil"/>
            </w:tcBorders>
            <w:shd w:val="clear" w:color="auto" w:fill="auto"/>
            <w:vAlign w:val="bottom"/>
            <w:hideMark/>
          </w:tcPr>
          <w:p w14:paraId="097E0660"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Median</w:t>
            </w:r>
          </w:p>
        </w:tc>
        <w:tc>
          <w:tcPr>
            <w:tcW w:w="302" w:type="dxa"/>
            <w:tcBorders>
              <w:top w:val="nil"/>
              <w:left w:val="nil"/>
              <w:bottom w:val="nil"/>
              <w:right w:val="nil"/>
            </w:tcBorders>
            <w:shd w:val="clear" w:color="auto" w:fill="auto"/>
            <w:vAlign w:val="bottom"/>
            <w:hideMark/>
          </w:tcPr>
          <w:p w14:paraId="42C73B5C" w14:textId="77777777" w:rsidR="003876B9" w:rsidRPr="005C3464" w:rsidRDefault="003876B9" w:rsidP="00583CE2">
            <w:pPr>
              <w:jc w:val="center"/>
              <w:rPr>
                <w:rFonts w:eastAsia="Times New Roman"/>
                <w:b/>
                <w:bCs/>
                <w:color w:val="000000"/>
                <w:sz w:val="22"/>
                <w:szCs w:val="22"/>
              </w:rPr>
            </w:pPr>
          </w:p>
        </w:tc>
        <w:tc>
          <w:tcPr>
            <w:tcW w:w="938" w:type="dxa"/>
            <w:tcBorders>
              <w:top w:val="nil"/>
              <w:left w:val="nil"/>
              <w:bottom w:val="single" w:sz="4" w:space="0" w:color="auto"/>
              <w:right w:val="nil"/>
            </w:tcBorders>
            <w:shd w:val="clear" w:color="auto" w:fill="auto"/>
            <w:vAlign w:val="bottom"/>
            <w:hideMark/>
          </w:tcPr>
          <w:p w14:paraId="703D11E2"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Mean</w:t>
            </w:r>
          </w:p>
        </w:tc>
        <w:tc>
          <w:tcPr>
            <w:tcW w:w="1078" w:type="dxa"/>
            <w:tcBorders>
              <w:top w:val="nil"/>
              <w:left w:val="nil"/>
              <w:bottom w:val="single" w:sz="4" w:space="0" w:color="auto"/>
              <w:right w:val="nil"/>
            </w:tcBorders>
            <w:shd w:val="clear" w:color="auto" w:fill="auto"/>
            <w:vAlign w:val="bottom"/>
            <w:hideMark/>
          </w:tcPr>
          <w:p w14:paraId="71E406A8" w14:textId="77777777" w:rsidR="003876B9" w:rsidRPr="005C3464" w:rsidRDefault="003876B9" w:rsidP="00583CE2">
            <w:pPr>
              <w:jc w:val="center"/>
              <w:rPr>
                <w:rFonts w:eastAsia="Times New Roman"/>
                <w:b/>
                <w:bCs/>
                <w:color w:val="000000"/>
                <w:sz w:val="22"/>
                <w:szCs w:val="22"/>
              </w:rPr>
            </w:pPr>
            <w:r w:rsidRPr="005C3464">
              <w:rPr>
                <w:rFonts w:eastAsia="Times New Roman"/>
                <w:b/>
                <w:bCs/>
                <w:color w:val="000000"/>
                <w:sz w:val="22"/>
                <w:szCs w:val="22"/>
              </w:rPr>
              <w:t>Median</w:t>
            </w:r>
          </w:p>
        </w:tc>
      </w:tr>
      <w:tr w:rsidR="003876B9" w:rsidRPr="005C3464" w14:paraId="7B8F6E71" w14:textId="77777777" w:rsidTr="00583CE2">
        <w:trPr>
          <w:trHeight w:val="300"/>
        </w:trPr>
        <w:tc>
          <w:tcPr>
            <w:tcW w:w="3969" w:type="dxa"/>
            <w:tcBorders>
              <w:top w:val="nil"/>
              <w:left w:val="nil"/>
              <w:bottom w:val="nil"/>
              <w:right w:val="nil"/>
            </w:tcBorders>
            <w:shd w:val="clear" w:color="auto" w:fill="auto"/>
            <w:noWrap/>
            <w:vAlign w:val="center"/>
            <w:hideMark/>
          </w:tcPr>
          <w:p w14:paraId="5E613DD7" w14:textId="3A4EB281" w:rsidR="003876B9" w:rsidRPr="005C3464" w:rsidRDefault="00096064" w:rsidP="00583CE2">
            <w:pPr>
              <w:rPr>
                <w:rFonts w:eastAsia="Times New Roman"/>
                <w:color w:val="000000"/>
                <w:sz w:val="22"/>
                <w:szCs w:val="22"/>
              </w:rPr>
            </w:pPr>
            <w:r>
              <w:rPr>
                <w:rFonts w:eastAsia="Times New Roman"/>
                <w:color w:val="000000"/>
                <w:sz w:val="22"/>
                <w:szCs w:val="22"/>
              </w:rPr>
              <w:t>Technology = 0</w:t>
            </w:r>
          </w:p>
        </w:tc>
        <w:tc>
          <w:tcPr>
            <w:tcW w:w="1151" w:type="dxa"/>
            <w:tcBorders>
              <w:top w:val="nil"/>
              <w:left w:val="nil"/>
              <w:bottom w:val="nil"/>
              <w:right w:val="nil"/>
            </w:tcBorders>
            <w:shd w:val="clear" w:color="auto" w:fill="auto"/>
            <w:noWrap/>
            <w:vAlign w:val="center"/>
            <w:hideMark/>
          </w:tcPr>
          <w:p w14:paraId="538E4150" w14:textId="77777777" w:rsidR="003876B9" w:rsidRPr="005C3464" w:rsidRDefault="003876B9" w:rsidP="00583CE2">
            <w:pPr>
              <w:rPr>
                <w:rFonts w:eastAsia="Times New Roman"/>
                <w:color w:val="000000"/>
                <w:sz w:val="22"/>
                <w:szCs w:val="22"/>
              </w:rPr>
            </w:pPr>
          </w:p>
        </w:tc>
        <w:tc>
          <w:tcPr>
            <w:tcW w:w="834" w:type="dxa"/>
            <w:tcBorders>
              <w:top w:val="nil"/>
              <w:left w:val="nil"/>
              <w:bottom w:val="nil"/>
              <w:right w:val="nil"/>
            </w:tcBorders>
            <w:shd w:val="clear" w:color="auto" w:fill="auto"/>
            <w:noWrap/>
            <w:vAlign w:val="bottom"/>
            <w:hideMark/>
          </w:tcPr>
          <w:p w14:paraId="136C7C99" w14:textId="4734425B" w:rsidR="003876B9" w:rsidRPr="00D0496B" w:rsidRDefault="007B59D0" w:rsidP="00D0496B">
            <w:pPr>
              <w:jc w:val="center"/>
              <w:rPr>
                <w:rFonts w:eastAsia="Times New Roman"/>
                <w:sz w:val="22"/>
                <w:szCs w:val="22"/>
              </w:rPr>
            </w:pPr>
            <w:r>
              <w:rPr>
                <w:rFonts w:eastAsia="Times New Roman"/>
                <w:sz w:val="22"/>
                <w:szCs w:val="22"/>
              </w:rPr>
              <w:t>725</w:t>
            </w:r>
          </w:p>
        </w:tc>
        <w:tc>
          <w:tcPr>
            <w:tcW w:w="408" w:type="dxa"/>
            <w:tcBorders>
              <w:top w:val="nil"/>
              <w:left w:val="nil"/>
              <w:bottom w:val="nil"/>
              <w:right w:val="nil"/>
            </w:tcBorders>
            <w:shd w:val="clear" w:color="auto" w:fill="auto"/>
            <w:noWrap/>
            <w:vAlign w:val="center"/>
            <w:hideMark/>
          </w:tcPr>
          <w:p w14:paraId="43F4A797" w14:textId="77777777" w:rsidR="003876B9" w:rsidRPr="005C3464" w:rsidRDefault="003876B9" w:rsidP="00583CE2">
            <w:pPr>
              <w:rPr>
                <w:rFonts w:eastAsia="Times New Roman"/>
                <w:sz w:val="20"/>
                <w:szCs w:val="20"/>
              </w:rPr>
            </w:pPr>
          </w:p>
        </w:tc>
        <w:tc>
          <w:tcPr>
            <w:tcW w:w="821" w:type="dxa"/>
            <w:tcBorders>
              <w:top w:val="nil"/>
              <w:left w:val="nil"/>
              <w:bottom w:val="nil"/>
              <w:right w:val="nil"/>
            </w:tcBorders>
            <w:shd w:val="clear" w:color="auto" w:fill="auto"/>
            <w:noWrap/>
            <w:vAlign w:val="center"/>
            <w:hideMark/>
          </w:tcPr>
          <w:p w14:paraId="1BCE1390" w14:textId="2C4E5752" w:rsidR="003876B9" w:rsidRPr="005C3464" w:rsidRDefault="007B59D0" w:rsidP="00583CE2">
            <w:pPr>
              <w:jc w:val="center"/>
              <w:rPr>
                <w:rFonts w:eastAsia="Times New Roman"/>
                <w:color w:val="000000"/>
                <w:sz w:val="22"/>
                <w:szCs w:val="22"/>
              </w:rPr>
            </w:pPr>
            <w:r w:rsidRPr="007B59D0">
              <w:rPr>
                <w:rFonts w:eastAsia="Times New Roman"/>
                <w:color w:val="000000"/>
                <w:sz w:val="22"/>
                <w:szCs w:val="22"/>
              </w:rPr>
              <w:t>118.11</w:t>
            </w:r>
          </w:p>
        </w:tc>
        <w:tc>
          <w:tcPr>
            <w:tcW w:w="938" w:type="dxa"/>
            <w:tcBorders>
              <w:top w:val="nil"/>
              <w:left w:val="nil"/>
              <w:bottom w:val="nil"/>
              <w:right w:val="nil"/>
            </w:tcBorders>
            <w:shd w:val="clear" w:color="auto" w:fill="auto"/>
            <w:noWrap/>
            <w:vAlign w:val="center"/>
            <w:hideMark/>
          </w:tcPr>
          <w:p w14:paraId="4BD14EA2" w14:textId="028DA68B" w:rsidR="003876B9" w:rsidRPr="005C3464" w:rsidRDefault="007B59D0" w:rsidP="00583CE2">
            <w:pPr>
              <w:jc w:val="center"/>
              <w:rPr>
                <w:rFonts w:eastAsia="Times New Roman"/>
                <w:color w:val="000000"/>
                <w:sz w:val="22"/>
                <w:szCs w:val="22"/>
              </w:rPr>
            </w:pPr>
            <w:r w:rsidRPr="007B59D0">
              <w:rPr>
                <w:rFonts w:eastAsia="Times New Roman"/>
                <w:color w:val="000000"/>
                <w:sz w:val="22"/>
                <w:szCs w:val="22"/>
              </w:rPr>
              <w:t>84</w:t>
            </w:r>
          </w:p>
        </w:tc>
        <w:tc>
          <w:tcPr>
            <w:tcW w:w="711" w:type="dxa"/>
            <w:tcBorders>
              <w:top w:val="nil"/>
              <w:left w:val="nil"/>
              <w:bottom w:val="nil"/>
              <w:right w:val="nil"/>
            </w:tcBorders>
            <w:shd w:val="clear" w:color="auto" w:fill="auto"/>
            <w:noWrap/>
            <w:vAlign w:val="bottom"/>
            <w:hideMark/>
          </w:tcPr>
          <w:p w14:paraId="37C27618" w14:textId="77777777" w:rsidR="003876B9" w:rsidRPr="005C3464" w:rsidRDefault="003876B9" w:rsidP="00583CE2">
            <w:pPr>
              <w:jc w:val="center"/>
              <w:rPr>
                <w:rFonts w:eastAsia="Times New Roman"/>
                <w:color w:val="000000"/>
                <w:sz w:val="22"/>
                <w:szCs w:val="22"/>
              </w:rPr>
            </w:pPr>
          </w:p>
        </w:tc>
        <w:tc>
          <w:tcPr>
            <w:tcW w:w="754" w:type="dxa"/>
            <w:tcBorders>
              <w:top w:val="nil"/>
              <w:left w:val="nil"/>
              <w:bottom w:val="nil"/>
              <w:right w:val="nil"/>
            </w:tcBorders>
            <w:shd w:val="clear" w:color="auto" w:fill="auto"/>
            <w:noWrap/>
            <w:vAlign w:val="center"/>
            <w:hideMark/>
          </w:tcPr>
          <w:p w14:paraId="3A393702" w14:textId="05DE1837" w:rsidR="003876B9" w:rsidRPr="005C3464" w:rsidRDefault="00E06449" w:rsidP="00583CE2">
            <w:pPr>
              <w:jc w:val="center"/>
              <w:rPr>
                <w:rFonts w:eastAsia="Times New Roman"/>
                <w:color w:val="000000"/>
                <w:sz w:val="22"/>
                <w:szCs w:val="22"/>
              </w:rPr>
            </w:pPr>
            <w:r>
              <w:rPr>
                <w:rFonts w:eastAsia="Times New Roman"/>
                <w:color w:val="000000"/>
                <w:sz w:val="22"/>
                <w:szCs w:val="22"/>
              </w:rPr>
              <w:t>2.71</w:t>
            </w:r>
          </w:p>
        </w:tc>
        <w:tc>
          <w:tcPr>
            <w:tcW w:w="1137" w:type="dxa"/>
            <w:tcBorders>
              <w:top w:val="nil"/>
              <w:left w:val="nil"/>
              <w:bottom w:val="nil"/>
              <w:right w:val="nil"/>
            </w:tcBorders>
            <w:shd w:val="clear" w:color="auto" w:fill="auto"/>
            <w:noWrap/>
            <w:vAlign w:val="center"/>
            <w:hideMark/>
          </w:tcPr>
          <w:p w14:paraId="40001BB9" w14:textId="77777777" w:rsidR="003876B9" w:rsidRPr="005C3464" w:rsidRDefault="003876B9" w:rsidP="00583CE2">
            <w:pPr>
              <w:jc w:val="center"/>
              <w:rPr>
                <w:rFonts w:eastAsia="Times New Roman"/>
                <w:color w:val="000000"/>
                <w:sz w:val="22"/>
                <w:szCs w:val="22"/>
              </w:rPr>
            </w:pPr>
            <w:r w:rsidRPr="005C3464">
              <w:rPr>
                <w:rFonts w:eastAsia="Times New Roman"/>
                <w:color w:val="000000"/>
                <w:sz w:val="22"/>
                <w:szCs w:val="22"/>
              </w:rPr>
              <w:t>3</w:t>
            </w:r>
          </w:p>
        </w:tc>
        <w:tc>
          <w:tcPr>
            <w:tcW w:w="302" w:type="dxa"/>
            <w:tcBorders>
              <w:top w:val="nil"/>
              <w:left w:val="nil"/>
              <w:bottom w:val="nil"/>
              <w:right w:val="nil"/>
            </w:tcBorders>
            <w:shd w:val="clear" w:color="auto" w:fill="auto"/>
            <w:noWrap/>
            <w:vAlign w:val="bottom"/>
            <w:hideMark/>
          </w:tcPr>
          <w:p w14:paraId="5F34536F" w14:textId="77777777" w:rsidR="003876B9" w:rsidRPr="005C3464" w:rsidRDefault="003876B9" w:rsidP="00583CE2">
            <w:pPr>
              <w:jc w:val="center"/>
              <w:rPr>
                <w:rFonts w:eastAsia="Times New Roman"/>
                <w:color w:val="000000"/>
                <w:sz w:val="22"/>
                <w:szCs w:val="22"/>
              </w:rPr>
            </w:pPr>
          </w:p>
        </w:tc>
        <w:tc>
          <w:tcPr>
            <w:tcW w:w="938" w:type="dxa"/>
            <w:tcBorders>
              <w:top w:val="nil"/>
              <w:left w:val="nil"/>
              <w:bottom w:val="nil"/>
              <w:right w:val="nil"/>
            </w:tcBorders>
            <w:shd w:val="clear" w:color="auto" w:fill="auto"/>
            <w:noWrap/>
            <w:vAlign w:val="center"/>
            <w:hideMark/>
          </w:tcPr>
          <w:p w14:paraId="7571B13F" w14:textId="1BD3F8FA" w:rsidR="003876B9" w:rsidRPr="005C3464" w:rsidRDefault="00E06449" w:rsidP="00583CE2">
            <w:pPr>
              <w:jc w:val="center"/>
              <w:rPr>
                <w:rFonts w:eastAsia="Times New Roman"/>
                <w:color w:val="000000"/>
                <w:sz w:val="22"/>
                <w:szCs w:val="22"/>
              </w:rPr>
            </w:pPr>
            <w:r>
              <w:rPr>
                <w:rFonts w:eastAsia="Times New Roman"/>
                <w:color w:val="000000"/>
                <w:sz w:val="22"/>
                <w:szCs w:val="22"/>
              </w:rPr>
              <w:t>25.17</w:t>
            </w:r>
          </w:p>
        </w:tc>
        <w:tc>
          <w:tcPr>
            <w:tcW w:w="1078" w:type="dxa"/>
            <w:tcBorders>
              <w:top w:val="nil"/>
              <w:left w:val="nil"/>
              <w:bottom w:val="nil"/>
              <w:right w:val="nil"/>
            </w:tcBorders>
            <w:shd w:val="clear" w:color="auto" w:fill="auto"/>
            <w:noWrap/>
            <w:vAlign w:val="center"/>
            <w:hideMark/>
          </w:tcPr>
          <w:p w14:paraId="25A9BB9E" w14:textId="74634151" w:rsidR="003876B9" w:rsidRPr="005C3464" w:rsidRDefault="00E06449" w:rsidP="00583CE2">
            <w:pPr>
              <w:jc w:val="center"/>
              <w:rPr>
                <w:rFonts w:eastAsia="Times New Roman"/>
                <w:color w:val="000000"/>
                <w:sz w:val="22"/>
                <w:szCs w:val="22"/>
              </w:rPr>
            </w:pPr>
            <w:r>
              <w:rPr>
                <w:rFonts w:eastAsia="Times New Roman"/>
                <w:color w:val="000000"/>
                <w:sz w:val="22"/>
                <w:szCs w:val="22"/>
              </w:rPr>
              <w:t>13</w:t>
            </w:r>
          </w:p>
        </w:tc>
      </w:tr>
      <w:tr w:rsidR="003876B9" w:rsidRPr="005C3464" w14:paraId="7346F346" w14:textId="77777777" w:rsidTr="00583CE2">
        <w:trPr>
          <w:trHeight w:val="300"/>
        </w:trPr>
        <w:tc>
          <w:tcPr>
            <w:tcW w:w="3969" w:type="dxa"/>
            <w:tcBorders>
              <w:top w:val="nil"/>
              <w:left w:val="nil"/>
              <w:bottom w:val="nil"/>
              <w:right w:val="nil"/>
            </w:tcBorders>
            <w:shd w:val="clear" w:color="auto" w:fill="auto"/>
            <w:noWrap/>
            <w:vAlign w:val="center"/>
            <w:hideMark/>
          </w:tcPr>
          <w:p w14:paraId="488CE148" w14:textId="581000E6" w:rsidR="003876B9" w:rsidRPr="005C3464" w:rsidRDefault="003876B9" w:rsidP="00096064">
            <w:pPr>
              <w:rPr>
                <w:rFonts w:eastAsia="Times New Roman"/>
                <w:color w:val="000000"/>
                <w:sz w:val="22"/>
                <w:szCs w:val="22"/>
              </w:rPr>
            </w:pPr>
            <w:r w:rsidRPr="005C3464">
              <w:rPr>
                <w:rFonts w:eastAsia="Times New Roman"/>
                <w:color w:val="000000"/>
                <w:sz w:val="22"/>
                <w:szCs w:val="22"/>
              </w:rPr>
              <w:t xml:space="preserve">Technology </w:t>
            </w:r>
            <w:r w:rsidR="00096064">
              <w:rPr>
                <w:rFonts w:eastAsia="Times New Roman"/>
                <w:color w:val="000000"/>
                <w:sz w:val="22"/>
                <w:szCs w:val="22"/>
              </w:rPr>
              <w:t>= 1</w:t>
            </w:r>
          </w:p>
        </w:tc>
        <w:tc>
          <w:tcPr>
            <w:tcW w:w="1151" w:type="dxa"/>
            <w:tcBorders>
              <w:top w:val="nil"/>
              <w:left w:val="nil"/>
              <w:bottom w:val="nil"/>
              <w:right w:val="nil"/>
            </w:tcBorders>
            <w:shd w:val="clear" w:color="auto" w:fill="auto"/>
            <w:noWrap/>
            <w:vAlign w:val="center"/>
            <w:hideMark/>
          </w:tcPr>
          <w:p w14:paraId="5FAB674A" w14:textId="77777777" w:rsidR="003876B9" w:rsidRPr="005C3464" w:rsidRDefault="003876B9" w:rsidP="00583CE2">
            <w:pPr>
              <w:rPr>
                <w:rFonts w:eastAsia="Times New Roman"/>
                <w:color w:val="000000"/>
                <w:sz w:val="22"/>
                <w:szCs w:val="22"/>
              </w:rPr>
            </w:pPr>
          </w:p>
        </w:tc>
        <w:tc>
          <w:tcPr>
            <w:tcW w:w="834" w:type="dxa"/>
            <w:tcBorders>
              <w:top w:val="nil"/>
              <w:left w:val="nil"/>
              <w:bottom w:val="nil"/>
              <w:right w:val="nil"/>
            </w:tcBorders>
            <w:shd w:val="clear" w:color="auto" w:fill="auto"/>
            <w:noWrap/>
            <w:vAlign w:val="center"/>
            <w:hideMark/>
          </w:tcPr>
          <w:p w14:paraId="4DA65D72" w14:textId="556D62B6" w:rsidR="003876B9" w:rsidRPr="005C3464" w:rsidRDefault="007B59D0" w:rsidP="00583CE2">
            <w:pPr>
              <w:jc w:val="center"/>
              <w:rPr>
                <w:rFonts w:eastAsia="Times New Roman"/>
                <w:color w:val="000000"/>
                <w:sz w:val="22"/>
                <w:szCs w:val="22"/>
              </w:rPr>
            </w:pPr>
            <w:r>
              <w:rPr>
                <w:rFonts w:eastAsia="Times New Roman"/>
                <w:color w:val="000000"/>
                <w:sz w:val="22"/>
                <w:szCs w:val="22"/>
              </w:rPr>
              <w:t>184</w:t>
            </w:r>
          </w:p>
        </w:tc>
        <w:tc>
          <w:tcPr>
            <w:tcW w:w="408" w:type="dxa"/>
            <w:tcBorders>
              <w:top w:val="nil"/>
              <w:left w:val="nil"/>
              <w:bottom w:val="nil"/>
              <w:right w:val="nil"/>
            </w:tcBorders>
            <w:shd w:val="clear" w:color="auto" w:fill="auto"/>
            <w:noWrap/>
            <w:vAlign w:val="center"/>
            <w:hideMark/>
          </w:tcPr>
          <w:p w14:paraId="025BB6E9" w14:textId="77777777" w:rsidR="003876B9" w:rsidRPr="005C3464" w:rsidRDefault="003876B9" w:rsidP="00583CE2">
            <w:pPr>
              <w:jc w:val="center"/>
              <w:rPr>
                <w:rFonts w:eastAsia="Times New Roman"/>
                <w:color w:val="000000"/>
                <w:sz w:val="22"/>
                <w:szCs w:val="22"/>
              </w:rPr>
            </w:pPr>
          </w:p>
        </w:tc>
        <w:tc>
          <w:tcPr>
            <w:tcW w:w="821" w:type="dxa"/>
            <w:tcBorders>
              <w:top w:val="nil"/>
              <w:left w:val="nil"/>
              <w:bottom w:val="nil"/>
              <w:right w:val="nil"/>
            </w:tcBorders>
            <w:shd w:val="clear" w:color="auto" w:fill="auto"/>
            <w:noWrap/>
            <w:vAlign w:val="center"/>
            <w:hideMark/>
          </w:tcPr>
          <w:p w14:paraId="1384A99E" w14:textId="39EE4C6C" w:rsidR="003876B9" w:rsidRPr="005C3464" w:rsidRDefault="00E06449" w:rsidP="00583CE2">
            <w:pPr>
              <w:jc w:val="center"/>
              <w:rPr>
                <w:rFonts w:eastAsia="Times New Roman"/>
                <w:color w:val="000000"/>
                <w:sz w:val="22"/>
                <w:szCs w:val="22"/>
              </w:rPr>
            </w:pPr>
            <w:r w:rsidRPr="00E06449">
              <w:rPr>
                <w:rFonts w:eastAsia="Times New Roman"/>
                <w:color w:val="000000"/>
                <w:sz w:val="22"/>
                <w:szCs w:val="22"/>
              </w:rPr>
              <w:t>127.98</w:t>
            </w:r>
          </w:p>
        </w:tc>
        <w:tc>
          <w:tcPr>
            <w:tcW w:w="938" w:type="dxa"/>
            <w:tcBorders>
              <w:top w:val="nil"/>
              <w:left w:val="nil"/>
              <w:bottom w:val="nil"/>
              <w:right w:val="nil"/>
            </w:tcBorders>
            <w:shd w:val="clear" w:color="auto" w:fill="auto"/>
            <w:noWrap/>
            <w:vAlign w:val="center"/>
            <w:hideMark/>
          </w:tcPr>
          <w:p w14:paraId="636BC2E1" w14:textId="6015F04F" w:rsidR="003876B9" w:rsidRPr="005C3464" w:rsidRDefault="007B59D0" w:rsidP="00583CE2">
            <w:pPr>
              <w:jc w:val="center"/>
              <w:rPr>
                <w:rFonts w:eastAsia="Times New Roman"/>
                <w:color w:val="000000"/>
                <w:sz w:val="22"/>
                <w:szCs w:val="22"/>
              </w:rPr>
            </w:pPr>
            <w:r w:rsidRPr="007B59D0">
              <w:rPr>
                <w:rFonts w:eastAsia="Times New Roman"/>
                <w:color w:val="000000"/>
                <w:sz w:val="22"/>
                <w:szCs w:val="22"/>
              </w:rPr>
              <w:t>104</w:t>
            </w:r>
          </w:p>
        </w:tc>
        <w:tc>
          <w:tcPr>
            <w:tcW w:w="711" w:type="dxa"/>
            <w:tcBorders>
              <w:top w:val="nil"/>
              <w:left w:val="nil"/>
              <w:bottom w:val="nil"/>
              <w:right w:val="nil"/>
            </w:tcBorders>
            <w:shd w:val="clear" w:color="auto" w:fill="auto"/>
            <w:noWrap/>
            <w:vAlign w:val="bottom"/>
            <w:hideMark/>
          </w:tcPr>
          <w:p w14:paraId="38201039" w14:textId="77777777" w:rsidR="003876B9" w:rsidRPr="005C3464" w:rsidRDefault="003876B9" w:rsidP="00583CE2">
            <w:pPr>
              <w:jc w:val="center"/>
              <w:rPr>
                <w:rFonts w:eastAsia="Times New Roman"/>
                <w:color w:val="000000"/>
                <w:sz w:val="22"/>
                <w:szCs w:val="22"/>
              </w:rPr>
            </w:pPr>
          </w:p>
        </w:tc>
        <w:tc>
          <w:tcPr>
            <w:tcW w:w="754" w:type="dxa"/>
            <w:tcBorders>
              <w:top w:val="nil"/>
              <w:left w:val="nil"/>
              <w:bottom w:val="nil"/>
              <w:right w:val="nil"/>
            </w:tcBorders>
            <w:shd w:val="clear" w:color="auto" w:fill="auto"/>
            <w:noWrap/>
            <w:vAlign w:val="center"/>
            <w:hideMark/>
          </w:tcPr>
          <w:p w14:paraId="411B366B" w14:textId="0BD56F13" w:rsidR="003876B9" w:rsidRPr="005C3464" w:rsidRDefault="00E06449" w:rsidP="00583CE2">
            <w:pPr>
              <w:jc w:val="center"/>
              <w:rPr>
                <w:rFonts w:eastAsia="Times New Roman"/>
                <w:color w:val="000000"/>
                <w:sz w:val="22"/>
                <w:szCs w:val="22"/>
              </w:rPr>
            </w:pPr>
            <w:r w:rsidRPr="00E06449">
              <w:rPr>
                <w:rFonts w:eastAsia="Times New Roman"/>
                <w:color w:val="000000"/>
                <w:sz w:val="22"/>
                <w:szCs w:val="22"/>
              </w:rPr>
              <w:t>3.02</w:t>
            </w:r>
          </w:p>
        </w:tc>
        <w:tc>
          <w:tcPr>
            <w:tcW w:w="1137" w:type="dxa"/>
            <w:tcBorders>
              <w:top w:val="nil"/>
              <w:left w:val="nil"/>
              <w:bottom w:val="nil"/>
              <w:right w:val="nil"/>
            </w:tcBorders>
            <w:shd w:val="clear" w:color="auto" w:fill="auto"/>
            <w:noWrap/>
            <w:vAlign w:val="center"/>
            <w:hideMark/>
          </w:tcPr>
          <w:p w14:paraId="4C038D4C" w14:textId="77777777" w:rsidR="003876B9" w:rsidRPr="005C3464" w:rsidRDefault="003876B9" w:rsidP="00583CE2">
            <w:pPr>
              <w:jc w:val="center"/>
              <w:rPr>
                <w:rFonts w:eastAsia="Times New Roman"/>
                <w:color w:val="000000"/>
                <w:sz w:val="22"/>
                <w:szCs w:val="22"/>
              </w:rPr>
            </w:pPr>
            <w:r w:rsidRPr="005C3464">
              <w:rPr>
                <w:rFonts w:eastAsia="Times New Roman"/>
                <w:color w:val="000000"/>
                <w:sz w:val="22"/>
                <w:szCs w:val="22"/>
              </w:rPr>
              <w:t>3</w:t>
            </w:r>
          </w:p>
        </w:tc>
        <w:tc>
          <w:tcPr>
            <w:tcW w:w="302" w:type="dxa"/>
            <w:tcBorders>
              <w:top w:val="nil"/>
              <w:left w:val="nil"/>
              <w:bottom w:val="nil"/>
              <w:right w:val="nil"/>
            </w:tcBorders>
            <w:shd w:val="clear" w:color="auto" w:fill="auto"/>
            <w:noWrap/>
            <w:vAlign w:val="bottom"/>
            <w:hideMark/>
          </w:tcPr>
          <w:p w14:paraId="3F508210" w14:textId="77777777" w:rsidR="003876B9" w:rsidRPr="005C3464" w:rsidRDefault="003876B9" w:rsidP="00583CE2">
            <w:pPr>
              <w:jc w:val="center"/>
              <w:rPr>
                <w:rFonts w:eastAsia="Times New Roman"/>
                <w:color w:val="000000"/>
                <w:sz w:val="22"/>
                <w:szCs w:val="22"/>
              </w:rPr>
            </w:pPr>
          </w:p>
        </w:tc>
        <w:tc>
          <w:tcPr>
            <w:tcW w:w="938" w:type="dxa"/>
            <w:tcBorders>
              <w:top w:val="nil"/>
              <w:left w:val="nil"/>
              <w:bottom w:val="nil"/>
              <w:right w:val="nil"/>
            </w:tcBorders>
            <w:shd w:val="clear" w:color="auto" w:fill="auto"/>
            <w:noWrap/>
            <w:vAlign w:val="center"/>
            <w:hideMark/>
          </w:tcPr>
          <w:p w14:paraId="0E9A7768" w14:textId="07FAF44F" w:rsidR="003876B9" w:rsidRPr="005C3464" w:rsidRDefault="00E06449" w:rsidP="00583CE2">
            <w:pPr>
              <w:jc w:val="center"/>
              <w:rPr>
                <w:rFonts w:eastAsia="Times New Roman"/>
                <w:color w:val="000000"/>
                <w:sz w:val="22"/>
                <w:szCs w:val="22"/>
              </w:rPr>
            </w:pPr>
            <w:r w:rsidRPr="00E06449">
              <w:rPr>
                <w:rFonts w:eastAsia="Times New Roman"/>
                <w:color w:val="000000"/>
                <w:sz w:val="22"/>
                <w:szCs w:val="22"/>
              </w:rPr>
              <w:t>32.38</w:t>
            </w:r>
          </w:p>
        </w:tc>
        <w:tc>
          <w:tcPr>
            <w:tcW w:w="1078" w:type="dxa"/>
            <w:tcBorders>
              <w:top w:val="nil"/>
              <w:left w:val="nil"/>
              <w:bottom w:val="nil"/>
              <w:right w:val="nil"/>
            </w:tcBorders>
            <w:shd w:val="clear" w:color="auto" w:fill="auto"/>
            <w:noWrap/>
            <w:vAlign w:val="center"/>
            <w:hideMark/>
          </w:tcPr>
          <w:p w14:paraId="56E39138" w14:textId="3556B5FD" w:rsidR="003876B9" w:rsidRPr="005C3464" w:rsidRDefault="00E06449" w:rsidP="00583CE2">
            <w:pPr>
              <w:jc w:val="center"/>
              <w:rPr>
                <w:rFonts w:eastAsia="Times New Roman"/>
                <w:color w:val="000000"/>
                <w:sz w:val="22"/>
                <w:szCs w:val="22"/>
              </w:rPr>
            </w:pPr>
            <w:r>
              <w:rPr>
                <w:rFonts w:eastAsia="Times New Roman"/>
                <w:color w:val="000000"/>
                <w:sz w:val="22"/>
                <w:szCs w:val="22"/>
              </w:rPr>
              <w:t>36</w:t>
            </w:r>
          </w:p>
        </w:tc>
      </w:tr>
      <w:tr w:rsidR="003876B9" w:rsidRPr="005C3464" w14:paraId="4097E375" w14:textId="77777777" w:rsidTr="00583CE2">
        <w:trPr>
          <w:trHeight w:val="615"/>
        </w:trPr>
        <w:tc>
          <w:tcPr>
            <w:tcW w:w="3969" w:type="dxa"/>
            <w:tcBorders>
              <w:top w:val="nil"/>
              <w:left w:val="nil"/>
              <w:bottom w:val="nil"/>
              <w:right w:val="nil"/>
            </w:tcBorders>
            <w:shd w:val="clear" w:color="auto" w:fill="auto"/>
            <w:vAlign w:val="center"/>
            <w:hideMark/>
          </w:tcPr>
          <w:p w14:paraId="03EFADC8" w14:textId="77777777" w:rsidR="003876B9" w:rsidRPr="005C3464" w:rsidRDefault="003876B9" w:rsidP="00583CE2">
            <w:pPr>
              <w:rPr>
                <w:rFonts w:eastAsia="Times New Roman"/>
                <w:i/>
                <w:iCs/>
                <w:color w:val="000000"/>
                <w:sz w:val="22"/>
                <w:szCs w:val="22"/>
              </w:rPr>
            </w:pPr>
            <w:r w:rsidRPr="005C3464">
              <w:rPr>
                <w:rFonts w:eastAsia="Times New Roman"/>
                <w:i/>
                <w:iCs/>
                <w:color w:val="000000"/>
                <w:sz w:val="22"/>
                <w:szCs w:val="22"/>
              </w:rPr>
              <w:t>t test (mean)/</w:t>
            </w:r>
            <w:r w:rsidRPr="005C3464">
              <w:rPr>
                <w:rFonts w:eastAsia="Times New Roman"/>
                <w:i/>
                <w:iCs/>
                <w:color w:val="000000"/>
              </w:rPr>
              <w:t xml:space="preserve"> </w:t>
            </w:r>
            <w:r w:rsidRPr="005C3464">
              <w:rPr>
                <w:rFonts w:eastAsia="Times New Roman"/>
                <w:i/>
                <w:iCs/>
                <w:color w:val="000000"/>
                <w:sz w:val="22"/>
                <w:szCs w:val="22"/>
              </w:rPr>
              <w:t>Wilcoxon rank-sum test (median)</w:t>
            </w:r>
          </w:p>
        </w:tc>
        <w:tc>
          <w:tcPr>
            <w:tcW w:w="1151" w:type="dxa"/>
            <w:tcBorders>
              <w:top w:val="nil"/>
              <w:left w:val="nil"/>
              <w:bottom w:val="nil"/>
              <w:right w:val="nil"/>
            </w:tcBorders>
            <w:shd w:val="clear" w:color="auto" w:fill="auto"/>
            <w:noWrap/>
            <w:vAlign w:val="center"/>
            <w:hideMark/>
          </w:tcPr>
          <w:p w14:paraId="1CEA941F" w14:textId="77777777" w:rsidR="003876B9" w:rsidRPr="005C3464" w:rsidRDefault="003876B9" w:rsidP="00583CE2">
            <w:pPr>
              <w:rPr>
                <w:rFonts w:eastAsia="Times New Roman"/>
                <w:i/>
                <w:iCs/>
                <w:color w:val="000000"/>
                <w:sz w:val="22"/>
                <w:szCs w:val="22"/>
              </w:rPr>
            </w:pPr>
          </w:p>
        </w:tc>
        <w:tc>
          <w:tcPr>
            <w:tcW w:w="834" w:type="dxa"/>
            <w:tcBorders>
              <w:top w:val="nil"/>
              <w:left w:val="nil"/>
              <w:bottom w:val="nil"/>
              <w:right w:val="nil"/>
            </w:tcBorders>
            <w:shd w:val="clear" w:color="auto" w:fill="auto"/>
            <w:noWrap/>
            <w:vAlign w:val="center"/>
            <w:hideMark/>
          </w:tcPr>
          <w:p w14:paraId="6E412128" w14:textId="77777777" w:rsidR="003876B9" w:rsidRPr="005C3464" w:rsidRDefault="003876B9" w:rsidP="00583CE2">
            <w:pPr>
              <w:rPr>
                <w:rFonts w:eastAsia="Times New Roman"/>
                <w:sz w:val="20"/>
                <w:szCs w:val="20"/>
              </w:rPr>
            </w:pPr>
          </w:p>
        </w:tc>
        <w:tc>
          <w:tcPr>
            <w:tcW w:w="408" w:type="dxa"/>
            <w:tcBorders>
              <w:top w:val="nil"/>
              <w:left w:val="nil"/>
              <w:bottom w:val="nil"/>
              <w:right w:val="nil"/>
            </w:tcBorders>
            <w:shd w:val="clear" w:color="auto" w:fill="auto"/>
            <w:noWrap/>
            <w:vAlign w:val="center"/>
            <w:hideMark/>
          </w:tcPr>
          <w:p w14:paraId="53A1E8B3" w14:textId="77777777" w:rsidR="003876B9" w:rsidRPr="005C3464" w:rsidRDefault="003876B9" w:rsidP="00583CE2">
            <w:pPr>
              <w:jc w:val="center"/>
              <w:rPr>
                <w:rFonts w:eastAsia="Times New Roman"/>
                <w:sz w:val="20"/>
                <w:szCs w:val="20"/>
              </w:rPr>
            </w:pPr>
          </w:p>
        </w:tc>
        <w:tc>
          <w:tcPr>
            <w:tcW w:w="821" w:type="dxa"/>
            <w:tcBorders>
              <w:top w:val="nil"/>
              <w:left w:val="nil"/>
              <w:bottom w:val="nil"/>
              <w:right w:val="nil"/>
            </w:tcBorders>
            <w:shd w:val="clear" w:color="auto" w:fill="auto"/>
            <w:noWrap/>
            <w:vAlign w:val="center"/>
            <w:hideMark/>
          </w:tcPr>
          <w:p w14:paraId="05690DE5" w14:textId="77777777" w:rsidR="003876B9" w:rsidRPr="005C3464" w:rsidRDefault="003876B9" w:rsidP="00583CE2">
            <w:pPr>
              <w:jc w:val="center"/>
              <w:rPr>
                <w:rFonts w:eastAsia="Times New Roman"/>
                <w:i/>
                <w:iCs/>
                <w:color w:val="000000"/>
                <w:sz w:val="22"/>
                <w:szCs w:val="22"/>
              </w:rPr>
            </w:pPr>
            <w:r w:rsidRPr="005C3464">
              <w:rPr>
                <w:rFonts w:eastAsia="Times New Roman"/>
                <w:i/>
                <w:iCs/>
                <w:color w:val="000000"/>
                <w:sz w:val="22"/>
                <w:szCs w:val="22"/>
              </w:rPr>
              <w:t>0.38</w:t>
            </w:r>
          </w:p>
        </w:tc>
        <w:tc>
          <w:tcPr>
            <w:tcW w:w="938" w:type="dxa"/>
            <w:tcBorders>
              <w:top w:val="nil"/>
              <w:left w:val="nil"/>
              <w:bottom w:val="nil"/>
              <w:right w:val="nil"/>
            </w:tcBorders>
            <w:shd w:val="clear" w:color="auto" w:fill="auto"/>
            <w:noWrap/>
            <w:vAlign w:val="center"/>
            <w:hideMark/>
          </w:tcPr>
          <w:p w14:paraId="2A46CF21" w14:textId="14AC4BF9" w:rsidR="003876B9" w:rsidRPr="005C3464" w:rsidRDefault="003876B9" w:rsidP="00E06449">
            <w:pPr>
              <w:jc w:val="center"/>
              <w:rPr>
                <w:rFonts w:eastAsia="Times New Roman"/>
                <w:i/>
                <w:iCs/>
                <w:color w:val="000000"/>
                <w:sz w:val="22"/>
                <w:szCs w:val="22"/>
              </w:rPr>
            </w:pPr>
            <w:r w:rsidRPr="005C3464">
              <w:rPr>
                <w:rFonts w:eastAsia="Times New Roman"/>
                <w:i/>
                <w:iCs/>
                <w:color w:val="000000"/>
                <w:sz w:val="22"/>
                <w:szCs w:val="22"/>
              </w:rPr>
              <w:t> </w:t>
            </w:r>
            <w:r w:rsidR="00E06449">
              <w:rPr>
                <w:rFonts w:eastAsia="Times New Roman"/>
                <w:i/>
                <w:iCs/>
                <w:color w:val="000000"/>
                <w:sz w:val="22"/>
                <w:szCs w:val="22"/>
              </w:rPr>
              <w:t>0.00</w:t>
            </w:r>
          </w:p>
        </w:tc>
        <w:tc>
          <w:tcPr>
            <w:tcW w:w="711" w:type="dxa"/>
            <w:tcBorders>
              <w:top w:val="nil"/>
              <w:left w:val="nil"/>
              <w:bottom w:val="nil"/>
              <w:right w:val="nil"/>
            </w:tcBorders>
            <w:shd w:val="clear" w:color="auto" w:fill="auto"/>
            <w:noWrap/>
            <w:vAlign w:val="bottom"/>
            <w:hideMark/>
          </w:tcPr>
          <w:p w14:paraId="7984DCA8" w14:textId="77777777" w:rsidR="003876B9" w:rsidRPr="005C3464" w:rsidRDefault="003876B9" w:rsidP="00583CE2">
            <w:pPr>
              <w:jc w:val="center"/>
              <w:rPr>
                <w:rFonts w:eastAsia="Times New Roman"/>
                <w:i/>
                <w:iCs/>
                <w:color w:val="000000"/>
                <w:sz w:val="22"/>
                <w:szCs w:val="22"/>
              </w:rPr>
            </w:pPr>
          </w:p>
        </w:tc>
        <w:tc>
          <w:tcPr>
            <w:tcW w:w="754" w:type="dxa"/>
            <w:tcBorders>
              <w:top w:val="nil"/>
              <w:left w:val="nil"/>
              <w:bottom w:val="nil"/>
              <w:right w:val="nil"/>
            </w:tcBorders>
            <w:shd w:val="clear" w:color="auto" w:fill="auto"/>
            <w:noWrap/>
            <w:vAlign w:val="center"/>
            <w:hideMark/>
          </w:tcPr>
          <w:p w14:paraId="791217A8" w14:textId="76B291B4" w:rsidR="003876B9" w:rsidRPr="005C3464" w:rsidRDefault="00E06449" w:rsidP="00583CE2">
            <w:pPr>
              <w:jc w:val="center"/>
              <w:rPr>
                <w:rFonts w:eastAsia="Times New Roman"/>
                <w:i/>
                <w:iCs/>
                <w:color w:val="000000"/>
                <w:sz w:val="22"/>
                <w:szCs w:val="22"/>
              </w:rPr>
            </w:pPr>
            <w:r>
              <w:rPr>
                <w:rFonts w:eastAsia="Times New Roman"/>
                <w:i/>
                <w:iCs/>
                <w:color w:val="000000"/>
                <w:sz w:val="22"/>
                <w:szCs w:val="22"/>
              </w:rPr>
              <w:t>0.06</w:t>
            </w:r>
          </w:p>
        </w:tc>
        <w:tc>
          <w:tcPr>
            <w:tcW w:w="1137" w:type="dxa"/>
            <w:tcBorders>
              <w:top w:val="nil"/>
              <w:left w:val="nil"/>
              <w:bottom w:val="nil"/>
              <w:right w:val="nil"/>
            </w:tcBorders>
            <w:shd w:val="clear" w:color="auto" w:fill="auto"/>
            <w:noWrap/>
            <w:vAlign w:val="center"/>
            <w:hideMark/>
          </w:tcPr>
          <w:p w14:paraId="46228756" w14:textId="74633313" w:rsidR="003876B9" w:rsidRPr="005C3464" w:rsidRDefault="00E06449" w:rsidP="00583CE2">
            <w:pPr>
              <w:jc w:val="center"/>
              <w:rPr>
                <w:rFonts w:eastAsia="Times New Roman"/>
                <w:i/>
                <w:iCs/>
                <w:color w:val="000000"/>
                <w:sz w:val="22"/>
                <w:szCs w:val="22"/>
              </w:rPr>
            </w:pPr>
            <w:r>
              <w:rPr>
                <w:rFonts w:eastAsia="Times New Roman"/>
                <w:i/>
                <w:iCs/>
                <w:color w:val="000000"/>
                <w:sz w:val="22"/>
                <w:szCs w:val="22"/>
              </w:rPr>
              <w:t>0.04</w:t>
            </w:r>
            <w:r w:rsidR="003876B9" w:rsidRPr="005C3464">
              <w:rPr>
                <w:rFonts w:eastAsia="Times New Roman"/>
                <w:i/>
                <w:iCs/>
                <w:color w:val="000000"/>
                <w:sz w:val="22"/>
                <w:szCs w:val="22"/>
              </w:rPr>
              <w:t> </w:t>
            </w:r>
          </w:p>
        </w:tc>
        <w:tc>
          <w:tcPr>
            <w:tcW w:w="302" w:type="dxa"/>
            <w:tcBorders>
              <w:top w:val="nil"/>
              <w:left w:val="nil"/>
              <w:bottom w:val="nil"/>
              <w:right w:val="nil"/>
            </w:tcBorders>
            <w:shd w:val="clear" w:color="auto" w:fill="auto"/>
            <w:noWrap/>
            <w:vAlign w:val="bottom"/>
            <w:hideMark/>
          </w:tcPr>
          <w:p w14:paraId="35AEB919" w14:textId="77777777" w:rsidR="003876B9" w:rsidRPr="005C3464" w:rsidRDefault="003876B9" w:rsidP="00583CE2">
            <w:pPr>
              <w:jc w:val="center"/>
              <w:rPr>
                <w:rFonts w:eastAsia="Times New Roman"/>
                <w:i/>
                <w:iCs/>
                <w:color w:val="000000"/>
                <w:sz w:val="22"/>
                <w:szCs w:val="22"/>
              </w:rPr>
            </w:pPr>
          </w:p>
        </w:tc>
        <w:tc>
          <w:tcPr>
            <w:tcW w:w="938" w:type="dxa"/>
            <w:tcBorders>
              <w:top w:val="nil"/>
              <w:left w:val="nil"/>
              <w:bottom w:val="nil"/>
              <w:right w:val="nil"/>
            </w:tcBorders>
            <w:shd w:val="clear" w:color="auto" w:fill="auto"/>
            <w:noWrap/>
            <w:vAlign w:val="center"/>
            <w:hideMark/>
          </w:tcPr>
          <w:p w14:paraId="0AFFB92B" w14:textId="7D0E15C9" w:rsidR="003876B9" w:rsidRPr="005C3464" w:rsidRDefault="00E06449" w:rsidP="00583CE2">
            <w:pPr>
              <w:jc w:val="center"/>
              <w:rPr>
                <w:rFonts w:eastAsia="Times New Roman"/>
                <w:i/>
                <w:iCs/>
                <w:color w:val="000000"/>
                <w:sz w:val="22"/>
                <w:szCs w:val="22"/>
              </w:rPr>
            </w:pPr>
            <w:r>
              <w:rPr>
                <w:rFonts w:eastAsia="Times New Roman"/>
                <w:i/>
                <w:iCs/>
                <w:color w:val="000000"/>
                <w:sz w:val="22"/>
                <w:szCs w:val="22"/>
              </w:rPr>
              <w:t>0.00</w:t>
            </w:r>
          </w:p>
        </w:tc>
        <w:tc>
          <w:tcPr>
            <w:tcW w:w="1078" w:type="dxa"/>
            <w:tcBorders>
              <w:top w:val="nil"/>
              <w:left w:val="nil"/>
              <w:bottom w:val="nil"/>
              <w:right w:val="nil"/>
            </w:tcBorders>
            <w:shd w:val="clear" w:color="auto" w:fill="auto"/>
            <w:noWrap/>
            <w:vAlign w:val="center"/>
            <w:hideMark/>
          </w:tcPr>
          <w:p w14:paraId="0F6F6C3C" w14:textId="632BA51A" w:rsidR="003876B9" w:rsidRPr="005C3464" w:rsidRDefault="00E06449" w:rsidP="00583CE2">
            <w:pPr>
              <w:jc w:val="center"/>
              <w:rPr>
                <w:rFonts w:eastAsia="Times New Roman"/>
                <w:i/>
                <w:iCs/>
                <w:color w:val="000000"/>
                <w:sz w:val="22"/>
                <w:szCs w:val="22"/>
              </w:rPr>
            </w:pPr>
            <w:r>
              <w:rPr>
                <w:rFonts w:eastAsia="Times New Roman"/>
                <w:i/>
                <w:iCs/>
                <w:color w:val="000000"/>
                <w:sz w:val="22"/>
                <w:szCs w:val="22"/>
              </w:rPr>
              <w:t>0.00</w:t>
            </w:r>
            <w:r w:rsidR="003876B9" w:rsidRPr="005C3464">
              <w:rPr>
                <w:rFonts w:eastAsia="Times New Roman"/>
                <w:i/>
                <w:iCs/>
                <w:color w:val="000000"/>
                <w:sz w:val="22"/>
                <w:szCs w:val="22"/>
              </w:rPr>
              <w:t> </w:t>
            </w:r>
          </w:p>
        </w:tc>
      </w:tr>
      <w:tr w:rsidR="00E06449" w:rsidRPr="005C3464" w14:paraId="0E8F3B39" w14:textId="77777777" w:rsidTr="00583CE2">
        <w:trPr>
          <w:trHeight w:val="300"/>
        </w:trPr>
        <w:tc>
          <w:tcPr>
            <w:tcW w:w="3969" w:type="dxa"/>
            <w:tcBorders>
              <w:top w:val="nil"/>
              <w:left w:val="nil"/>
              <w:bottom w:val="single" w:sz="4" w:space="0" w:color="auto"/>
              <w:right w:val="nil"/>
            </w:tcBorders>
            <w:shd w:val="clear" w:color="auto" w:fill="auto"/>
            <w:noWrap/>
            <w:vAlign w:val="center"/>
            <w:hideMark/>
          </w:tcPr>
          <w:p w14:paraId="1DFDD90C" w14:textId="77777777" w:rsidR="00E06449" w:rsidRPr="005C3464" w:rsidRDefault="00E06449" w:rsidP="00E06449">
            <w:pPr>
              <w:rPr>
                <w:rFonts w:eastAsia="Times New Roman"/>
                <w:color w:val="000000"/>
                <w:sz w:val="22"/>
                <w:szCs w:val="22"/>
              </w:rPr>
            </w:pPr>
            <w:r w:rsidRPr="005C3464">
              <w:rPr>
                <w:rFonts w:eastAsia="Times New Roman"/>
                <w:color w:val="000000"/>
                <w:sz w:val="22"/>
                <w:szCs w:val="22"/>
              </w:rPr>
              <w:t>Total</w:t>
            </w:r>
          </w:p>
        </w:tc>
        <w:tc>
          <w:tcPr>
            <w:tcW w:w="1151" w:type="dxa"/>
            <w:tcBorders>
              <w:top w:val="nil"/>
              <w:left w:val="nil"/>
              <w:bottom w:val="single" w:sz="4" w:space="0" w:color="auto"/>
              <w:right w:val="nil"/>
            </w:tcBorders>
            <w:shd w:val="clear" w:color="auto" w:fill="auto"/>
            <w:noWrap/>
            <w:vAlign w:val="center"/>
            <w:hideMark/>
          </w:tcPr>
          <w:p w14:paraId="2E7C5729" w14:textId="77777777" w:rsidR="00E06449" w:rsidRPr="005C3464" w:rsidRDefault="00E06449" w:rsidP="00E06449">
            <w:pPr>
              <w:rPr>
                <w:rFonts w:eastAsia="Times New Roman"/>
                <w:color w:val="000000"/>
                <w:sz w:val="22"/>
                <w:szCs w:val="22"/>
              </w:rPr>
            </w:pPr>
            <w:r w:rsidRPr="005C3464">
              <w:rPr>
                <w:rFonts w:eastAsia="Times New Roman"/>
                <w:color w:val="000000"/>
                <w:sz w:val="22"/>
                <w:szCs w:val="22"/>
              </w:rPr>
              <w:t> </w:t>
            </w:r>
          </w:p>
        </w:tc>
        <w:tc>
          <w:tcPr>
            <w:tcW w:w="834" w:type="dxa"/>
            <w:tcBorders>
              <w:top w:val="nil"/>
              <w:left w:val="nil"/>
              <w:bottom w:val="single" w:sz="4" w:space="0" w:color="auto"/>
              <w:right w:val="nil"/>
            </w:tcBorders>
            <w:shd w:val="clear" w:color="auto" w:fill="auto"/>
            <w:noWrap/>
            <w:vAlign w:val="center"/>
            <w:hideMark/>
          </w:tcPr>
          <w:p w14:paraId="73288367" w14:textId="4A4BE0E8" w:rsidR="00E06449" w:rsidRPr="005C3464" w:rsidRDefault="00E06449" w:rsidP="00E06449">
            <w:pPr>
              <w:jc w:val="center"/>
              <w:rPr>
                <w:rFonts w:eastAsia="Times New Roman"/>
                <w:color w:val="000000"/>
                <w:sz w:val="22"/>
                <w:szCs w:val="22"/>
              </w:rPr>
            </w:pPr>
            <w:r>
              <w:rPr>
                <w:rFonts w:eastAsia="Times New Roman"/>
                <w:color w:val="000000"/>
                <w:sz w:val="22"/>
                <w:szCs w:val="22"/>
              </w:rPr>
              <w:t>909</w:t>
            </w:r>
          </w:p>
        </w:tc>
        <w:tc>
          <w:tcPr>
            <w:tcW w:w="408" w:type="dxa"/>
            <w:tcBorders>
              <w:top w:val="nil"/>
              <w:left w:val="nil"/>
              <w:bottom w:val="single" w:sz="4" w:space="0" w:color="auto"/>
              <w:right w:val="nil"/>
            </w:tcBorders>
            <w:shd w:val="clear" w:color="auto" w:fill="auto"/>
            <w:noWrap/>
            <w:vAlign w:val="bottom"/>
            <w:hideMark/>
          </w:tcPr>
          <w:p w14:paraId="7445F981" w14:textId="77777777" w:rsidR="00E06449" w:rsidRPr="005C3464" w:rsidRDefault="00E06449" w:rsidP="00E06449">
            <w:pPr>
              <w:rPr>
                <w:rFonts w:ascii="Calibri" w:eastAsia="Times New Roman" w:hAnsi="Calibri" w:cs="Calibri"/>
                <w:color w:val="000000"/>
                <w:sz w:val="22"/>
                <w:szCs w:val="22"/>
              </w:rPr>
            </w:pPr>
            <w:r w:rsidRPr="005C3464">
              <w:rPr>
                <w:rFonts w:ascii="Calibri" w:eastAsia="Times New Roman" w:hAnsi="Calibri" w:cs="Calibri"/>
                <w:color w:val="000000"/>
                <w:sz w:val="22"/>
                <w:szCs w:val="22"/>
              </w:rPr>
              <w:t> </w:t>
            </w:r>
          </w:p>
        </w:tc>
        <w:tc>
          <w:tcPr>
            <w:tcW w:w="821" w:type="dxa"/>
            <w:tcBorders>
              <w:top w:val="nil"/>
              <w:left w:val="nil"/>
              <w:bottom w:val="single" w:sz="4" w:space="0" w:color="auto"/>
              <w:right w:val="nil"/>
            </w:tcBorders>
            <w:shd w:val="clear" w:color="auto" w:fill="auto"/>
            <w:noWrap/>
            <w:vAlign w:val="center"/>
            <w:hideMark/>
          </w:tcPr>
          <w:p w14:paraId="3B81CA11" w14:textId="62B01BE9" w:rsidR="00E06449" w:rsidRPr="005C3464" w:rsidRDefault="00E06449" w:rsidP="00E06449">
            <w:pPr>
              <w:jc w:val="center"/>
              <w:rPr>
                <w:rFonts w:eastAsia="Times New Roman"/>
                <w:color w:val="000000"/>
                <w:sz w:val="22"/>
                <w:szCs w:val="22"/>
              </w:rPr>
            </w:pPr>
            <w:r>
              <w:rPr>
                <w:rFonts w:eastAsia="Times New Roman"/>
                <w:color w:val="000000"/>
                <w:sz w:val="22"/>
                <w:szCs w:val="22"/>
              </w:rPr>
              <w:t>120.11</w:t>
            </w:r>
          </w:p>
        </w:tc>
        <w:tc>
          <w:tcPr>
            <w:tcW w:w="938" w:type="dxa"/>
            <w:tcBorders>
              <w:top w:val="nil"/>
              <w:left w:val="nil"/>
              <w:bottom w:val="single" w:sz="4" w:space="0" w:color="auto"/>
              <w:right w:val="nil"/>
            </w:tcBorders>
            <w:shd w:val="clear" w:color="auto" w:fill="auto"/>
            <w:noWrap/>
            <w:vAlign w:val="center"/>
            <w:hideMark/>
          </w:tcPr>
          <w:p w14:paraId="7D31BFEB" w14:textId="046AA7F8" w:rsidR="00E06449" w:rsidRPr="005C3464" w:rsidRDefault="00E06449" w:rsidP="00E06449">
            <w:pPr>
              <w:jc w:val="center"/>
              <w:rPr>
                <w:rFonts w:eastAsia="Times New Roman"/>
                <w:color w:val="000000"/>
                <w:sz w:val="22"/>
                <w:szCs w:val="22"/>
              </w:rPr>
            </w:pPr>
            <w:r>
              <w:rPr>
                <w:rFonts w:eastAsia="Times New Roman"/>
                <w:color w:val="000000"/>
                <w:sz w:val="22"/>
                <w:szCs w:val="22"/>
              </w:rPr>
              <w:t>90</w:t>
            </w:r>
          </w:p>
        </w:tc>
        <w:tc>
          <w:tcPr>
            <w:tcW w:w="711" w:type="dxa"/>
            <w:tcBorders>
              <w:top w:val="nil"/>
              <w:left w:val="nil"/>
              <w:bottom w:val="single" w:sz="4" w:space="0" w:color="auto"/>
              <w:right w:val="nil"/>
            </w:tcBorders>
            <w:shd w:val="clear" w:color="auto" w:fill="auto"/>
            <w:noWrap/>
            <w:vAlign w:val="bottom"/>
            <w:hideMark/>
          </w:tcPr>
          <w:p w14:paraId="789CA117" w14:textId="77777777" w:rsidR="00E06449" w:rsidRPr="005C3464" w:rsidRDefault="00E06449" w:rsidP="00E06449">
            <w:pPr>
              <w:rPr>
                <w:rFonts w:ascii="Calibri" w:eastAsia="Times New Roman" w:hAnsi="Calibri" w:cs="Calibri"/>
                <w:color w:val="000000"/>
                <w:sz w:val="22"/>
                <w:szCs w:val="22"/>
              </w:rPr>
            </w:pPr>
            <w:r w:rsidRPr="005C3464">
              <w:rPr>
                <w:rFonts w:ascii="Calibri" w:eastAsia="Times New Roman" w:hAnsi="Calibri" w:cs="Calibri"/>
                <w:color w:val="000000"/>
                <w:sz w:val="22"/>
                <w:szCs w:val="22"/>
              </w:rPr>
              <w:t> </w:t>
            </w:r>
          </w:p>
        </w:tc>
        <w:tc>
          <w:tcPr>
            <w:tcW w:w="754" w:type="dxa"/>
            <w:tcBorders>
              <w:top w:val="nil"/>
              <w:left w:val="nil"/>
              <w:bottom w:val="single" w:sz="4" w:space="0" w:color="auto"/>
              <w:right w:val="nil"/>
            </w:tcBorders>
            <w:shd w:val="clear" w:color="auto" w:fill="auto"/>
            <w:noWrap/>
            <w:vAlign w:val="center"/>
            <w:hideMark/>
          </w:tcPr>
          <w:p w14:paraId="2BDCDFF9" w14:textId="6AE71F6D" w:rsidR="00E06449" w:rsidRPr="005C3464" w:rsidRDefault="00E06449" w:rsidP="00E06449">
            <w:pPr>
              <w:jc w:val="center"/>
              <w:rPr>
                <w:rFonts w:eastAsia="Times New Roman"/>
                <w:color w:val="000000"/>
                <w:sz w:val="22"/>
                <w:szCs w:val="22"/>
              </w:rPr>
            </w:pPr>
            <w:r>
              <w:rPr>
                <w:rFonts w:eastAsia="Times New Roman"/>
                <w:color w:val="000000"/>
                <w:sz w:val="22"/>
                <w:szCs w:val="22"/>
              </w:rPr>
              <w:t>2.77</w:t>
            </w:r>
          </w:p>
        </w:tc>
        <w:tc>
          <w:tcPr>
            <w:tcW w:w="1137" w:type="dxa"/>
            <w:tcBorders>
              <w:top w:val="nil"/>
              <w:left w:val="nil"/>
              <w:bottom w:val="single" w:sz="4" w:space="0" w:color="auto"/>
              <w:right w:val="nil"/>
            </w:tcBorders>
            <w:shd w:val="clear" w:color="auto" w:fill="auto"/>
            <w:noWrap/>
            <w:vAlign w:val="center"/>
            <w:hideMark/>
          </w:tcPr>
          <w:p w14:paraId="53892D98" w14:textId="77777777" w:rsidR="00E06449" w:rsidRPr="005C3464" w:rsidRDefault="00E06449" w:rsidP="00E06449">
            <w:pPr>
              <w:jc w:val="center"/>
              <w:rPr>
                <w:rFonts w:eastAsia="Times New Roman"/>
                <w:color w:val="000000"/>
                <w:sz w:val="22"/>
                <w:szCs w:val="22"/>
              </w:rPr>
            </w:pPr>
            <w:r w:rsidRPr="005C3464">
              <w:rPr>
                <w:rFonts w:eastAsia="Times New Roman"/>
                <w:color w:val="000000"/>
                <w:sz w:val="22"/>
                <w:szCs w:val="22"/>
              </w:rPr>
              <w:t>3</w:t>
            </w:r>
          </w:p>
        </w:tc>
        <w:tc>
          <w:tcPr>
            <w:tcW w:w="302" w:type="dxa"/>
            <w:tcBorders>
              <w:top w:val="nil"/>
              <w:left w:val="nil"/>
              <w:bottom w:val="single" w:sz="4" w:space="0" w:color="auto"/>
              <w:right w:val="nil"/>
            </w:tcBorders>
            <w:shd w:val="clear" w:color="auto" w:fill="auto"/>
            <w:noWrap/>
            <w:vAlign w:val="bottom"/>
            <w:hideMark/>
          </w:tcPr>
          <w:p w14:paraId="50A70DC3" w14:textId="77777777" w:rsidR="00E06449" w:rsidRPr="005C3464" w:rsidRDefault="00E06449" w:rsidP="00E06449">
            <w:pPr>
              <w:rPr>
                <w:rFonts w:ascii="Calibri" w:eastAsia="Times New Roman" w:hAnsi="Calibri" w:cs="Calibri"/>
                <w:color w:val="000000"/>
                <w:sz w:val="22"/>
                <w:szCs w:val="22"/>
              </w:rPr>
            </w:pPr>
            <w:r w:rsidRPr="005C3464">
              <w:rPr>
                <w:rFonts w:ascii="Calibri" w:eastAsia="Times New Roman" w:hAnsi="Calibri" w:cs="Calibri"/>
                <w:color w:val="000000"/>
                <w:sz w:val="22"/>
                <w:szCs w:val="22"/>
              </w:rPr>
              <w:t> </w:t>
            </w:r>
          </w:p>
        </w:tc>
        <w:tc>
          <w:tcPr>
            <w:tcW w:w="938" w:type="dxa"/>
            <w:tcBorders>
              <w:top w:val="nil"/>
              <w:left w:val="nil"/>
              <w:bottom w:val="single" w:sz="4" w:space="0" w:color="auto"/>
              <w:right w:val="nil"/>
            </w:tcBorders>
            <w:shd w:val="clear" w:color="auto" w:fill="auto"/>
            <w:noWrap/>
            <w:vAlign w:val="center"/>
            <w:hideMark/>
          </w:tcPr>
          <w:p w14:paraId="33C7E11C" w14:textId="50F80B6B" w:rsidR="00E06449" w:rsidRPr="005C3464" w:rsidRDefault="00E06449" w:rsidP="00E06449">
            <w:pPr>
              <w:jc w:val="center"/>
              <w:rPr>
                <w:rFonts w:eastAsia="Times New Roman"/>
                <w:color w:val="000000"/>
                <w:sz w:val="22"/>
                <w:szCs w:val="22"/>
              </w:rPr>
            </w:pPr>
            <w:r>
              <w:rPr>
                <w:rFonts w:eastAsia="Times New Roman"/>
                <w:color w:val="000000"/>
                <w:sz w:val="22"/>
                <w:szCs w:val="22"/>
              </w:rPr>
              <w:t>26.36</w:t>
            </w:r>
          </w:p>
        </w:tc>
        <w:tc>
          <w:tcPr>
            <w:tcW w:w="1078" w:type="dxa"/>
            <w:tcBorders>
              <w:top w:val="nil"/>
              <w:left w:val="nil"/>
              <w:bottom w:val="single" w:sz="4" w:space="0" w:color="auto"/>
              <w:right w:val="nil"/>
            </w:tcBorders>
            <w:shd w:val="clear" w:color="auto" w:fill="auto"/>
            <w:noWrap/>
            <w:vAlign w:val="center"/>
            <w:hideMark/>
          </w:tcPr>
          <w:p w14:paraId="1613BEE6" w14:textId="289E576F" w:rsidR="00E06449" w:rsidRPr="005C3464" w:rsidRDefault="00E06449" w:rsidP="00E06449">
            <w:pPr>
              <w:jc w:val="center"/>
              <w:rPr>
                <w:rFonts w:eastAsia="Times New Roman"/>
                <w:color w:val="000000"/>
                <w:sz w:val="22"/>
                <w:szCs w:val="22"/>
              </w:rPr>
            </w:pPr>
            <w:r>
              <w:rPr>
                <w:rFonts w:eastAsia="Times New Roman"/>
                <w:color w:val="000000"/>
                <w:sz w:val="22"/>
                <w:szCs w:val="22"/>
              </w:rPr>
              <w:t>22</w:t>
            </w:r>
          </w:p>
        </w:tc>
      </w:tr>
    </w:tbl>
    <w:p w14:paraId="1833C739" w14:textId="77777777" w:rsidR="00484EE9" w:rsidRDefault="00484EE9" w:rsidP="00F91520">
      <w:pPr>
        <w:pStyle w:val="Heading1"/>
        <w:rPr>
          <w:rFonts w:ascii="Times New Roman" w:hAnsi="Times New Roman" w:cs="Times New Roman"/>
          <w:b/>
          <w:color w:val="000000" w:themeColor="text1"/>
          <w:sz w:val="24"/>
          <w:szCs w:val="24"/>
          <w:lang w:eastAsia="en-US"/>
        </w:rPr>
        <w:sectPr w:rsidR="00484EE9" w:rsidSect="003876B9">
          <w:headerReference w:type="default" r:id="rId26"/>
          <w:footerReference w:type="default" r:id="rId27"/>
          <w:pgSz w:w="16838" w:h="11906" w:orient="landscape"/>
          <w:pgMar w:top="1276" w:right="1440" w:bottom="1440" w:left="1440" w:header="708" w:footer="708" w:gutter="0"/>
          <w:cols w:space="708"/>
          <w:docGrid w:linePitch="360"/>
        </w:sectPr>
      </w:pPr>
    </w:p>
    <w:p w14:paraId="7FF3ABDB" w14:textId="09E90A3B" w:rsidR="009B1C8B" w:rsidRDefault="001C2633" w:rsidP="004F14BE">
      <w:pPr>
        <w:rPr>
          <w:rFonts w:asciiTheme="minorHAnsi" w:hAnsiTheme="minorHAnsi" w:cstheme="minorBidi"/>
          <w:sz w:val="22"/>
          <w:szCs w:val="22"/>
          <w:lang w:eastAsia="en-US"/>
        </w:rPr>
      </w:pPr>
      <w:r>
        <w:rPr>
          <w:rFonts w:asciiTheme="majorHAnsi" w:hAnsiTheme="majorHAnsi" w:cstheme="majorBidi"/>
          <w:color w:val="2E74B5" w:themeColor="accent1" w:themeShade="BF"/>
          <w:sz w:val="32"/>
          <w:szCs w:val="32"/>
          <w:lang w:eastAsia="en-US"/>
        </w:rPr>
        <w:lastRenderedPageBreak/>
        <w:fldChar w:fldCharType="begin"/>
      </w:r>
      <w:r>
        <w:rPr>
          <w:lang w:eastAsia="en-US"/>
        </w:rPr>
        <w:instrText xml:space="preserve"> LINK </w:instrText>
      </w:r>
      <w:r w:rsidR="00E06724">
        <w:rPr>
          <w:lang w:eastAsia="en-US"/>
        </w:rPr>
        <w:instrText xml:space="preserve">Excel.Sheet.12 "E:\\PhD journey\\Descriptive statistics\\writing\\Descriptive statistics_SEC review attributes (edited).xlsx" "Summary Industry.Market!R16C1:R24C12" </w:instrText>
      </w:r>
      <w:r>
        <w:rPr>
          <w:lang w:eastAsia="en-US"/>
        </w:rPr>
        <w:instrText xml:space="preserve">\a \f 4 \h  \* MERGEFORMAT </w:instrText>
      </w:r>
      <w:r>
        <w:rPr>
          <w:rFonts w:asciiTheme="majorHAnsi" w:hAnsiTheme="majorHAnsi" w:cstheme="majorBidi"/>
          <w:color w:val="2E74B5" w:themeColor="accent1" w:themeShade="BF"/>
          <w:sz w:val="32"/>
          <w:szCs w:val="32"/>
          <w:lang w:eastAsia="en-US"/>
        </w:rPr>
        <w:fldChar w:fldCharType="separate"/>
      </w:r>
    </w:p>
    <w:tbl>
      <w:tblPr>
        <w:tblW w:w="9379" w:type="dxa"/>
        <w:tblLook w:val="04A0" w:firstRow="1" w:lastRow="0" w:firstColumn="1" w:lastColumn="0" w:noHBand="0" w:noVBand="1"/>
      </w:tblPr>
      <w:tblGrid>
        <w:gridCol w:w="1701"/>
        <w:gridCol w:w="283"/>
        <w:gridCol w:w="1985"/>
        <w:gridCol w:w="284"/>
        <w:gridCol w:w="1417"/>
        <w:gridCol w:w="425"/>
        <w:gridCol w:w="567"/>
        <w:gridCol w:w="1220"/>
        <w:gridCol w:w="1497"/>
      </w:tblGrid>
      <w:tr w:rsidR="009B1C8B" w:rsidRPr="009B1C8B" w14:paraId="6C559EDD" w14:textId="77777777" w:rsidTr="009B1C8B">
        <w:trPr>
          <w:divId w:val="1161626156"/>
          <w:trHeight w:val="300"/>
        </w:trPr>
        <w:tc>
          <w:tcPr>
            <w:tcW w:w="9374" w:type="dxa"/>
            <w:gridSpan w:val="9"/>
            <w:tcBorders>
              <w:top w:val="single" w:sz="8" w:space="0" w:color="auto"/>
              <w:left w:val="nil"/>
              <w:bottom w:val="nil"/>
              <w:right w:val="nil"/>
            </w:tcBorders>
            <w:shd w:val="clear" w:color="auto" w:fill="auto"/>
            <w:vAlign w:val="bottom"/>
            <w:hideMark/>
          </w:tcPr>
          <w:p w14:paraId="5649E7FC" w14:textId="474011B2" w:rsidR="009B1C8B" w:rsidRPr="009B1C8B" w:rsidRDefault="009B1C8B" w:rsidP="009B1C8B">
            <w:pPr>
              <w:rPr>
                <w:rFonts w:eastAsia="Times New Roman"/>
                <w:b/>
                <w:bCs/>
                <w:color w:val="000000"/>
                <w:sz w:val="22"/>
                <w:szCs w:val="22"/>
              </w:rPr>
            </w:pPr>
            <w:r w:rsidRPr="009B1C8B">
              <w:rPr>
                <w:rFonts w:eastAsia="Times New Roman"/>
                <w:b/>
                <w:bCs/>
                <w:color w:val="000000"/>
                <w:sz w:val="22"/>
                <w:szCs w:val="22"/>
              </w:rPr>
              <w:t>Panel C. Univariate analysis of the SEC review attributes and other IPO firms' characteristics</w:t>
            </w:r>
          </w:p>
        </w:tc>
      </w:tr>
      <w:tr w:rsidR="009B1C8B" w:rsidRPr="009B1C8B" w14:paraId="0D7BE0F1" w14:textId="77777777" w:rsidTr="009B1C8B">
        <w:trPr>
          <w:divId w:val="1161626156"/>
          <w:trHeight w:val="900"/>
        </w:trPr>
        <w:tc>
          <w:tcPr>
            <w:tcW w:w="1701" w:type="dxa"/>
            <w:tcBorders>
              <w:top w:val="nil"/>
              <w:left w:val="nil"/>
              <w:bottom w:val="single" w:sz="4" w:space="0" w:color="auto"/>
              <w:right w:val="nil"/>
            </w:tcBorders>
            <w:shd w:val="clear" w:color="auto" w:fill="auto"/>
            <w:vAlign w:val="bottom"/>
            <w:hideMark/>
          </w:tcPr>
          <w:p w14:paraId="2BBC7FD8" w14:textId="77777777" w:rsidR="009B1C8B" w:rsidRPr="009B1C8B" w:rsidRDefault="009B1C8B" w:rsidP="009B1C8B">
            <w:pPr>
              <w:rPr>
                <w:rFonts w:eastAsia="Times New Roman"/>
                <w:b/>
                <w:bCs/>
                <w:color w:val="000000"/>
                <w:sz w:val="22"/>
                <w:szCs w:val="22"/>
              </w:rPr>
            </w:pPr>
            <w:r w:rsidRPr="009B1C8B">
              <w:rPr>
                <w:rFonts w:eastAsia="Times New Roman"/>
                <w:b/>
                <w:bCs/>
                <w:color w:val="000000"/>
                <w:sz w:val="22"/>
                <w:szCs w:val="22"/>
              </w:rPr>
              <w:t>Dependent variable</w:t>
            </w:r>
          </w:p>
        </w:tc>
        <w:tc>
          <w:tcPr>
            <w:tcW w:w="283" w:type="dxa"/>
            <w:tcBorders>
              <w:top w:val="nil"/>
              <w:left w:val="nil"/>
              <w:bottom w:val="nil"/>
              <w:right w:val="nil"/>
            </w:tcBorders>
            <w:shd w:val="clear" w:color="auto" w:fill="auto"/>
            <w:vAlign w:val="bottom"/>
            <w:hideMark/>
          </w:tcPr>
          <w:p w14:paraId="7981492C" w14:textId="77777777" w:rsidR="009B1C8B" w:rsidRPr="009B1C8B" w:rsidRDefault="009B1C8B" w:rsidP="009B1C8B">
            <w:pPr>
              <w:rPr>
                <w:rFonts w:eastAsia="Times New Roman"/>
                <w:b/>
                <w:bCs/>
                <w:color w:val="000000"/>
                <w:sz w:val="22"/>
                <w:szCs w:val="22"/>
              </w:rPr>
            </w:pPr>
          </w:p>
        </w:tc>
        <w:tc>
          <w:tcPr>
            <w:tcW w:w="1985" w:type="dxa"/>
            <w:tcBorders>
              <w:top w:val="nil"/>
              <w:left w:val="nil"/>
              <w:bottom w:val="single" w:sz="4" w:space="0" w:color="auto"/>
              <w:right w:val="nil"/>
            </w:tcBorders>
            <w:shd w:val="clear" w:color="auto" w:fill="auto"/>
            <w:vAlign w:val="bottom"/>
            <w:hideMark/>
          </w:tcPr>
          <w:p w14:paraId="6FE116AA" w14:textId="77777777" w:rsidR="009B1C8B" w:rsidRPr="009B1C8B" w:rsidRDefault="009B1C8B" w:rsidP="009B1C8B">
            <w:pPr>
              <w:rPr>
                <w:rFonts w:eastAsia="Times New Roman"/>
                <w:b/>
                <w:bCs/>
                <w:color w:val="000000"/>
                <w:sz w:val="22"/>
                <w:szCs w:val="22"/>
              </w:rPr>
            </w:pPr>
            <w:r w:rsidRPr="009B1C8B">
              <w:rPr>
                <w:rFonts w:eastAsia="Times New Roman"/>
                <w:b/>
                <w:bCs/>
                <w:color w:val="000000"/>
                <w:sz w:val="22"/>
                <w:szCs w:val="22"/>
              </w:rPr>
              <w:t>Independent variable</w:t>
            </w:r>
          </w:p>
        </w:tc>
        <w:tc>
          <w:tcPr>
            <w:tcW w:w="284" w:type="dxa"/>
            <w:tcBorders>
              <w:top w:val="nil"/>
              <w:left w:val="nil"/>
              <w:bottom w:val="nil"/>
              <w:right w:val="nil"/>
            </w:tcBorders>
            <w:shd w:val="clear" w:color="auto" w:fill="auto"/>
            <w:vAlign w:val="bottom"/>
            <w:hideMark/>
          </w:tcPr>
          <w:p w14:paraId="292F775D" w14:textId="77777777" w:rsidR="009B1C8B" w:rsidRPr="009B1C8B" w:rsidRDefault="009B1C8B" w:rsidP="009B1C8B">
            <w:pPr>
              <w:rPr>
                <w:rFonts w:eastAsia="Times New Roman"/>
                <w:b/>
                <w:bCs/>
                <w:color w:val="000000"/>
                <w:sz w:val="22"/>
                <w:szCs w:val="22"/>
              </w:rPr>
            </w:pPr>
          </w:p>
        </w:tc>
        <w:tc>
          <w:tcPr>
            <w:tcW w:w="1417" w:type="dxa"/>
            <w:tcBorders>
              <w:top w:val="nil"/>
              <w:left w:val="nil"/>
              <w:bottom w:val="single" w:sz="4" w:space="0" w:color="auto"/>
              <w:right w:val="nil"/>
            </w:tcBorders>
            <w:shd w:val="clear" w:color="auto" w:fill="auto"/>
            <w:vAlign w:val="bottom"/>
            <w:hideMark/>
          </w:tcPr>
          <w:p w14:paraId="1D02EB27" w14:textId="77777777" w:rsidR="009B1C8B" w:rsidRPr="009B1C8B" w:rsidRDefault="009B1C8B" w:rsidP="004F14BE">
            <w:pPr>
              <w:rPr>
                <w:rFonts w:eastAsia="Times New Roman"/>
                <w:b/>
                <w:bCs/>
                <w:color w:val="000000"/>
                <w:sz w:val="22"/>
                <w:szCs w:val="22"/>
              </w:rPr>
            </w:pPr>
            <w:r w:rsidRPr="009B1C8B">
              <w:rPr>
                <w:rFonts w:eastAsia="Times New Roman"/>
                <w:b/>
                <w:bCs/>
                <w:color w:val="000000"/>
                <w:sz w:val="22"/>
                <w:szCs w:val="22"/>
              </w:rPr>
              <w:t>Coefficient</w:t>
            </w:r>
          </w:p>
        </w:tc>
        <w:tc>
          <w:tcPr>
            <w:tcW w:w="425" w:type="dxa"/>
            <w:tcBorders>
              <w:top w:val="nil"/>
              <w:left w:val="nil"/>
              <w:bottom w:val="nil"/>
              <w:right w:val="nil"/>
            </w:tcBorders>
            <w:shd w:val="clear" w:color="auto" w:fill="auto"/>
            <w:vAlign w:val="bottom"/>
            <w:hideMark/>
          </w:tcPr>
          <w:p w14:paraId="1403EBC5" w14:textId="77777777" w:rsidR="009B1C8B" w:rsidRPr="009B1C8B" w:rsidRDefault="009B1C8B" w:rsidP="004F14BE">
            <w:pPr>
              <w:rPr>
                <w:rFonts w:eastAsia="Times New Roman"/>
                <w:b/>
                <w:bCs/>
                <w:color w:val="000000"/>
                <w:sz w:val="22"/>
                <w:szCs w:val="22"/>
              </w:rPr>
            </w:pPr>
          </w:p>
        </w:tc>
        <w:tc>
          <w:tcPr>
            <w:tcW w:w="567" w:type="dxa"/>
            <w:tcBorders>
              <w:top w:val="nil"/>
              <w:left w:val="nil"/>
              <w:bottom w:val="single" w:sz="4" w:space="0" w:color="auto"/>
              <w:right w:val="nil"/>
            </w:tcBorders>
            <w:shd w:val="clear" w:color="auto" w:fill="auto"/>
            <w:vAlign w:val="bottom"/>
            <w:hideMark/>
          </w:tcPr>
          <w:p w14:paraId="7578ABAC" w14:textId="77777777" w:rsidR="009B1C8B" w:rsidRPr="009B1C8B" w:rsidRDefault="009B1C8B" w:rsidP="004F14BE">
            <w:pPr>
              <w:rPr>
                <w:rFonts w:eastAsia="Times New Roman"/>
                <w:b/>
                <w:bCs/>
                <w:color w:val="000000"/>
                <w:sz w:val="22"/>
                <w:szCs w:val="22"/>
              </w:rPr>
            </w:pPr>
            <w:r w:rsidRPr="009B1C8B">
              <w:rPr>
                <w:rFonts w:eastAsia="Times New Roman"/>
                <w:b/>
                <w:bCs/>
                <w:color w:val="000000"/>
                <w:sz w:val="22"/>
                <w:szCs w:val="22"/>
              </w:rPr>
              <w:t>N</w:t>
            </w:r>
          </w:p>
        </w:tc>
        <w:tc>
          <w:tcPr>
            <w:tcW w:w="1220" w:type="dxa"/>
            <w:tcBorders>
              <w:top w:val="nil"/>
              <w:left w:val="nil"/>
              <w:bottom w:val="single" w:sz="4" w:space="0" w:color="auto"/>
              <w:right w:val="nil"/>
            </w:tcBorders>
            <w:shd w:val="clear" w:color="auto" w:fill="auto"/>
            <w:vAlign w:val="bottom"/>
            <w:hideMark/>
          </w:tcPr>
          <w:p w14:paraId="315ECDC9" w14:textId="77777777" w:rsidR="009B1C8B" w:rsidRPr="009B1C8B" w:rsidRDefault="009B1C8B" w:rsidP="009B1C8B">
            <w:pPr>
              <w:rPr>
                <w:rFonts w:eastAsia="Times New Roman"/>
                <w:b/>
                <w:bCs/>
                <w:color w:val="000000"/>
                <w:sz w:val="22"/>
                <w:szCs w:val="22"/>
              </w:rPr>
            </w:pPr>
            <w:r w:rsidRPr="009B1C8B">
              <w:rPr>
                <w:rFonts w:eastAsia="Times New Roman"/>
                <w:b/>
                <w:bCs/>
                <w:color w:val="000000"/>
                <w:sz w:val="22"/>
                <w:szCs w:val="22"/>
              </w:rPr>
              <w:t>Wald chi2</w:t>
            </w:r>
          </w:p>
        </w:tc>
        <w:tc>
          <w:tcPr>
            <w:tcW w:w="1497" w:type="dxa"/>
            <w:tcBorders>
              <w:top w:val="nil"/>
              <w:left w:val="nil"/>
              <w:bottom w:val="single" w:sz="4" w:space="0" w:color="auto"/>
              <w:right w:val="nil"/>
            </w:tcBorders>
            <w:shd w:val="clear" w:color="auto" w:fill="auto"/>
            <w:vAlign w:val="bottom"/>
            <w:hideMark/>
          </w:tcPr>
          <w:p w14:paraId="1D096BDE" w14:textId="77777777" w:rsidR="009B1C8B" w:rsidRPr="009B1C8B" w:rsidRDefault="009B1C8B" w:rsidP="009B1C8B">
            <w:pPr>
              <w:rPr>
                <w:rFonts w:eastAsia="Times New Roman"/>
                <w:b/>
                <w:bCs/>
                <w:color w:val="000000"/>
                <w:sz w:val="22"/>
                <w:szCs w:val="22"/>
              </w:rPr>
            </w:pPr>
            <w:r w:rsidRPr="009B1C8B">
              <w:rPr>
                <w:rFonts w:eastAsia="Times New Roman"/>
                <w:b/>
                <w:bCs/>
                <w:color w:val="000000"/>
                <w:sz w:val="22"/>
                <w:szCs w:val="22"/>
              </w:rPr>
              <w:t>Pseudo R2</w:t>
            </w:r>
          </w:p>
        </w:tc>
      </w:tr>
      <w:tr w:rsidR="009B1C8B" w:rsidRPr="009B1C8B" w14:paraId="1BE872C5" w14:textId="77777777" w:rsidTr="009B1C8B">
        <w:trPr>
          <w:divId w:val="1161626156"/>
          <w:trHeight w:val="630"/>
        </w:trPr>
        <w:tc>
          <w:tcPr>
            <w:tcW w:w="1701" w:type="dxa"/>
            <w:vMerge w:val="restart"/>
            <w:tcBorders>
              <w:top w:val="nil"/>
              <w:left w:val="nil"/>
              <w:bottom w:val="single" w:sz="4" w:space="0" w:color="000000"/>
              <w:right w:val="nil"/>
            </w:tcBorders>
            <w:shd w:val="clear" w:color="auto" w:fill="auto"/>
            <w:vAlign w:val="center"/>
            <w:hideMark/>
          </w:tcPr>
          <w:p w14:paraId="6471475A"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Duration</w:t>
            </w:r>
          </w:p>
        </w:tc>
        <w:tc>
          <w:tcPr>
            <w:tcW w:w="283" w:type="dxa"/>
            <w:tcBorders>
              <w:top w:val="nil"/>
              <w:left w:val="nil"/>
              <w:bottom w:val="nil"/>
              <w:right w:val="nil"/>
            </w:tcBorders>
            <w:shd w:val="clear" w:color="auto" w:fill="auto"/>
            <w:vAlign w:val="bottom"/>
            <w:hideMark/>
          </w:tcPr>
          <w:p w14:paraId="68CB44AC" w14:textId="77777777" w:rsidR="009B1C8B" w:rsidRPr="009B1C8B" w:rsidRDefault="009B1C8B" w:rsidP="009B1C8B">
            <w:pPr>
              <w:rPr>
                <w:rFonts w:eastAsia="Times New Roman"/>
                <w:color w:val="000000"/>
                <w:sz w:val="22"/>
                <w:szCs w:val="22"/>
              </w:rPr>
            </w:pPr>
          </w:p>
        </w:tc>
        <w:tc>
          <w:tcPr>
            <w:tcW w:w="1985" w:type="dxa"/>
            <w:tcBorders>
              <w:top w:val="nil"/>
              <w:left w:val="nil"/>
              <w:bottom w:val="nil"/>
              <w:right w:val="nil"/>
            </w:tcBorders>
            <w:shd w:val="clear" w:color="auto" w:fill="auto"/>
            <w:vAlign w:val="bottom"/>
            <w:hideMark/>
          </w:tcPr>
          <w:p w14:paraId="591679C9"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IPOs by industry</w:t>
            </w:r>
          </w:p>
        </w:tc>
        <w:tc>
          <w:tcPr>
            <w:tcW w:w="284" w:type="dxa"/>
            <w:tcBorders>
              <w:top w:val="nil"/>
              <w:left w:val="nil"/>
              <w:bottom w:val="nil"/>
              <w:right w:val="nil"/>
            </w:tcBorders>
            <w:shd w:val="clear" w:color="auto" w:fill="auto"/>
            <w:vAlign w:val="bottom"/>
            <w:hideMark/>
          </w:tcPr>
          <w:p w14:paraId="4E4B0529" w14:textId="77777777" w:rsidR="009B1C8B" w:rsidRPr="009B1C8B" w:rsidRDefault="009B1C8B" w:rsidP="009B1C8B">
            <w:pPr>
              <w:rPr>
                <w:rFonts w:eastAsia="Times New Roman"/>
                <w:color w:val="000000"/>
                <w:sz w:val="22"/>
                <w:szCs w:val="22"/>
              </w:rPr>
            </w:pPr>
          </w:p>
        </w:tc>
        <w:tc>
          <w:tcPr>
            <w:tcW w:w="1417" w:type="dxa"/>
            <w:tcBorders>
              <w:top w:val="nil"/>
              <w:left w:val="nil"/>
              <w:bottom w:val="nil"/>
              <w:right w:val="nil"/>
            </w:tcBorders>
            <w:shd w:val="clear" w:color="auto" w:fill="auto"/>
            <w:vAlign w:val="bottom"/>
            <w:hideMark/>
          </w:tcPr>
          <w:p w14:paraId="2F11DA60"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-0.0015***</w:t>
            </w:r>
            <w:r w:rsidRPr="009B1C8B">
              <w:rPr>
                <w:rFonts w:eastAsia="Times New Roman"/>
                <w:color w:val="000000"/>
                <w:sz w:val="22"/>
                <w:szCs w:val="22"/>
              </w:rPr>
              <w:br/>
              <w:t>(-4.15)</w:t>
            </w:r>
          </w:p>
        </w:tc>
        <w:tc>
          <w:tcPr>
            <w:tcW w:w="425" w:type="dxa"/>
            <w:tcBorders>
              <w:top w:val="nil"/>
              <w:left w:val="nil"/>
              <w:bottom w:val="nil"/>
              <w:right w:val="nil"/>
            </w:tcBorders>
            <w:shd w:val="clear" w:color="auto" w:fill="auto"/>
            <w:vAlign w:val="bottom"/>
            <w:hideMark/>
          </w:tcPr>
          <w:p w14:paraId="5AF35E9A" w14:textId="77777777" w:rsidR="009B1C8B" w:rsidRPr="009B1C8B" w:rsidRDefault="009B1C8B" w:rsidP="004F14BE">
            <w:pPr>
              <w:rPr>
                <w:rFonts w:eastAsia="Times New Roman"/>
                <w:color w:val="000000"/>
                <w:sz w:val="22"/>
                <w:szCs w:val="22"/>
              </w:rPr>
            </w:pPr>
          </w:p>
        </w:tc>
        <w:tc>
          <w:tcPr>
            <w:tcW w:w="567" w:type="dxa"/>
            <w:tcBorders>
              <w:top w:val="nil"/>
              <w:left w:val="nil"/>
              <w:bottom w:val="nil"/>
              <w:right w:val="nil"/>
            </w:tcBorders>
            <w:shd w:val="clear" w:color="auto" w:fill="auto"/>
            <w:vAlign w:val="bottom"/>
            <w:hideMark/>
          </w:tcPr>
          <w:p w14:paraId="45812FF5"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909</w:t>
            </w:r>
          </w:p>
        </w:tc>
        <w:tc>
          <w:tcPr>
            <w:tcW w:w="1220" w:type="dxa"/>
            <w:tcBorders>
              <w:top w:val="nil"/>
              <w:left w:val="nil"/>
              <w:bottom w:val="nil"/>
              <w:right w:val="nil"/>
            </w:tcBorders>
            <w:shd w:val="clear" w:color="auto" w:fill="auto"/>
            <w:vAlign w:val="bottom"/>
            <w:hideMark/>
          </w:tcPr>
          <w:p w14:paraId="0819A712"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17.25</w:t>
            </w:r>
          </w:p>
        </w:tc>
        <w:tc>
          <w:tcPr>
            <w:tcW w:w="1497" w:type="dxa"/>
            <w:tcBorders>
              <w:top w:val="nil"/>
              <w:left w:val="nil"/>
              <w:bottom w:val="nil"/>
              <w:right w:val="nil"/>
            </w:tcBorders>
            <w:shd w:val="clear" w:color="auto" w:fill="auto"/>
            <w:vAlign w:val="bottom"/>
            <w:hideMark/>
          </w:tcPr>
          <w:p w14:paraId="5B2B0194"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0.003</w:t>
            </w:r>
          </w:p>
        </w:tc>
      </w:tr>
      <w:tr w:rsidR="009B1C8B" w:rsidRPr="009B1C8B" w14:paraId="60646592" w14:textId="77777777" w:rsidTr="009B1C8B">
        <w:trPr>
          <w:divId w:val="1161626156"/>
          <w:trHeight w:val="585"/>
        </w:trPr>
        <w:tc>
          <w:tcPr>
            <w:tcW w:w="1701" w:type="dxa"/>
            <w:vMerge/>
            <w:tcBorders>
              <w:top w:val="nil"/>
              <w:left w:val="nil"/>
              <w:bottom w:val="single" w:sz="4" w:space="0" w:color="000000"/>
              <w:right w:val="nil"/>
            </w:tcBorders>
            <w:vAlign w:val="center"/>
            <w:hideMark/>
          </w:tcPr>
          <w:p w14:paraId="3F87A78A" w14:textId="77777777" w:rsidR="009B1C8B" w:rsidRPr="009B1C8B" w:rsidRDefault="009B1C8B" w:rsidP="009B1C8B">
            <w:pPr>
              <w:rPr>
                <w:rFonts w:eastAsia="Times New Roman"/>
                <w:color w:val="000000"/>
                <w:sz w:val="22"/>
                <w:szCs w:val="22"/>
              </w:rPr>
            </w:pPr>
          </w:p>
        </w:tc>
        <w:tc>
          <w:tcPr>
            <w:tcW w:w="283" w:type="dxa"/>
            <w:tcBorders>
              <w:top w:val="nil"/>
              <w:left w:val="nil"/>
              <w:bottom w:val="single" w:sz="4" w:space="0" w:color="auto"/>
              <w:right w:val="nil"/>
            </w:tcBorders>
            <w:shd w:val="clear" w:color="auto" w:fill="auto"/>
            <w:vAlign w:val="bottom"/>
            <w:hideMark/>
          </w:tcPr>
          <w:p w14:paraId="523326E8"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 </w:t>
            </w:r>
          </w:p>
        </w:tc>
        <w:tc>
          <w:tcPr>
            <w:tcW w:w="1985" w:type="dxa"/>
            <w:tcBorders>
              <w:top w:val="nil"/>
              <w:left w:val="nil"/>
              <w:bottom w:val="single" w:sz="4" w:space="0" w:color="auto"/>
              <w:right w:val="nil"/>
            </w:tcBorders>
            <w:shd w:val="clear" w:color="auto" w:fill="auto"/>
            <w:vAlign w:val="bottom"/>
            <w:hideMark/>
          </w:tcPr>
          <w:p w14:paraId="0F6880F4"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Herfindahl Index</w:t>
            </w:r>
          </w:p>
        </w:tc>
        <w:tc>
          <w:tcPr>
            <w:tcW w:w="284" w:type="dxa"/>
            <w:tcBorders>
              <w:top w:val="nil"/>
              <w:left w:val="nil"/>
              <w:bottom w:val="single" w:sz="4" w:space="0" w:color="auto"/>
              <w:right w:val="nil"/>
            </w:tcBorders>
            <w:shd w:val="clear" w:color="auto" w:fill="auto"/>
            <w:vAlign w:val="bottom"/>
            <w:hideMark/>
          </w:tcPr>
          <w:p w14:paraId="3727CEFB"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 </w:t>
            </w:r>
          </w:p>
        </w:tc>
        <w:tc>
          <w:tcPr>
            <w:tcW w:w="1417" w:type="dxa"/>
            <w:tcBorders>
              <w:top w:val="nil"/>
              <w:left w:val="nil"/>
              <w:bottom w:val="single" w:sz="4" w:space="0" w:color="auto"/>
              <w:right w:val="nil"/>
            </w:tcBorders>
            <w:shd w:val="clear" w:color="auto" w:fill="auto"/>
            <w:vAlign w:val="bottom"/>
            <w:hideMark/>
          </w:tcPr>
          <w:p w14:paraId="0D3C51D2" w14:textId="2F7C0CE6" w:rsidR="009B1C8B" w:rsidRPr="009B1C8B" w:rsidRDefault="00AA1A8D" w:rsidP="004F14BE">
            <w:pPr>
              <w:rPr>
                <w:rFonts w:eastAsia="Times New Roman"/>
                <w:color w:val="000000"/>
                <w:sz w:val="22"/>
                <w:szCs w:val="22"/>
              </w:rPr>
            </w:pPr>
            <w:r>
              <w:rPr>
                <w:rFonts w:eastAsia="Times New Roman"/>
                <w:color w:val="000000"/>
                <w:sz w:val="22"/>
                <w:szCs w:val="22"/>
              </w:rPr>
              <w:t>0.4730</w:t>
            </w:r>
            <w:r w:rsidR="009B1C8B" w:rsidRPr="009B1C8B">
              <w:rPr>
                <w:rFonts w:eastAsia="Times New Roman"/>
                <w:color w:val="000000"/>
                <w:sz w:val="22"/>
                <w:szCs w:val="22"/>
              </w:rPr>
              <w:t>***</w:t>
            </w:r>
            <w:r w:rsidR="009B1C8B" w:rsidRPr="009B1C8B">
              <w:rPr>
                <w:rFonts w:eastAsia="Times New Roman"/>
                <w:color w:val="000000"/>
                <w:sz w:val="22"/>
                <w:szCs w:val="22"/>
              </w:rPr>
              <w:br/>
              <w:t>(</w:t>
            </w:r>
            <w:r>
              <w:rPr>
                <w:rFonts w:eastAsia="Times New Roman"/>
                <w:color w:val="000000"/>
                <w:sz w:val="22"/>
                <w:szCs w:val="22"/>
              </w:rPr>
              <w:t>2.65</w:t>
            </w:r>
            <w:r w:rsidR="009B1C8B" w:rsidRPr="009B1C8B">
              <w:rPr>
                <w:rFonts w:eastAsia="Times New Roman"/>
                <w:color w:val="000000"/>
                <w:sz w:val="22"/>
                <w:szCs w:val="22"/>
              </w:rPr>
              <w:t>)</w:t>
            </w:r>
          </w:p>
        </w:tc>
        <w:tc>
          <w:tcPr>
            <w:tcW w:w="425" w:type="dxa"/>
            <w:tcBorders>
              <w:top w:val="nil"/>
              <w:left w:val="nil"/>
              <w:bottom w:val="single" w:sz="4" w:space="0" w:color="auto"/>
              <w:right w:val="nil"/>
            </w:tcBorders>
            <w:shd w:val="clear" w:color="auto" w:fill="auto"/>
            <w:vAlign w:val="bottom"/>
            <w:hideMark/>
          </w:tcPr>
          <w:p w14:paraId="5E1BA893"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 </w:t>
            </w:r>
          </w:p>
        </w:tc>
        <w:tc>
          <w:tcPr>
            <w:tcW w:w="567" w:type="dxa"/>
            <w:tcBorders>
              <w:top w:val="nil"/>
              <w:left w:val="nil"/>
              <w:bottom w:val="single" w:sz="4" w:space="0" w:color="auto"/>
              <w:right w:val="nil"/>
            </w:tcBorders>
            <w:shd w:val="clear" w:color="auto" w:fill="auto"/>
            <w:vAlign w:val="bottom"/>
            <w:hideMark/>
          </w:tcPr>
          <w:p w14:paraId="661EED96"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909</w:t>
            </w:r>
          </w:p>
        </w:tc>
        <w:tc>
          <w:tcPr>
            <w:tcW w:w="1220" w:type="dxa"/>
            <w:tcBorders>
              <w:top w:val="nil"/>
              <w:left w:val="nil"/>
              <w:bottom w:val="single" w:sz="4" w:space="0" w:color="auto"/>
              <w:right w:val="nil"/>
            </w:tcBorders>
            <w:shd w:val="clear" w:color="auto" w:fill="auto"/>
            <w:vAlign w:val="bottom"/>
            <w:hideMark/>
          </w:tcPr>
          <w:p w14:paraId="4B8D79B2"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34.91</w:t>
            </w:r>
          </w:p>
        </w:tc>
        <w:tc>
          <w:tcPr>
            <w:tcW w:w="1497" w:type="dxa"/>
            <w:tcBorders>
              <w:top w:val="nil"/>
              <w:left w:val="nil"/>
              <w:bottom w:val="single" w:sz="4" w:space="0" w:color="auto"/>
              <w:right w:val="nil"/>
            </w:tcBorders>
            <w:shd w:val="clear" w:color="auto" w:fill="auto"/>
            <w:vAlign w:val="bottom"/>
            <w:hideMark/>
          </w:tcPr>
          <w:p w14:paraId="0D827237"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0.005</w:t>
            </w:r>
          </w:p>
        </w:tc>
      </w:tr>
      <w:tr w:rsidR="009B1C8B" w:rsidRPr="009B1C8B" w14:paraId="4528CCA7" w14:textId="77777777" w:rsidTr="009B1C8B">
        <w:trPr>
          <w:divId w:val="1161626156"/>
          <w:trHeight w:val="570"/>
        </w:trPr>
        <w:tc>
          <w:tcPr>
            <w:tcW w:w="1701" w:type="dxa"/>
            <w:vMerge w:val="restart"/>
            <w:tcBorders>
              <w:top w:val="nil"/>
              <w:left w:val="nil"/>
              <w:bottom w:val="single" w:sz="4" w:space="0" w:color="000000"/>
              <w:right w:val="nil"/>
            </w:tcBorders>
            <w:shd w:val="clear" w:color="auto" w:fill="auto"/>
            <w:vAlign w:val="center"/>
            <w:hideMark/>
          </w:tcPr>
          <w:p w14:paraId="069977B8"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Letters</w:t>
            </w:r>
          </w:p>
        </w:tc>
        <w:tc>
          <w:tcPr>
            <w:tcW w:w="283" w:type="dxa"/>
            <w:tcBorders>
              <w:top w:val="nil"/>
              <w:left w:val="nil"/>
              <w:bottom w:val="nil"/>
              <w:right w:val="nil"/>
            </w:tcBorders>
            <w:shd w:val="clear" w:color="auto" w:fill="auto"/>
            <w:vAlign w:val="bottom"/>
            <w:hideMark/>
          </w:tcPr>
          <w:p w14:paraId="489293FA"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 </w:t>
            </w:r>
          </w:p>
        </w:tc>
        <w:tc>
          <w:tcPr>
            <w:tcW w:w="1985" w:type="dxa"/>
            <w:tcBorders>
              <w:top w:val="single" w:sz="4" w:space="0" w:color="auto"/>
              <w:left w:val="nil"/>
              <w:bottom w:val="nil"/>
              <w:right w:val="nil"/>
            </w:tcBorders>
            <w:shd w:val="clear" w:color="auto" w:fill="auto"/>
            <w:vAlign w:val="bottom"/>
            <w:hideMark/>
          </w:tcPr>
          <w:p w14:paraId="3A43B842"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IPOs by industry</w:t>
            </w:r>
          </w:p>
        </w:tc>
        <w:tc>
          <w:tcPr>
            <w:tcW w:w="284" w:type="dxa"/>
            <w:tcBorders>
              <w:top w:val="nil"/>
              <w:left w:val="nil"/>
              <w:bottom w:val="nil"/>
              <w:right w:val="nil"/>
            </w:tcBorders>
            <w:shd w:val="clear" w:color="auto" w:fill="auto"/>
            <w:vAlign w:val="bottom"/>
            <w:hideMark/>
          </w:tcPr>
          <w:p w14:paraId="53009F08"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 </w:t>
            </w:r>
          </w:p>
        </w:tc>
        <w:tc>
          <w:tcPr>
            <w:tcW w:w="1417" w:type="dxa"/>
            <w:tcBorders>
              <w:top w:val="single" w:sz="4" w:space="0" w:color="auto"/>
              <w:left w:val="nil"/>
              <w:bottom w:val="nil"/>
              <w:right w:val="nil"/>
            </w:tcBorders>
            <w:shd w:val="clear" w:color="auto" w:fill="auto"/>
            <w:vAlign w:val="bottom"/>
            <w:hideMark/>
          </w:tcPr>
          <w:p w14:paraId="59E1D4B0"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 xml:space="preserve"> -0.0018***</w:t>
            </w:r>
            <w:r w:rsidRPr="009B1C8B">
              <w:rPr>
                <w:rFonts w:eastAsia="Times New Roman"/>
                <w:color w:val="000000"/>
                <w:sz w:val="22"/>
                <w:szCs w:val="22"/>
              </w:rPr>
              <w:br/>
              <w:t>(-7.82)</w:t>
            </w:r>
          </w:p>
        </w:tc>
        <w:tc>
          <w:tcPr>
            <w:tcW w:w="425" w:type="dxa"/>
            <w:tcBorders>
              <w:top w:val="nil"/>
              <w:left w:val="nil"/>
              <w:bottom w:val="nil"/>
              <w:right w:val="nil"/>
            </w:tcBorders>
            <w:shd w:val="clear" w:color="auto" w:fill="auto"/>
            <w:vAlign w:val="bottom"/>
            <w:hideMark/>
          </w:tcPr>
          <w:p w14:paraId="47A95B86"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 </w:t>
            </w:r>
          </w:p>
        </w:tc>
        <w:tc>
          <w:tcPr>
            <w:tcW w:w="567" w:type="dxa"/>
            <w:tcBorders>
              <w:top w:val="single" w:sz="4" w:space="0" w:color="auto"/>
              <w:left w:val="nil"/>
              <w:bottom w:val="nil"/>
              <w:right w:val="nil"/>
            </w:tcBorders>
            <w:shd w:val="clear" w:color="auto" w:fill="auto"/>
            <w:vAlign w:val="bottom"/>
            <w:hideMark/>
          </w:tcPr>
          <w:p w14:paraId="4728F99F"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909</w:t>
            </w:r>
          </w:p>
        </w:tc>
        <w:tc>
          <w:tcPr>
            <w:tcW w:w="1220" w:type="dxa"/>
            <w:tcBorders>
              <w:top w:val="nil"/>
              <w:left w:val="nil"/>
              <w:bottom w:val="nil"/>
              <w:right w:val="nil"/>
            </w:tcBorders>
            <w:shd w:val="clear" w:color="auto" w:fill="auto"/>
            <w:vAlign w:val="bottom"/>
            <w:hideMark/>
          </w:tcPr>
          <w:p w14:paraId="09FD2FB8"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61.16</w:t>
            </w:r>
          </w:p>
        </w:tc>
        <w:tc>
          <w:tcPr>
            <w:tcW w:w="1497" w:type="dxa"/>
            <w:tcBorders>
              <w:top w:val="nil"/>
              <w:left w:val="nil"/>
              <w:bottom w:val="nil"/>
              <w:right w:val="nil"/>
            </w:tcBorders>
            <w:shd w:val="clear" w:color="auto" w:fill="auto"/>
            <w:vAlign w:val="bottom"/>
            <w:hideMark/>
          </w:tcPr>
          <w:p w14:paraId="511C48FC"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0.016</w:t>
            </w:r>
          </w:p>
        </w:tc>
      </w:tr>
      <w:tr w:rsidR="009B1C8B" w:rsidRPr="009B1C8B" w14:paraId="3FF5F30A" w14:textId="77777777" w:rsidTr="009B1C8B">
        <w:trPr>
          <w:divId w:val="1161626156"/>
          <w:trHeight w:val="570"/>
        </w:trPr>
        <w:tc>
          <w:tcPr>
            <w:tcW w:w="1701" w:type="dxa"/>
            <w:vMerge/>
            <w:tcBorders>
              <w:top w:val="nil"/>
              <w:left w:val="nil"/>
              <w:bottom w:val="single" w:sz="4" w:space="0" w:color="000000"/>
              <w:right w:val="nil"/>
            </w:tcBorders>
            <w:vAlign w:val="center"/>
            <w:hideMark/>
          </w:tcPr>
          <w:p w14:paraId="49400C18" w14:textId="77777777" w:rsidR="009B1C8B" w:rsidRPr="009B1C8B" w:rsidRDefault="009B1C8B" w:rsidP="009B1C8B">
            <w:pPr>
              <w:rPr>
                <w:rFonts w:eastAsia="Times New Roman"/>
                <w:color w:val="000000"/>
                <w:sz w:val="22"/>
                <w:szCs w:val="22"/>
              </w:rPr>
            </w:pPr>
          </w:p>
        </w:tc>
        <w:tc>
          <w:tcPr>
            <w:tcW w:w="283" w:type="dxa"/>
            <w:tcBorders>
              <w:top w:val="nil"/>
              <w:left w:val="nil"/>
              <w:bottom w:val="single" w:sz="4" w:space="0" w:color="auto"/>
              <w:right w:val="nil"/>
            </w:tcBorders>
            <w:shd w:val="clear" w:color="auto" w:fill="auto"/>
            <w:vAlign w:val="bottom"/>
            <w:hideMark/>
          </w:tcPr>
          <w:p w14:paraId="391CBE00"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 </w:t>
            </w:r>
          </w:p>
        </w:tc>
        <w:tc>
          <w:tcPr>
            <w:tcW w:w="1985" w:type="dxa"/>
            <w:tcBorders>
              <w:top w:val="nil"/>
              <w:left w:val="nil"/>
              <w:bottom w:val="single" w:sz="4" w:space="0" w:color="auto"/>
              <w:right w:val="nil"/>
            </w:tcBorders>
            <w:shd w:val="clear" w:color="auto" w:fill="auto"/>
            <w:vAlign w:val="bottom"/>
            <w:hideMark/>
          </w:tcPr>
          <w:p w14:paraId="1EB1D234"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Herfindahl Index</w:t>
            </w:r>
          </w:p>
        </w:tc>
        <w:tc>
          <w:tcPr>
            <w:tcW w:w="284" w:type="dxa"/>
            <w:tcBorders>
              <w:top w:val="nil"/>
              <w:left w:val="nil"/>
              <w:bottom w:val="single" w:sz="4" w:space="0" w:color="auto"/>
              <w:right w:val="nil"/>
            </w:tcBorders>
            <w:shd w:val="clear" w:color="auto" w:fill="auto"/>
            <w:vAlign w:val="bottom"/>
            <w:hideMark/>
          </w:tcPr>
          <w:p w14:paraId="26D9E451"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 </w:t>
            </w:r>
          </w:p>
        </w:tc>
        <w:tc>
          <w:tcPr>
            <w:tcW w:w="1417" w:type="dxa"/>
            <w:tcBorders>
              <w:top w:val="nil"/>
              <w:left w:val="nil"/>
              <w:bottom w:val="single" w:sz="4" w:space="0" w:color="auto"/>
              <w:right w:val="nil"/>
            </w:tcBorders>
            <w:shd w:val="clear" w:color="auto" w:fill="auto"/>
            <w:vAlign w:val="bottom"/>
            <w:hideMark/>
          </w:tcPr>
          <w:p w14:paraId="1018BF96"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0.5387***</w:t>
            </w:r>
            <w:r w:rsidRPr="009B1C8B">
              <w:rPr>
                <w:rFonts w:eastAsia="Times New Roman"/>
                <w:color w:val="000000"/>
                <w:sz w:val="22"/>
                <w:szCs w:val="22"/>
              </w:rPr>
              <w:br/>
              <w:t>(5.89)</w:t>
            </w:r>
          </w:p>
        </w:tc>
        <w:tc>
          <w:tcPr>
            <w:tcW w:w="425" w:type="dxa"/>
            <w:tcBorders>
              <w:top w:val="nil"/>
              <w:left w:val="nil"/>
              <w:bottom w:val="single" w:sz="4" w:space="0" w:color="auto"/>
              <w:right w:val="nil"/>
            </w:tcBorders>
            <w:shd w:val="clear" w:color="auto" w:fill="auto"/>
            <w:vAlign w:val="bottom"/>
            <w:hideMark/>
          </w:tcPr>
          <w:p w14:paraId="207A8DE6"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 </w:t>
            </w:r>
          </w:p>
        </w:tc>
        <w:tc>
          <w:tcPr>
            <w:tcW w:w="567" w:type="dxa"/>
            <w:tcBorders>
              <w:top w:val="nil"/>
              <w:left w:val="nil"/>
              <w:bottom w:val="single" w:sz="4" w:space="0" w:color="auto"/>
              <w:right w:val="nil"/>
            </w:tcBorders>
            <w:shd w:val="clear" w:color="auto" w:fill="auto"/>
            <w:vAlign w:val="bottom"/>
            <w:hideMark/>
          </w:tcPr>
          <w:p w14:paraId="18A27112"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909</w:t>
            </w:r>
          </w:p>
        </w:tc>
        <w:tc>
          <w:tcPr>
            <w:tcW w:w="1220" w:type="dxa"/>
            <w:tcBorders>
              <w:top w:val="nil"/>
              <w:left w:val="nil"/>
              <w:bottom w:val="single" w:sz="4" w:space="0" w:color="auto"/>
              <w:right w:val="nil"/>
            </w:tcBorders>
            <w:shd w:val="clear" w:color="auto" w:fill="auto"/>
            <w:vAlign w:val="bottom"/>
            <w:hideMark/>
          </w:tcPr>
          <w:p w14:paraId="2AD88214"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34.69</w:t>
            </w:r>
          </w:p>
        </w:tc>
        <w:tc>
          <w:tcPr>
            <w:tcW w:w="1497" w:type="dxa"/>
            <w:tcBorders>
              <w:top w:val="nil"/>
              <w:left w:val="nil"/>
              <w:bottom w:val="single" w:sz="4" w:space="0" w:color="auto"/>
              <w:right w:val="nil"/>
            </w:tcBorders>
            <w:shd w:val="clear" w:color="auto" w:fill="auto"/>
            <w:vAlign w:val="bottom"/>
            <w:hideMark/>
          </w:tcPr>
          <w:p w14:paraId="4F02F821"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0.006</w:t>
            </w:r>
          </w:p>
        </w:tc>
      </w:tr>
      <w:tr w:rsidR="009B1C8B" w:rsidRPr="009B1C8B" w14:paraId="67578D09" w14:textId="77777777" w:rsidTr="009B1C8B">
        <w:trPr>
          <w:divId w:val="1161626156"/>
          <w:trHeight w:val="615"/>
        </w:trPr>
        <w:tc>
          <w:tcPr>
            <w:tcW w:w="1701" w:type="dxa"/>
            <w:vMerge w:val="restart"/>
            <w:tcBorders>
              <w:top w:val="nil"/>
              <w:left w:val="nil"/>
              <w:bottom w:val="nil"/>
              <w:right w:val="nil"/>
            </w:tcBorders>
            <w:shd w:val="clear" w:color="auto" w:fill="auto"/>
            <w:vAlign w:val="center"/>
            <w:hideMark/>
          </w:tcPr>
          <w:p w14:paraId="5979936F"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Comments</w:t>
            </w:r>
          </w:p>
        </w:tc>
        <w:tc>
          <w:tcPr>
            <w:tcW w:w="283" w:type="dxa"/>
            <w:tcBorders>
              <w:top w:val="nil"/>
              <w:left w:val="nil"/>
              <w:bottom w:val="nil"/>
              <w:right w:val="nil"/>
            </w:tcBorders>
            <w:shd w:val="clear" w:color="auto" w:fill="auto"/>
            <w:vAlign w:val="bottom"/>
            <w:hideMark/>
          </w:tcPr>
          <w:p w14:paraId="2819EA22" w14:textId="77777777" w:rsidR="009B1C8B" w:rsidRPr="009B1C8B" w:rsidRDefault="009B1C8B" w:rsidP="009B1C8B">
            <w:pPr>
              <w:rPr>
                <w:rFonts w:eastAsia="Times New Roman"/>
                <w:color w:val="000000"/>
                <w:sz w:val="22"/>
                <w:szCs w:val="22"/>
              </w:rPr>
            </w:pPr>
          </w:p>
        </w:tc>
        <w:tc>
          <w:tcPr>
            <w:tcW w:w="1985" w:type="dxa"/>
            <w:tcBorders>
              <w:top w:val="nil"/>
              <w:left w:val="nil"/>
              <w:bottom w:val="nil"/>
              <w:right w:val="nil"/>
            </w:tcBorders>
            <w:shd w:val="clear" w:color="auto" w:fill="auto"/>
            <w:vAlign w:val="bottom"/>
            <w:hideMark/>
          </w:tcPr>
          <w:p w14:paraId="0537E7E8"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IPOs by industry</w:t>
            </w:r>
          </w:p>
        </w:tc>
        <w:tc>
          <w:tcPr>
            <w:tcW w:w="284" w:type="dxa"/>
            <w:tcBorders>
              <w:top w:val="nil"/>
              <w:left w:val="nil"/>
              <w:bottom w:val="nil"/>
              <w:right w:val="nil"/>
            </w:tcBorders>
            <w:shd w:val="clear" w:color="auto" w:fill="auto"/>
            <w:vAlign w:val="bottom"/>
            <w:hideMark/>
          </w:tcPr>
          <w:p w14:paraId="4CC862AE" w14:textId="77777777" w:rsidR="009B1C8B" w:rsidRPr="009B1C8B" w:rsidRDefault="009B1C8B" w:rsidP="009B1C8B">
            <w:pPr>
              <w:rPr>
                <w:rFonts w:eastAsia="Times New Roman"/>
                <w:color w:val="000000"/>
                <w:sz w:val="22"/>
                <w:szCs w:val="22"/>
              </w:rPr>
            </w:pPr>
          </w:p>
        </w:tc>
        <w:tc>
          <w:tcPr>
            <w:tcW w:w="1417" w:type="dxa"/>
            <w:tcBorders>
              <w:top w:val="nil"/>
              <w:left w:val="nil"/>
              <w:bottom w:val="nil"/>
              <w:right w:val="nil"/>
            </w:tcBorders>
            <w:shd w:val="clear" w:color="auto" w:fill="auto"/>
            <w:vAlign w:val="bottom"/>
            <w:hideMark/>
          </w:tcPr>
          <w:p w14:paraId="3E7E9E47"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-0.0032***</w:t>
            </w:r>
            <w:r w:rsidRPr="009B1C8B">
              <w:rPr>
                <w:rFonts w:eastAsia="Times New Roman"/>
                <w:color w:val="000000"/>
                <w:sz w:val="22"/>
                <w:szCs w:val="22"/>
              </w:rPr>
              <w:br/>
              <w:t>(-9.10)</w:t>
            </w:r>
          </w:p>
        </w:tc>
        <w:tc>
          <w:tcPr>
            <w:tcW w:w="425" w:type="dxa"/>
            <w:tcBorders>
              <w:top w:val="nil"/>
              <w:left w:val="nil"/>
              <w:bottom w:val="nil"/>
              <w:right w:val="nil"/>
            </w:tcBorders>
            <w:shd w:val="clear" w:color="auto" w:fill="auto"/>
            <w:vAlign w:val="bottom"/>
            <w:hideMark/>
          </w:tcPr>
          <w:p w14:paraId="1A8AE74E" w14:textId="77777777" w:rsidR="009B1C8B" w:rsidRPr="009B1C8B" w:rsidRDefault="009B1C8B" w:rsidP="004F14BE">
            <w:pPr>
              <w:rPr>
                <w:rFonts w:eastAsia="Times New Roman"/>
                <w:color w:val="000000"/>
                <w:sz w:val="22"/>
                <w:szCs w:val="22"/>
              </w:rPr>
            </w:pPr>
          </w:p>
        </w:tc>
        <w:tc>
          <w:tcPr>
            <w:tcW w:w="567" w:type="dxa"/>
            <w:tcBorders>
              <w:top w:val="nil"/>
              <w:left w:val="nil"/>
              <w:bottom w:val="nil"/>
              <w:right w:val="nil"/>
            </w:tcBorders>
            <w:shd w:val="clear" w:color="auto" w:fill="auto"/>
            <w:vAlign w:val="bottom"/>
            <w:hideMark/>
          </w:tcPr>
          <w:p w14:paraId="5DD8692F"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909</w:t>
            </w:r>
          </w:p>
        </w:tc>
        <w:tc>
          <w:tcPr>
            <w:tcW w:w="1220" w:type="dxa"/>
            <w:tcBorders>
              <w:top w:val="nil"/>
              <w:left w:val="nil"/>
              <w:bottom w:val="nil"/>
              <w:right w:val="nil"/>
            </w:tcBorders>
            <w:shd w:val="clear" w:color="auto" w:fill="auto"/>
            <w:vAlign w:val="bottom"/>
            <w:hideMark/>
          </w:tcPr>
          <w:p w14:paraId="524825B6"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82.75</w:t>
            </w:r>
          </w:p>
        </w:tc>
        <w:tc>
          <w:tcPr>
            <w:tcW w:w="1497" w:type="dxa"/>
            <w:tcBorders>
              <w:top w:val="nil"/>
              <w:left w:val="nil"/>
              <w:bottom w:val="nil"/>
              <w:right w:val="nil"/>
            </w:tcBorders>
            <w:shd w:val="clear" w:color="auto" w:fill="auto"/>
            <w:vAlign w:val="bottom"/>
            <w:hideMark/>
          </w:tcPr>
          <w:p w14:paraId="34DB97B3"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0.006</w:t>
            </w:r>
          </w:p>
        </w:tc>
      </w:tr>
      <w:tr w:rsidR="009B1C8B" w:rsidRPr="009B1C8B" w14:paraId="4428BC64" w14:textId="77777777" w:rsidTr="009B1C8B">
        <w:trPr>
          <w:divId w:val="1161626156"/>
          <w:trHeight w:val="630"/>
        </w:trPr>
        <w:tc>
          <w:tcPr>
            <w:tcW w:w="1701" w:type="dxa"/>
            <w:vMerge/>
            <w:tcBorders>
              <w:top w:val="nil"/>
              <w:left w:val="nil"/>
              <w:bottom w:val="nil"/>
              <w:right w:val="nil"/>
            </w:tcBorders>
            <w:vAlign w:val="center"/>
            <w:hideMark/>
          </w:tcPr>
          <w:p w14:paraId="24CA7866" w14:textId="77777777" w:rsidR="009B1C8B" w:rsidRPr="009B1C8B" w:rsidRDefault="009B1C8B" w:rsidP="009B1C8B">
            <w:pPr>
              <w:rPr>
                <w:rFonts w:eastAsia="Times New Roman"/>
                <w:color w:val="000000"/>
                <w:sz w:val="22"/>
                <w:szCs w:val="22"/>
              </w:rPr>
            </w:pPr>
          </w:p>
        </w:tc>
        <w:tc>
          <w:tcPr>
            <w:tcW w:w="283" w:type="dxa"/>
            <w:tcBorders>
              <w:top w:val="nil"/>
              <w:left w:val="nil"/>
              <w:bottom w:val="nil"/>
              <w:right w:val="nil"/>
            </w:tcBorders>
            <w:shd w:val="clear" w:color="auto" w:fill="auto"/>
            <w:vAlign w:val="bottom"/>
            <w:hideMark/>
          </w:tcPr>
          <w:p w14:paraId="0679AAA3" w14:textId="77777777" w:rsidR="009B1C8B" w:rsidRPr="009B1C8B" w:rsidRDefault="009B1C8B" w:rsidP="004F14BE">
            <w:pPr>
              <w:rPr>
                <w:rFonts w:eastAsia="Times New Roman"/>
                <w:color w:val="000000"/>
                <w:sz w:val="22"/>
                <w:szCs w:val="22"/>
              </w:rPr>
            </w:pPr>
          </w:p>
        </w:tc>
        <w:tc>
          <w:tcPr>
            <w:tcW w:w="1985" w:type="dxa"/>
            <w:tcBorders>
              <w:top w:val="nil"/>
              <w:left w:val="nil"/>
              <w:bottom w:val="nil"/>
              <w:right w:val="nil"/>
            </w:tcBorders>
            <w:shd w:val="clear" w:color="auto" w:fill="auto"/>
            <w:vAlign w:val="bottom"/>
            <w:hideMark/>
          </w:tcPr>
          <w:p w14:paraId="0493F0EE" w14:textId="77777777" w:rsidR="009B1C8B" w:rsidRPr="009B1C8B" w:rsidRDefault="009B1C8B" w:rsidP="009B1C8B">
            <w:pPr>
              <w:rPr>
                <w:rFonts w:eastAsia="Times New Roman"/>
                <w:color w:val="000000"/>
                <w:sz w:val="22"/>
                <w:szCs w:val="22"/>
              </w:rPr>
            </w:pPr>
            <w:r w:rsidRPr="009B1C8B">
              <w:rPr>
                <w:rFonts w:eastAsia="Times New Roman"/>
                <w:color w:val="000000"/>
                <w:sz w:val="22"/>
                <w:szCs w:val="22"/>
              </w:rPr>
              <w:t>Herfindahl Index</w:t>
            </w:r>
          </w:p>
        </w:tc>
        <w:tc>
          <w:tcPr>
            <w:tcW w:w="284" w:type="dxa"/>
            <w:tcBorders>
              <w:top w:val="nil"/>
              <w:left w:val="nil"/>
              <w:bottom w:val="nil"/>
              <w:right w:val="nil"/>
            </w:tcBorders>
            <w:shd w:val="clear" w:color="auto" w:fill="auto"/>
            <w:vAlign w:val="bottom"/>
            <w:hideMark/>
          </w:tcPr>
          <w:p w14:paraId="3A8E9967" w14:textId="77777777" w:rsidR="009B1C8B" w:rsidRPr="009B1C8B" w:rsidRDefault="009B1C8B" w:rsidP="009B1C8B">
            <w:pPr>
              <w:rPr>
                <w:rFonts w:eastAsia="Times New Roman"/>
                <w:color w:val="000000"/>
                <w:sz w:val="22"/>
                <w:szCs w:val="22"/>
              </w:rPr>
            </w:pPr>
          </w:p>
        </w:tc>
        <w:tc>
          <w:tcPr>
            <w:tcW w:w="1417" w:type="dxa"/>
            <w:tcBorders>
              <w:top w:val="nil"/>
              <w:left w:val="nil"/>
              <w:bottom w:val="nil"/>
              <w:right w:val="nil"/>
            </w:tcBorders>
            <w:shd w:val="clear" w:color="auto" w:fill="auto"/>
            <w:vAlign w:val="bottom"/>
            <w:hideMark/>
          </w:tcPr>
          <w:p w14:paraId="0B9FCE13"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0.7791***</w:t>
            </w:r>
            <w:r w:rsidRPr="009B1C8B">
              <w:rPr>
                <w:rFonts w:eastAsia="Times New Roman"/>
                <w:color w:val="000000"/>
                <w:sz w:val="22"/>
                <w:szCs w:val="22"/>
              </w:rPr>
              <w:br/>
              <w:t>(5.29)</w:t>
            </w:r>
          </w:p>
        </w:tc>
        <w:tc>
          <w:tcPr>
            <w:tcW w:w="425" w:type="dxa"/>
            <w:tcBorders>
              <w:top w:val="nil"/>
              <w:left w:val="nil"/>
              <w:bottom w:val="nil"/>
              <w:right w:val="nil"/>
            </w:tcBorders>
            <w:shd w:val="clear" w:color="auto" w:fill="auto"/>
            <w:vAlign w:val="bottom"/>
            <w:hideMark/>
          </w:tcPr>
          <w:p w14:paraId="0CB17796" w14:textId="77777777" w:rsidR="009B1C8B" w:rsidRPr="009B1C8B" w:rsidRDefault="009B1C8B" w:rsidP="004F14BE">
            <w:pPr>
              <w:rPr>
                <w:rFonts w:eastAsia="Times New Roman"/>
                <w:color w:val="000000"/>
                <w:sz w:val="22"/>
                <w:szCs w:val="22"/>
              </w:rPr>
            </w:pPr>
          </w:p>
        </w:tc>
        <w:tc>
          <w:tcPr>
            <w:tcW w:w="567" w:type="dxa"/>
            <w:tcBorders>
              <w:top w:val="nil"/>
              <w:left w:val="nil"/>
              <w:bottom w:val="nil"/>
              <w:right w:val="nil"/>
            </w:tcBorders>
            <w:shd w:val="clear" w:color="auto" w:fill="auto"/>
            <w:vAlign w:val="bottom"/>
            <w:hideMark/>
          </w:tcPr>
          <w:p w14:paraId="0F457050"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909</w:t>
            </w:r>
          </w:p>
        </w:tc>
        <w:tc>
          <w:tcPr>
            <w:tcW w:w="1220" w:type="dxa"/>
            <w:tcBorders>
              <w:top w:val="nil"/>
              <w:left w:val="nil"/>
              <w:bottom w:val="nil"/>
              <w:right w:val="nil"/>
            </w:tcBorders>
            <w:shd w:val="clear" w:color="auto" w:fill="auto"/>
            <w:vAlign w:val="bottom"/>
            <w:hideMark/>
          </w:tcPr>
          <w:p w14:paraId="75F27717"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28.03</w:t>
            </w:r>
          </w:p>
        </w:tc>
        <w:tc>
          <w:tcPr>
            <w:tcW w:w="1497" w:type="dxa"/>
            <w:tcBorders>
              <w:top w:val="nil"/>
              <w:left w:val="nil"/>
              <w:bottom w:val="nil"/>
              <w:right w:val="nil"/>
            </w:tcBorders>
            <w:shd w:val="clear" w:color="auto" w:fill="auto"/>
            <w:vAlign w:val="bottom"/>
            <w:hideMark/>
          </w:tcPr>
          <w:p w14:paraId="71CF98E0" w14:textId="77777777" w:rsidR="009B1C8B" w:rsidRPr="009B1C8B" w:rsidRDefault="009B1C8B" w:rsidP="004F14BE">
            <w:pPr>
              <w:rPr>
                <w:rFonts w:eastAsia="Times New Roman"/>
                <w:color w:val="000000"/>
                <w:sz w:val="22"/>
                <w:szCs w:val="22"/>
              </w:rPr>
            </w:pPr>
            <w:r w:rsidRPr="009B1C8B">
              <w:rPr>
                <w:rFonts w:eastAsia="Times New Roman"/>
                <w:color w:val="000000"/>
                <w:sz w:val="22"/>
                <w:szCs w:val="22"/>
              </w:rPr>
              <w:t>0.001</w:t>
            </w:r>
          </w:p>
        </w:tc>
      </w:tr>
      <w:tr w:rsidR="009B1C8B" w:rsidRPr="009B1C8B" w14:paraId="6FB32930" w14:textId="77777777" w:rsidTr="009B1C8B">
        <w:trPr>
          <w:divId w:val="1161626156"/>
          <w:trHeight w:val="2295"/>
        </w:trPr>
        <w:tc>
          <w:tcPr>
            <w:tcW w:w="9374" w:type="dxa"/>
            <w:gridSpan w:val="9"/>
            <w:tcBorders>
              <w:top w:val="single" w:sz="8" w:space="0" w:color="auto"/>
              <w:left w:val="nil"/>
              <w:bottom w:val="single" w:sz="8" w:space="0" w:color="auto"/>
              <w:right w:val="nil"/>
            </w:tcBorders>
            <w:shd w:val="clear" w:color="auto" w:fill="auto"/>
            <w:vAlign w:val="center"/>
            <w:hideMark/>
          </w:tcPr>
          <w:p w14:paraId="69D01B46" w14:textId="692604FF" w:rsidR="009B1C8B" w:rsidRPr="009B1C8B" w:rsidRDefault="009B1C8B" w:rsidP="00183403">
            <w:pPr>
              <w:jc w:val="both"/>
              <w:rPr>
                <w:rFonts w:eastAsia="Times New Roman"/>
                <w:color w:val="000000"/>
                <w:sz w:val="20"/>
                <w:szCs w:val="20"/>
              </w:rPr>
            </w:pPr>
            <w:r w:rsidRPr="009B1C8B">
              <w:rPr>
                <w:rFonts w:eastAsia="Times New Roman"/>
                <w:color w:val="000000"/>
                <w:sz w:val="20"/>
                <w:szCs w:val="20"/>
              </w:rPr>
              <w:t>This table presents the results for the analysis of the impact of industry/market’s characteristics on the SEC review attributes for our full sample of 909 IPOs between 2005 and 2017. SEC review attributes include Duration</w:t>
            </w:r>
            <w:r w:rsidRPr="009B1C8B">
              <w:rPr>
                <w:rFonts w:eastAsia="Times New Roman"/>
                <w:i/>
                <w:iCs/>
                <w:color w:val="000000"/>
                <w:sz w:val="20"/>
                <w:szCs w:val="20"/>
              </w:rPr>
              <w:t xml:space="preserve">, Letters, Comments. </w:t>
            </w:r>
            <w:r w:rsidRPr="009B1C8B">
              <w:rPr>
                <w:rFonts w:eastAsia="Times New Roman"/>
                <w:color w:val="000000"/>
                <w:sz w:val="20"/>
                <w:szCs w:val="20"/>
              </w:rPr>
              <w:t>Industry/market characteristics include Regulated</w:t>
            </w:r>
            <w:r w:rsidRPr="009B1C8B">
              <w:rPr>
                <w:rFonts w:eastAsia="Times New Roman"/>
                <w:i/>
                <w:iCs/>
                <w:color w:val="000000"/>
                <w:sz w:val="20"/>
                <w:szCs w:val="20"/>
              </w:rPr>
              <w:t xml:space="preserve"> and</w:t>
            </w:r>
            <w:r w:rsidRPr="009B1C8B">
              <w:rPr>
                <w:rFonts w:eastAsia="Times New Roman"/>
                <w:color w:val="000000"/>
                <w:sz w:val="20"/>
                <w:szCs w:val="20"/>
              </w:rPr>
              <w:t xml:space="preserve"> Technology</w:t>
            </w:r>
            <w:r w:rsidRPr="009B1C8B">
              <w:rPr>
                <w:rFonts w:eastAsia="Times New Roman"/>
                <w:i/>
                <w:iCs/>
                <w:color w:val="000000"/>
                <w:sz w:val="20"/>
                <w:szCs w:val="20"/>
              </w:rPr>
              <w:t>. All</w:t>
            </w:r>
            <w:r w:rsidRPr="009B1C8B">
              <w:rPr>
                <w:rFonts w:eastAsia="Times New Roman"/>
                <w:color w:val="000000"/>
                <w:sz w:val="20"/>
                <w:szCs w:val="20"/>
              </w:rPr>
              <w:t xml:space="preserve"> variables are defined in Appendix 1. Panel A presents analysis of difference in each SEC review attribute between regulated firms and non-regulated firms. Panel B presents analysis of difference in each SEC review attribute between technology firms and non-technology firms. We perform analyses of differences using two-sample t-tests, and nonparametric Wilcoxon rank-sum tests. Results (p-value) from these tests are presented in the fifth row in each panel A and B. </w:t>
            </w:r>
            <w:r w:rsidRPr="009B1C8B">
              <w:rPr>
                <w:rFonts w:eastAsia="Times New Roman"/>
                <w:color w:val="000000"/>
                <w:sz w:val="20"/>
                <w:szCs w:val="20"/>
              </w:rPr>
              <w:br/>
              <w:t xml:space="preserve"> Panel C</w:t>
            </w:r>
            <w:r w:rsidR="00183403">
              <w:rPr>
                <w:rFonts w:eastAsia="Times New Roman"/>
                <w:color w:val="000000"/>
                <w:sz w:val="20"/>
                <w:szCs w:val="20"/>
              </w:rPr>
              <w:t xml:space="preserve"> </w:t>
            </w:r>
            <w:r w:rsidRPr="009B1C8B">
              <w:rPr>
                <w:rFonts w:eastAsia="Times New Roman"/>
                <w:color w:val="000000"/>
                <w:sz w:val="20"/>
                <w:szCs w:val="20"/>
              </w:rPr>
              <w:t xml:space="preserve">presents the results of the univariate analysis of the impact of other industry's characteristics on the SEC review for our full sample of 909 IPOs between 2005 and 2017. Negative binomial regression is employed in this analysis. The dependent variables are SEC review reviews including Duration, </w:t>
            </w:r>
            <w:r w:rsidRPr="009B1C8B">
              <w:rPr>
                <w:rFonts w:eastAsia="Times New Roman"/>
                <w:i/>
                <w:iCs/>
                <w:color w:val="000000"/>
                <w:sz w:val="20"/>
                <w:szCs w:val="20"/>
              </w:rPr>
              <w:t>Letters and Comments</w:t>
            </w:r>
            <w:r w:rsidRPr="009B1C8B">
              <w:rPr>
                <w:rFonts w:eastAsia="Times New Roman"/>
                <w:color w:val="000000"/>
                <w:sz w:val="20"/>
                <w:szCs w:val="20"/>
              </w:rPr>
              <w:t>.</w:t>
            </w:r>
            <w:r w:rsidRPr="009B1C8B">
              <w:rPr>
                <w:rFonts w:eastAsia="Times New Roman"/>
                <w:i/>
                <w:iCs/>
                <w:color w:val="000000"/>
                <w:sz w:val="20"/>
                <w:szCs w:val="20"/>
              </w:rPr>
              <w:t xml:space="preserve"> The</w:t>
            </w:r>
            <w:r w:rsidRPr="009B1C8B">
              <w:rPr>
                <w:rFonts w:eastAsia="Times New Roman"/>
                <w:color w:val="000000"/>
                <w:sz w:val="20"/>
                <w:szCs w:val="20"/>
              </w:rPr>
              <w:t xml:space="preserve"> independent variables are other industry's </w:t>
            </w:r>
            <w:proofErr w:type="gramStart"/>
            <w:r w:rsidRPr="009B1C8B">
              <w:rPr>
                <w:rFonts w:eastAsia="Times New Roman"/>
                <w:color w:val="000000"/>
                <w:sz w:val="20"/>
                <w:szCs w:val="20"/>
              </w:rPr>
              <w:t>characteristics  including</w:t>
            </w:r>
            <w:proofErr w:type="gramEnd"/>
            <w:r w:rsidRPr="009B1C8B">
              <w:rPr>
                <w:rFonts w:eastAsia="Times New Roman"/>
                <w:color w:val="000000"/>
                <w:sz w:val="20"/>
                <w:szCs w:val="20"/>
              </w:rPr>
              <w:t>, IPOs by</w:t>
            </w:r>
            <w:r w:rsidRPr="009B1C8B">
              <w:rPr>
                <w:rFonts w:eastAsia="Times New Roman"/>
                <w:i/>
                <w:iCs/>
                <w:color w:val="000000"/>
                <w:sz w:val="20"/>
                <w:szCs w:val="20"/>
              </w:rPr>
              <w:t xml:space="preserve"> industry and Herfindahl</w:t>
            </w:r>
            <w:r w:rsidRPr="009B1C8B">
              <w:rPr>
                <w:rFonts w:eastAsia="Times New Roman"/>
                <w:color w:val="000000"/>
                <w:sz w:val="20"/>
                <w:szCs w:val="20"/>
              </w:rPr>
              <w:t xml:space="preserve"> Index. Results from Z-statistics are presented in parentheses below coefficient </w:t>
            </w:r>
            <w:proofErr w:type="gramStart"/>
            <w:r w:rsidRPr="009B1C8B">
              <w:rPr>
                <w:rFonts w:eastAsia="Times New Roman"/>
                <w:color w:val="000000"/>
                <w:sz w:val="20"/>
                <w:szCs w:val="20"/>
              </w:rPr>
              <w:t>estimates, and</w:t>
            </w:r>
            <w:proofErr w:type="gramEnd"/>
            <w:r w:rsidRPr="009B1C8B">
              <w:rPr>
                <w:rFonts w:eastAsia="Times New Roman"/>
                <w:color w:val="000000"/>
                <w:sz w:val="20"/>
                <w:szCs w:val="20"/>
              </w:rPr>
              <w:t xml:space="preserve"> are based on robust standard errors clustered at the firm level. *, **, and *** denote significance at the 10%, 5%, and 1% levels, respectively, based on a two-tailed test.</w:t>
            </w:r>
            <w:r w:rsidR="00183403">
              <w:rPr>
                <w:rFonts w:eastAsia="Times New Roman"/>
                <w:color w:val="000000"/>
                <w:sz w:val="20"/>
                <w:szCs w:val="20"/>
              </w:rPr>
              <w:t xml:space="preserve"> </w:t>
            </w:r>
            <w:r w:rsidR="00183403" w:rsidRPr="00183403">
              <w:rPr>
                <w:rFonts w:eastAsia="Times New Roman"/>
                <w:iCs/>
                <w:color w:val="000000"/>
                <w:sz w:val="20"/>
                <w:szCs w:val="20"/>
              </w:rPr>
              <w:t>All</w:t>
            </w:r>
            <w:r w:rsidR="00183403" w:rsidRPr="00183403">
              <w:rPr>
                <w:rFonts w:eastAsia="Times New Roman"/>
                <w:color w:val="000000"/>
                <w:sz w:val="20"/>
                <w:szCs w:val="20"/>
              </w:rPr>
              <w:t xml:space="preserve"> </w:t>
            </w:r>
            <w:r w:rsidR="00183403" w:rsidRPr="009B1C8B">
              <w:rPr>
                <w:rFonts w:eastAsia="Times New Roman"/>
                <w:color w:val="000000"/>
                <w:sz w:val="20"/>
                <w:szCs w:val="20"/>
              </w:rPr>
              <w:t>variables are defined in Appendix 1.</w:t>
            </w:r>
          </w:p>
        </w:tc>
      </w:tr>
    </w:tbl>
    <w:p w14:paraId="23A554C0" w14:textId="28DBA055" w:rsidR="003876B9" w:rsidRDefault="001C2633" w:rsidP="004F14BE">
      <w:pPr>
        <w:rPr>
          <w:b/>
          <w:color w:val="000000" w:themeColor="text1"/>
          <w:lang w:eastAsia="en-US"/>
        </w:rPr>
        <w:sectPr w:rsidR="003876B9" w:rsidSect="001C2633">
          <w:headerReference w:type="default" r:id="rId28"/>
          <w:footerReference w:type="default" r:id="rId29"/>
          <w:pgSz w:w="11906" w:h="16838"/>
          <w:pgMar w:top="1440" w:right="1440" w:bottom="1440" w:left="1276" w:header="708" w:footer="708" w:gutter="0"/>
          <w:cols w:space="708"/>
          <w:docGrid w:linePitch="360"/>
        </w:sectPr>
      </w:pPr>
      <w:r>
        <w:rPr>
          <w:b/>
          <w:color w:val="000000" w:themeColor="text1"/>
          <w:lang w:eastAsia="en-US"/>
        </w:rPr>
        <w:fldChar w:fldCharType="end"/>
      </w:r>
    </w:p>
    <w:p w14:paraId="6356E9AF" w14:textId="5A78E955" w:rsidR="003876B9" w:rsidRPr="00F47976" w:rsidRDefault="00F47976" w:rsidP="00F47976">
      <w:pPr>
        <w:pStyle w:val="Caption"/>
        <w:rPr>
          <w:b/>
          <w:i w:val="0"/>
          <w:color w:val="000000" w:themeColor="text1"/>
          <w:sz w:val="24"/>
          <w:szCs w:val="24"/>
        </w:rPr>
      </w:pPr>
      <w:bookmarkStart w:id="59" w:name="_Toc7375499"/>
      <w:r w:rsidRPr="00F47976">
        <w:rPr>
          <w:b/>
          <w:i w:val="0"/>
          <w:color w:val="000000" w:themeColor="text1"/>
          <w:sz w:val="24"/>
          <w:szCs w:val="24"/>
        </w:rPr>
        <w:lastRenderedPageBreak/>
        <w:t xml:space="preserve">Table </w:t>
      </w:r>
      <w:r w:rsidR="00174399">
        <w:rPr>
          <w:b/>
          <w:i w:val="0"/>
          <w:color w:val="000000" w:themeColor="text1"/>
          <w:sz w:val="24"/>
          <w:szCs w:val="24"/>
        </w:rPr>
        <w:t>10</w:t>
      </w:r>
      <w:r w:rsidRPr="00F47976">
        <w:rPr>
          <w:b/>
          <w:i w:val="0"/>
          <w:color w:val="000000" w:themeColor="text1"/>
          <w:sz w:val="24"/>
          <w:szCs w:val="24"/>
        </w:rPr>
        <w:t>. Impact of SEC’s characteristics on the SEC review attributes</w:t>
      </w:r>
      <w:bookmarkEnd w:id="59"/>
    </w:p>
    <w:tbl>
      <w:tblPr>
        <w:tblW w:w="14113" w:type="dxa"/>
        <w:tblLook w:val="04A0" w:firstRow="1" w:lastRow="0" w:firstColumn="1" w:lastColumn="0" w:noHBand="0" w:noVBand="1"/>
      </w:tblPr>
      <w:tblGrid>
        <w:gridCol w:w="2282"/>
        <w:gridCol w:w="272"/>
        <w:gridCol w:w="364"/>
        <w:gridCol w:w="546"/>
        <w:gridCol w:w="1561"/>
        <w:gridCol w:w="859"/>
        <w:gridCol w:w="1308"/>
        <w:gridCol w:w="505"/>
        <w:gridCol w:w="754"/>
        <w:gridCol w:w="964"/>
        <w:gridCol w:w="791"/>
        <w:gridCol w:w="1603"/>
        <w:gridCol w:w="965"/>
        <w:gridCol w:w="7"/>
        <w:gridCol w:w="1013"/>
        <w:gridCol w:w="271"/>
        <w:gridCol w:w="9"/>
        <w:gridCol w:w="39"/>
      </w:tblGrid>
      <w:tr w:rsidR="00330EA4" w:rsidRPr="001E019B" w14:paraId="4F9CD98A" w14:textId="77777777" w:rsidTr="00330EA4">
        <w:trPr>
          <w:trHeight w:val="362"/>
        </w:trPr>
        <w:tc>
          <w:tcPr>
            <w:tcW w:w="14113" w:type="dxa"/>
            <w:gridSpan w:val="18"/>
            <w:tcBorders>
              <w:top w:val="single" w:sz="4" w:space="0" w:color="auto"/>
              <w:left w:val="nil"/>
              <w:bottom w:val="nil"/>
              <w:right w:val="nil"/>
            </w:tcBorders>
            <w:shd w:val="clear" w:color="auto" w:fill="auto"/>
            <w:noWrap/>
            <w:vAlign w:val="bottom"/>
            <w:hideMark/>
          </w:tcPr>
          <w:p w14:paraId="2F9553B5" w14:textId="6E96BB25" w:rsidR="00330EA4" w:rsidRPr="001E019B" w:rsidRDefault="00330EA4" w:rsidP="00583CE2">
            <w:pPr>
              <w:rPr>
                <w:rFonts w:eastAsia="Times New Roman"/>
                <w:b/>
                <w:bCs/>
                <w:color w:val="000000"/>
                <w:sz w:val="22"/>
                <w:szCs w:val="22"/>
              </w:rPr>
            </w:pPr>
            <w:r>
              <w:rPr>
                <w:rFonts w:eastAsia="Times New Roman"/>
                <w:b/>
                <w:bCs/>
                <w:color w:val="000000"/>
                <w:sz w:val="22"/>
                <w:szCs w:val="22"/>
              </w:rPr>
              <w:t>Panel A</w:t>
            </w:r>
            <w:r w:rsidRPr="001E019B">
              <w:rPr>
                <w:rFonts w:eastAsia="Times New Roman"/>
                <w:b/>
                <w:bCs/>
                <w:color w:val="000000"/>
                <w:sz w:val="22"/>
                <w:szCs w:val="22"/>
              </w:rPr>
              <w:t>. Descriptive statistics of SEC review attributes by job position of reviewers</w:t>
            </w:r>
          </w:p>
        </w:tc>
      </w:tr>
      <w:tr w:rsidR="00330EA4" w:rsidRPr="001E019B" w14:paraId="714303C4" w14:textId="77777777" w:rsidTr="00330EA4">
        <w:trPr>
          <w:gridAfter w:val="3"/>
          <w:wAfter w:w="319" w:type="dxa"/>
          <w:trHeight w:val="704"/>
        </w:trPr>
        <w:tc>
          <w:tcPr>
            <w:tcW w:w="2554" w:type="dxa"/>
            <w:gridSpan w:val="2"/>
            <w:tcBorders>
              <w:top w:val="nil"/>
              <w:left w:val="nil"/>
              <w:bottom w:val="single" w:sz="4" w:space="0" w:color="auto"/>
              <w:right w:val="nil"/>
            </w:tcBorders>
            <w:shd w:val="clear" w:color="auto" w:fill="auto"/>
            <w:vAlign w:val="center"/>
            <w:hideMark/>
          </w:tcPr>
          <w:p w14:paraId="4F526A89" w14:textId="77777777" w:rsidR="00330EA4" w:rsidRPr="001E019B" w:rsidRDefault="00330EA4" w:rsidP="00583CE2">
            <w:pPr>
              <w:rPr>
                <w:rFonts w:eastAsia="Times New Roman"/>
                <w:b/>
                <w:bCs/>
                <w:color w:val="000000"/>
                <w:sz w:val="22"/>
                <w:szCs w:val="22"/>
              </w:rPr>
            </w:pPr>
            <w:r w:rsidRPr="001E019B">
              <w:rPr>
                <w:rFonts w:eastAsia="Times New Roman"/>
                <w:b/>
                <w:bCs/>
                <w:color w:val="000000"/>
                <w:sz w:val="22"/>
                <w:szCs w:val="22"/>
              </w:rPr>
              <w:t>Job position</w:t>
            </w:r>
          </w:p>
        </w:tc>
        <w:tc>
          <w:tcPr>
            <w:tcW w:w="364" w:type="dxa"/>
            <w:tcBorders>
              <w:top w:val="nil"/>
              <w:left w:val="nil"/>
              <w:bottom w:val="nil"/>
              <w:right w:val="nil"/>
            </w:tcBorders>
            <w:shd w:val="clear" w:color="auto" w:fill="auto"/>
            <w:vAlign w:val="center"/>
            <w:hideMark/>
          </w:tcPr>
          <w:p w14:paraId="27CDD6B9" w14:textId="77777777" w:rsidR="00330EA4" w:rsidRPr="001E019B" w:rsidRDefault="00330EA4" w:rsidP="00583CE2">
            <w:pPr>
              <w:rPr>
                <w:rFonts w:eastAsia="Times New Roman"/>
                <w:b/>
                <w:bCs/>
                <w:color w:val="000000"/>
                <w:sz w:val="22"/>
                <w:szCs w:val="22"/>
              </w:rPr>
            </w:pPr>
          </w:p>
        </w:tc>
        <w:tc>
          <w:tcPr>
            <w:tcW w:w="546" w:type="dxa"/>
            <w:tcBorders>
              <w:top w:val="nil"/>
              <w:left w:val="nil"/>
              <w:bottom w:val="single" w:sz="4" w:space="0" w:color="auto"/>
              <w:right w:val="nil"/>
            </w:tcBorders>
            <w:shd w:val="clear" w:color="auto" w:fill="auto"/>
            <w:vAlign w:val="center"/>
            <w:hideMark/>
          </w:tcPr>
          <w:p w14:paraId="1EB33F97"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N</w:t>
            </w:r>
          </w:p>
        </w:tc>
        <w:tc>
          <w:tcPr>
            <w:tcW w:w="1561" w:type="dxa"/>
            <w:tcBorders>
              <w:top w:val="nil"/>
              <w:left w:val="nil"/>
              <w:bottom w:val="nil"/>
              <w:right w:val="nil"/>
            </w:tcBorders>
            <w:shd w:val="clear" w:color="auto" w:fill="auto"/>
            <w:vAlign w:val="center"/>
            <w:hideMark/>
          </w:tcPr>
          <w:p w14:paraId="5D9B492A" w14:textId="77777777" w:rsidR="00330EA4" w:rsidRPr="001E019B" w:rsidRDefault="00330EA4" w:rsidP="00583CE2">
            <w:pPr>
              <w:jc w:val="center"/>
              <w:rPr>
                <w:rFonts w:eastAsia="Times New Roman"/>
                <w:b/>
                <w:bCs/>
                <w:color w:val="000000"/>
                <w:sz w:val="22"/>
                <w:szCs w:val="22"/>
              </w:rPr>
            </w:pPr>
          </w:p>
        </w:tc>
        <w:tc>
          <w:tcPr>
            <w:tcW w:w="2167" w:type="dxa"/>
            <w:gridSpan w:val="2"/>
            <w:tcBorders>
              <w:top w:val="nil"/>
              <w:left w:val="nil"/>
              <w:bottom w:val="single" w:sz="4" w:space="0" w:color="auto"/>
              <w:right w:val="nil"/>
            </w:tcBorders>
            <w:shd w:val="clear" w:color="auto" w:fill="auto"/>
            <w:vAlign w:val="center"/>
            <w:hideMark/>
          </w:tcPr>
          <w:p w14:paraId="2952AAC6"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Duration</w:t>
            </w:r>
          </w:p>
        </w:tc>
        <w:tc>
          <w:tcPr>
            <w:tcW w:w="505" w:type="dxa"/>
            <w:tcBorders>
              <w:top w:val="nil"/>
              <w:left w:val="nil"/>
              <w:bottom w:val="nil"/>
              <w:right w:val="nil"/>
            </w:tcBorders>
            <w:shd w:val="clear" w:color="auto" w:fill="auto"/>
            <w:vAlign w:val="center"/>
            <w:hideMark/>
          </w:tcPr>
          <w:p w14:paraId="636E3197" w14:textId="77777777" w:rsidR="00330EA4" w:rsidRPr="001E019B" w:rsidRDefault="00330EA4" w:rsidP="00583CE2">
            <w:pPr>
              <w:jc w:val="center"/>
              <w:rPr>
                <w:rFonts w:eastAsia="Times New Roman"/>
                <w:b/>
                <w:bCs/>
                <w:color w:val="000000"/>
                <w:sz w:val="22"/>
                <w:szCs w:val="22"/>
              </w:rPr>
            </w:pPr>
          </w:p>
        </w:tc>
        <w:tc>
          <w:tcPr>
            <w:tcW w:w="1718" w:type="dxa"/>
            <w:gridSpan w:val="2"/>
            <w:tcBorders>
              <w:top w:val="nil"/>
              <w:left w:val="nil"/>
              <w:bottom w:val="single" w:sz="4" w:space="0" w:color="auto"/>
              <w:right w:val="nil"/>
            </w:tcBorders>
            <w:shd w:val="clear" w:color="auto" w:fill="auto"/>
            <w:vAlign w:val="center"/>
            <w:hideMark/>
          </w:tcPr>
          <w:p w14:paraId="15714886" w14:textId="6DC2EF47" w:rsidR="00330EA4" w:rsidRPr="001E019B" w:rsidRDefault="00330EA4" w:rsidP="00583CE2">
            <w:pPr>
              <w:jc w:val="center"/>
              <w:rPr>
                <w:rFonts w:eastAsia="Times New Roman"/>
                <w:b/>
                <w:bCs/>
                <w:color w:val="000000"/>
                <w:sz w:val="22"/>
                <w:szCs w:val="22"/>
              </w:rPr>
            </w:pPr>
            <w:r>
              <w:rPr>
                <w:rFonts w:eastAsia="Times New Roman"/>
                <w:b/>
                <w:bCs/>
                <w:color w:val="000000"/>
                <w:sz w:val="22"/>
                <w:szCs w:val="22"/>
              </w:rPr>
              <w:t>Letters</w:t>
            </w:r>
          </w:p>
        </w:tc>
        <w:tc>
          <w:tcPr>
            <w:tcW w:w="791" w:type="dxa"/>
            <w:tcBorders>
              <w:top w:val="nil"/>
              <w:left w:val="nil"/>
              <w:bottom w:val="nil"/>
              <w:right w:val="nil"/>
            </w:tcBorders>
            <w:shd w:val="clear" w:color="auto" w:fill="auto"/>
            <w:vAlign w:val="center"/>
            <w:hideMark/>
          </w:tcPr>
          <w:p w14:paraId="35F7E7EA" w14:textId="77777777" w:rsidR="00330EA4" w:rsidRPr="001E019B" w:rsidRDefault="00330EA4" w:rsidP="00583CE2">
            <w:pPr>
              <w:jc w:val="center"/>
              <w:rPr>
                <w:rFonts w:eastAsia="Times New Roman"/>
                <w:b/>
                <w:bCs/>
                <w:color w:val="000000"/>
                <w:sz w:val="22"/>
                <w:szCs w:val="22"/>
              </w:rPr>
            </w:pPr>
          </w:p>
        </w:tc>
        <w:tc>
          <w:tcPr>
            <w:tcW w:w="2575" w:type="dxa"/>
            <w:gridSpan w:val="3"/>
            <w:tcBorders>
              <w:top w:val="nil"/>
              <w:left w:val="nil"/>
              <w:bottom w:val="single" w:sz="4" w:space="0" w:color="auto"/>
              <w:right w:val="nil"/>
            </w:tcBorders>
            <w:shd w:val="clear" w:color="auto" w:fill="auto"/>
            <w:vAlign w:val="center"/>
            <w:hideMark/>
          </w:tcPr>
          <w:p w14:paraId="0288CE6F" w14:textId="10D10FB2" w:rsidR="00330EA4" w:rsidRPr="001E019B" w:rsidRDefault="00330EA4" w:rsidP="00330EA4">
            <w:pPr>
              <w:ind w:firstLine="366"/>
              <w:jc w:val="center"/>
              <w:rPr>
                <w:rFonts w:eastAsia="Times New Roman"/>
                <w:b/>
                <w:bCs/>
                <w:color w:val="000000"/>
                <w:sz w:val="22"/>
                <w:szCs w:val="22"/>
              </w:rPr>
            </w:pPr>
            <w:r>
              <w:rPr>
                <w:rFonts w:eastAsia="Times New Roman"/>
                <w:b/>
                <w:bCs/>
                <w:color w:val="000000"/>
                <w:sz w:val="22"/>
                <w:szCs w:val="22"/>
              </w:rPr>
              <w:t>Comments</w:t>
            </w:r>
          </w:p>
        </w:tc>
        <w:tc>
          <w:tcPr>
            <w:tcW w:w="1013" w:type="dxa"/>
            <w:tcBorders>
              <w:top w:val="nil"/>
              <w:left w:val="nil"/>
              <w:bottom w:val="nil"/>
              <w:right w:val="nil"/>
            </w:tcBorders>
            <w:shd w:val="clear" w:color="auto" w:fill="auto"/>
            <w:noWrap/>
            <w:vAlign w:val="center"/>
            <w:hideMark/>
          </w:tcPr>
          <w:p w14:paraId="5564244E" w14:textId="77777777" w:rsidR="00330EA4" w:rsidRPr="001E019B" w:rsidRDefault="00330EA4" w:rsidP="00583CE2">
            <w:pPr>
              <w:jc w:val="center"/>
              <w:rPr>
                <w:rFonts w:eastAsia="Times New Roman"/>
                <w:b/>
                <w:bCs/>
                <w:color w:val="000000"/>
                <w:sz w:val="22"/>
                <w:szCs w:val="22"/>
              </w:rPr>
            </w:pPr>
          </w:p>
        </w:tc>
      </w:tr>
      <w:tr w:rsidR="00330EA4" w:rsidRPr="001E019B" w14:paraId="7C75108B" w14:textId="77777777" w:rsidTr="00330EA4">
        <w:trPr>
          <w:gridAfter w:val="3"/>
          <w:wAfter w:w="319" w:type="dxa"/>
          <w:trHeight w:val="300"/>
        </w:trPr>
        <w:tc>
          <w:tcPr>
            <w:tcW w:w="2282" w:type="dxa"/>
            <w:tcBorders>
              <w:top w:val="nil"/>
              <w:left w:val="nil"/>
              <w:bottom w:val="nil"/>
              <w:right w:val="nil"/>
            </w:tcBorders>
            <w:shd w:val="clear" w:color="auto" w:fill="auto"/>
            <w:vAlign w:val="center"/>
            <w:hideMark/>
          </w:tcPr>
          <w:p w14:paraId="32F462A0" w14:textId="77777777" w:rsidR="00330EA4" w:rsidRPr="001E019B" w:rsidRDefault="00330EA4" w:rsidP="00583CE2">
            <w:pPr>
              <w:jc w:val="center"/>
              <w:rPr>
                <w:rFonts w:eastAsia="Times New Roman"/>
                <w:b/>
                <w:bCs/>
                <w:color w:val="000000"/>
                <w:sz w:val="22"/>
                <w:szCs w:val="22"/>
              </w:rPr>
            </w:pPr>
          </w:p>
        </w:tc>
        <w:tc>
          <w:tcPr>
            <w:tcW w:w="272" w:type="dxa"/>
            <w:tcBorders>
              <w:top w:val="nil"/>
              <w:left w:val="nil"/>
              <w:bottom w:val="nil"/>
              <w:right w:val="nil"/>
            </w:tcBorders>
            <w:shd w:val="clear" w:color="auto" w:fill="auto"/>
            <w:vAlign w:val="center"/>
            <w:hideMark/>
          </w:tcPr>
          <w:p w14:paraId="647867AB" w14:textId="77777777" w:rsidR="00330EA4" w:rsidRPr="001E019B" w:rsidRDefault="00330EA4" w:rsidP="00583CE2">
            <w:pPr>
              <w:rPr>
                <w:rFonts w:eastAsia="Times New Roman"/>
                <w:sz w:val="20"/>
                <w:szCs w:val="20"/>
              </w:rPr>
            </w:pPr>
          </w:p>
        </w:tc>
        <w:tc>
          <w:tcPr>
            <w:tcW w:w="364" w:type="dxa"/>
            <w:tcBorders>
              <w:top w:val="nil"/>
              <w:left w:val="nil"/>
              <w:bottom w:val="nil"/>
              <w:right w:val="nil"/>
            </w:tcBorders>
            <w:shd w:val="clear" w:color="auto" w:fill="auto"/>
            <w:vAlign w:val="center"/>
            <w:hideMark/>
          </w:tcPr>
          <w:p w14:paraId="7A2DF943" w14:textId="77777777" w:rsidR="00330EA4" w:rsidRPr="001E019B" w:rsidRDefault="00330EA4" w:rsidP="00583CE2">
            <w:pPr>
              <w:rPr>
                <w:rFonts w:eastAsia="Times New Roman"/>
                <w:sz w:val="20"/>
                <w:szCs w:val="20"/>
              </w:rPr>
            </w:pPr>
          </w:p>
        </w:tc>
        <w:tc>
          <w:tcPr>
            <w:tcW w:w="546" w:type="dxa"/>
            <w:tcBorders>
              <w:top w:val="nil"/>
              <w:left w:val="nil"/>
              <w:bottom w:val="nil"/>
              <w:right w:val="nil"/>
            </w:tcBorders>
            <w:shd w:val="clear" w:color="auto" w:fill="auto"/>
            <w:vAlign w:val="center"/>
            <w:hideMark/>
          </w:tcPr>
          <w:p w14:paraId="50C07FFE" w14:textId="77777777" w:rsidR="00330EA4" w:rsidRPr="001E019B" w:rsidRDefault="00330EA4" w:rsidP="00583CE2">
            <w:pPr>
              <w:jc w:val="center"/>
              <w:rPr>
                <w:rFonts w:eastAsia="Times New Roman"/>
                <w:sz w:val="20"/>
                <w:szCs w:val="20"/>
              </w:rPr>
            </w:pPr>
          </w:p>
        </w:tc>
        <w:tc>
          <w:tcPr>
            <w:tcW w:w="1561" w:type="dxa"/>
            <w:tcBorders>
              <w:top w:val="nil"/>
              <w:left w:val="nil"/>
              <w:bottom w:val="nil"/>
              <w:right w:val="nil"/>
            </w:tcBorders>
            <w:shd w:val="clear" w:color="auto" w:fill="auto"/>
            <w:vAlign w:val="center"/>
            <w:hideMark/>
          </w:tcPr>
          <w:p w14:paraId="03FB0879" w14:textId="77777777" w:rsidR="00330EA4" w:rsidRPr="001E019B" w:rsidRDefault="00330EA4" w:rsidP="00583CE2">
            <w:pPr>
              <w:jc w:val="center"/>
              <w:rPr>
                <w:rFonts w:eastAsia="Times New Roman"/>
                <w:sz w:val="20"/>
                <w:szCs w:val="20"/>
              </w:rPr>
            </w:pPr>
          </w:p>
        </w:tc>
        <w:tc>
          <w:tcPr>
            <w:tcW w:w="859" w:type="dxa"/>
            <w:tcBorders>
              <w:top w:val="nil"/>
              <w:left w:val="nil"/>
              <w:bottom w:val="single" w:sz="4" w:space="0" w:color="auto"/>
              <w:right w:val="nil"/>
            </w:tcBorders>
            <w:shd w:val="clear" w:color="auto" w:fill="auto"/>
            <w:vAlign w:val="center"/>
            <w:hideMark/>
          </w:tcPr>
          <w:p w14:paraId="5080AB39"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Mean</w:t>
            </w:r>
          </w:p>
        </w:tc>
        <w:tc>
          <w:tcPr>
            <w:tcW w:w="1308" w:type="dxa"/>
            <w:tcBorders>
              <w:top w:val="nil"/>
              <w:left w:val="nil"/>
              <w:bottom w:val="single" w:sz="4" w:space="0" w:color="auto"/>
              <w:right w:val="nil"/>
            </w:tcBorders>
            <w:shd w:val="clear" w:color="auto" w:fill="auto"/>
            <w:vAlign w:val="center"/>
            <w:hideMark/>
          </w:tcPr>
          <w:p w14:paraId="73359C6B"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Median</w:t>
            </w:r>
          </w:p>
        </w:tc>
        <w:tc>
          <w:tcPr>
            <w:tcW w:w="505" w:type="dxa"/>
            <w:tcBorders>
              <w:top w:val="nil"/>
              <w:left w:val="nil"/>
              <w:bottom w:val="nil"/>
              <w:right w:val="nil"/>
            </w:tcBorders>
            <w:shd w:val="clear" w:color="auto" w:fill="auto"/>
            <w:vAlign w:val="center"/>
            <w:hideMark/>
          </w:tcPr>
          <w:p w14:paraId="6ABEB898" w14:textId="77777777" w:rsidR="00330EA4" w:rsidRPr="001E019B" w:rsidRDefault="00330EA4" w:rsidP="00583CE2">
            <w:pPr>
              <w:jc w:val="center"/>
              <w:rPr>
                <w:rFonts w:eastAsia="Times New Roman"/>
                <w:b/>
                <w:bCs/>
                <w:color w:val="000000"/>
                <w:sz w:val="22"/>
                <w:szCs w:val="22"/>
              </w:rPr>
            </w:pPr>
          </w:p>
        </w:tc>
        <w:tc>
          <w:tcPr>
            <w:tcW w:w="754" w:type="dxa"/>
            <w:tcBorders>
              <w:top w:val="nil"/>
              <w:left w:val="nil"/>
              <w:bottom w:val="single" w:sz="4" w:space="0" w:color="auto"/>
              <w:right w:val="nil"/>
            </w:tcBorders>
            <w:shd w:val="clear" w:color="auto" w:fill="auto"/>
            <w:vAlign w:val="center"/>
            <w:hideMark/>
          </w:tcPr>
          <w:p w14:paraId="31BC85A6"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Mean</w:t>
            </w:r>
          </w:p>
        </w:tc>
        <w:tc>
          <w:tcPr>
            <w:tcW w:w="964" w:type="dxa"/>
            <w:tcBorders>
              <w:top w:val="nil"/>
              <w:left w:val="nil"/>
              <w:bottom w:val="single" w:sz="4" w:space="0" w:color="auto"/>
              <w:right w:val="nil"/>
            </w:tcBorders>
            <w:shd w:val="clear" w:color="auto" w:fill="auto"/>
            <w:vAlign w:val="center"/>
            <w:hideMark/>
          </w:tcPr>
          <w:p w14:paraId="285FF065"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Median</w:t>
            </w:r>
          </w:p>
        </w:tc>
        <w:tc>
          <w:tcPr>
            <w:tcW w:w="791" w:type="dxa"/>
            <w:tcBorders>
              <w:top w:val="nil"/>
              <w:left w:val="nil"/>
              <w:bottom w:val="nil"/>
              <w:right w:val="nil"/>
            </w:tcBorders>
            <w:shd w:val="clear" w:color="auto" w:fill="auto"/>
            <w:vAlign w:val="center"/>
            <w:hideMark/>
          </w:tcPr>
          <w:p w14:paraId="03962A49" w14:textId="77777777" w:rsidR="00330EA4" w:rsidRPr="001E019B" w:rsidRDefault="00330EA4" w:rsidP="00583CE2">
            <w:pPr>
              <w:jc w:val="center"/>
              <w:rPr>
                <w:rFonts w:eastAsia="Times New Roman"/>
                <w:b/>
                <w:bCs/>
                <w:color w:val="000000"/>
                <w:sz w:val="22"/>
                <w:szCs w:val="22"/>
              </w:rPr>
            </w:pPr>
          </w:p>
        </w:tc>
        <w:tc>
          <w:tcPr>
            <w:tcW w:w="1603" w:type="dxa"/>
            <w:tcBorders>
              <w:top w:val="nil"/>
              <w:left w:val="nil"/>
              <w:bottom w:val="single" w:sz="4" w:space="0" w:color="auto"/>
              <w:right w:val="nil"/>
            </w:tcBorders>
            <w:shd w:val="clear" w:color="auto" w:fill="auto"/>
            <w:vAlign w:val="center"/>
            <w:hideMark/>
          </w:tcPr>
          <w:p w14:paraId="32E0F2F6"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Mean</w:t>
            </w:r>
          </w:p>
        </w:tc>
        <w:tc>
          <w:tcPr>
            <w:tcW w:w="965" w:type="dxa"/>
            <w:tcBorders>
              <w:top w:val="nil"/>
              <w:left w:val="nil"/>
              <w:bottom w:val="single" w:sz="4" w:space="0" w:color="auto"/>
              <w:right w:val="nil"/>
            </w:tcBorders>
            <w:shd w:val="clear" w:color="auto" w:fill="auto"/>
            <w:vAlign w:val="center"/>
            <w:hideMark/>
          </w:tcPr>
          <w:p w14:paraId="7AD582EF" w14:textId="77777777" w:rsidR="00330EA4" w:rsidRPr="001E019B" w:rsidRDefault="00330EA4" w:rsidP="00583CE2">
            <w:pPr>
              <w:jc w:val="center"/>
              <w:rPr>
                <w:rFonts w:eastAsia="Times New Roman"/>
                <w:b/>
                <w:bCs/>
                <w:color w:val="000000"/>
                <w:sz w:val="22"/>
                <w:szCs w:val="22"/>
              </w:rPr>
            </w:pPr>
            <w:r w:rsidRPr="001E019B">
              <w:rPr>
                <w:rFonts w:eastAsia="Times New Roman"/>
                <w:b/>
                <w:bCs/>
                <w:color w:val="000000"/>
                <w:sz w:val="22"/>
                <w:szCs w:val="22"/>
              </w:rPr>
              <w:t>Median</w:t>
            </w:r>
          </w:p>
        </w:tc>
        <w:tc>
          <w:tcPr>
            <w:tcW w:w="1020" w:type="dxa"/>
            <w:gridSpan w:val="2"/>
            <w:tcBorders>
              <w:top w:val="nil"/>
              <w:left w:val="nil"/>
              <w:bottom w:val="nil"/>
              <w:right w:val="nil"/>
            </w:tcBorders>
            <w:shd w:val="clear" w:color="auto" w:fill="auto"/>
            <w:noWrap/>
            <w:vAlign w:val="center"/>
            <w:hideMark/>
          </w:tcPr>
          <w:p w14:paraId="6C0CF42C" w14:textId="77777777" w:rsidR="00330EA4" w:rsidRPr="001E019B" w:rsidRDefault="00330EA4" w:rsidP="00583CE2">
            <w:pPr>
              <w:jc w:val="center"/>
              <w:rPr>
                <w:rFonts w:eastAsia="Times New Roman"/>
                <w:b/>
                <w:bCs/>
                <w:color w:val="000000"/>
                <w:sz w:val="22"/>
                <w:szCs w:val="22"/>
              </w:rPr>
            </w:pPr>
          </w:p>
        </w:tc>
      </w:tr>
      <w:tr w:rsidR="00330EA4" w:rsidRPr="001E019B" w14:paraId="15325053" w14:textId="77777777" w:rsidTr="00330EA4">
        <w:trPr>
          <w:gridAfter w:val="3"/>
          <w:wAfter w:w="319" w:type="dxa"/>
          <w:trHeight w:val="300"/>
        </w:trPr>
        <w:tc>
          <w:tcPr>
            <w:tcW w:w="2554" w:type="dxa"/>
            <w:gridSpan w:val="2"/>
            <w:tcBorders>
              <w:top w:val="nil"/>
              <w:left w:val="nil"/>
              <w:bottom w:val="nil"/>
              <w:right w:val="nil"/>
            </w:tcBorders>
            <w:shd w:val="clear" w:color="auto" w:fill="auto"/>
            <w:vAlign w:val="center"/>
            <w:hideMark/>
          </w:tcPr>
          <w:p w14:paraId="2546CC9D" w14:textId="60E25B5D" w:rsidR="00330EA4" w:rsidRPr="001E019B" w:rsidRDefault="00330EA4" w:rsidP="00583CE2">
            <w:pPr>
              <w:rPr>
                <w:rFonts w:eastAsia="Times New Roman"/>
                <w:color w:val="000000"/>
                <w:sz w:val="22"/>
                <w:szCs w:val="22"/>
              </w:rPr>
            </w:pPr>
            <w:r w:rsidRPr="001E019B">
              <w:rPr>
                <w:rFonts w:eastAsia="Times New Roman"/>
                <w:color w:val="000000"/>
                <w:sz w:val="22"/>
                <w:szCs w:val="22"/>
              </w:rPr>
              <w:t>Director/Chief</w:t>
            </w:r>
            <w:r>
              <w:rPr>
                <w:rFonts w:eastAsia="Times New Roman"/>
                <w:color w:val="000000"/>
                <w:sz w:val="22"/>
                <w:szCs w:val="22"/>
              </w:rPr>
              <w:t xml:space="preserve"> = 0</w:t>
            </w:r>
          </w:p>
        </w:tc>
        <w:tc>
          <w:tcPr>
            <w:tcW w:w="364" w:type="dxa"/>
            <w:tcBorders>
              <w:top w:val="nil"/>
              <w:left w:val="nil"/>
              <w:bottom w:val="nil"/>
              <w:right w:val="nil"/>
            </w:tcBorders>
            <w:shd w:val="clear" w:color="auto" w:fill="auto"/>
            <w:vAlign w:val="center"/>
            <w:hideMark/>
          </w:tcPr>
          <w:p w14:paraId="282475FC" w14:textId="77777777" w:rsidR="00330EA4" w:rsidRPr="001E019B" w:rsidRDefault="00330EA4" w:rsidP="00583CE2">
            <w:pPr>
              <w:rPr>
                <w:rFonts w:eastAsia="Times New Roman"/>
                <w:color w:val="000000"/>
                <w:sz w:val="22"/>
                <w:szCs w:val="22"/>
              </w:rPr>
            </w:pPr>
          </w:p>
        </w:tc>
        <w:tc>
          <w:tcPr>
            <w:tcW w:w="546" w:type="dxa"/>
            <w:tcBorders>
              <w:top w:val="nil"/>
              <w:left w:val="nil"/>
              <w:bottom w:val="nil"/>
              <w:right w:val="nil"/>
            </w:tcBorders>
            <w:shd w:val="clear" w:color="auto" w:fill="auto"/>
            <w:noWrap/>
            <w:vAlign w:val="center"/>
            <w:hideMark/>
          </w:tcPr>
          <w:p w14:paraId="19CEFAF3"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50</w:t>
            </w:r>
          </w:p>
        </w:tc>
        <w:tc>
          <w:tcPr>
            <w:tcW w:w="1561" w:type="dxa"/>
            <w:tcBorders>
              <w:top w:val="nil"/>
              <w:left w:val="nil"/>
              <w:bottom w:val="nil"/>
              <w:right w:val="nil"/>
            </w:tcBorders>
            <w:shd w:val="clear" w:color="auto" w:fill="auto"/>
            <w:noWrap/>
            <w:vAlign w:val="center"/>
            <w:hideMark/>
          </w:tcPr>
          <w:p w14:paraId="347DEACF" w14:textId="77777777" w:rsidR="00330EA4" w:rsidRPr="001E019B" w:rsidRDefault="00330EA4" w:rsidP="00583CE2">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5DA5D952"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173.92</w:t>
            </w:r>
          </w:p>
        </w:tc>
        <w:tc>
          <w:tcPr>
            <w:tcW w:w="1308" w:type="dxa"/>
            <w:tcBorders>
              <w:top w:val="nil"/>
              <w:left w:val="nil"/>
              <w:bottom w:val="nil"/>
              <w:right w:val="nil"/>
            </w:tcBorders>
            <w:shd w:val="clear" w:color="auto" w:fill="auto"/>
            <w:noWrap/>
            <w:vAlign w:val="center"/>
            <w:hideMark/>
          </w:tcPr>
          <w:p w14:paraId="3E8EFBA0"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92.5</w:t>
            </w:r>
          </w:p>
        </w:tc>
        <w:tc>
          <w:tcPr>
            <w:tcW w:w="505" w:type="dxa"/>
            <w:tcBorders>
              <w:top w:val="nil"/>
              <w:left w:val="nil"/>
              <w:bottom w:val="nil"/>
              <w:right w:val="nil"/>
            </w:tcBorders>
            <w:shd w:val="clear" w:color="auto" w:fill="auto"/>
            <w:noWrap/>
            <w:vAlign w:val="center"/>
            <w:hideMark/>
          </w:tcPr>
          <w:p w14:paraId="0E5804FE" w14:textId="77777777" w:rsidR="00330EA4" w:rsidRPr="001E019B" w:rsidRDefault="00330EA4" w:rsidP="00583CE2">
            <w:pPr>
              <w:jc w:val="center"/>
              <w:rPr>
                <w:rFonts w:eastAsia="Times New Roman"/>
                <w:color w:val="000000"/>
                <w:sz w:val="22"/>
                <w:szCs w:val="22"/>
              </w:rPr>
            </w:pPr>
          </w:p>
        </w:tc>
        <w:tc>
          <w:tcPr>
            <w:tcW w:w="754" w:type="dxa"/>
            <w:tcBorders>
              <w:top w:val="nil"/>
              <w:left w:val="nil"/>
              <w:bottom w:val="nil"/>
              <w:right w:val="nil"/>
            </w:tcBorders>
            <w:shd w:val="clear" w:color="auto" w:fill="auto"/>
            <w:noWrap/>
            <w:vAlign w:val="center"/>
            <w:hideMark/>
          </w:tcPr>
          <w:p w14:paraId="61C42BE9"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3.7</w:t>
            </w:r>
          </w:p>
        </w:tc>
        <w:tc>
          <w:tcPr>
            <w:tcW w:w="964" w:type="dxa"/>
            <w:tcBorders>
              <w:top w:val="nil"/>
              <w:left w:val="nil"/>
              <w:bottom w:val="nil"/>
              <w:right w:val="nil"/>
            </w:tcBorders>
            <w:shd w:val="clear" w:color="auto" w:fill="auto"/>
            <w:noWrap/>
            <w:vAlign w:val="center"/>
            <w:hideMark/>
          </w:tcPr>
          <w:p w14:paraId="3DD566DB"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3</w:t>
            </w:r>
          </w:p>
        </w:tc>
        <w:tc>
          <w:tcPr>
            <w:tcW w:w="791" w:type="dxa"/>
            <w:tcBorders>
              <w:top w:val="nil"/>
              <w:left w:val="nil"/>
              <w:bottom w:val="nil"/>
              <w:right w:val="nil"/>
            </w:tcBorders>
            <w:shd w:val="clear" w:color="auto" w:fill="auto"/>
            <w:noWrap/>
            <w:vAlign w:val="center"/>
            <w:hideMark/>
          </w:tcPr>
          <w:p w14:paraId="3ED7B7E6" w14:textId="77777777" w:rsidR="00330EA4" w:rsidRPr="001E019B" w:rsidRDefault="00330EA4" w:rsidP="00583CE2">
            <w:pPr>
              <w:jc w:val="center"/>
              <w:rPr>
                <w:rFonts w:eastAsia="Times New Roman"/>
                <w:color w:val="000000"/>
                <w:sz w:val="22"/>
                <w:szCs w:val="22"/>
              </w:rPr>
            </w:pPr>
          </w:p>
        </w:tc>
        <w:tc>
          <w:tcPr>
            <w:tcW w:w="1603" w:type="dxa"/>
            <w:tcBorders>
              <w:top w:val="nil"/>
              <w:left w:val="nil"/>
              <w:bottom w:val="nil"/>
              <w:right w:val="nil"/>
            </w:tcBorders>
            <w:shd w:val="clear" w:color="auto" w:fill="auto"/>
            <w:noWrap/>
            <w:vAlign w:val="center"/>
            <w:hideMark/>
          </w:tcPr>
          <w:p w14:paraId="74B6D24F"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36.62</w:t>
            </w:r>
          </w:p>
        </w:tc>
        <w:tc>
          <w:tcPr>
            <w:tcW w:w="965" w:type="dxa"/>
            <w:tcBorders>
              <w:top w:val="nil"/>
              <w:left w:val="nil"/>
              <w:bottom w:val="nil"/>
              <w:right w:val="nil"/>
            </w:tcBorders>
            <w:shd w:val="clear" w:color="auto" w:fill="auto"/>
            <w:noWrap/>
            <w:vAlign w:val="center"/>
            <w:hideMark/>
          </w:tcPr>
          <w:p w14:paraId="24AF2626" w14:textId="77777777" w:rsidR="00330EA4" w:rsidRPr="001E019B" w:rsidRDefault="00330EA4" w:rsidP="00583CE2">
            <w:pPr>
              <w:jc w:val="center"/>
              <w:rPr>
                <w:rFonts w:eastAsia="Times New Roman"/>
                <w:color w:val="000000"/>
                <w:sz w:val="22"/>
                <w:szCs w:val="22"/>
              </w:rPr>
            </w:pPr>
            <w:r w:rsidRPr="001E019B">
              <w:rPr>
                <w:rFonts w:eastAsia="Times New Roman"/>
                <w:color w:val="000000"/>
                <w:sz w:val="22"/>
                <w:szCs w:val="22"/>
              </w:rPr>
              <w:t>39</w:t>
            </w:r>
          </w:p>
        </w:tc>
        <w:tc>
          <w:tcPr>
            <w:tcW w:w="1020" w:type="dxa"/>
            <w:gridSpan w:val="2"/>
            <w:tcBorders>
              <w:top w:val="nil"/>
              <w:left w:val="nil"/>
              <w:bottom w:val="nil"/>
              <w:right w:val="nil"/>
            </w:tcBorders>
            <w:shd w:val="clear" w:color="auto" w:fill="auto"/>
            <w:noWrap/>
            <w:vAlign w:val="center"/>
            <w:hideMark/>
          </w:tcPr>
          <w:p w14:paraId="6E57469C" w14:textId="77777777" w:rsidR="00330EA4" w:rsidRPr="001E019B" w:rsidRDefault="00330EA4" w:rsidP="00583CE2">
            <w:pPr>
              <w:jc w:val="center"/>
              <w:rPr>
                <w:rFonts w:eastAsia="Times New Roman"/>
                <w:color w:val="000000"/>
                <w:sz w:val="22"/>
                <w:szCs w:val="22"/>
              </w:rPr>
            </w:pPr>
          </w:p>
        </w:tc>
      </w:tr>
      <w:tr w:rsidR="00330EA4" w:rsidRPr="001E019B" w14:paraId="22A9C49C" w14:textId="77777777" w:rsidTr="00330EA4">
        <w:trPr>
          <w:gridAfter w:val="3"/>
          <w:wAfter w:w="319" w:type="dxa"/>
          <w:trHeight w:val="300"/>
        </w:trPr>
        <w:tc>
          <w:tcPr>
            <w:tcW w:w="2554" w:type="dxa"/>
            <w:gridSpan w:val="2"/>
            <w:tcBorders>
              <w:top w:val="nil"/>
              <w:left w:val="nil"/>
              <w:bottom w:val="nil"/>
              <w:right w:val="nil"/>
            </w:tcBorders>
            <w:shd w:val="clear" w:color="auto" w:fill="auto"/>
            <w:vAlign w:val="center"/>
          </w:tcPr>
          <w:p w14:paraId="421F2332" w14:textId="6DE04002" w:rsidR="00330EA4" w:rsidRPr="001E019B" w:rsidRDefault="00330EA4" w:rsidP="001F0A41">
            <w:pPr>
              <w:rPr>
                <w:rFonts w:eastAsia="Times New Roman"/>
                <w:color w:val="000000"/>
                <w:sz w:val="22"/>
                <w:szCs w:val="22"/>
              </w:rPr>
            </w:pPr>
            <w:r w:rsidRPr="001E019B">
              <w:rPr>
                <w:rFonts w:eastAsia="Times New Roman"/>
                <w:color w:val="000000"/>
                <w:sz w:val="22"/>
                <w:szCs w:val="22"/>
              </w:rPr>
              <w:t>Director/Chief</w:t>
            </w:r>
            <w:r>
              <w:rPr>
                <w:rFonts w:eastAsia="Times New Roman"/>
                <w:color w:val="000000"/>
                <w:sz w:val="22"/>
                <w:szCs w:val="22"/>
              </w:rPr>
              <w:t xml:space="preserve"> = 1</w:t>
            </w:r>
          </w:p>
        </w:tc>
        <w:tc>
          <w:tcPr>
            <w:tcW w:w="364" w:type="dxa"/>
            <w:tcBorders>
              <w:top w:val="nil"/>
              <w:left w:val="nil"/>
              <w:bottom w:val="nil"/>
              <w:right w:val="nil"/>
            </w:tcBorders>
            <w:shd w:val="clear" w:color="auto" w:fill="auto"/>
            <w:vAlign w:val="center"/>
          </w:tcPr>
          <w:p w14:paraId="3F960470" w14:textId="77777777" w:rsidR="00330EA4" w:rsidRPr="001E019B" w:rsidRDefault="00330EA4" w:rsidP="001F0A41">
            <w:pPr>
              <w:rPr>
                <w:rFonts w:eastAsia="Times New Roman"/>
                <w:color w:val="000000"/>
                <w:sz w:val="22"/>
                <w:szCs w:val="22"/>
              </w:rPr>
            </w:pPr>
          </w:p>
        </w:tc>
        <w:tc>
          <w:tcPr>
            <w:tcW w:w="546" w:type="dxa"/>
            <w:tcBorders>
              <w:top w:val="nil"/>
              <w:left w:val="nil"/>
              <w:bottom w:val="nil"/>
              <w:right w:val="nil"/>
            </w:tcBorders>
            <w:shd w:val="clear" w:color="auto" w:fill="auto"/>
            <w:noWrap/>
            <w:vAlign w:val="center"/>
          </w:tcPr>
          <w:p w14:paraId="79351D44" w14:textId="4F04880F"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656</w:t>
            </w:r>
          </w:p>
        </w:tc>
        <w:tc>
          <w:tcPr>
            <w:tcW w:w="1561" w:type="dxa"/>
            <w:tcBorders>
              <w:top w:val="nil"/>
              <w:left w:val="nil"/>
              <w:bottom w:val="nil"/>
              <w:right w:val="nil"/>
            </w:tcBorders>
            <w:shd w:val="clear" w:color="auto" w:fill="auto"/>
            <w:noWrap/>
            <w:vAlign w:val="center"/>
          </w:tcPr>
          <w:p w14:paraId="05B0BF14" w14:textId="77777777" w:rsidR="00330EA4" w:rsidRPr="001E019B" w:rsidRDefault="00330EA4" w:rsidP="001F0A41">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tcPr>
          <w:p w14:paraId="689F2207" w14:textId="7BE480AF"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128.25</w:t>
            </w:r>
          </w:p>
        </w:tc>
        <w:tc>
          <w:tcPr>
            <w:tcW w:w="1308" w:type="dxa"/>
            <w:tcBorders>
              <w:top w:val="nil"/>
              <w:left w:val="nil"/>
              <w:bottom w:val="nil"/>
              <w:right w:val="nil"/>
            </w:tcBorders>
            <w:shd w:val="clear" w:color="auto" w:fill="auto"/>
            <w:noWrap/>
            <w:vAlign w:val="center"/>
          </w:tcPr>
          <w:p w14:paraId="3BE9567D" w14:textId="0829C698"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97</w:t>
            </w:r>
          </w:p>
        </w:tc>
        <w:tc>
          <w:tcPr>
            <w:tcW w:w="505" w:type="dxa"/>
            <w:tcBorders>
              <w:top w:val="nil"/>
              <w:left w:val="nil"/>
              <w:bottom w:val="nil"/>
              <w:right w:val="nil"/>
            </w:tcBorders>
            <w:shd w:val="clear" w:color="auto" w:fill="auto"/>
            <w:noWrap/>
            <w:vAlign w:val="center"/>
          </w:tcPr>
          <w:p w14:paraId="01A7BB20" w14:textId="77777777" w:rsidR="00330EA4" w:rsidRPr="001E019B" w:rsidRDefault="00330EA4" w:rsidP="001F0A41">
            <w:pPr>
              <w:jc w:val="center"/>
              <w:rPr>
                <w:rFonts w:eastAsia="Times New Roman"/>
                <w:color w:val="000000"/>
                <w:sz w:val="22"/>
                <w:szCs w:val="22"/>
              </w:rPr>
            </w:pPr>
          </w:p>
        </w:tc>
        <w:tc>
          <w:tcPr>
            <w:tcW w:w="754" w:type="dxa"/>
            <w:tcBorders>
              <w:top w:val="nil"/>
              <w:left w:val="nil"/>
              <w:bottom w:val="nil"/>
              <w:right w:val="nil"/>
            </w:tcBorders>
            <w:shd w:val="clear" w:color="auto" w:fill="auto"/>
            <w:noWrap/>
            <w:vAlign w:val="center"/>
          </w:tcPr>
          <w:p w14:paraId="1AC27991" w14:textId="45B46300"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3.32</w:t>
            </w:r>
          </w:p>
        </w:tc>
        <w:tc>
          <w:tcPr>
            <w:tcW w:w="964" w:type="dxa"/>
            <w:tcBorders>
              <w:top w:val="nil"/>
              <w:left w:val="nil"/>
              <w:bottom w:val="nil"/>
              <w:right w:val="nil"/>
            </w:tcBorders>
            <w:shd w:val="clear" w:color="auto" w:fill="auto"/>
            <w:noWrap/>
            <w:vAlign w:val="center"/>
          </w:tcPr>
          <w:p w14:paraId="31BE7955" w14:textId="3446D02A"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w:t>
            </w:r>
          </w:p>
        </w:tc>
        <w:tc>
          <w:tcPr>
            <w:tcW w:w="791" w:type="dxa"/>
            <w:tcBorders>
              <w:top w:val="nil"/>
              <w:left w:val="nil"/>
              <w:bottom w:val="nil"/>
              <w:right w:val="nil"/>
            </w:tcBorders>
            <w:shd w:val="clear" w:color="auto" w:fill="auto"/>
            <w:noWrap/>
            <w:vAlign w:val="center"/>
          </w:tcPr>
          <w:p w14:paraId="7341860F" w14:textId="77777777" w:rsidR="00330EA4" w:rsidRPr="001E019B" w:rsidRDefault="00330EA4" w:rsidP="001F0A41">
            <w:pPr>
              <w:jc w:val="center"/>
              <w:rPr>
                <w:rFonts w:eastAsia="Times New Roman"/>
                <w:color w:val="000000"/>
                <w:sz w:val="22"/>
                <w:szCs w:val="22"/>
              </w:rPr>
            </w:pPr>
          </w:p>
        </w:tc>
        <w:tc>
          <w:tcPr>
            <w:tcW w:w="1603" w:type="dxa"/>
            <w:tcBorders>
              <w:top w:val="nil"/>
              <w:left w:val="nil"/>
              <w:bottom w:val="nil"/>
              <w:right w:val="nil"/>
            </w:tcBorders>
            <w:shd w:val="clear" w:color="auto" w:fill="auto"/>
            <w:noWrap/>
            <w:vAlign w:val="center"/>
          </w:tcPr>
          <w:p w14:paraId="33C0DD48" w14:textId="1BACBAF2"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34.05</w:t>
            </w:r>
          </w:p>
        </w:tc>
        <w:tc>
          <w:tcPr>
            <w:tcW w:w="965" w:type="dxa"/>
            <w:tcBorders>
              <w:top w:val="nil"/>
              <w:left w:val="nil"/>
              <w:bottom w:val="nil"/>
              <w:right w:val="nil"/>
            </w:tcBorders>
            <w:shd w:val="clear" w:color="auto" w:fill="auto"/>
            <w:noWrap/>
            <w:vAlign w:val="center"/>
          </w:tcPr>
          <w:p w14:paraId="08F5DDB7" w14:textId="4C8C87AA"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36</w:t>
            </w:r>
          </w:p>
        </w:tc>
        <w:tc>
          <w:tcPr>
            <w:tcW w:w="1020" w:type="dxa"/>
            <w:gridSpan w:val="2"/>
            <w:tcBorders>
              <w:top w:val="nil"/>
              <w:left w:val="nil"/>
              <w:bottom w:val="nil"/>
              <w:right w:val="nil"/>
            </w:tcBorders>
            <w:shd w:val="clear" w:color="auto" w:fill="auto"/>
            <w:noWrap/>
            <w:vAlign w:val="center"/>
          </w:tcPr>
          <w:p w14:paraId="5B475EB1" w14:textId="77777777" w:rsidR="00330EA4" w:rsidRPr="001E019B" w:rsidRDefault="00330EA4" w:rsidP="001F0A41">
            <w:pPr>
              <w:jc w:val="center"/>
              <w:rPr>
                <w:rFonts w:eastAsia="Times New Roman"/>
                <w:color w:val="000000"/>
                <w:sz w:val="22"/>
                <w:szCs w:val="22"/>
              </w:rPr>
            </w:pPr>
          </w:p>
        </w:tc>
      </w:tr>
      <w:tr w:rsidR="00330EA4" w:rsidRPr="001E019B" w14:paraId="1FE12903" w14:textId="77777777" w:rsidTr="00330EA4">
        <w:trPr>
          <w:gridAfter w:val="3"/>
          <w:wAfter w:w="319" w:type="dxa"/>
          <w:trHeight w:val="1050"/>
        </w:trPr>
        <w:tc>
          <w:tcPr>
            <w:tcW w:w="2554" w:type="dxa"/>
            <w:gridSpan w:val="2"/>
            <w:tcBorders>
              <w:top w:val="nil"/>
              <w:left w:val="nil"/>
              <w:bottom w:val="nil"/>
              <w:right w:val="nil"/>
            </w:tcBorders>
            <w:shd w:val="clear" w:color="auto" w:fill="auto"/>
            <w:vAlign w:val="center"/>
            <w:hideMark/>
          </w:tcPr>
          <w:p w14:paraId="464031AE" w14:textId="77777777" w:rsidR="00330EA4" w:rsidRPr="001E019B" w:rsidRDefault="00330EA4" w:rsidP="001F0A41">
            <w:pPr>
              <w:rPr>
                <w:rFonts w:eastAsia="Times New Roman"/>
                <w:color w:val="000000"/>
                <w:sz w:val="22"/>
                <w:szCs w:val="22"/>
              </w:rPr>
            </w:pPr>
            <w:r w:rsidRPr="001E019B">
              <w:rPr>
                <w:rFonts w:eastAsia="Times New Roman"/>
                <w:color w:val="000000"/>
                <w:sz w:val="22"/>
                <w:szCs w:val="22"/>
              </w:rPr>
              <w:t>t test (mean)/</w:t>
            </w:r>
            <w:r w:rsidRPr="001E019B">
              <w:rPr>
                <w:rFonts w:eastAsia="Times New Roman"/>
                <w:color w:val="000000"/>
              </w:rPr>
              <w:t xml:space="preserve"> </w:t>
            </w:r>
            <w:r w:rsidRPr="001E019B">
              <w:rPr>
                <w:rFonts w:eastAsia="Times New Roman"/>
                <w:color w:val="000000"/>
                <w:sz w:val="22"/>
                <w:szCs w:val="22"/>
              </w:rPr>
              <w:t xml:space="preserve">Wilcoxon rank-sum test (median) </w:t>
            </w:r>
          </w:p>
        </w:tc>
        <w:tc>
          <w:tcPr>
            <w:tcW w:w="364" w:type="dxa"/>
            <w:tcBorders>
              <w:top w:val="nil"/>
              <w:left w:val="nil"/>
              <w:bottom w:val="nil"/>
              <w:right w:val="nil"/>
            </w:tcBorders>
            <w:shd w:val="clear" w:color="auto" w:fill="auto"/>
            <w:vAlign w:val="center"/>
            <w:hideMark/>
          </w:tcPr>
          <w:p w14:paraId="27BEBC86" w14:textId="77777777" w:rsidR="00330EA4" w:rsidRPr="001E019B" w:rsidRDefault="00330EA4" w:rsidP="001F0A41">
            <w:pPr>
              <w:rPr>
                <w:rFonts w:eastAsia="Times New Roman"/>
                <w:color w:val="000000"/>
                <w:sz w:val="22"/>
                <w:szCs w:val="22"/>
              </w:rPr>
            </w:pPr>
          </w:p>
        </w:tc>
        <w:tc>
          <w:tcPr>
            <w:tcW w:w="546" w:type="dxa"/>
            <w:tcBorders>
              <w:top w:val="nil"/>
              <w:left w:val="nil"/>
              <w:bottom w:val="nil"/>
              <w:right w:val="nil"/>
            </w:tcBorders>
            <w:shd w:val="clear" w:color="auto" w:fill="auto"/>
            <w:noWrap/>
            <w:vAlign w:val="center"/>
            <w:hideMark/>
          </w:tcPr>
          <w:p w14:paraId="5B533220" w14:textId="77777777" w:rsidR="00330EA4" w:rsidRPr="001E019B" w:rsidRDefault="00330EA4" w:rsidP="001F0A41">
            <w:pPr>
              <w:jc w:val="center"/>
              <w:rPr>
                <w:rFonts w:eastAsia="Times New Roman"/>
                <w:sz w:val="20"/>
                <w:szCs w:val="20"/>
              </w:rPr>
            </w:pPr>
          </w:p>
        </w:tc>
        <w:tc>
          <w:tcPr>
            <w:tcW w:w="1561" w:type="dxa"/>
            <w:tcBorders>
              <w:top w:val="nil"/>
              <w:left w:val="nil"/>
              <w:bottom w:val="nil"/>
              <w:right w:val="nil"/>
            </w:tcBorders>
            <w:shd w:val="clear" w:color="auto" w:fill="auto"/>
            <w:noWrap/>
            <w:vAlign w:val="center"/>
            <w:hideMark/>
          </w:tcPr>
          <w:p w14:paraId="21B6E07A" w14:textId="77777777" w:rsidR="00330EA4" w:rsidRPr="001E019B" w:rsidRDefault="00330EA4" w:rsidP="001F0A41">
            <w:pPr>
              <w:jc w:val="center"/>
              <w:rPr>
                <w:rFonts w:eastAsia="Times New Roman"/>
                <w:sz w:val="20"/>
                <w:szCs w:val="20"/>
              </w:rPr>
            </w:pPr>
          </w:p>
        </w:tc>
        <w:tc>
          <w:tcPr>
            <w:tcW w:w="859" w:type="dxa"/>
            <w:tcBorders>
              <w:top w:val="nil"/>
              <w:left w:val="nil"/>
              <w:bottom w:val="nil"/>
              <w:right w:val="nil"/>
            </w:tcBorders>
            <w:shd w:val="clear" w:color="auto" w:fill="auto"/>
            <w:noWrap/>
            <w:vAlign w:val="center"/>
            <w:hideMark/>
          </w:tcPr>
          <w:p w14:paraId="7FCE5C8B"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0.03</w:t>
            </w:r>
          </w:p>
        </w:tc>
        <w:tc>
          <w:tcPr>
            <w:tcW w:w="1308" w:type="dxa"/>
            <w:tcBorders>
              <w:top w:val="nil"/>
              <w:left w:val="nil"/>
              <w:bottom w:val="nil"/>
              <w:right w:val="nil"/>
            </w:tcBorders>
            <w:shd w:val="clear" w:color="auto" w:fill="auto"/>
            <w:noWrap/>
            <w:vAlign w:val="center"/>
            <w:hideMark/>
          </w:tcPr>
          <w:p w14:paraId="2AC1317D"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0.88 </w:t>
            </w:r>
          </w:p>
        </w:tc>
        <w:tc>
          <w:tcPr>
            <w:tcW w:w="505" w:type="dxa"/>
            <w:tcBorders>
              <w:top w:val="nil"/>
              <w:left w:val="nil"/>
              <w:bottom w:val="nil"/>
              <w:right w:val="nil"/>
            </w:tcBorders>
            <w:shd w:val="clear" w:color="auto" w:fill="auto"/>
            <w:noWrap/>
            <w:vAlign w:val="center"/>
            <w:hideMark/>
          </w:tcPr>
          <w:p w14:paraId="50945EF4" w14:textId="77777777" w:rsidR="00330EA4" w:rsidRPr="001E019B" w:rsidRDefault="00330EA4" w:rsidP="001F0A41">
            <w:pPr>
              <w:jc w:val="center"/>
              <w:rPr>
                <w:rFonts w:eastAsia="Times New Roman"/>
                <w:color w:val="000000"/>
                <w:sz w:val="22"/>
                <w:szCs w:val="22"/>
              </w:rPr>
            </w:pPr>
          </w:p>
        </w:tc>
        <w:tc>
          <w:tcPr>
            <w:tcW w:w="754" w:type="dxa"/>
            <w:tcBorders>
              <w:top w:val="nil"/>
              <w:left w:val="nil"/>
              <w:bottom w:val="nil"/>
              <w:right w:val="nil"/>
            </w:tcBorders>
            <w:shd w:val="clear" w:color="auto" w:fill="auto"/>
            <w:noWrap/>
            <w:vAlign w:val="center"/>
            <w:hideMark/>
          </w:tcPr>
          <w:p w14:paraId="670B889C"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0.17</w:t>
            </w:r>
          </w:p>
        </w:tc>
        <w:tc>
          <w:tcPr>
            <w:tcW w:w="964" w:type="dxa"/>
            <w:tcBorders>
              <w:top w:val="nil"/>
              <w:left w:val="nil"/>
              <w:bottom w:val="nil"/>
              <w:right w:val="nil"/>
            </w:tcBorders>
            <w:shd w:val="clear" w:color="auto" w:fill="auto"/>
            <w:noWrap/>
            <w:vAlign w:val="center"/>
            <w:hideMark/>
          </w:tcPr>
          <w:p w14:paraId="4084BDEF"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0.91</w:t>
            </w:r>
          </w:p>
        </w:tc>
        <w:tc>
          <w:tcPr>
            <w:tcW w:w="791" w:type="dxa"/>
            <w:tcBorders>
              <w:top w:val="nil"/>
              <w:left w:val="nil"/>
              <w:bottom w:val="nil"/>
              <w:right w:val="nil"/>
            </w:tcBorders>
            <w:shd w:val="clear" w:color="auto" w:fill="auto"/>
            <w:noWrap/>
            <w:vAlign w:val="center"/>
            <w:hideMark/>
          </w:tcPr>
          <w:p w14:paraId="3F775DEE" w14:textId="77777777" w:rsidR="00330EA4" w:rsidRPr="001E019B" w:rsidRDefault="00330EA4" w:rsidP="001F0A41">
            <w:pPr>
              <w:jc w:val="center"/>
              <w:rPr>
                <w:rFonts w:eastAsia="Times New Roman"/>
                <w:color w:val="000000"/>
                <w:sz w:val="22"/>
                <w:szCs w:val="22"/>
              </w:rPr>
            </w:pPr>
          </w:p>
        </w:tc>
        <w:tc>
          <w:tcPr>
            <w:tcW w:w="1603" w:type="dxa"/>
            <w:tcBorders>
              <w:top w:val="nil"/>
              <w:left w:val="nil"/>
              <w:bottom w:val="nil"/>
              <w:right w:val="nil"/>
            </w:tcBorders>
            <w:shd w:val="clear" w:color="auto" w:fill="auto"/>
            <w:noWrap/>
            <w:vAlign w:val="center"/>
            <w:hideMark/>
          </w:tcPr>
          <w:p w14:paraId="615B40B6"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0.484</w:t>
            </w:r>
          </w:p>
        </w:tc>
        <w:tc>
          <w:tcPr>
            <w:tcW w:w="965" w:type="dxa"/>
            <w:tcBorders>
              <w:top w:val="nil"/>
              <w:left w:val="nil"/>
              <w:bottom w:val="nil"/>
              <w:right w:val="nil"/>
            </w:tcBorders>
            <w:shd w:val="clear" w:color="auto" w:fill="auto"/>
            <w:noWrap/>
            <w:vAlign w:val="center"/>
            <w:hideMark/>
          </w:tcPr>
          <w:p w14:paraId="04CE6A60"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0.38</w:t>
            </w:r>
          </w:p>
        </w:tc>
        <w:tc>
          <w:tcPr>
            <w:tcW w:w="1020" w:type="dxa"/>
            <w:gridSpan w:val="2"/>
            <w:tcBorders>
              <w:top w:val="nil"/>
              <w:left w:val="nil"/>
              <w:bottom w:val="nil"/>
              <w:right w:val="nil"/>
            </w:tcBorders>
            <w:shd w:val="clear" w:color="auto" w:fill="auto"/>
            <w:noWrap/>
            <w:vAlign w:val="center"/>
            <w:hideMark/>
          </w:tcPr>
          <w:p w14:paraId="7DD399B2" w14:textId="77777777" w:rsidR="00330EA4" w:rsidRPr="001E019B" w:rsidRDefault="00330EA4" w:rsidP="001F0A41">
            <w:pPr>
              <w:jc w:val="center"/>
              <w:rPr>
                <w:rFonts w:eastAsia="Times New Roman"/>
                <w:color w:val="000000"/>
                <w:sz w:val="22"/>
                <w:szCs w:val="22"/>
              </w:rPr>
            </w:pPr>
          </w:p>
        </w:tc>
      </w:tr>
      <w:tr w:rsidR="00330EA4" w:rsidRPr="001E019B" w14:paraId="2DBB222B" w14:textId="77777777" w:rsidTr="00330EA4">
        <w:trPr>
          <w:gridAfter w:val="3"/>
          <w:wAfter w:w="319" w:type="dxa"/>
          <w:trHeight w:val="300"/>
        </w:trPr>
        <w:tc>
          <w:tcPr>
            <w:tcW w:w="2554" w:type="dxa"/>
            <w:gridSpan w:val="2"/>
            <w:tcBorders>
              <w:top w:val="nil"/>
              <w:left w:val="nil"/>
              <w:bottom w:val="single" w:sz="4" w:space="0" w:color="auto"/>
              <w:right w:val="nil"/>
            </w:tcBorders>
            <w:shd w:val="clear" w:color="auto" w:fill="auto"/>
            <w:vAlign w:val="center"/>
            <w:hideMark/>
          </w:tcPr>
          <w:p w14:paraId="1BEF0AD2" w14:textId="77777777" w:rsidR="00330EA4" w:rsidRPr="001E019B" w:rsidRDefault="00330EA4" w:rsidP="001F0A41">
            <w:pPr>
              <w:rPr>
                <w:rFonts w:eastAsia="Times New Roman"/>
                <w:color w:val="000000"/>
                <w:sz w:val="22"/>
                <w:szCs w:val="22"/>
              </w:rPr>
            </w:pPr>
            <w:r w:rsidRPr="001E019B">
              <w:rPr>
                <w:rFonts w:eastAsia="Times New Roman"/>
                <w:color w:val="000000"/>
                <w:sz w:val="22"/>
                <w:szCs w:val="22"/>
              </w:rPr>
              <w:t>Total</w:t>
            </w:r>
          </w:p>
        </w:tc>
        <w:tc>
          <w:tcPr>
            <w:tcW w:w="364" w:type="dxa"/>
            <w:tcBorders>
              <w:top w:val="nil"/>
              <w:left w:val="nil"/>
              <w:bottom w:val="single" w:sz="4" w:space="0" w:color="auto"/>
              <w:right w:val="nil"/>
            </w:tcBorders>
            <w:shd w:val="clear" w:color="auto" w:fill="auto"/>
            <w:vAlign w:val="center"/>
            <w:hideMark/>
          </w:tcPr>
          <w:p w14:paraId="3C7ECCA4"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546" w:type="dxa"/>
            <w:tcBorders>
              <w:top w:val="nil"/>
              <w:left w:val="nil"/>
              <w:bottom w:val="single" w:sz="4" w:space="0" w:color="auto"/>
              <w:right w:val="nil"/>
            </w:tcBorders>
            <w:shd w:val="clear" w:color="auto" w:fill="auto"/>
            <w:noWrap/>
            <w:vAlign w:val="center"/>
            <w:hideMark/>
          </w:tcPr>
          <w:p w14:paraId="677D8BD0"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706</w:t>
            </w:r>
          </w:p>
        </w:tc>
        <w:tc>
          <w:tcPr>
            <w:tcW w:w="1561" w:type="dxa"/>
            <w:tcBorders>
              <w:top w:val="nil"/>
              <w:left w:val="nil"/>
              <w:bottom w:val="single" w:sz="4" w:space="0" w:color="auto"/>
              <w:right w:val="nil"/>
            </w:tcBorders>
            <w:shd w:val="clear" w:color="auto" w:fill="auto"/>
            <w:noWrap/>
            <w:vAlign w:val="center"/>
            <w:hideMark/>
          </w:tcPr>
          <w:p w14:paraId="56699B67"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859" w:type="dxa"/>
            <w:tcBorders>
              <w:top w:val="nil"/>
              <w:left w:val="nil"/>
              <w:bottom w:val="single" w:sz="4" w:space="0" w:color="auto"/>
              <w:right w:val="nil"/>
            </w:tcBorders>
            <w:shd w:val="clear" w:color="auto" w:fill="auto"/>
            <w:noWrap/>
            <w:vAlign w:val="center"/>
            <w:hideMark/>
          </w:tcPr>
          <w:p w14:paraId="2C7BAD63"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131.49</w:t>
            </w:r>
          </w:p>
        </w:tc>
        <w:tc>
          <w:tcPr>
            <w:tcW w:w="1308" w:type="dxa"/>
            <w:tcBorders>
              <w:top w:val="nil"/>
              <w:left w:val="nil"/>
              <w:bottom w:val="single" w:sz="4" w:space="0" w:color="auto"/>
              <w:right w:val="nil"/>
            </w:tcBorders>
            <w:shd w:val="clear" w:color="auto" w:fill="auto"/>
            <w:noWrap/>
            <w:vAlign w:val="center"/>
            <w:hideMark/>
          </w:tcPr>
          <w:p w14:paraId="1FB7892E"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97</w:t>
            </w:r>
          </w:p>
        </w:tc>
        <w:tc>
          <w:tcPr>
            <w:tcW w:w="505" w:type="dxa"/>
            <w:tcBorders>
              <w:top w:val="nil"/>
              <w:left w:val="nil"/>
              <w:bottom w:val="single" w:sz="4" w:space="0" w:color="auto"/>
              <w:right w:val="nil"/>
            </w:tcBorders>
            <w:shd w:val="clear" w:color="auto" w:fill="auto"/>
            <w:noWrap/>
            <w:vAlign w:val="center"/>
            <w:hideMark/>
          </w:tcPr>
          <w:p w14:paraId="5F1677DC"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754" w:type="dxa"/>
            <w:tcBorders>
              <w:top w:val="nil"/>
              <w:left w:val="nil"/>
              <w:bottom w:val="single" w:sz="4" w:space="0" w:color="auto"/>
              <w:right w:val="nil"/>
            </w:tcBorders>
            <w:shd w:val="clear" w:color="auto" w:fill="auto"/>
            <w:noWrap/>
            <w:vAlign w:val="center"/>
            <w:hideMark/>
          </w:tcPr>
          <w:p w14:paraId="7C011E11"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3.35</w:t>
            </w:r>
          </w:p>
        </w:tc>
        <w:tc>
          <w:tcPr>
            <w:tcW w:w="964" w:type="dxa"/>
            <w:tcBorders>
              <w:top w:val="nil"/>
              <w:left w:val="nil"/>
              <w:bottom w:val="single" w:sz="4" w:space="0" w:color="auto"/>
              <w:right w:val="nil"/>
            </w:tcBorders>
            <w:shd w:val="clear" w:color="auto" w:fill="auto"/>
            <w:noWrap/>
            <w:vAlign w:val="center"/>
            <w:hideMark/>
          </w:tcPr>
          <w:p w14:paraId="51EB68A3"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w:t>
            </w:r>
          </w:p>
        </w:tc>
        <w:tc>
          <w:tcPr>
            <w:tcW w:w="791" w:type="dxa"/>
            <w:tcBorders>
              <w:top w:val="nil"/>
              <w:left w:val="nil"/>
              <w:bottom w:val="single" w:sz="4" w:space="0" w:color="auto"/>
              <w:right w:val="nil"/>
            </w:tcBorders>
            <w:shd w:val="clear" w:color="auto" w:fill="auto"/>
            <w:noWrap/>
            <w:vAlign w:val="center"/>
            <w:hideMark/>
          </w:tcPr>
          <w:p w14:paraId="4F1A15CC"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1603" w:type="dxa"/>
            <w:tcBorders>
              <w:top w:val="nil"/>
              <w:left w:val="nil"/>
              <w:bottom w:val="single" w:sz="4" w:space="0" w:color="auto"/>
              <w:right w:val="nil"/>
            </w:tcBorders>
            <w:shd w:val="clear" w:color="auto" w:fill="auto"/>
            <w:noWrap/>
            <w:vAlign w:val="center"/>
            <w:hideMark/>
          </w:tcPr>
          <w:p w14:paraId="36C3121F"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34.23</w:t>
            </w:r>
          </w:p>
        </w:tc>
        <w:tc>
          <w:tcPr>
            <w:tcW w:w="965" w:type="dxa"/>
            <w:tcBorders>
              <w:top w:val="nil"/>
              <w:left w:val="nil"/>
              <w:bottom w:val="single" w:sz="4" w:space="0" w:color="auto"/>
              <w:right w:val="nil"/>
            </w:tcBorders>
            <w:shd w:val="clear" w:color="auto" w:fill="auto"/>
            <w:noWrap/>
            <w:vAlign w:val="center"/>
            <w:hideMark/>
          </w:tcPr>
          <w:p w14:paraId="749AEF06"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36</w:t>
            </w:r>
          </w:p>
        </w:tc>
        <w:tc>
          <w:tcPr>
            <w:tcW w:w="1020" w:type="dxa"/>
            <w:gridSpan w:val="2"/>
            <w:tcBorders>
              <w:top w:val="nil"/>
              <w:left w:val="nil"/>
              <w:bottom w:val="single" w:sz="4" w:space="0" w:color="auto"/>
              <w:right w:val="nil"/>
            </w:tcBorders>
            <w:shd w:val="clear" w:color="auto" w:fill="auto"/>
            <w:noWrap/>
            <w:vAlign w:val="center"/>
            <w:hideMark/>
          </w:tcPr>
          <w:p w14:paraId="76D0A91F"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r>
      <w:tr w:rsidR="00330EA4" w:rsidRPr="001E019B" w14:paraId="393C94B7" w14:textId="77777777" w:rsidTr="00330EA4">
        <w:trPr>
          <w:gridAfter w:val="2"/>
          <w:wAfter w:w="48" w:type="dxa"/>
          <w:trHeight w:val="750"/>
        </w:trPr>
        <w:tc>
          <w:tcPr>
            <w:tcW w:w="14065" w:type="dxa"/>
            <w:gridSpan w:val="16"/>
            <w:tcBorders>
              <w:top w:val="single" w:sz="4" w:space="0" w:color="auto"/>
              <w:left w:val="nil"/>
              <w:bottom w:val="nil"/>
              <w:right w:val="nil"/>
            </w:tcBorders>
            <w:shd w:val="clear" w:color="auto" w:fill="auto"/>
            <w:noWrap/>
            <w:vAlign w:val="bottom"/>
            <w:hideMark/>
          </w:tcPr>
          <w:p w14:paraId="13C10AD6" w14:textId="13D06B80" w:rsidR="00330EA4" w:rsidRPr="001E019B" w:rsidRDefault="00330EA4" w:rsidP="001F0A41">
            <w:pPr>
              <w:rPr>
                <w:rFonts w:eastAsia="Times New Roman"/>
                <w:b/>
                <w:bCs/>
                <w:color w:val="000000"/>
                <w:sz w:val="22"/>
                <w:szCs w:val="22"/>
              </w:rPr>
            </w:pPr>
            <w:r>
              <w:rPr>
                <w:rFonts w:eastAsia="Times New Roman"/>
                <w:b/>
                <w:bCs/>
                <w:color w:val="000000"/>
                <w:sz w:val="22"/>
                <w:szCs w:val="22"/>
              </w:rPr>
              <w:t>Panel B</w:t>
            </w:r>
            <w:r w:rsidRPr="001E019B">
              <w:rPr>
                <w:rFonts w:eastAsia="Times New Roman"/>
                <w:b/>
                <w:bCs/>
                <w:color w:val="000000"/>
                <w:sz w:val="22"/>
                <w:szCs w:val="22"/>
              </w:rPr>
              <w:t>. Descriptive statistics of SEC attributes by job classification of reviewers</w:t>
            </w:r>
          </w:p>
        </w:tc>
      </w:tr>
      <w:tr w:rsidR="00330EA4" w:rsidRPr="001E019B" w14:paraId="6867DB88" w14:textId="77777777" w:rsidTr="00330EA4">
        <w:trPr>
          <w:gridAfter w:val="3"/>
          <w:wAfter w:w="319" w:type="dxa"/>
          <w:trHeight w:val="625"/>
        </w:trPr>
        <w:tc>
          <w:tcPr>
            <w:tcW w:w="2554" w:type="dxa"/>
            <w:gridSpan w:val="2"/>
            <w:tcBorders>
              <w:top w:val="nil"/>
              <w:left w:val="nil"/>
              <w:bottom w:val="single" w:sz="4" w:space="0" w:color="auto"/>
              <w:right w:val="nil"/>
            </w:tcBorders>
            <w:shd w:val="clear" w:color="auto" w:fill="auto"/>
            <w:vAlign w:val="bottom"/>
            <w:hideMark/>
          </w:tcPr>
          <w:p w14:paraId="64221269" w14:textId="77777777" w:rsidR="00330EA4" w:rsidRPr="001E019B" w:rsidRDefault="00330EA4" w:rsidP="001F0A41">
            <w:pPr>
              <w:rPr>
                <w:rFonts w:eastAsia="Times New Roman"/>
                <w:b/>
                <w:bCs/>
                <w:color w:val="000000"/>
                <w:sz w:val="22"/>
                <w:szCs w:val="22"/>
              </w:rPr>
            </w:pPr>
            <w:r w:rsidRPr="001E019B">
              <w:rPr>
                <w:rFonts w:eastAsia="Times New Roman"/>
                <w:b/>
                <w:bCs/>
                <w:color w:val="000000"/>
                <w:sz w:val="22"/>
                <w:szCs w:val="22"/>
              </w:rPr>
              <w:t>Job classification</w:t>
            </w:r>
          </w:p>
        </w:tc>
        <w:tc>
          <w:tcPr>
            <w:tcW w:w="364" w:type="dxa"/>
            <w:tcBorders>
              <w:top w:val="nil"/>
              <w:left w:val="nil"/>
              <w:bottom w:val="nil"/>
              <w:right w:val="nil"/>
            </w:tcBorders>
            <w:shd w:val="clear" w:color="auto" w:fill="auto"/>
            <w:vAlign w:val="bottom"/>
            <w:hideMark/>
          </w:tcPr>
          <w:p w14:paraId="0A292F7F" w14:textId="77777777" w:rsidR="00330EA4" w:rsidRPr="001E019B" w:rsidRDefault="00330EA4" w:rsidP="001F0A41">
            <w:pPr>
              <w:rPr>
                <w:rFonts w:eastAsia="Times New Roman"/>
                <w:b/>
                <w:bCs/>
                <w:color w:val="000000"/>
                <w:sz w:val="22"/>
                <w:szCs w:val="22"/>
              </w:rPr>
            </w:pPr>
          </w:p>
        </w:tc>
        <w:tc>
          <w:tcPr>
            <w:tcW w:w="546" w:type="dxa"/>
            <w:tcBorders>
              <w:top w:val="nil"/>
              <w:left w:val="nil"/>
              <w:bottom w:val="single" w:sz="4" w:space="0" w:color="auto"/>
              <w:right w:val="nil"/>
            </w:tcBorders>
            <w:shd w:val="clear" w:color="auto" w:fill="auto"/>
            <w:vAlign w:val="bottom"/>
            <w:hideMark/>
          </w:tcPr>
          <w:p w14:paraId="690FDD72"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N</w:t>
            </w:r>
          </w:p>
        </w:tc>
        <w:tc>
          <w:tcPr>
            <w:tcW w:w="1561" w:type="dxa"/>
            <w:tcBorders>
              <w:top w:val="nil"/>
              <w:left w:val="nil"/>
              <w:bottom w:val="nil"/>
              <w:right w:val="nil"/>
            </w:tcBorders>
            <w:shd w:val="clear" w:color="auto" w:fill="auto"/>
            <w:vAlign w:val="bottom"/>
            <w:hideMark/>
          </w:tcPr>
          <w:p w14:paraId="20AF551A" w14:textId="77777777" w:rsidR="00330EA4" w:rsidRPr="001E019B" w:rsidRDefault="00330EA4" w:rsidP="001F0A41">
            <w:pPr>
              <w:jc w:val="center"/>
              <w:rPr>
                <w:rFonts w:eastAsia="Times New Roman"/>
                <w:b/>
                <w:bCs/>
                <w:color w:val="000000"/>
                <w:sz w:val="22"/>
                <w:szCs w:val="22"/>
              </w:rPr>
            </w:pPr>
          </w:p>
        </w:tc>
        <w:tc>
          <w:tcPr>
            <w:tcW w:w="2167" w:type="dxa"/>
            <w:gridSpan w:val="2"/>
            <w:tcBorders>
              <w:top w:val="nil"/>
              <w:left w:val="nil"/>
              <w:bottom w:val="single" w:sz="4" w:space="0" w:color="auto"/>
              <w:right w:val="nil"/>
            </w:tcBorders>
            <w:shd w:val="clear" w:color="auto" w:fill="auto"/>
            <w:vAlign w:val="bottom"/>
            <w:hideMark/>
          </w:tcPr>
          <w:p w14:paraId="01609580"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Duration</w:t>
            </w:r>
          </w:p>
        </w:tc>
        <w:tc>
          <w:tcPr>
            <w:tcW w:w="505" w:type="dxa"/>
            <w:tcBorders>
              <w:top w:val="nil"/>
              <w:left w:val="nil"/>
              <w:bottom w:val="nil"/>
              <w:right w:val="nil"/>
            </w:tcBorders>
            <w:shd w:val="clear" w:color="auto" w:fill="auto"/>
            <w:vAlign w:val="bottom"/>
            <w:hideMark/>
          </w:tcPr>
          <w:p w14:paraId="7153F4D0" w14:textId="77777777" w:rsidR="00330EA4" w:rsidRPr="001E019B" w:rsidRDefault="00330EA4" w:rsidP="001F0A41">
            <w:pPr>
              <w:jc w:val="center"/>
              <w:rPr>
                <w:rFonts w:eastAsia="Times New Roman"/>
                <w:b/>
                <w:bCs/>
                <w:color w:val="000000"/>
                <w:sz w:val="22"/>
                <w:szCs w:val="22"/>
              </w:rPr>
            </w:pPr>
          </w:p>
        </w:tc>
        <w:tc>
          <w:tcPr>
            <w:tcW w:w="1718" w:type="dxa"/>
            <w:gridSpan w:val="2"/>
            <w:tcBorders>
              <w:top w:val="nil"/>
              <w:left w:val="nil"/>
              <w:bottom w:val="single" w:sz="4" w:space="0" w:color="auto"/>
              <w:right w:val="nil"/>
            </w:tcBorders>
            <w:shd w:val="clear" w:color="auto" w:fill="auto"/>
            <w:vAlign w:val="bottom"/>
            <w:hideMark/>
          </w:tcPr>
          <w:p w14:paraId="3CE3BAF0" w14:textId="358BBF5B" w:rsidR="00330EA4" w:rsidRPr="001E019B" w:rsidRDefault="00330EA4" w:rsidP="001F0A41">
            <w:pPr>
              <w:jc w:val="center"/>
              <w:rPr>
                <w:rFonts w:eastAsia="Times New Roman"/>
                <w:b/>
                <w:bCs/>
                <w:color w:val="000000"/>
                <w:sz w:val="22"/>
                <w:szCs w:val="22"/>
              </w:rPr>
            </w:pPr>
            <w:r>
              <w:rPr>
                <w:rFonts w:eastAsia="Times New Roman"/>
                <w:b/>
                <w:bCs/>
                <w:color w:val="000000"/>
                <w:sz w:val="22"/>
                <w:szCs w:val="22"/>
              </w:rPr>
              <w:t>Letters</w:t>
            </w:r>
          </w:p>
        </w:tc>
        <w:tc>
          <w:tcPr>
            <w:tcW w:w="791" w:type="dxa"/>
            <w:tcBorders>
              <w:top w:val="nil"/>
              <w:left w:val="nil"/>
              <w:bottom w:val="nil"/>
              <w:right w:val="nil"/>
            </w:tcBorders>
            <w:shd w:val="clear" w:color="auto" w:fill="auto"/>
            <w:vAlign w:val="bottom"/>
            <w:hideMark/>
          </w:tcPr>
          <w:p w14:paraId="07875372" w14:textId="77777777" w:rsidR="00330EA4" w:rsidRPr="001E019B" w:rsidRDefault="00330EA4" w:rsidP="001F0A41">
            <w:pPr>
              <w:jc w:val="center"/>
              <w:rPr>
                <w:rFonts w:eastAsia="Times New Roman"/>
                <w:b/>
                <w:bCs/>
                <w:color w:val="000000"/>
                <w:sz w:val="22"/>
                <w:szCs w:val="22"/>
              </w:rPr>
            </w:pPr>
          </w:p>
        </w:tc>
        <w:tc>
          <w:tcPr>
            <w:tcW w:w="2575" w:type="dxa"/>
            <w:gridSpan w:val="3"/>
            <w:tcBorders>
              <w:top w:val="nil"/>
              <w:left w:val="nil"/>
              <w:bottom w:val="single" w:sz="4" w:space="0" w:color="auto"/>
              <w:right w:val="nil"/>
            </w:tcBorders>
            <w:shd w:val="clear" w:color="auto" w:fill="auto"/>
            <w:vAlign w:val="bottom"/>
            <w:hideMark/>
          </w:tcPr>
          <w:p w14:paraId="6D98F01D" w14:textId="55C8124A" w:rsidR="00330EA4" w:rsidRPr="001E019B" w:rsidRDefault="00330EA4" w:rsidP="001F0A41">
            <w:pPr>
              <w:jc w:val="center"/>
              <w:rPr>
                <w:rFonts w:eastAsia="Times New Roman"/>
                <w:b/>
                <w:bCs/>
                <w:color w:val="000000"/>
                <w:sz w:val="22"/>
                <w:szCs w:val="22"/>
              </w:rPr>
            </w:pPr>
            <w:r>
              <w:rPr>
                <w:rFonts w:eastAsia="Times New Roman"/>
                <w:b/>
                <w:bCs/>
                <w:color w:val="000000"/>
                <w:sz w:val="22"/>
                <w:szCs w:val="22"/>
              </w:rPr>
              <w:t>Comments</w:t>
            </w:r>
          </w:p>
        </w:tc>
        <w:tc>
          <w:tcPr>
            <w:tcW w:w="1013" w:type="dxa"/>
            <w:tcBorders>
              <w:top w:val="nil"/>
              <w:left w:val="nil"/>
              <w:bottom w:val="nil"/>
              <w:right w:val="nil"/>
            </w:tcBorders>
            <w:shd w:val="clear" w:color="auto" w:fill="auto"/>
            <w:noWrap/>
            <w:vAlign w:val="bottom"/>
            <w:hideMark/>
          </w:tcPr>
          <w:p w14:paraId="1F406F1D" w14:textId="77777777" w:rsidR="00330EA4" w:rsidRPr="001E019B" w:rsidRDefault="00330EA4" w:rsidP="001F0A41">
            <w:pPr>
              <w:jc w:val="center"/>
              <w:rPr>
                <w:rFonts w:eastAsia="Times New Roman"/>
                <w:b/>
                <w:bCs/>
                <w:color w:val="000000"/>
                <w:sz w:val="22"/>
                <w:szCs w:val="22"/>
              </w:rPr>
            </w:pPr>
          </w:p>
        </w:tc>
      </w:tr>
      <w:tr w:rsidR="00330EA4" w:rsidRPr="001E019B" w14:paraId="29C93500" w14:textId="77777777" w:rsidTr="00330EA4">
        <w:trPr>
          <w:gridAfter w:val="3"/>
          <w:wAfter w:w="319" w:type="dxa"/>
          <w:trHeight w:val="300"/>
        </w:trPr>
        <w:tc>
          <w:tcPr>
            <w:tcW w:w="2282" w:type="dxa"/>
            <w:tcBorders>
              <w:top w:val="nil"/>
              <w:left w:val="nil"/>
              <w:bottom w:val="nil"/>
              <w:right w:val="nil"/>
            </w:tcBorders>
            <w:shd w:val="clear" w:color="auto" w:fill="auto"/>
            <w:vAlign w:val="bottom"/>
            <w:hideMark/>
          </w:tcPr>
          <w:p w14:paraId="735DD3D5" w14:textId="77777777" w:rsidR="00330EA4" w:rsidRPr="001E019B" w:rsidRDefault="00330EA4" w:rsidP="001F0A41">
            <w:pPr>
              <w:jc w:val="center"/>
              <w:rPr>
                <w:rFonts w:eastAsia="Times New Roman"/>
                <w:b/>
                <w:bCs/>
                <w:color w:val="000000"/>
                <w:sz w:val="22"/>
                <w:szCs w:val="22"/>
              </w:rPr>
            </w:pPr>
          </w:p>
        </w:tc>
        <w:tc>
          <w:tcPr>
            <w:tcW w:w="272" w:type="dxa"/>
            <w:tcBorders>
              <w:top w:val="nil"/>
              <w:left w:val="nil"/>
              <w:bottom w:val="nil"/>
              <w:right w:val="nil"/>
            </w:tcBorders>
            <w:shd w:val="clear" w:color="auto" w:fill="auto"/>
            <w:vAlign w:val="bottom"/>
            <w:hideMark/>
          </w:tcPr>
          <w:p w14:paraId="71949401" w14:textId="77777777" w:rsidR="00330EA4" w:rsidRPr="001E019B" w:rsidRDefault="00330EA4" w:rsidP="001F0A41">
            <w:pPr>
              <w:jc w:val="center"/>
              <w:rPr>
                <w:rFonts w:eastAsia="Times New Roman"/>
                <w:sz w:val="20"/>
                <w:szCs w:val="20"/>
              </w:rPr>
            </w:pPr>
          </w:p>
        </w:tc>
        <w:tc>
          <w:tcPr>
            <w:tcW w:w="364" w:type="dxa"/>
            <w:tcBorders>
              <w:top w:val="nil"/>
              <w:left w:val="nil"/>
              <w:bottom w:val="nil"/>
              <w:right w:val="nil"/>
            </w:tcBorders>
            <w:shd w:val="clear" w:color="auto" w:fill="auto"/>
            <w:vAlign w:val="bottom"/>
            <w:hideMark/>
          </w:tcPr>
          <w:p w14:paraId="6BFECD7E" w14:textId="77777777" w:rsidR="00330EA4" w:rsidRPr="001E019B" w:rsidRDefault="00330EA4" w:rsidP="001F0A41">
            <w:pPr>
              <w:jc w:val="center"/>
              <w:rPr>
                <w:rFonts w:eastAsia="Times New Roman"/>
                <w:sz w:val="20"/>
                <w:szCs w:val="20"/>
              </w:rPr>
            </w:pPr>
          </w:p>
        </w:tc>
        <w:tc>
          <w:tcPr>
            <w:tcW w:w="546" w:type="dxa"/>
            <w:tcBorders>
              <w:top w:val="nil"/>
              <w:left w:val="nil"/>
              <w:bottom w:val="nil"/>
              <w:right w:val="nil"/>
            </w:tcBorders>
            <w:shd w:val="clear" w:color="auto" w:fill="auto"/>
            <w:vAlign w:val="bottom"/>
            <w:hideMark/>
          </w:tcPr>
          <w:p w14:paraId="291E409A" w14:textId="77777777" w:rsidR="00330EA4" w:rsidRPr="001E019B" w:rsidRDefault="00330EA4" w:rsidP="001F0A41">
            <w:pPr>
              <w:jc w:val="center"/>
              <w:rPr>
                <w:rFonts w:eastAsia="Times New Roman"/>
                <w:sz w:val="20"/>
                <w:szCs w:val="20"/>
              </w:rPr>
            </w:pPr>
          </w:p>
        </w:tc>
        <w:tc>
          <w:tcPr>
            <w:tcW w:w="1561" w:type="dxa"/>
            <w:tcBorders>
              <w:top w:val="nil"/>
              <w:left w:val="nil"/>
              <w:bottom w:val="nil"/>
              <w:right w:val="nil"/>
            </w:tcBorders>
            <w:shd w:val="clear" w:color="auto" w:fill="auto"/>
            <w:vAlign w:val="bottom"/>
            <w:hideMark/>
          </w:tcPr>
          <w:p w14:paraId="08A12818" w14:textId="77777777" w:rsidR="00330EA4" w:rsidRPr="001E019B" w:rsidRDefault="00330EA4" w:rsidP="001F0A41">
            <w:pPr>
              <w:jc w:val="center"/>
              <w:rPr>
                <w:rFonts w:eastAsia="Times New Roman"/>
                <w:sz w:val="20"/>
                <w:szCs w:val="20"/>
              </w:rPr>
            </w:pPr>
          </w:p>
        </w:tc>
        <w:tc>
          <w:tcPr>
            <w:tcW w:w="859" w:type="dxa"/>
            <w:tcBorders>
              <w:top w:val="nil"/>
              <w:left w:val="nil"/>
              <w:bottom w:val="single" w:sz="4" w:space="0" w:color="auto"/>
              <w:right w:val="nil"/>
            </w:tcBorders>
            <w:shd w:val="clear" w:color="auto" w:fill="auto"/>
            <w:vAlign w:val="bottom"/>
            <w:hideMark/>
          </w:tcPr>
          <w:p w14:paraId="298BD386"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Mean</w:t>
            </w:r>
          </w:p>
        </w:tc>
        <w:tc>
          <w:tcPr>
            <w:tcW w:w="1308" w:type="dxa"/>
            <w:tcBorders>
              <w:top w:val="nil"/>
              <w:left w:val="nil"/>
              <w:bottom w:val="single" w:sz="4" w:space="0" w:color="auto"/>
              <w:right w:val="nil"/>
            </w:tcBorders>
            <w:shd w:val="clear" w:color="auto" w:fill="auto"/>
            <w:vAlign w:val="bottom"/>
            <w:hideMark/>
          </w:tcPr>
          <w:p w14:paraId="743E74FF"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Median</w:t>
            </w:r>
          </w:p>
        </w:tc>
        <w:tc>
          <w:tcPr>
            <w:tcW w:w="505" w:type="dxa"/>
            <w:tcBorders>
              <w:top w:val="nil"/>
              <w:left w:val="nil"/>
              <w:bottom w:val="nil"/>
              <w:right w:val="nil"/>
            </w:tcBorders>
            <w:shd w:val="clear" w:color="auto" w:fill="auto"/>
            <w:vAlign w:val="bottom"/>
            <w:hideMark/>
          </w:tcPr>
          <w:p w14:paraId="1B1B591E" w14:textId="77777777" w:rsidR="00330EA4" w:rsidRPr="001E019B" w:rsidRDefault="00330EA4" w:rsidP="001F0A41">
            <w:pPr>
              <w:jc w:val="center"/>
              <w:rPr>
                <w:rFonts w:eastAsia="Times New Roman"/>
                <w:b/>
                <w:bCs/>
                <w:color w:val="000000"/>
                <w:sz w:val="22"/>
                <w:szCs w:val="22"/>
              </w:rPr>
            </w:pPr>
          </w:p>
        </w:tc>
        <w:tc>
          <w:tcPr>
            <w:tcW w:w="754" w:type="dxa"/>
            <w:tcBorders>
              <w:top w:val="nil"/>
              <w:left w:val="nil"/>
              <w:bottom w:val="single" w:sz="4" w:space="0" w:color="auto"/>
              <w:right w:val="nil"/>
            </w:tcBorders>
            <w:shd w:val="clear" w:color="auto" w:fill="auto"/>
            <w:vAlign w:val="bottom"/>
            <w:hideMark/>
          </w:tcPr>
          <w:p w14:paraId="03369EC1"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Mean</w:t>
            </w:r>
          </w:p>
        </w:tc>
        <w:tc>
          <w:tcPr>
            <w:tcW w:w="964" w:type="dxa"/>
            <w:tcBorders>
              <w:top w:val="nil"/>
              <w:left w:val="nil"/>
              <w:bottom w:val="single" w:sz="4" w:space="0" w:color="auto"/>
              <w:right w:val="nil"/>
            </w:tcBorders>
            <w:shd w:val="clear" w:color="auto" w:fill="auto"/>
            <w:vAlign w:val="bottom"/>
            <w:hideMark/>
          </w:tcPr>
          <w:p w14:paraId="61751732"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Median</w:t>
            </w:r>
          </w:p>
        </w:tc>
        <w:tc>
          <w:tcPr>
            <w:tcW w:w="791" w:type="dxa"/>
            <w:tcBorders>
              <w:top w:val="nil"/>
              <w:left w:val="nil"/>
              <w:bottom w:val="nil"/>
              <w:right w:val="nil"/>
            </w:tcBorders>
            <w:shd w:val="clear" w:color="auto" w:fill="auto"/>
            <w:vAlign w:val="bottom"/>
            <w:hideMark/>
          </w:tcPr>
          <w:p w14:paraId="6407C523" w14:textId="77777777" w:rsidR="00330EA4" w:rsidRPr="001E019B" w:rsidRDefault="00330EA4" w:rsidP="001F0A41">
            <w:pPr>
              <w:jc w:val="center"/>
              <w:rPr>
                <w:rFonts w:eastAsia="Times New Roman"/>
                <w:b/>
                <w:bCs/>
                <w:color w:val="000000"/>
                <w:sz w:val="22"/>
                <w:szCs w:val="22"/>
              </w:rPr>
            </w:pPr>
          </w:p>
        </w:tc>
        <w:tc>
          <w:tcPr>
            <w:tcW w:w="1603" w:type="dxa"/>
            <w:tcBorders>
              <w:top w:val="nil"/>
              <w:left w:val="nil"/>
              <w:bottom w:val="single" w:sz="4" w:space="0" w:color="auto"/>
              <w:right w:val="nil"/>
            </w:tcBorders>
            <w:shd w:val="clear" w:color="auto" w:fill="auto"/>
            <w:vAlign w:val="bottom"/>
            <w:hideMark/>
          </w:tcPr>
          <w:p w14:paraId="1922B6BE"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Mean</w:t>
            </w:r>
          </w:p>
        </w:tc>
        <w:tc>
          <w:tcPr>
            <w:tcW w:w="965" w:type="dxa"/>
            <w:tcBorders>
              <w:top w:val="nil"/>
              <w:left w:val="nil"/>
              <w:bottom w:val="single" w:sz="4" w:space="0" w:color="auto"/>
              <w:right w:val="nil"/>
            </w:tcBorders>
            <w:shd w:val="clear" w:color="auto" w:fill="auto"/>
            <w:vAlign w:val="bottom"/>
            <w:hideMark/>
          </w:tcPr>
          <w:p w14:paraId="63C9677F" w14:textId="77777777" w:rsidR="00330EA4" w:rsidRPr="001E019B" w:rsidRDefault="00330EA4" w:rsidP="001F0A41">
            <w:pPr>
              <w:jc w:val="center"/>
              <w:rPr>
                <w:rFonts w:eastAsia="Times New Roman"/>
                <w:b/>
                <w:bCs/>
                <w:color w:val="000000"/>
                <w:sz w:val="22"/>
                <w:szCs w:val="22"/>
              </w:rPr>
            </w:pPr>
            <w:r w:rsidRPr="001E019B">
              <w:rPr>
                <w:rFonts w:eastAsia="Times New Roman"/>
                <w:b/>
                <w:bCs/>
                <w:color w:val="000000"/>
                <w:sz w:val="22"/>
                <w:szCs w:val="22"/>
              </w:rPr>
              <w:t>Median</w:t>
            </w:r>
          </w:p>
        </w:tc>
        <w:tc>
          <w:tcPr>
            <w:tcW w:w="1020" w:type="dxa"/>
            <w:gridSpan w:val="2"/>
            <w:tcBorders>
              <w:top w:val="nil"/>
              <w:left w:val="nil"/>
              <w:bottom w:val="nil"/>
              <w:right w:val="nil"/>
            </w:tcBorders>
            <w:shd w:val="clear" w:color="auto" w:fill="auto"/>
            <w:noWrap/>
            <w:vAlign w:val="bottom"/>
            <w:hideMark/>
          </w:tcPr>
          <w:p w14:paraId="4094501F" w14:textId="77777777" w:rsidR="00330EA4" w:rsidRPr="001E019B" w:rsidRDefault="00330EA4" w:rsidP="001F0A41">
            <w:pPr>
              <w:jc w:val="center"/>
              <w:rPr>
                <w:rFonts w:eastAsia="Times New Roman"/>
                <w:b/>
                <w:bCs/>
                <w:color w:val="000000"/>
                <w:sz w:val="22"/>
                <w:szCs w:val="22"/>
              </w:rPr>
            </w:pPr>
          </w:p>
        </w:tc>
      </w:tr>
      <w:tr w:rsidR="00330EA4" w:rsidRPr="001E019B" w14:paraId="01D6CF55" w14:textId="77777777" w:rsidTr="00330EA4">
        <w:trPr>
          <w:gridAfter w:val="3"/>
          <w:wAfter w:w="319" w:type="dxa"/>
          <w:trHeight w:val="300"/>
        </w:trPr>
        <w:tc>
          <w:tcPr>
            <w:tcW w:w="2554" w:type="dxa"/>
            <w:gridSpan w:val="2"/>
            <w:tcBorders>
              <w:top w:val="nil"/>
              <w:left w:val="nil"/>
              <w:bottom w:val="nil"/>
              <w:right w:val="nil"/>
            </w:tcBorders>
            <w:shd w:val="clear" w:color="auto" w:fill="auto"/>
            <w:vAlign w:val="center"/>
            <w:hideMark/>
          </w:tcPr>
          <w:p w14:paraId="204F2FD1" w14:textId="7C563DCA" w:rsidR="00330EA4" w:rsidRPr="001E019B" w:rsidRDefault="00330EA4" w:rsidP="001F0A41">
            <w:pPr>
              <w:rPr>
                <w:rFonts w:eastAsia="Times New Roman"/>
                <w:color w:val="000000"/>
                <w:sz w:val="22"/>
                <w:szCs w:val="22"/>
              </w:rPr>
            </w:pPr>
            <w:r>
              <w:rPr>
                <w:rFonts w:eastAsia="Times New Roman"/>
                <w:color w:val="000000"/>
                <w:sz w:val="22"/>
                <w:szCs w:val="22"/>
              </w:rPr>
              <w:t>Accountant = 0</w:t>
            </w:r>
          </w:p>
        </w:tc>
        <w:tc>
          <w:tcPr>
            <w:tcW w:w="364" w:type="dxa"/>
            <w:tcBorders>
              <w:top w:val="nil"/>
              <w:left w:val="nil"/>
              <w:bottom w:val="nil"/>
              <w:right w:val="nil"/>
            </w:tcBorders>
            <w:shd w:val="clear" w:color="auto" w:fill="auto"/>
            <w:vAlign w:val="bottom"/>
            <w:hideMark/>
          </w:tcPr>
          <w:p w14:paraId="18EA2F55" w14:textId="77777777" w:rsidR="00330EA4" w:rsidRPr="001E019B" w:rsidRDefault="00330EA4" w:rsidP="001F0A41">
            <w:pPr>
              <w:rPr>
                <w:rFonts w:eastAsia="Times New Roman"/>
                <w:color w:val="000000"/>
                <w:sz w:val="22"/>
                <w:szCs w:val="22"/>
              </w:rPr>
            </w:pPr>
          </w:p>
        </w:tc>
        <w:tc>
          <w:tcPr>
            <w:tcW w:w="546" w:type="dxa"/>
            <w:tcBorders>
              <w:top w:val="nil"/>
              <w:left w:val="nil"/>
              <w:bottom w:val="nil"/>
              <w:right w:val="nil"/>
            </w:tcBorders>
            <w:shd w:val="clear" w:color="auto" w:fill="auto"/>
            <w:vAlign w:val="center"/>
            <w:hideMark/>
          </w:tcPr>
          <w:p w14:paraId="6B269184"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487</w:t>
            </w:r>
          </w:p>
        </w:tc>
        <w:tc>
          <w:tcPr>
            <w:tcW w:w="1561" w:type="dxa"/>
            <w:tcBorders>
              <w:top w:val="nil"/>
              <w:left w:val="nil"/>
              <w:bottom w:val="nil"/>
              <w:right w:val="nil"/>
            </w:tcBorders>
            <w:shd w:val="clear" w:color="auto" w:fill="auto"/>
            <w:vAlign w:val="center"/>
            <w:hideMark/>
          </w:tcPr>
          <w:p w14:paraId="41A9534A" w14:textId="77777777" w:rsidR="00330EA4" w:rsidRPr="001E019B" w:rsidRDefault="00330EA4" w:rsidP="001F0A41">
            <w:pPr>
              <w:jc w:val="center"/>
              <w:rPr>
                <w:rFonts w:eastAsia="Times New Roman"/>
                <w:color w:val="000000"/>
                <w:sz w:val="22"/>
                <w:szCs w:val="22"/>
              </w:rPr>
            </w:pPr>
          </w:p>
        </w:tc>
        <w:tc>
          <w:tcPr>
            <w:tcW w:w="859" w:type="dxa"/>
            <w:tcBorders>
              <w:top w:val="nil"/>
              <w:left w:val="nil"/>
              <w:bottom w:val="nil"/>
              <w:right w:val="nil"/>
            </w:tcBorders>
            <w:shd w:val="clear" w:color="auto" w:fill="auto"/>
            <w:vAlign w:val="center"/>
            <w:hideMark/>
          </w:tcPr>
          <w:p w14:paraId="17ED0BBC"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129.7</w:t>
            </w:r>
          </w:p>
        </w:tc>
        <w:tc>
          <w:tcPr>
            <w:tcW w:w="1308" w:type="dxa"/>
            <w:tcBorders>
              <w:top w:val="nil"/>
              <w:left w:val="nil"/>
              <w:bottom w:val="nil"/>
              <w:right w:val="nil"/>
            </w:tcBorders>
            <w:shd w:val="clear" w:color="auto" w:fill="auto"/>
            <w:vAlign w:val="center"/>
            <w:hideMark/>
          </w:tcPr>
          <w:p w14:paraId="7BE7FA91"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97</w:t>
            </w:r>
          </w:p>
        </w:tc>
        <w:tc>
          <w:tcPr>
            <w:tcW w:w="505" w:type="dxa"/>
            <w:tcBorders>
              <w:top w:val="nil"/>
              <w:left w:val="nil"/>
              <w:bottom w:val="nil"/>
              <w:right w:val="nil"/>
            </w:tcBorders>
            <w:shd w:val="clear" w:color="auto" w:fill="auto"/>
            <w:vAlign w:val="center"/>
            <w:hideMark/>
          </w:tcPr>
          <w:p w14:paraId="0D8493A0" w14:textId="77777777" w:rsidR="00330EA4" w:rsidRPr="001E019B" w:rsidRDefault="00330EA4" w:rsidP="001F0A41">
            <w:pPr>
              <w:jc w:val="center"/>
              <w:rPr>
                <w:rFonts w:eastAsia="Times New Roman"/>
                <w:color w:val="000000"/>
                <w:sz w:val="22"/>
                <w:szCs w:val="22"/>
              </w:rPr>
            </w:pPr>
          </w:p>
        </w:tc>
        <w:tc>
          <w:tcPr>
            <w:tcW w:w="754" w:type="dxa"/>
            <w:tcBorders>
              <w:top w:val="nil"/>
              <w:left w:val="nil"/>
              <w:bottom w:val="nil"/>
              <w:right w:val="nil"/>
            </w:tcBorders>
            <w:shd w:val="clear" w:color="auto" w:fill="auto"/>
            <w:vAlign w:val="center"/>
            <w:hideMark/>
          </w:tcPr>
          <w:p w14:paraId="322019D9"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3.44</w:t>
            </w:r>
          </w:p>
        </w:tc>
        <w:tc>
          <w:tcPr>
            <w:tcW w:w="964" w:type="dxa"/>
            <w:tcBorders>
              <w:top w:val="nil"/>
              <w:left w:val="nil"/>
              <w:bottom w:val="nil"/>
              <w:right w:val="nil"/>
            </w:tcBorders>
            <w:shd w:val="clear" w:color="auto" w:fill="auto"/>
            <w:vAlign w:val="center"/>
            <w:hideMark/>
          </w:tcPr>
          <w:p w14:paraId="148C6091"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w:t>
            </w:r>
          </w:p>
        </w:tc>
        <w:tc>
          <w:tcPr>
            <w:tcW w:w="791" w:type="dxa"/>
            <w:tcBorders>
              <w:top w:val="nil"/>
              <w:left w:val="nil"/>
              <w:bottom w:val="nil"/>
              <w:right w:val="nil"/>
            </w:tcBorders>
            <w:shd w:val="clear" w:color="auto" w:fill="auto"/>
            <w:vAlign w:val="center"/>
            <w:hideMark/>
          </w:tcPr>
          <w:p w14:paraId="68616022" w14:textId="77777777" w:rsidR="00330EA4" w:rsidRPr="001E019B" w:rsidRDefault="00330EA4" w:rsidP="001F0A41">
            <w:pPr>
              <w:jc w:val="center"/>
              <w:rPr>
                <w:rFonts w:eastAsia="Times New Roman"/>
                <w:color w:val="000000"/>
                <w:sz w:val="22"/>
                <w:szCs w:val="22"/>
              </w:rPr>
            </w:pPr>
          </w:p>
        </w:tc>
        <w:tc>
          <w:tcPr>
            <w:tcW w:w="1603" w:type="dxa"/>
            <w:tcBorders>
              <w:top w:val="nil"/>
              <w:left w:val="nil"/>
              <w:bottom w:val="nil"/>
              <w:right w:val="nil"/>
            </w:tcBorders>
            <w:shd w:val="clear" w:color="auto" w:fill="auto"/>
            <w:vAlign w:val="center"/>
            <w:hideMark/>
          </w:tcPr>
          <w:p w14:paraId="7AB1E0CC"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35.74</w:t>
            </w:r>
          </w:p>
        </w:tc>
        <w:tc>
          <w:tcPr>
            <w:tcW w:w="965" w:type="dxa"/>
            <w:tcBorders>
              <w:top w:val="nil"/>
              <w:left w:val="nil"/>
              <w:bottom w:val="nil"/>
              <w:right w:val="nil"/>
            </w:tcBorders>
            <w:shd w:val="clear" w:color="auto" w:fill="auto"/>
            <w:vAlign w:val="center"/>
            <w:hideMark/>
          </w:tcPr>
          <w:p w14:paraId="1509FA42"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37</w:t>
            </w:r>
          </w:p>
        </w:tc>
        <w:tc>
          <w:tcPr>
            <w:tcW w:w="1020" w:type="dxa"/>
            <w:gridSpan w:val="2"/>
            <w:tcBorders>
              <w:top w:val="nil"/>
              <w:left w:val="nil"/>
              <w:bottom w:val="nil"/>
              <w:right w:val="nil"/>
            </w:tcBorders>
            <w:shd w:val="clear" w:color="auto" w:fill="auto"/>
            <w:noWrap/>
            <w:vAlign w:val="bottom"/>
            <w:hideMark/>
          </w:tcPr>
          <w:p w14:paraId="3AD26B1A" w14:textId="77777777" w:rsidR="00330EA4" w:rsidRPr="001E019B" w:rsidRDefault="00330EA4" w:rsidP="001F0A41">
            <w:pPr>
              <w:jc w:val="center"/>
              <w:rPr>
                <w:rFonts w:eastAsia="Times New Roman"/>
                <w:color w:val="000000"/>
                <w:sz w:val="22"/>
                <w:szCs w:val="22"/>
              </w:rPr>
            </w:pPr>
          </w:p>
        </w:tc>
      </w:tr>
      <w:tr w:rsidR="00330EA4" w:rsidRPr="001E019B" w14:paraId="039FC369" w14:textId="77777777" w:rsidTr="00330EA4">
        <w:trPr>
          <w:gridAfter w:val="3"/>
          <w:wAfter w:w="319" w:type="dxa"/>
          <w:trHeight w:val="300"/>
        </w:trPr>
        <w:tc>
          <w:tcPr>
            <w:tcW w:w="2554" w:type="dxa"/>
            <w:gridSpan w:val="2"/>
            <w:tcBorders>
              <w:top w:val="nil"/>
              <w:left w:val="nil"/>
              <w:bottom w:val="nil"/>
              <w:right w:val="nil"/>
            </w:tcBorders>
            <w:shd w:val="clear" w:color="auto" w:fill="auto"/>
            <w:vAlign w:val="center"/>
            <w:hideMark/>
          </w:tcPr>
          <w:p w14:paraId="46FAA661" w14:textId="77777777" w:rsidR="00330EA4" w:rsidRPr="001E019B" w:rsidRDefault="00330EA4" w:rsidP="00C962E4">
            <w:pPr>
              <w:rPr>
                <w:rFonts w:eastAsia="Times New Roman"/>
                <w:color w:val="000000"/>
                <w:sz w:val="22"/>
                <w:szCs w:val="22"/>
              </w:rPr>
            </w:pPr>
            <w:r w:rsidRPr="001E019B">
              <w:rPr>
                <w:rFonts w:eastAsia="Times New Roman"/>
                <w:color w:val="000000"/>
                <w:sz w:val="22"/>
                <w:szCs w:val="22"/>
              </w:rPr>
              <w:t>Accountant</w:t>
            </w:r>
            <w:r>
              <w:rPr>
                <w:rFonts w:eastAsia="Times New Roman"/>
                <w:color w:val="000000"/>
                <w:sz w:val="22"/>
                <w:szCs w:val="22"/>
              </w:rPr>
              <w:t xml:space="preserve"> = 1</w:t>
            </w:r>
          </w:p>
        </w:tc>
        <w:tc>
          <w:tcPr>
            <w:tcW w:w="364" w:type="dxa"/>
            <w:tcBorders>
              <w:top w:val="nil"/>
              <w:left w:val="nil"/>
              <w:bottom w:val="nil"/>
              <w:right w:val="nil"/>
            </w:tcBorders>
            <w:shd w:val="clear" w:color="auto" w:fill="auto"/>
            <w:vAlign w:val="bottom"/>
            <w:hideMark/>
          </w:tcPr>
          <w:p w14:paraId="18CDB294" w14:textId="77777777" w:rsidR="00330EA4" w:rsidRPr="001E019B" w:rsidRDefault="00330EA4" w:rsidP="00C962E4">
            <w:pPr>
              <w:rPr>
                <w:rFonts w:eastAsia="Times New Roman"/>
                <w:color w:val="000000"/>
                <w:sz w:val="22"/>
                <w:szCs w:val="22"/>
              </w:rPr>
            </w:pPr>
          </w:p>
        </w:tc>
        <w:tc>
          <w:tcPr>
            <w:tcW w:w="546" w:type="dxa"/>
            <w:tcBorders>
              <w:top w:val="nil"/>
              <w:left w:val="nil"/>
              <w:bottom w:val="nil"/>
              <w:right w:val="nil"/>
            </w:tcBorders>
            <w:shd w:val="clear" w:color="auto" w:fill="auto"/>
            <w:vAlign w:val="center"/>
            <w:hideMark/>
          </w:tcPr>
          <w:p w14:paraId="26489B5A"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219</w:t>
            </w:r>
          </w:p>
        </w:tc>
        <w:tc>
          <w:tcPr>
            <w:tcW w:w="1561" w:type="dxa"/>
            <w:tcBorders>
              <w:top w:val="nil"/>
              <w:left w:val="nil"/>
              <w:bottom w:val="nil"/>
              <w:right w:val="nil"/>
            </w:tcBorders>
            <w:shd w:val="clear" w:color="auto" w:fill="auto"/>
            <w:vAlign w:val="center"/>
            <w:hideMark/>
          </w:tcPr>
          <w:p w14:paraId="4A7C9F64" w14:textId="77777777" w:rsidR="00330EA4" w:rsidRPr="001E019B" w:rsidRDefault="00330EA4" w:rsidP="00C962E4">
            <w:pPr>
              <w:jc w:val="center"/>
              <w:rPr>
                <w:rFonts w:eastAsia="Times New Roman"/>
                <w:color w:val="000000"/>
                <w:sz w:val="22"/>
                <w:szCs w:val="22"/>
              </w:rPr>
            </w:pPr>
          </w:p>
        </w:tc>
        <w:tc>
          <w:tcPr>
            <w:tcW w:w="859" w:type="dxa"/>
            <w:tcBorders>
              <w:top w:val="nil"/>
              <w:left w:val="nil"/>
              <w:bottom w:val="nil"/>
              <w:right w:val="nil"/>
            </w:tcBorders>
            <w:shd w:val="clear" w:color="auto" w:fill="auto"/>
            <w:vAlign w:val="center"/>
            <w:hideMark/>
          </w:tcPr>
          <w:p w14:paraId="29FB950C"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135.46</w:t>
            </w:r>
          </w:p>
        </w:tc>
        <w:tc>
          <w:tcPr>
            <w:tcW w:w="1308" w:type="dxa"/>
            <w:tcBorders>
              <w:top w:val="nil"/>
              <w:left w:val="nil"/>
              <w:bottom w:val="nil"/>
              <w:right w:val="nil"/>
            </w:tcBorders>
            <w:shd w:val="clear" w:color="auto" w:fill="auto"/>
            <w:vAlign w:val="center"/>
            <w:hideMark/>
          </w:tcPr>
          <w:p w14:paraId="3391BF68"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93</w:t>
            </w:r>
          </w:p>
        </w:tc>
        <w:tc>
          <w:tcPr>
            <w:tcW w:w="505" w:type="dxa"/>
            <w:tcBorders>
              <w:top w:val="nil"/>
              <w:left w:val="nil"/>
              <w:bottom w:val="nil"/>
              <w:right w:val="nil"/>
            </w:tcBorders>
            <w:shd w:val="clear" w:color="auto" w:fill="auto"/>
            <w:vAlign w:val="center"/>
            <w:hideMark/>
          </w:tcPr>
          <w:p w14:paraId="7968CEA5" w14:textId="77777777" w:rsidR="00330EA4" w:rsidRPr="001E019B" w:rsidRDefault="00330EA4" w:rsidP="00C962E4">
            <w:pPr>
              <w:jc w:val="center"/>
              <w:rPr>
                <w:rFonts w:eastAsia="Times New Roman"/>
                <w:color w:val="000000"/>
                <w:sz w:val="22"/>
                <w:szCs w:val="22"/>
              </w:rPr>
            </w:pPr>
          </w:p>
        </w:tc>
        <w:tc>
          <w:tcPr>
            <w:tcW w:w="754" w:type="dxa"/>
            <w:tcBorders>
              <w:top w:val="nil"/>
              <w:left w:val="nil"/>
              <w:bottom w:val="nil"/>
              <w:right w:val="nil"/>
            </w:tcBorders>
            <w:shd w:val="clear" w:color="auto" w:fill="auto"/>
            <w:vAlign w:val="center"/>
            <w:hideMark/>
          </w:tcPr>
          <w:p w14:paraId="44CC964A"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3.15</w:t>
            </w:r>
          </w:p>
        </w:tc>
        <w:tc>
          <w:tcPr>
            <w:tcW w:w="964" w:type="dxa"/>
            <w:tcBorders>
              <w:top w:val="nil"/>
              <w:left w:val="nil"/>
              <w:bottom w:val="nil"/>
              <w:right w:val="nil"/>
            </w:tcBorders>
            <w:shd w:val="clear" w:color="auto" w:fill="auto"/>
            <w:vAlign w:val="center"/>
            <w:hideMark/>
          </w:tcPr>
          <w:p w14:paraId="77AE6295"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3</w:t>
            </w:r>
          </w:p>
        </w:tc>
        <w:tc>
          <w:tcPr>
            <w:tcW w:w="791" w:type="dxa"/>
            <w:tcBorders>
              <w:top w:val="nil"/>
              <w:left w:val="nil"/>
              <w:bottom w:val="nil"/>
              <w:right w:val="nil"/>
            </w:tcBorders>
            <w:shd w:val="clear" w:color="auto" w:fill="auto"/>
            <w:vAlign w:val="center"/>
            <w:hideMark/>
          </w:tcPr>
          <w:p w14:paraId="7808D5D4" w14:textId="77777777" w:rsidR="00330EA4" w:rsidRPr="001E019B" w:rsidRDefault="00330EA4" w:rsidP="00C962E4">
            <w:pPr>
              <w:jc w:val="center"/>
              <w:rPr>
                <w:rFonts w:eastAsia="Times New Roman"/>
                <w:color w:val="000000"/>
                <w:sz w:val="22"/>
                <w:szCs w:val="22"/>
              </w:rPr>
            </w:pPr>
          </w:p>
        </w:tc>
        <w:tc>
          <w:tcPr>
            <w:tcW w:w="1603" w:type="dxa"/>
            <w:tcBorders>
              <w:top w:val="nil"/>
              <w:left w:val="nil"/>
              <w:bottom w:val="nil"/>
              <w:right w:val="nil"/>
            </w:tcBorders>
            <w:shd w:val="clear" w:color="auto" w:fill="auto"/>
            <w:vAlign w:val="center"/>
            <w:hideMark/>
          </w:tcPr>
          <w:p w14:paraId="06000ED8"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30.88</w:t>
            </w:r>
          </w:p>
        </w:tc>
        <w:tc>
          <w:tcPr>
            <w:tcW w:w="965" w:type="dxa"/>
            <w:tcBorders>
              <w:top w:val="nil"/>
              <w:left w:val="nil"/>
              <w:bottom w:val="nil"/>
              <w:right w:val="nil"/>
            </w:tcBorders>
            <w:shd w:val="clear" w:color="auto" w:fill="auto"/>
            <w:vAlign w:val="center"/>
            <w:hideMark/>
          </w:tcPr>
          <w:p w14:paraId="4B462C71" w14:textId="77777777" w:rsidR="00330EA4" w:rsidRPr="001E019B" w:rsidRDefault="00330EA4" w:rsidP="00C962E4">
            <w:pPr>
              <w:jc w:val="center"/>
              <w:rPr>
                <w:rFonts w:eastAsia="Times New Roman"/>
                <w:color w:val="000000"/>
                <w:sz w:val="22"/>
                <w:szCs w:val="22"/>
              </w:rPr>
            </w:pPr>
            <w:r w:rsidRPr="001E019B">
              <w:rPr>
                <w:rFonts w:eastAsia="Times New Roman"/>
                <w:color w:val="000000"/>
                <w:sz w:val="22"/>
                <w:szCs w:val="22"/>
              </w:rPr>
              <w:t>31</w:t>
            </w:r>
          </w:p>
        </w:tc>
        <w:tc>
          <w:tcPr>
            <w:tcW w:w="1020" w:type="dxa"/>
            <w:gridSpan w:val="2"/>
            <w:tcBorders>
              <w:top w:val="nil"/>
              <w:left w:val="nil"/>
              <w:bottom w:val="nil"/>
              <w:right w:val="nil"/>
            </w:tcBorders>
            <w:shd w:val="clear" w:color="auto" w:fill="auto"/>
            <w:noWrap/>
            <w:vAlign w:val="bottom"/>
            <w:hideMark/>
          </w:tcPr>
          <w:p w14:paraId="5E23B8D3" w14:textId="77777777" w:rsidR="00330EA4" w:rsidRPr="001E019B" w:rsidRDefault="00330EA4" w:rsidP="00C962E4">
            <w:pPr>
              <w:jc w:val="center"/>
              <w:rPr>
                <w:rFonts w:eastAsia="Times New Roman"/>
                <w:color w:val="000000"/>
                <w:sz w:val="22"/>
                <w:szCs w:val="22"/>
              </w:rPr>
            </w:pPr>
          </w:p>
        </w:tc>
      </w:tr>
      <w:tr w:rsidR="00330EA4" w:rsidRPr="001E019B" w14:paraId="039C10A7" w14:textId="77777777" w:rsidTr="00330EA4">
        <w:trPr>
          <w:gridAfter w:val="3"/>
          <w:wAfter w:w="319" w:type="dxa"/>
          <w:trHeight w:val="990"/>
        </w:trPr>
        <w:tc>
          <w:tcPr>
            <w:tcW w:w="2554" w:type="dxa"/>
            <w:gridSpan w:val="2"/>
            <w:tcBorders>
              <w:top w:val="nil"/>
              <w:left w:val="nil"/>
              <w:right w:val="nil"/>
            </w:tcBorders>
            <w:shd w:val="clear" w:color="auto" w:fill="auto"/>
            <w:vAlign w:val="center"/>
            <w:hideMark/>
          </w:tcPr>
          <w:p w14:paraId="28DC9485" w14:textId="77777777" w:rsidR="00330EA4" w:rsidRPr="001E019B" w:rsidRDefault="00330EA4" w:rsidP="001F0A41">
            <w:pPr>
              <w:rPr>
                <w:rFonts w:eastAsia="Times New Roman"/>
                <w:color w:val="000000"/>
                <w:sz w:val="22"/>
                <w:szCs w:val="22"/>
              </w:rPr>
            </w:pPr>
            <w:r w:rsidRPr="001E019B">
              <w:rPr>
                <w:rFonts w:eastAsia="Times New Roman"/>
                <w:color w:val="000000"/>
                <w:sz w:val="22"/>
                <w:szCs w:val="22"/>
              </w:rPr>
              <w:t>t test (mean)/</w:t>
            </w:r>
            <w:r w:rsidRPr="001E019B">
              <w:rPr>
                <w:rFonts w:eastAsia="Times New Roman"/>
                <w:color w:val="000000"/>
              </w:rPr>
              <w:t xml:space="preserve"> </w:t>
            </w:r>
            <w:r w:rsidRPr="001E019B">
              <w:rPr>
                <w:rFonts w:eastAsia="Times New Roman"/>
                <w:color w:val="000000"/>
                <w:sz w:val="22"/>
                <w:szCs w:val="22"/>
              </w:rPr>
              <w:t>Wilcoxon rank-sum test (median))</w:t>
            </w:r>
          </w:p>
        </w:tc>
        <w:tc>
          <w:tcPr>
            <w:tcW w:w="364" w:type="dxa"/>
            <w:tcBorders>
              <w:top w:val="nil"/>
              <w:left w:val="nil"/>
              <w:right w:val="nil"/>
            </w:tcBorders>
            <w:shd w:val="clear" w:color="auto" w:fill="auto"/>
            <w:vAlign w:val="bottom"/>
            <w:hideMark/>
          </w:tcPr>
          <w:p w14:paraId="313A8557" w14:textId="77777777" w:rsidR="00330EA4" w:rsidRPr="001E019B" w:rsidRDefault="00330EA4" w:rsidP="001F0A41">
            <w:pPr>
              <w:rPr>
                <w:rFonts w:eastAsia="Times New Roman"/>
                <w:color w:val="000000"/>
                <w:sz w:val="22"/>
                <w:szCs w:val="22"/>
              </w:rPr>
            </w:pPr>
          </w:p>
        </w:tc>
        <w:tc>
          <w:tcPr>
            <w:tcW w:w="546" w:type="dxa"/>
            <w:tcBorders>
              <w:top w:val="nil"/>
              <w:left w:val="nil"/>
              <w:right w:val="nil"/>
            </w:tcBorders>
            <w:shd w:val="clear" w:color="auto" w:fill="auto"/>
            <w:vAlign w:val="center"/>
            <w:hideMark/>
          </w:tcPr>
          <w:p w14:paraId="2D1A2EFA" w14:textId="77777777" w:rsidR="00330EA4" w:rsidRPr="001E019B" w:rsidRDefault="00330EA4" w:rsidP="001F0A41">
            <w:pPr>
              <w:jc w:val="center"/>
              <w:rPr>
                <w:rFonts w:eastAsia="Times New Roman"/>
                <w:sz w:val="20"/>
                <w:szCs w:val="20"/>
              </w:rPr>
            </w:pPr>
          </w:p>
        </w:tc>
        <w:tc>
          <w:tcPr>
            <w:tcW w:w="1561" w:type="dxa"/>
            <w:tcBorders>
              <w:top w:val="nil"/>
              <w:left w:val="nil"/>
              <w:right w:val="nil"/>
            </w:tcBorders>
            <w:shd w:val="clear" w:color="auto" w:fill="auto"/>
            <w:vAlign w:val="center"/>
            <w:hideMark/>
          </w:tcPr>
          <w:p w14:paraId="6088F486" w14:textId="77777777" w:rsidR="00330EA4" w:rsidRPr="001E019B" w:rsidRDefault="00330EA4" w:rsidP="001F0A41">
            <w:pPr>
              <w:jc w:val="center"/>
              <w:rPr>
                <w:rFonts w:eastAsia="Times New Roman"/>
                <w:sz w:val="20"/>
                <w:szCs w:val="20"/>
              </w:rPr>
            </w:pPr>
          </w:p>
        </w:tc>
        <w:tc>
          <w:tcPr>
            <w:tcW w:w="859" w:type="dxa"/>
            <w:tcBorders>
              <w:top w:val="nil"/>
              <w:left w:val="nil"/>
              <w:right w:val="nil"/>
            </w:tcBorders>
            <w:shd w:val="clear" w:color="auto" w:fill="auto"/>
            <w:vAlign w:val="center"/>
            <w:hideMark/>
          </w:tcPr>
          <w:p w14:paraId="0119B25E"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0.62</w:t>
            </w:r>
          </w:p>
        </w:tc>
        <w:tc>
          <w:tcPr>
            <w:tcW w:w="1308" w:type="dxa"/>
            <w:tcBorders>
              <w:top w:val="nil"/>
              <w:left w:val="nil"/>
              <w:right w:val="nil"/>
            </w:tcBorders>
            <w:shd w:val="clear" w:color="auto" w:fill="auto"/>
            <w:vAlign w:val="center"/>
            <w:hideMark/>
          </w:tcPr>
          <w:p w14:paraId="51DC7306"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0.73</w:t>
            </w:r>
          </w:p>
        </w:tc>
        <w:tc>
          <w:tcPr>
            <w:tcW w:w="505" w:type="dxa"/>
            <w:tcBorders>
              <w:top w:val="nil"/>
              <w:left w:val="nil"/>
              <w:right w:val="nil"/>
            </w:tcBorders>
            <w:shd w:val="clear" w:color="auto" w:fill="auto"/>
            <w:vAlign w:val="center"/>
            <w:hideMark/>
          </w:tcPr>
          <w:p w14:paraId="113593D6" w14:textId="77777777" w:rsidR="00330EA4" w:rsidRPr="001E019B" w:rsidRDefault="00330EA4" w:rsidP="001F0A41">
            <w:pPr>
              <w:jc w:val="center"/>
              <w:rPr>
                <w:rFonts w:eastAsia="Times New Roman"/>
                <w:color w:val="000000"/>
                <w:sz w:val="22"/>
                <w:szCs w:val="22"/>
              </w:rPr>
            </w:pPr>
          </w:p>
        </w:tc>
        <w:tc>
          <w:tcPr>
            <w:tcW w:w="754" w:type="dxa"/>
            <w:tcBorders>
              <w:top w:val="nil"/>
              <w:left w:val="nil"/>
              <w:right w:val="nil"/>
            </w:tcBorders>
            <w:shd w:val="clear" w:color="auto" w:fill="auto"/>
            <w:vAlign w:val="center"/>
            <w:hideMark/>
          </w:tcPr>
          <w:p w14:paraId="4F7531D6"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0.05</w:t>
            </w:r>
          </w:p>
        </w:tc>
        <w:tc>
          <w:tcPr>
            <w:tcW w:w="964" w:type="dxa"/>
            <w:tcBorders>
              <w:top w:val="nil"/>
              <w:left w:val="nil"/>
              <w:right w:val="nil"/>
            </w:tcBorders>
            <w:shd w:val="clear" w:color="auto" w:fill="auto"/>
            <w:vAlign w:val="center"/>
            <w:hideMark/>
          </w:tcPr>
          <w:p w14:paraId="5E05C851"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0.04</w:t>
            </w:r>
          </w:p>
        </w:tc>
        <w:tc>
          <w:tcPr>
            <w:tcW w:w="791" w:type="dxa"/>
            <w:tcBorders>
              <w:top w:val="nil"/>
              <w:left w:val="nil"/>
              <w:right w:val="nil"/>
            </w:tcBorders>
            <w:shd w:val="clear" w:color="auto" w:fill="auto"/>
            <w:vAlign w:val="center"/>
            <w:hideMark/>
          </w:tcPr>
          <w:p w14:paraId="1EE2A2A5" w14:textId="77777777" w:rsidR="00330EA4" w:rsidRPr="001E019B" w:rsidRDefault="00330EA4" w:rsidP="001F0A41">
            <w:pPr>
              <w:jc w:val="center"/>
              <w:rPr>
                <w:rFonts w:eastAsia="Times New Roman"/>
                <w:color w:val="000000"/>
                <w:sz w:val="22"/>
                <w:szCs w:val="22"/>
              </w:rPr>
            </w:pPr>
          </w:p>
        </w:tc>
        <w:tc>
          <w:tcPr>
            <w:tcW w:w="1603" w:type="dxa"/>
            <w:tcBorders>
              <w:top w:val="nil"/>
              <w:left w:val="nil"/>
              <w:right w:val="nil"/>
            </w:tcBorders>
            <w:shd w:val="clear" w:color="auto" w:fill="auto"/>
            <w:vAlign w:val="center"/>
            <w:hideMark/>
          </w:tcPr>
          <w:p w14:paraId="778657E6"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0.02</w:t>
            </w:r>
          </w:p>
        </w:tc>
        <w:tc>
          <w:tcPr>
            <w:tcW w:w="965" w:type="dxa"/>
            <w:tcBorders>
              <w:top w:val="nil"/>
              <w:left w:val="nil"/>
              <w:right w:val="nil"/>
            </w:tcBorders>
            <w:shd w:val="clear" w:color="auto" w:fill="auto"/>
            <w:vAlign w:val="center"/>
            <w:hideMark/>
          </w:tcPr>
          <w:p w14:paraId="77E70917"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0.02</w:t>
            </w:r>
          </w:p>
        </w:tc>
        <w:tc>
          <w:tcPr>
            <w:tcW w:w="1020" w:type="dxa"/>
            <w:gridSpan w:val="2"/>
            <w:tcBorders>
              <w:top w:val="nil"/>
              <w:left w:val="nil"/>
              <w:right w:val="nil"/>
            </w:tcBorders>
            <w:shd w:val="clear" w:color="auto" w:fill="auto"/>
            <w:noWrap/>
            <w:vAlign w:val="bottom"/>
            <w:hideMark/>
          </w:tcPr>
          <w:p w14:paraId="75549EFA" w14:textId="77777777" w:rsidR="00330EA4" w:rsidRPr="001E019B" w:rsidRDefault="00330EA4" w:rsidP="001F0A41">
            <w:pPr>
              <w:jc w:val="center"/>
              <w:rPr>
                <w:rFonts w:eastAsia="Times New Roman"/>
                <w:color w:val="000000"/>
                <w:sz w:val="22"/>
                <w:szCs w:val="22"/>
              </w:rPr>
            </w:pPr>
          </w:p>
        </w:tc>
      </w:tr>
      <w:tr w:rsidR="00330EA4" w:rsidRPr="001E019B" w14:paraId="5636447A" w14:textId="77777777" w:rsidTr="00330EA4">
        <w:trPr>
          <w:gridAfter w:val="3"/>
          <w:wAfter w:w="319" w:type="dxa"/>
          <w:trHeight w:val="300"/>
        </w:trPr>
        <w:tc>
          <w:tcPr>
            <w:tcW w:w="2554" w:type="dxa"/>
            <w:gridSpan w:val="2"/>
            <w:tcBorders>
              <w:top w:val="nil"/>
              <w:left w:val="nil"/>
              <w:bottom w:val="single" w:sz="4" w:space="0" w:color="auto"/>
              <w:right w:val="nil"/>
            </w:tcBorders>
            <w:shd w:val="clear" w:color="auto" w:fill="auto"/>
            <w:vAlign w:val="center"/>
            <w:hideMark/>
          </w:tcPr>
          <w:p w14:paraId="15377CA9" w14:textId="77777777" w:rsidR="00330EA4" w:rsidRPr="001E019B" w:rsidRDefault="00330EA4" w:rsidP="001F0A41">
            <w:pPr>
              <w:rPr>
                <w:rFonts w:eastAsia="Times New Roman"/>
                <w:color w:val="000000"/>
                <w:sz w:val="22"/>
                <w:szCs w:val="22"/>
              </w:rPr>
            </w:pPr>
            <w:r w:rsidRPr="001E019B">
              <w:rPr>
                <w:rFonts w:eastAsia="Times New Roman"/>
                <w:color w:val="000000"/>
                <w:sz w:val="22"/>
                <w:szCs w:val="22"/>
              </w:rPr>
              <w:t>Total</w:t>
            </w:r>
          </w:p>
        </w:tc>
        <w:tc>
          <w:tcPr>
            <w:tcW w:w="364" w:type="dxa"/>
            <w:tcBorders>
              <w:top w:val="nil"/>
              <w:left w:val="nil"/>
              <w:bottom w:val="single" w:sz="4" w:space="0" w:color="auto"/>
              <w:right w:val="nil"/>
            </w:tcBorders>
            <w:shd w:val="clear" w:color="auto" w:fill="auto"/>
            <w:vAlign w:val="bottom"/>
            <w:hideMark/>
          </w:tcPr>
          <w:p w14:paraId="0CB61665"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546" w:type="dxa"/>
            <w:tcBorders>
              <w:top w:val="nil"/>
              <w:left w:val="nil"/>
              <w:bottom w:val="single" w:sz="4" w:space="0" w:color="auto"/>
              <w:right w:val="nil"/>
            </w:tcBorders>
            <w:shd w:val="clear" w:color="auto" w:fill="auto"/>
            <w:vAlign w:val="center"/>
            <w:hideMark/>
          </w:tcPr>
          <w:p w14:paraId="4085E09B"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706</w:t>
            </w:r>
          </w:p>
        </w:tc>
        <w:tc>
          <w:tcPr>
            <w:tcW w:w="1561" w:type="dxa"/>
            <w:tcBorders>
              <w:top w:val="nil"/>
              <w:left w:val="nil"/>
              <w:bottom w:val="single" w:sz="4" w:space="0" w:color="auto"/>
              <w:right w:val="nil"/>
            </w:tcBorders>
            <w:shd w:val="clear" w:color="auto" w:fill="auto"/>
            <w:vAlign w:val="center"/>
            <w:hideMark/>
          </w:tcPr>
          <w:p w14:paraId="6B0671D3"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859" w:type="dxa"/>
            <w:tcBorders>
              <w:top w:val="nil"/>
              <w:left w:val="nil"/>
              <w:bottom w:val="single" w:sz="4" w:space="0" w:color="auto"/>
              <w:right w:val="nil"/>
            </w:tcBorders>
            <w:shd w:val="clear" w:color="auto" w:fill="auto"/>
            <w:vAlign w:val="center"/>
            <w:hideMark/>
          </w:tcPr>
          <w:p w14:paraId="71498B7C"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131.49</w:t>
            </w:r>
          </w:p>
        </w:tc>
        <w:tc>
          <w:tcPr>
            <w:tcW w:w="1308" w:type="dxa"/>
            <w:tcBorders>
              <w:top w:val="nil"/>
              <w:left w:val="nil"/>
              <w:bottom w:val="single" w:sz="4" w:space="0" w:color="auto"/>
              <w:right w:val="nil"/>
            </w:tcBorders>
            <w:shd w:val="clear" w:color="auto" w:fill="auto"/>
            <w:vAlign w:val="center"/>
            <w:hideMark/>
          </w:tcPr>
          <w:p w14:paraId="2D78FA2D"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97</w:t>
            </w:r>
          </w:p>
        </w:tc>
        <w:tc>
          <w:tcPr>
            <w:tcW w:w="505" w:type="dxa"/>
            <w:tcBorders>
              <w:top w:val="nil"/>
              <w:left w:val="nil"/>
              <w:bottom w:val="single" w:sz="4" w:space="0" w:color="auto"/>
              <w:right w:val="nil"/>
            </w:tcBorders>
            <w:shd w:val="clear" w:color="auto" w:fill="auto"/>
            <w:vAlign w:val="center"/>
            <w:hideMark/>
          </w:tcPr>
          <w:p w14:paraId="15225A01"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754" w:type="dxa"/>
            <w:tcBorders>
              <w:top w:val="nil"/>
              <w:left w:val="nil"/>
              <w:bottom w:val="single" w:sz="4" w:space="0" w:color="auto"/>
              <w:right w:val="nil"/>
            </w:tcBorders>
            <w:shd w:val="clear" w:color="auto" w:fill="auto"/>
            <w:vAlign w:val="center"/>
            <w:hideMark/>
          </w:tcPr>
          <w:p w14:paraId="61E3A10B"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3.35</w:t>
            </w:r>
          </w:p>
        </w:tc>
        <w:tc>
          <w:tcPr>
            <w:tcW w:w="964" w:type="dxa"/>
            <w:tcBorders>
              <w:top w:val="nil"/>
              <w:left w:val="nil"/>
              <w:bottom w:val="single" w:sz="4" w:space="0" w:color="auto"/>
              <w:right w:val="nil"/>
            </w:tcBorders>
            <w:shd w:val="clear" w:color="auto" w:fill="auto"/>
            <w:vAlign w:val="center"/>
            <w:hideMark/>
          </w:tcPr>
          <w:p w14:paraId="74A6042D"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w:t>
            </w:r>
          </w:p>
        </w:tc>
        <w:tc>
          <w:tcPr>
            <w:tcW w:w="791" w:type="dxa"/>
            <w:tcBorders>
              <w:top w:val="nil"/>
              <w:left w:val="nil"/>
              <w:bottom w:val="single" w:sz="4" w:space="0" w:color="auto"/>
              <w:right w:val="nil"/>
            </w:tcBorders>
            <w:shd w:val="clear" w:color="auto" w:fill="auto"/>
            <w:vAlign w:val="center"/>
            <w:hideMark/>
          </w:tcPr>
          <w:p w14:paraId="1FFB22BE"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 </w:t>
            </w:r>
          </w:p>
        </w:tc>
        <w:tc>
          <w:tcPr>
            <w:tcW w:w="1603" w:type="dxa"/>
            <w:tcBorders>
              <w:top w:val="nil"/>
              <w:left w:val="nil"/>
              <w:bottom w:val="single" w:sz="4" w:space="0" w:color="auto"/>
              <w:right w:val="nil"/>
            </w:tcBorders>
            <w:shd w:val="clear" w:color="auto" w:fill="auto"/>
            <w:vAlign w:val="center"/>
            <w:hideMark/>
          </w:tcPr>
          <w:p w14:paraId="00709830"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34.23</w:t>
            </w:r>
          </w:p>
        </w:tc>
        <w:tc>
          <w:tcPr>
            <w:tcW w:w="965" w:type="dxa"/>
            <w:tcBorders>
              <w:top w:val="nil"/>
              <w:left w:val="nil"/>
              <w:bottom w:val="single" w:sz="4" w:space="0" w:color="auto"/>
              <w:right w:val="nil"/>
            </w:tcBorders>
            <w:shd w:val="clear" w:color="auto" w:fill="auto"/>
            <w:vAlign w:val="center"/>
            <w:hideMark/>
          </w:tcPr>
          <w:p w14:paraId="7A8B0FA6" w14:textId="77777777" w:rsidR="00330EA4" w:rsidRPr="001E019B" w:rsidRDefault="00330EA4" w:rsidP="001F0A41">
            <w:pPr>
              <w:jc w:val="center"/>
              <w:rPr>
                <w:rFonts w:eastAsia="Times New Roman"/>
                <w:color w:val="000000"/>
                <w:sz w:val="22"/>
                <w:szCs w:val="22"/>
              </w:rPr>
            </w:pPr>
            <w:r w:rsidRPr="001E019B">
              <w:rPr>
                <w:rFonts w:eastAsia="Times New Roman"/>
                <w:color w:val="000000"/>
                <w:sz w:val="22"/>
                <w:szCs w:val="22"/>
              </w:rPr>
              <w:t>36</w:t>
            </w:r>
          </w:p>
        </w:tc>
        <w:tc>
          <w:tcPr>
            <w:tcW w:w="1020" w:type="dxa"/>
            <w:gridSpan w:val="2"/>
            <w:tcBorders>
              <w:top w:val="nil"/>
              <w:left w:val="nil"/>
              <w:bottom w:val="single" w:sz="4" w:space="0" w:color="auto"/>
              <w:right w:val="nil"/>
            </w:tcBorders>
            <w:shd w:val="clear" w:color="auto" w:fill="auto"/>
            <w:noWrap/>
            <w:vAlign w:val="bottom"/>
            <w:hideMark/>
          </w:tcPr>
          <w:p w14:paraId="43E44592" w14:textId="77777777" w:rsidR="00330EA4" w:rsidRPr="001E019B" w:rsidRDefault="00330EA4" w:rsidP="001F0A41">
            <w:pPr>
              <w:rPr>
                <w:rFonts w:eastAsia="Times New Roman"/>
                <w:color w:val="000000"/>
                <w:sz w:val="22"/>
                <w:szCs w:val="22"/>
              </w:rPr>
            </w:pPr>
            <w:r w:rsidRPr="001E019B">
              <w:rPr>
                <w:rFonts w:eastAsia="Times New Roman"/>
                <w:color w:val="000000"/>
                <w:sz w:val="22"/>
                <w:szCs w:val="22"/>
              </w:rPr>
              <w:t> </w:t>
            </w:r>
          </w:p>
        </w:tc>
      </w:tr>
      <w:tr w:rsidR="00330EA4" w:rsidRPr="001E019B" w14:paraId="22A01F9A" w14:textId="77777777" w:rsidTr="00330EA4">
        <w:trPr>
          <w:gridAfter w:val="1"/>
          <w:wAfter w:w="39" w:type="dxa"/>
          <w:trHeight w:val="300"/>
        </w:trPr>
        <w:tc>
          <w:tcPr>
            <w:tcW w:w="14074" w:type="dxa"/>
            <w:gridSpan w:val="17"/>
            <w:tcBorders>
              <w:top w:val="single" w:sz="4" w:space="0" w:color="auto"/>
              <w:left w:val="nil"/>
              <w:bottom w:val="single" w:sz="4" w:space="0" w:color="auto"/>
              <w:right w:val="nil"/>
            </w:tcBorders>
            <w:shd w:val="clear" w:color="auto" w:fill="auto"/>
            <w:vAlign w:val="center"/>
          </w:tcPr>
          <w:p w14:paraId="5A175889" w14:textId="4487834E" w:rsidR="00330EA4" w:rsidRPr="00A90510" w:rsidRDefault="00330EA4" w:rsidP="00AF61B0">
            <w:pPr>
              <w:ind w:firstLine="604"/>
              <w:jc w:val="both"/>
              <w:rPr>
                <w:rFonts w:eastAsia="Times New Roman"/>
                <w:color w:val="000000"/>
                <w:sz w:val="20"/>
                <w:szCs w:val="20"/>
              </w:rPr>
            </w:pPr>
            <w:r w:rsidRPr="00DB3076">
              <w:rPr>
                <w:rFonts w:eastAsia="Times New Roman"/>
                <w:color w:val="000000"/>
                <w:sz w:val="20"/>
                <w:szCs w:val="20"/>
              </w:rPr>
              <w:t xml:space="preserve">This table presents the results for the analysis of the </w:t>
            </w:r>
            <w:r>
              <w:rPr>
                <w:rFonts w:eastAsia="Times New Roman"/>
                <w:color w:val="000000"/>
                <w:sz w:val="20"/>
                <w:szCs w:val="20"/>
              </w:rPr>
              <w:t>SEC’s</w:t>
            </w:r>
            <w:r w:rsidRPr="00DB3076">
              <w:rPr>
                <w:rFonts w:eastAsia="Times New Roman"/>
                <w:color w:val="000000"/>
                <w:sz w:val="20"/>
                <w:szCs w:val="20"/>
              </w:rPr>
              <w:t xml:space="preserve"> characteristics on the SEC review attributes for our full sample of 909 IPOs between 2005 and 2017. SEC review attributes include </w:t>
            </w:r>
            <w:r w:rsidRPr="00DB3076">
              <w:rPr>
                <w:rFonts w:eastAsia="Times New Roman"/>
                <w:i/>
                <w:color w:val="000000"/>
                <w:sz w:val="20"/>
                <w:szCs w:val="20"/>
              </w:rPr>
              <w:t xml:space="preserve">Duration, </w:t>
            </w:r>
            <w:r>
              <w:rPr>
                <w:rFonts w:eastAsia="Times New Roman"/>
                <w:i/>
                <w:color w:val="000000"/>
                <w:sz w:val="20"/>
                <w:szCs w:val="20"/>
              </w:rPr>
              <w:t>Letters</w:t>
            </w:r>
            <w:r w:rsidRPr="00DB3076">
              <w:rPr>
                <w:rFonts w:eastAsia="Times New Roman"/>
                <w:i/>
                <w:color w:val="000000"/>
                <w:sz w:val="20"/>
                <w:szCs w:val="20"/>
              </w:rPr>
              <w:t xml:space="preserve">, </w:t>
            </w:r>
            <w:r>
              <w:rPr>
                <w:rFonts w:eastAsia="Times New Roman"/>
                <w:i/>
                <w:color w:val="000000"/>
                <w:sz w:val="20"/>
                <w:szCs w:val="20"/>
              </w:rPr>
              <w:t>Comments</w:t>
            </w:r>
            <w:r w:rsidRPr="00DB3076">
              <w:rPr>
                <w:rFonts w:eastAsia="Times New Roman"/>
                <w:i/>
                <w:color w:val="000000"/>
                <w:sz w:val="20"/>
                <w:szCs w:val="20"/>
              </w:rPr>
              <w:t>.</w:t>
            </w:r>
            <w:r w:rsidRPr="00DB3076">
              <w:rPr>
                <w:rFonts w:eastAsia="Times New Roman"/>
                <w:color w:val="000000"/>
                <w:sz w:val="20"/>
                <w:szCs w:val="20"/>
              </w:rPr>
              <w:t xml:space="preserve"> </w:t>
            </w:r>
            <w:r>
              <w:rPr>
                <w:rFonts w:eastAsia="Times New Roman"/>
                <w:color w:val="000000"/>
                <w:sz w:val="20"/>
                <w:szCs w:val="20"/>
              </w:rPr>
              <w:t>The SEC</w:t>
            </w:r>
            <w:r w:rsidRPr="00DB3076">
              <w:rPr>
                <w:rFonts w:eastAsia="Times New Roman"/>
                <w:color w:val="000000"/>
                <w:sz w:val="20"/>
                <w:szCs w:val="20"/>
              </w:rPr>
              <w:t xml:space="preserve"> characteristics include </w:t>
            </w:r>
            <w:r>
              <w:rPr>
                <w:rFonts w:eastAsia="Times New Roman"/>
                <w:i/>
                <w:color w:val="000000"/>
                <w:sz w:val="20"/>
                <w:szCs w:val="20"/>
              </w:rPr>
              <w:t>Directors/</w:t>
            </w:r>
            <w:proofErr w:type="gramStart"/>
            <w:r>
              <w:rPr>
                <w:rFonts w:eastAsia="Times New Roman"/>
                <w:i/>
                <w:color w:val="000000"/>
                <w:sz w:val="20"/>
                <w:szCs w:val="20"/>
              </w:rPr>
              <w:t xml:space="preserve">Chiefs  </w:t>
            </w:r>
            <w:r>
              <w:rPr>
                <w:rFonts w:eastAsia="Times New Roman"/>
                <w:color w:val="000000"/>
                <w:sz w:val="20"/>
                <w:szCs w:val="20"/>
              </w:rPr>
              <w:t>and</w:t>
            </w:r>
            <w:proofErr w:type="gramEnd"/>
            <w:r>
              <w:rPr>
                <w:rFonts w:eastAsia="Times New Roman"/>
                <w:color w:val="000000"/>
                <w:sz w:val="20"/>
                <w:szCs w:val="20"/>
              </w:rPr>
              <w:t xml:space="preserve"> </w:t>
            </w:r>
            <w:r>
              <w:rPr>
                <w:rFonts w:eastAsia="Times New Roman"/>
                <w:i/>
                <w:color w:val="000000"/>
                <w:sz w:val="20"/>
                <w:szCs w:val="20"/>
              </w:rPr>
              <w:t>Accountant</w:t>
            </w:r>
            <w:r w:rsidRPr="00DB3076">
              <w:rPr>
                <w:rFonts w:eastAsia="Times New Roman"/>
                <w:i/>
                <w:color w:val="000000"/>
                <w:sz w:val="20"/>
                <w:szCs w:val="20"/>
              </w:rPr>
              <w:t xml:space="preserve">. </w:t>
            </w:r>
            <w:r w:rsidRPr="00DB3076">
              <w:rPr>
                <w:rFonts w:eastAsia="Times New Roman"/>
                <w:color w:val="000000"/>
                <w:sz w:val="20"/>
                <w:szCs w:val="20"/>
              </w:rPr>
              <w:t>All variables are defined in Appendix 1.</w:t>
            </w:r>
            <w:r>
              <w:rPr>
                <w:rFonts w:eastAsia="Times New Roman"/>
                <w:color w:val="000000"/>
                <w:sz w:val="20"/>
                <w:szCs w:val="20"/>
              </w:rPr>
              <w:t xml:space="preserve"> Panel C </w:t>
            </w:r>
            <w:r w:rsidRPr="00232CA8">
              <w:rPr>
                <w:rFonts w:eastAsia="Times New Roman"/>
                <w:color w:val="000000"/>
                <w:sz w:val="20"/>
                <w:szCs w:val="20"/>
              </w:rPr>
              <w:t>presents analysis of difference in each SEC review attribute</w:t>
            </w:r>
            <w:r>
              <w:rPr>
                <w:rFonts w:eastAsia="Times New Roman"/>
                <w:color w:val="000000"/>
                <w:sz w:val="20"/>
                <w:szCs w:val="20"/>
              </w:rPr>
              <w:t xml:space="preserve"> and annual salary</w:t>
            </w:r>
            <w:r w:rsidRPr="00232CA8">
              <w:rPr>
                <w:rFonts w:eastAsia="Times New Roman"/>
                <w:color w:val="000000"/>
                <w:sz w:val="20"/>
                <w:szCs w:val="20"/>
              </w:rPr>
              <w:t xml:space="preserve"> between</w:t>
            </w:r>
            <w:r w:rsidRPr="00DB3076">
              <w:rPr>
                <w:rFonts w:eastAsia="Times New Roman"/>
                <w:color w:val="000000"/>
                <w:sz w:val="20"/>
                <w:szCs w:val="20"/>
              </w:rPr>
              <w:t xml:space="preserve"> </w:t>
            </w:r>
            <w:r>
              <w:rPr>
                <w:rFonts w:eastAsia="Times New Roman"/>
                <w:color w:val="000000"/>
                <w:sz w:val="20"/>
                <w:szCs w:val="20"/>
              </w:rPr>
              <w:t xml:space="preserve">the reviewers </w:t>
            </w:r>
            <w:r w:rsidRPr="00A90510">
              <w:rPr>
                <w:rFonts w:eastAsia="Times New Roman"/>
                <w:color w:val="000000"/>
                <w:sz w:val="20"/>
                <w:szCs w:val="20"/>
              </w:rPr>
              <w:t xml:space="preserve">Director/Chief and the reviewers with lower job position, who are </w:t>
            </w:r>
            <w:r>
              <w:rPr>
                <w:rFonts w:eastAsia="Times New Roman"/>
                <w:color w:val="000000"/>
                <w:sz w:val="20"/>
                <w:szCs w:val="20"/>
              </w:rPr>
              <w:t>not Directors/Chiefs</w:t>
            </w:r>
            <w:r w:rsidRPr="00A90510">
              <w:rPr>
                <w:rFonts w:eastAsia="Times New Roman"/>
                <w:color w:val="000000"/>
                <w:sz w:val="20"/>
                <w:szCs w:val="20"/>
              </w:rPr>
              <w:t>. Directors/Chief include Assistant Director,</w:t>
            </w:r>
            <w:r>
              <w:rPr>
                <w:rFonts w:eastAsia="Times New Roman"/>
                <w:color w:val="000000"/>
                <w:sz w:val="20"/>
                <w:szCs w:val="20"/>
              </w:rPr>
              <w:t xml:space="preserve"> </w:t>
            </w:r>
            <w:r w:rsidRPr="00A90510">
              <w:rPr>
                <w:color w:val="000000"/>
                <w:sz w:val="20"/>
                <w:szCs w:val="20"/>
              </w:rPr>
              <w:t xml:space="preserve">Senior Assistant Chief Accountant, Legal Branch Chief and Accounting Branch Chief. </w:t>
            </w:r>
            <w:r>
              <w:rPr>
                <w:rFonts w:eastAsia="Times New Roman"/>
                <w:color w:val="000000"/>
                <w:sz w:val="20"/>
                <w:szCs w:val="20"/>
              </w:rPr>
              <w:t xml:space="preserve">Panel D </w:t>
            </w:r>
            <w:r w:rsidRPr="00232CA8">
              <w:rPr>
                <w:rFonts w:eastAsia="Times New Roman"/>
                <w:color w:val="000000"/>
                <w:sz w:val="20"/>
                <w:szCs w:val="20"/>
              </w:rPr>
              <w:t>presents analysis of difference in each SEC review</w:t>
            </w:r>
            <w:r>
              <w:rPr>
                <w:rFonts w:eastAsia="Times New Roman"/>
                <w:color w:val="000000"/>
                <w:sz w:val="20"/>
                <w:szCs w:val="20"/>
              </w:rPr>
              <w:t xml:space="preserve"> attribute</w:t>
            </w:r>
            <w:r w:rsidRPr="00232CA8">
              <w:rPr>
                <w:rFonts w:eastAsia="Times New Roman"/>
                <w:color w:val="000000"/>
                <w:sz w:val="20"/>
                <w:szCs w:val="20"/>
              </w:rPr>
              <w:t xml:space="preserve"> </w:t>
            </w:r>
            <w:r>
              <w:rPr>
                <w:rFonts w:eastAsia="Times New Roman"/>
                <w:color w:val="000000"/>
                <w:sz w:val="20"/>
                <w:szCs w:val="20"/>
              </w:rPr>
              <w:t xml:space="preserve">and percentage of accounting comments </w:t>
            </w:r>
            <w:r w:rsidRPr="00232CA8">
              <w:rPr>
                <w:rFonts w:eastAsia="Times New Roman"/>
                <w:color w:val="000000"/>
                <w:sz w:val="20"/>
                <w:szCs w:val="20"/>
              </w:rPr>
              <w:t>between</w:t>
            </w:r>
            <w:r w:rsidRPr="00DB3076">
              <w:rPr>
                <w:rFonts w:eastAsia="Times New Roman"/>
                <w:color w:val="000000"/>
                <w:sz w:val="20"/>
                <w:szCs w:val="20"/>
              </w:rPr>
              <w:t xml:space="preserve"> </w:t>
            </w:r>
            <w:r>
              <w:rPr>
                <w:rFonts w:eastAsia="Times New Roman"/>
                <w:color w:val="000000"/>
                <w:sz w:val="20"/>
                <w:szCs w:val="20"/>
              </w:rPr>
              <w:t>Accountant reviewers and non-Accountant reviewer</w:t>
            </w:r>
            <w:r w:rsidRPr="007B68C6">
              <w:rPr>
                <w:rFonts w:eastAsia="Times New Roman"/>
                <w:color w:val="000000"/>
                <w:sz w:val="20"/>
                <w:szCs w:val="20"/>
              </w:rPr>
              <w:t>.</w:t>
            </w:r>
            <w:r w:rsidRPr="00232CA8">
              <w:rPr>
                <w:rFonts w:eastAsia="Times New Roman"/>
                <w:color w:val="000000"/>
                <w:sz w:val="20"/>
                <w:szCs w:val="20"/>
              </w:rPr>
              <w:t xml:space="preserve"> We perform analyses of differences using two-sample t-tests, and nonparametric Wilcoxon rank-sum tests. Results (p-value) from these tests are presented in the fifth row in each panel</w:t>
            </w:r>
            <w:r>
              <w:rPr>
                <w:rFonts w:eastAsia="Times New Roman"/>
                <w:color w:val="000000"/>
                <w:sz w:val="20"/>
                <w:szCs w:val="20"/>
              </w:rPr>
              <w:t xml:space="preserve"> C and D</w:t>
            </w:r>
            <w:r w:rsidRPr="00232CA8">
              <w:rPr>
                <w:rFonts w:eastAsia="Times New Roman"/>
                <w:color w:val="000000"/>
                <w:sz w:val="20"/>
                <w:szCs w:val="20"/>
              </w:rPr>
              <w:t>.</w:t>
            </w:r>
            <w:r>
              <w:rPr>
                <w:rFonts w:eastAsia="Times New Roman"/>
                <w:color w:val="000000"/>
                <w:sz w:val="20"/>
                <w:szCs w:val="20"/>
              </w:rPr>
              <w:t xml:space="preserve"> </w:t>
            </w:r>
          </w:p>
        </w:tc>
      </w:tr>
    </w:tbl>
    <w:p w14:paraId="298B62B8" w14:textId="77777777" w:rsidR="003876B9" w:rsidRDefault="003876B9" w:rsidP="00F91520">
      <w:pPr>
        <w:pStyle w:val="Heading1"/>
        <w:rPr>
          <w:rFonts w:ascii="Times New Roman" w:hAnsi="Times New Roman" w:cs="Times New Roman"/>
          <w:b/>
          <w:color w:val="000000" w:themeColor="text1"/>
          <w:sz w:val="24"/>
          <w:szCs w:val="24"/>
          <w:lang w:eastAsia="en-US"/>
        </w:rPr>
        <w:sectPr w:rsidR="003876B9" w:rsidSect="003876B9">
          <w:headerReference w:type="default" r:id="rId30"/>
          <w:footerReference w:type="default" r:id="rId31"/>
          <w:pgSz w:w="16838" w:h="11906" w:orient="landscape"/>
          <w:pgMar w:top="1276" w:right="1440" w:bottom="1440" w:left="1440" w:header="708" w:footer="708" w:gutter="0"/>
          <w:cols w:space="708"/>
          <w:docGrid w:linePitch="360"/>
        </w:sectPr>
      </w:pPr>
    </w:p>
    <w:p w14:paraId="3833E34B" w14:textId="6325E60A" w:rsidR="009E7D82" w:rsidRPr="007B5AFB" w:rsidRDefault="007B5AFB" w:rsidP="003200CC">
      <w:pPr>
        <w:pStyle w:val="Caption"/>
        <w:rPr>
          <w:b/>
          <w:i w:val="0"/>
          <w:color w:val="000000" w:themeColor="text1"/>
          <w:sz w:val="24"/>
          <w:szCs w:val="24"/>
        </w:rPr>
      </w:pPr>
      <w:bookmarkStart w:id="60" w:name="_Toc7375500"/>
      <w:r w:rsidRPr="007B5AFB">
        <w:rPr>
          <w:b/>
          <w:i w:val="0"/>
          <w:color w:val="000000" w:themeColor="text1"/>
          <w:sz w:val="24"/>
          <w:szCs w:val="24"/>
        </w:rPr>
        <w:lastRenderedPageBreak/>
        <w:t xml:space="preserve">Table </w:t>
      </w:r>
      <w:r w:rsidR="00174399">
        <w:rPr>
          <w:b/>
          <w:i w:val="0"/>
          <w:color w:val="000000" w:themeColor="text1"/>
          <w:sz w:val="24"/>
          <w:szCs w:val="24"/>
        </w:rPr>
        <w:t>11</w:t>
      </w:r>
      <w:r w:rsidRPr="007B5AFB">
        <w:rPr>
          <w:b/>
          <w:i w:val="0"/>
          <w:color w:val="000000" w:themeColor="text1"/>
          <w:sz w:val="24"/>
          <w:szCs w:val="24"/>
        </w:rPr>
        <w:t>. Multivariate analysis</w:t>
      </w:r>
      <w:bookmarkEnd w:id="60"/>
      <w:r w:rsidR="009E7D82">
        <w:rPr>
          <w:b/>
          <w:i w:val="0"/>
          <w:color w:val="000000" w:themeColor="text1"/>
          <w:sz w:val="20"/>
          <w:szCs w:val="20"/>
        </w:rPr>
        <w:fldChar w:fldCharType="begin"/>
      </w:r>
      <w:r w:rsidR="009E7D82" w:rsidRPr="00062C35">
        <w:rPr>
          <w:b/>
          <w:i w:val="0"/>
          <w:color w:val="000000" w:themeColor="text1"/>
          <w:sz w:val="20"/>
          <w:szCs w:val="20"/>
        </w:rPr>
        <w:instrText xml:space="preserve"> LINK </w:instrText>
      </w:r>
      <w:r w:rsidR="00B11208">
        <w:rPr>
          <w:b/>
          <w:i w:val="0"/>
          <w:color w:val="000000" w:themeColor="text1"/>
          <w:sz w:val="20"/>
          <w:szCs w:val="20"/>
        </w:rPr>
        <w:instrText xml:space="preserve">Excel.Sheet.12 "E:\\PhD journey\\Descriptive statistics\\writing\\Descriptive statistics_SEC review attributes (edited).xlsx" "multivariate analysis!R1C1:R25C17" </w:instrText>
      </w:r>
      <w:r w:rsidR="009E7D82" w:rsidRPr="00062C35">
        <w:rPr>
          <w:b/>
          <w:i w:val="0"/>
          <w:color w:val="000000" w:themeColor="text1"/>
          <w:sz w:val="20"/>
          <w:szCs w:val="20"/>
        </w:rPr>
        <w:instrText xml:space="preserve">\a \f 4 \h  \* MERGEFORMAT </w:instrText>
      </w:r>
      <w:r w:rsidR="009E7D82">
        <w:rPr>
          <w:b/>
          <w:i w:val="0"/>
          <w:color w:val="000000" w:themeColor="text1"/>
          <w:sz w:val="20"/>
          <w:szCs w:val="20"/>
        </w:rPr>
        <w:fldChar w:fldCharType="separate"/>
      </w:r>
    </w:p>
    <w:p w14:paraId="22FA1DD4" w14:textId="6273D248" w:rsidR="00C337EB" w:rsidRDefault="009E7D82" w:rsidP="003200CC">
      <w:pPr>
        <w:pStyle w:val="Caption"/>
        <w:rPr>
          <w:b/>
          <w:iCs w:val="0"/>
          <w:color w:val="000000" w:themeColor="text1"/>
        </w:rPr>
      </w:pPr>
      <w:r>
        <w:rPr>
          <w:b/>
          <w:i w:val="0"/>
          <w:color w:val="000000" w:themeColor="text1"/>
          <w:sz w:val="24"/>
          <w:szCs w:val="24"/>
        </w:rPr>
        <w:fldChar w:fldCharType="end"/>
      </w:r>
      <w:r w:rsidR="00C337EB" w:rsidRPr="00C337EB">
        <w:rPr>
          <w:noProof/>
        </w:rPr>
        <w:drawing>
          <wp:inline distT="0" distB="0" distL="0" distR="0" wp14:anchorId="12855294" wp14:editId="58DF50E9">
            <wp:extent cx="6105525" cy="8007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5525" cy="8007380"/>
                    </a:xfrm>
                    <a:prstGeom prst="rect">
                      <a:avLst/>
                    </a:prstGeom>
                    <a:noFill/>
                    <a:ln>
                      <a:noFill/>
                    </a:ln>
                  </pic:spPr>
                </pic:pic>
              </a:graphicData>
            </a:graphic>
          </wp:inline>
        </w:drawing>
      </w:r>
    </w:p>
    <w:p w14:paraId="06F02681" w14:textId="34FD493E" w:rsidR="00C337EB" w:rsidRDefault="00C337EB" w:rsidP="00C337EB"/>
    <w:p w14:paraId="73EF944E" w14:textId="7A091DCE" w:rsidR="00C337EB" w:rsidRDefault="00C337EB" w:rsidP="00C337EB">
      <w:r w:rsidRPr="00C337EB">
        <w:rPr>
          <w:noProof/>
        </w:rPr>
        <w:lastRenderedPageBreak/>
        <w:drawing>
          <wp:inline distT="0" distB="0" distL="0" distR="0" wp14:anchorId="6AFAA8D6" wp14:editId="5303B3AB">
            <wp:extent cx="6105525" cy="72821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7282196"/>
                    </a:xfrm>
                    <a:prstGeom prst="rect">
                      <a:avLst/>
                    </a:prstGeom>
                    <a:noFill/>
                    <a:ln>
                      <a:noFill/>
                    </a:ln>
                  </pic:spPr>
                </pic:pic>
              </a:graphicData>
            </a:graphic>
          </wp:inline>
        </w:drawing>
      </w:r>
    </w:p>
    <w:p w14:paraId="4AC966D7" w14:textId="77777777" w:rsidR="00C337EB" w:rsidRPr="00C337EB" w:rsidRDefault="00C337EB" w:rsidP="00C337EB"/>
    <w:p w14:paraId="7FEF6BCD" w14:textId="4797CB65" w:rsidR="00C337EB" w:rsidRDefault="00C337EB" w:rsidP="003200CC">
      <w:pPr>
        <w:pStyle w:val="Caption"/>
      </w:pPr>
      <w:r w:rsidRPr="00C337EB">
        <w:rPr>
          <w:noProof/>
        </w:rPr>
        <w:lastRenderedPageBreak/>
        <w:drawing>
          <wp:inline distT="0" distB="0" distL="0" distR="0" wp14:anchorId="7F189DFD" wp14:editId="73BD7A63">
            <wp:extent cx="6105525" cy="793795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7937952"/>
                    </a:xfrm>
                    <a:prstGeom prst="rect">
                      <a:avLst/>
                    </a:prstGeom>
                    <a:noFill/>
                    <a:ln>
                      <a:noFill/>
                    </a:ln>
                  </pic:spPr>
                </pic:pic>
              </a:graphicData>
            </a:graphic>
          </wp:inline>
        </w:drawing>
      </w:r>
    </w:p>
    <w:p w14:paraId="3CBD1A4A" w14:textId="77777777" w:rsidR="00C337EB" w:rsidRDefault="00C337EB" w:rsidP="003200CC">
      <w:pPr>
        <w:pStyle w:val="Caption"/>
      </w:pPr>
    </w:p>
    <w:p w14:paraId="27B08D87" w14:textId="77777777" w:rsidR="00C337EB" w:rsidRDefault="00C337EB" w:rsidP="003200CC">
      <w:pPr>
        <w:pStyle w:val="Caption"/>
      </w:pPr>
    </w:p>
    <w:p w14:paraId="7050A961" w14:textId="77777777" w:rsidR="00C337EB" w:rsidRDefault="00C337EB" w:rsidP="003200CC">
      <w:pPr>
        <w:pStyle w:val="Caption"/>
      </w:pPr>
    </w:p>
    <w:p w14:paraId="23A63D9A" w14:textId="77777777" w:rsidR="007B5AFB" w:rsidRDefault="007B5AFB" w:rsidP="007B5AFB">
      <w:pPr>
        <w:pStyle w:val="Caption"/>
        <w:rPr>
          <w:b/>
          <w:i w:val="0"/>
          <w:color w:val="000000" w:themeColor="text1"/>
          <w:sz w:val="24"/>
          <w:szCs w:val="24"/>
        </w:rPr>
        <w:sectPr w:rsidR="007B5AFB" w:rsidSect="00C337EB">
          <w:headerReference w:type="default" r:id="rId35"/>
          <w:footerReference w:type="default" r:id="rId36"/>
          <w:pgSz w:w="11906" w:h="16838"/>
          <w:pgMar w:top="1440" w:right="1440" w:bottom="1440" w:left="851" w:header="708" w:footer="708" w:gutter="0"/>
          <w:cols w:space="708"/>
          <w:docGrid w:linePitch="360"/>
        </w:sectPr>
      </w:pPr>
    </w:p>
    <w:p w14:paraId="555D1C6E" w14:textId="6B0CD486" w:rsidR="007B5AFB" w:rsidRDefault="007B5AFB" w:rsidP="007B5AFB">
      <w:pPr>
        <w:pStyle w:val="Caption"/>
        <w:rPr>
          <w:b/>
          <w:i w:val="0"/>
          <w:color w:val="000000" w:themeColor="text1"/>
          <w:sz w:val="24"/>
          <w:szCs w:val="24"/>
        </w:rPr>
      </w:pPr>
      <w:bookmarkStart w:id="61" w:name="_Toc7375501"/>
      <w:r w:rsidRPr="007B5AFB">
        <w:rPr>
          <w:b/>
          <w:i w:val="0"/>
          <w:color w:val="000000" w:themeColor="text1"/>
          <w:sz w:val="24"/>
          <w:szCs w:val="24"/>
        </w:rPr>
        <w:lastRenderedPageBreak/>
        <w:t xml:space="preserve">Table </w:t>
      </w:r>
      <w:r w:rsidR="00174399">
        <w:rPr>
          <w:b/>
          <w:i w:val="0"/>
          <w:color w:val="000000" w:themeColor="text1"/>
          <w:sz w:val="24"/>
          <w:szCs w:val="24"/>
        </w:rPr>
        <w:t>12</w:t>
      </w:r>
      <w:r w:rsidRPr="007B5AFB">
        <w:rPr>
          <w:b/>
          <w:i w:val="0"/>
          <w:color w:val="000000" w:themeColor="text1"/>
          <w:sz w:val="24"/>
          <w:szCs w:val="24"/>
        </w:rPr>
        <w:t>. Impact of JOBs Act on the types of issues mentioned in the SEC comment letters</w:t>
      </w:r>
      <w:bookmarkEnd w:id="61"/>
    </w:p>
    <w:p w14:paraId="1F337DF0" w14:textId="0764A41D" w:rsidR="007B5AFB" w:rsidRDefault="007B5AFB" w:rsidP="007B5AFB">
      <w:pPr>
        <w:rPr>
          <w:rFonts w:asciiTheme="minorHAnsi" w:hAnsiTheme="minorHAnsi" w:cstheme="minorBidi"/>
          <w:sz w:val="22"/>
          <w:szCs w:val="22"/>
          <w:lang w:eastAsia="en-US"/>
        </w:rPr>
      </w:pPr>
      <w:r>
        <w:fldChar w:fldCharType="begin"/>
      </w:r>
      <w:r>
        <w:instrText xml:space="preserve"> LINK </w:instrText>
      </w:r>
      <w:r w:rsidR="00E06724">
        <w:instrText xml:space="preserve">Excel.Sheet.12 "E:\\PhD journey\\Descriptive statistics\\writing\\Descriptive statistics_SEC review attributes (edited).xlsx" "Summary special events!R2C20:R7C40" </w:instrText>
      </w:r>
      <w:r>
        <w:instrText xml:space="preserve">\a \f 4 \h </w:instrText>
      </w:r>
      <w:r w:rsidR="008D2557">
        <w:instrText xml:space="preserve"> \* MERGEFORMAT </w:instrText>
      </w:r>
      <w:r>
        <w:fldChar w:fldCharType="separate"/>
      </w:r>
    </w:p>
    <w:p w14:paraId="6C013610" w14:textId="66A04BA9" w:rsidR="007B5AFB" w:rsidRPr="007B5AFB" w:rsidRDefault="008D2557" w:rsidP="007B5AFB">
      <w:pPr>
        <w:sectPr w:rsidR="007B5AFB" w:rsidRPr="007B5AFB" w:rsidSect="007B5AFB">
          <w:headerReference w:type="default" r:id="rId37"/>
          <w:footerReference w:type="default" r:id="rId38"/>
          <w:pgSz w:w="16838" w:h="11906" w:orient="landscape"/>
          <w:pgMar w:top="851" w:right="1440" w:bottom="1440" w:left="1440" w:header="708" w:footer="708" w:gutter="0"/>
          <w:cols w:space="708"/>
          <w:docGrid w:linePitch="360"/>
        </w:sectPr>
      </w:pPr>
      <w:r>
        <w:t xml:space="preserve"> </w:t>
      </w:r>
      <w:r w:rsidR="007B5AFB">
        <w:fldChar w:fldCharType="end"/>
      </w:r>
      <w:r w:rsidR="00183403" w:rsidRPr="00183403">
        <w:t xml:space="preserve"> </w:t>
      </w:r>
      <w:r w:rsidR="00183403" w:rsidRPr="00183403">
        <w:rPr>
          <w:noProof/>
        </w:rPr>
        <w:drawing>
          <wp:inline distT="0" distB="0" distL="0" distR="0" wp14:anchorId="4D2F79F1" wp14:editId="11912224">
            <wp:extent cx="8863330" cy="240104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863330" cy="2401043"/>
                    </a:xfrm>
                    <a:prstGeom prst="rect">
                      <a:avLst/>
                    </a:prstGeom>
                    <a:noFill/>
                    <a:ln>
                      <a:noFill/>
                    </a:ln>
                  </pic:spPr>
                </pic:pic>
              </a:graphicData>
            </a:graphic>
          </wp:inline>
        </w:drawing>
      </w:r>
    </w:p>
    <w:p w14:paraId="0F7722BB" w14:textId="4E3BDC3D" w:rsidR="007B5AFB" w:rsidRPr="007B5AFB" w:rsidRDefault="007B5AFB" w:rsidP="007B5AFB">
      <w:pPr>
        <w:pStyle w:val="Caption"/>
        <w:rPr>
          <w:b/>
          <w:i w:val="0"/>
          <w:color w:val="000000" w:themeColor="text1"/>
          <w:sz w:val="24"/>
          <w:szCs w:val="24"/>
        </w:rPr>
      </w:pPr>
      <w:bookmarkStart w:id="62" w:name="_Toc7375502"/>
      <w:r w:rsidRPr="007B5AFB">
        <w:rPr>
          <w:b/>
          <w:i w:val="0"/>
          <w:color w:val="000000" w:themeColor="text1"/>
          <w:sz w:val="24"/>
          <w:szCs w:val="24"/>
        </w:rPr>
        <w:lastRenderedPageBreak/>
        <w:t xml:space="preserve">Table </w:t>
      </w:r>
      <w:r w:rsidR="00174399">
        <w:rPr>
          <w:b/>
          <w:i w:val="0"/>
          <w:color w:val="000000" w:themeColor="text1"/>
          <w:sz w:val="24"/>
          <w:szCs w:val="24"/>
        </w:rPr>
        <w:t>13</w:t>
      </w:r>
      <w:r w:rsidRPr="007B5AFB">
        <w:rPr>
          <w:b/>
          <w:i w:val="0"/>
          <w:color w:val="000000" w:themeColor="text1"/>
          <w:sz w:val="24"/>
          <w:szCs w:val="24"/>
        </w:rPr>
        <w:t>. Moderating effects of the IPO firm's characteristics and Herfindahl index on the impact of JOBs Act on the SEC review</w:t>
      </w:r>
      <w:bookmarkEnd w:id="62"/>
    </w:p>
    <w:p w14:paraId="7AA8B5C8" w14:textId="1E2556C7" w:rsidR="003A7C0E" w:rsidRDefault="004740CD" w:rsidP="003A7C0E">
      <w:pPr>
        <w:pStyle w:val="Caption"/>
        <w:rPr>
          <w:b/>
          <w:i w:val="0"/>
          <w:color w:val="000000" w:themeColor="text1"/>
          <w:sz w:val="22"/>
          <w:szCs w:val="22"/>
        </w:rPr>
      </w:pPr>
      <w:r w:rsidRPr="004740CD">
        <w:rPr>
          <w:noProof/>
        </w:rPr>
        <w:drawing>
          <wp:inline distT="0" distB="0" distL="0" distR="0" wp14:anchorId="6A352CB1" wp14:editId="5146A499">
            <wp:extent cx="5076825" cy="72009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6825" cy="7200900"/>
                    </a:xfrm>
                    <a:prstGeom prst="rect">
                      <a:avLst/>
                    </a:prstGeom>
                    <a:noFill/>
                    <a:ln>
                      <a:noFill/>
                    </a:ln>
                  </pic:spPr>
                </pic:pic>
              </a:graphicData>
            </a:graphic>
          </wp:inline>
        </w:drawing>
      </w:r>
    </w:p>
    <w:p w14:paraId="1C9B5B16" w14:textId="7CBA4FD5" w:rsidR="003200CC" w:rsidRPr="003A7C0E" w:rsidRDefault="00DC27B9" w:rsidP="003A7C0E">
      <w:pPr>
        <w:pStyle w:val="Caption"/>
        <w:rPr>
          <w:b/>
          <w:i w:val="0"/>
          <w:color w:val="000000" w:themeColor="text1"/>
          <w:sz w:val="22"/>
          <w:szCs w:val="22"/>
        </w:rPr>
      </w:pPr>
      <w:r w:rsidRPr="00DC27B9">
        <w:lastRenderedPageBreak/>
        <w:t xml:space="preserve"> </w:t>
      </w:r>
      <w:r w:rsidR="00963112" w:rsidRPr="00963112">
        <w:t xml:space="preserve">  </w:t>
      </w:r>
      <w:r w:rsidR="00963112" w:rsidRPr="00963112">
        <w:rPr>
          <w:noProof/>
        </w:rPr>
        <w:drawing>
          <wp:inline distT="0" distB="0" distL="0" distR="0" wp14:anchorId="072919DF" wp14:editId="1BB7FEE5">
            <wp:extent cx="5267325" cy="79724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7325" cy="7972425"/>
                    </a:xfrm>
                    <a:prstGeom prst="rect">
                      <a:avLst/>
                    </a:prstGeom>
                    <a:noFill/>
                    <a:ln>
                      <a:noFill/>
                    </a:ln>
                  </pic:spPr>
                </pic:pic>
              </a:graphicData>
            </a:graphic>
          </wp:inline>
        </w:drawing>
      </w:r>
      <w:r w:rsidR="00963112" w:rsidRPr="00963112">
        <w:t xml:space="preserve"> </w:t>
      </w:r>
      <w:r w:rsidR="003200CC" w:rsidRPr="003A7C0E">
        <w:rPr>
          <w:b/>
          <w:i w:val="0"/>
          <w:color w:val="000000" w:themeColor="text1"/>
          <w:sz w:val="22"/>
          <w:szCs w:val="22"/>
        </w:rPr>
        <w:fldChar w:fldCharType="begin"/>
      </w:r>
      <w:r w:rsidR="003200CC" w:rsidRPr="003A7C0E">
        <w:rPr>
          <w:b/>
          <w:i w:val="0"/>
          <w:color w:val="000000" w:themeColor="text1"/>
          <w:sz w:val="22"/>
          <w:szCs w:val="22"/>
        </w:rPr>
        <w:instrText xml:space="preserve"> LINK </w:instrText>
      </w:r>
      <w:r w:rsidR="00B11208" w:rsidRPr="003A7C0E">
        <w:rPr>
          <w:b/>
          <w:i w:val="0"/>
          <w:color w:val="000000" w:themeColor="text1"/>
          <w:sz w:val="22"/>
          <w:szCs w:val="22"/>
        </w:rPr>
        <w:instrText xml:space="preserve">Excel.Sheet.12 "E:\\PhD journey\\Descriptive statistics\\writing\\Descriptive statistics_SEC review attributes (edited).xlsx" "multivariate analysis!R1C1:R25C17" </w:instrText>
      </w:r>
      <w:r w:rsidR="003200CC" w:rsidRPr="003A7C0E">
        <w:rPr>
          <w:b/>
          <w:i w:val="0"/>
          <w:color w:val="000000" w:themeColor="text1"/>
          <w:sz w:val="22"/>
          <w:szCs w:val="22"/>
        </w:rPr>
        <w:instrText xml:space="preserve">\a \f 4 \h  \* MERGEFORMAT </w:instrText>
      </w:r>
      <w:r w:rsidR="003200CC" w:rsidRPr="003A7C0E">
        <w:rPr>
          <w:b/>
          <w:i w:val="0"/>
          <w:color w:val="000000" w:themeColor="text1"/>
          <w:sz w:val="22"/>
          <w:szCs w:val="22"/>
        </w:rPr>
        <w:fldChar w:fldCharType="separate"/>
      </w:r>
    </w:p>
    <w:p w14:paraId="480AE7B1" w14:textId="54B5D1E9" w:rsidR="003200CC" w:rsidRPr="003200CC" w:rsidRDefault="003200CC" w:rsidP="003200CC">
      <w:pPr>
        <w:sectPr w:rsidR="003200CC" w:rsidRPr="003200CC" w:rsidSect="00C337EB">
          <w:headerReference w:type="default" r:id="rId42"/>
          <w:footerReference w:type="default" r:id="rId43"/>
          <w:pgSz w:w="11906" w:h="16838"/>
          <w:pgMar w:top="1440" w:right="1440" w:bottom="1440" w:left="851" w:header="708" w:footer="708" w:gutter="0"/>
          <w:cols w:space="708"/>
          <w:docGrid w:linePitch="360"/>
        </w:sectPr>
      </w:pPr>
      <w:r w:rsidRPr="003A7C0E">
        <w:rPr>
          <w:color w:val="000000" w:themeColor="text1"/>
        </w:rPr>
        <w:fldChar w:fldCharType="end"/>
      </w:r>
    </w:p>
    <w:p w14:paraId="3B1F91F3" w14:textId="442BB99B" w:rsidR="004017DD" w:rsidRPr="003F17D9" w:rsidRDefault="004017DD" w:rsidP="004017DD">
      <w:pPr>
        <w:pStyle w:val="Caption"/>
        <w:ind w:left="360"/>
        <w:jc w:val="center"/>
        <w:rPr>
          <w:b/>
          <w:i w:val="0"/>
          <w:noProof/>
          <w:color w:val="000000" w:themeColor="text1"/>
          <w:sz w:val="24"/>
          <w:szCs w:val="24"/>
        </w:rPr>
      </w:pPr>
      <w:bookmarkStart w:id="63" w:name="_Toc515230780"/>
      <w:bookmarkStart w:id="64" w:name="_Toc7375550"/>
      <w:bookmarkStart w:id="65" w:name="_Toc7375553"/>
      <w:r w:rsidRPr="003F17D9">
        <w:rPr>
          <w:b/>
          <w:i w:val="0"/>
          <w:color w:val="000000" w:themeColor="text1"/>
          <w:sz w:val="24"/>
          <w:szCs w:val="24"/>
        </w:rPr>
        <w:lastRenderedPageBreak/>
        <w:t xml:space="preserve">Figure </w:t>
      </w:r>
      <w:r w:rsidRPr="003F17D9">
        <w:rPr>
          <w:b/>
          <w:i w:val="0"/>
          <w:color w:val="000000" w:themeColor="text1"/>
          <w:sz w:val="24"/>
          <w:szCs w:val="24"/>
        </w:rPr>
        <w:fldChar w:fldCharType="begin"/>
      </w:r>
      <w:r w:rsidRPr="003F17D9">
        <w:rPr>
          <w:b/>
          <w:i w:val="0"/>
          <w:color w:val="000000" w:themeColor="text1"/>
          <w:sz w:val="24"/>
          <w:szCs w:val="24"/>
        </w:rPr>
        <w:instrText xml:space="preserve"> SEQ Figure \* ARABIC </w:instrText>
      </w:r>
      <w:r w:rsidRPr="003F17D9">
        <w:rPr>
          <w:b/>
          <w:i w:val="0"/>
          <w:color w:val="000000" w:themeColor="text1"/>
          <w:sz w:val="24"/>
          <w:szCs w:val="24"/>
        </w:rPr>
        <w:fldChar w:fldCharType="separate"/>
      </w:r>
      <w:r w:rsidR="003C7B36">
        <w:rPr>
          <w:b/>
          <w:i w:val="0"/>
          <w:noProof/>
          <w:color w:val="000000" w:themeColor="text1"/>
          <w:sz w:val="24"/>
          <w:szCs w:val="24"/>
        </w:rPr>
        <w:t>1</w:t>
      </w:r>
      <w:r w:rsidRPr="003F17D9">
        <w:rPr>
          <w:b/>
          <w:i w:val="0"/>
          <w:color w:val="000000" w:themeColor="text1"/>
          <w:sz w:val="24"/>
          <w:szCs w:val="24"/>
        </w:rPr>
        <w:fldChar w:fldCharType="end"/>
      </w:r>
      <w:r w:rsidRPr="003F17D9">
        <w:rPr>
          <w:b/>
          <w:i w:val="0"/>
          <w:color w:val="000000" w:themeColor="text1"/>
          <w:sz w:val="24"/>
          <w:szCs w:val="24"/>
        </w:rPr>
        <w:t>. IPO process</w:t>
      </w:r>
      <w:bookmarkEnd w:id="63"/>
      <w:bookmarkEnd w:id="64"/>
    </w:p>
    <w:p w14:paraId="452EE2F4" w14:textId="7716CBE0" w:rsidR="004017DD" w:rsidRPr="00BE1FFD" w:rsidRDefault="00953B8E" w:rsidP="004017DD">
      <w:pPr>
        <w:pStyle w:val="ListParagraph"/>
        <w:spacing w:line="360" w:lineRule="auto"/>
        <w:ind w:left="360"/>
        <w:jc w:val="both"/>
        <w:rPr>
          <w:noProof/>
          <w:color w:val="000000" w:themeColor="text1"/>
        </w:rPr>
      </w:pPr>
      <w:r>
        <w:rPr>
          <w:noProof/>
        </w:rPr>
        <w:drawing>
          <wp:inline distT="0" distB="0" distL="0" distR="0" wp14:anchorId="40983574" wp14:editId="2A477E54">
            <wp:extent cx="5167423" cy="1958455"/>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BEBA8EAE-BF5A-486C-A8C5-ECC9F3942E4B}">
                          <a14:imgProps xmlns:a14="http://schemas.microsoft.com/office/drawing/2010/main">
                            <a14:imgLayer r:embed="rId45">
                              <a14:imgEffect>
                                <a14:sharpenSoften amount="25000"/>
                              </a14:imgEffect>
                            </a14:imgLayer>
                          </a14:imgProps>
                        </a:ext>
                      </a:extLst>
                    </a:blip>
                    <a:srcRect l="24060" t="43425" r="9592" b="11851"/>
                    <a:stretch/>
                  </pic:blipFill>
                  <pic:spPr bwMode="auto">
                    <a:xfrm>
                      <a:off x="0" y="0"/>
                      <a:ext cx="5177163" cy="1962146"/>
                    </a:xfrm>
                    <a:prstGeom prst="rect">
                      <a:avLst/>
                    </a:prstGeom>
                    <a:ln>
                      <a:noFill/>
                    </a:ln>
                    <a:extLst>
                      <a:ext uri="{53640926-AAD7-44D8-BBD7-CCE9431645EC}">
                        <a14:shadowObscured xmlns:a14="http://schemas.microsoft.com/office/drawing/2010/main"/>
                      </a:ext>
                    </a:extLst>
                  </pic:spPr>
                </pic:pic>
              </a:graphicData>
            </a:graphic>
          </wp:inline>
        </w:drawing>
      </w:r>
    </w:p>
    <w:p w14:paraId="32C59604" w14:textId="5B85121B" w:rsidR="004017DD" w:rsidRDefault="004017DD" w:rsidP="004017DD">
      <w:pPr>
        <w:pStyle w:val="ListParagraph"/>
        <w:spacing w:line="360" w:lineRule="auto"/>
        <w:ind w:left="3960" w:firstLine="360"/>
        <w:jc w:val="center"/>
        <w:rPr>
          <w:noProof/>
          <w:color w:val="000000" w:themeColor="text1"/>
        </w:rPr>
      </w:pPr>
      <w:r w:rsidRPr="00BE1FFD">
        <w:rPr>
          <w:noProof/>
          <w:color w:val="000000" w:themeColor="text1"/>
        </w:rPr>
        <w:t>Sourc</w:t>
      </w:r>
      <w:r>
        <w:rPr>
          <w:noProof/>
          <w:color w:val="000000" w:themeColor="text1"/>
        </w:rPr>
        <w:t>e: PricewaterhouseCoopers, 2011</w:t>
      </w:r>
    </w:p>
    <w:p w14:paraId="1B148DC5" w14:textId="7E8F90FC" w:rsidR="004017DD" w:rsidRDefault="004017DD" w:rsidP="004017DD">
      <w:pPr>
        <w:pStyle w:val="ListParagraph"/>
        <w:spacing w:line="360" w:lineRule="auto"/>
        <w:ind w:left="3960" w:firstLine="360"/>
        <w:jc w:val="center"/>
        <w:rPr>
          <w:noProof/>
          <w:color w:val="000000" w:themeColor="text1"/>
        </w:rPr>
      </w:pPr>
    </w:p>
    <w:p w14:paraId="50750B6E" w14:textId="385BF004" w:rsidR="004017DD" w:rsidRPr="003F17D9" w:rsidRDefault="004017DD" w:rsidP="004017DD">
      <w:pPr>
        <w:pStyle w:val="Caption"/>
        <w:jc w:val="center"/>
        <w:rPr>
          <w:b/>
          <w:i w:val="0"/>
          <w:color w:val="000000" w:themeColor="text1"/>
          <w:sz w:val="24"/>
          <w:szCs w:val="24"/>
        </w:rPr>
      </w:pPr>
      <w:bookmarkStart w:id="66" w:name="_Toc515230781"/>
      <w:bookmarkStart w:id="67" w:name="_Toc7375551"/>
      <w:r w:rsidRPr="003F17D9">
        <w:rPr>
          <w:b/>
          <w:i w:val="0"/>
          <w:color w:val="000000" w:themeColor="text1"/>
          <w:sz w:val="24"/>
          <w:szCs w:val="24"/>
        </w:rPr>
        <w:t xml:space="preserve">Figure </w:t>
      </w:r>
      <w:r w:rsidRPr="003F17D9">
        <w:rPr>
          <w:b/>
          <w:i w:val="0"/>
          <w:color w:val="000000" w:themeColor="text1"/>
          <w:sz w:val="24"/>
          <w:szCs w:val="24"/>
        </w:rPr>
        <w:fldChar w:fldCharType="begin"/>
      </w:r>
      <w:r w:rsidRPr="003F17D9">
        <w:rPr>
          <w:b/>
          <w:i w:val="0"/>
          <w:color w:val="000000" w:themeColor="text1"/>
          <w:sz w:val="24"/>
          <w:szCs w:val="24"/>
        </w:rPr>
        <w:instrText xml:space="preserve"> SEQ Figure \* ARABIC </w:instrText>
      </w:r>
      <w:r w:rsidRPr="003F17D9">
        <w:rPr>
          <w:b/>
          <w:i w:val="0"/>
          <w:color w:val="000000" w:themeColor="text1"/>
          <w:sz w:val="24"/>
          <w:szCs w:val="24"/>
        </w:rPr>
        <w:fldChar w:fldCharType="separate"/>
      </w:r>
      <w:r w:rsidR="003C7B36">
        <w:rPr>
          <w:b/>
          <w:i w:val="0"/>
          <w:noProof/>
          <w:color w:val="000000" w:themeColor="text1"/>
          <w:sz w:val="24"/>
          <w:szCs w:val="24"/>
        </w:rPr>
        <w:t>2</w:t>
      </w:r>
      <w:r w:rsidRPr="003F17D9">
        <w:rPr>
          <w:b/>
          <w:i w:val="0"/>
          <w:color w:val="000000" w:themeColor="text1"/>
          <w:sz w:val="24"/>
          <w:szCs w:val="24"/>
        </w:rPr>
        <w:fldChar w:fldCharType="end"/>
      </w:r>
      <w:r w:rsidRPr="003F17D9">
        <w:rPr>
          <w:b/>
          <w:i w:val="0"/>
          <w:color w:val="000000" w:themeColor="text1"/>
          <w:sz w:val="24"/>
          <w:szCs w:val="24"/>
        </w:rPr>
        <w:t>. The SEC review process</w:t>
      </w:r>
      <w:bookmarkEnd w:id="66"/>
      <w:bookmarkEnd w:id="67"/>
    </w:p>
    <w:p w14:paraId="3544516E" w14:textId="77777777" w:rsidR="004017DD" w:rsidRPr="00011D31" w:rsidRDefault="004017DD" w:rsidP="004017DD">
      <w:pPr>
        <w:pStyle w:val="ListParagraph"/>
        <w:spacing w:line="360" w:lineRule="auto"/>
        <w:ind w:left="360"/>
        <w:jc w:val="both"/>
        <w:rPr>
          <w:color w:val="000000" w:themeColor="text1"/>
        </w:rPr>
      </w:pPr>
      <w:r>
        <w:rPr>
          <w:noProof/>
        </w:rPr>
        <w:drawing>
          <wp:inline distT="0" distB="0" distL="0" distR="0" wp14:anchorId="7EA8DDBF" wp14:editId="2F4FF27B">
            <wp:extent cx="5819775" cy="146441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0566" t="49333" r="4189" b="17005"/>
                    <a:stretch/>
                  </pic:blipFill>
                  <pic:spPr bwMode="auto">
                    <a:xfrm>
                      <a:off x="0" y="0"/>
                      <a:ext cx="5863164" cy="1475330"/>
                    </a:xfrm>
                    <a:prstGeom prst="rect">
                      <a:avLst/>
                    </a:prstGeom>
                    <a:ln>
                      <a:noFill/>
                    </a:ln>
                    <a:extLst>
                      <a:ext uri="{53640926-AAD7-44D8-BBD7-CCE9431645EC}">
                        <a14:shadowObscured xmlns:a14="http://schemas.microsoft.com/office/drawing/2010/main"/>
                      </a:ext>
                    </a:extLst>
                  </pic:spPr>
                </pic:pic>
              </a:graphicData>
            </a:graphic>
          </wp:inline>
        </w:drawing>
      </w:r>
    </w:p>
    <w:p w14:paraId="18F4B3F8" w14:textId="36A50195" w:rsidR="004017DD" w:rsidRDefault="004017DD" w:rsidP="00953B8E">
      <w:pPr>
        <w:pStyle w:val="ListParagraph"/>
        <w:spacing w:line="360" w:lineRule="auto"/>
        <w:ind w:left="3544"/>
        <w:jc w:val="center"/>
        <w:rPr>
          <w:color w:val="000000" w:themeColor="text1"/>
        </w:rPr>
      </w:pPr>
      <w:r w:rsidRPr="00011D31">
        <w:rPr>
          <w:color w:val="000000" w:themeColor="text1"/>
        </w:rPr>
        <w:t>Source: Division of</w:t>
      </w:r>
      <w:r w:rsidR="00953B8E">
        <w:rPr>
          <w:color w:val="000000" w:themeColor="text1"/>
        </w:rPr>
        <w:t xml:space="preserve"> Corporation</w:t>
      </w:r>
      <w:r w:rsidRPr="00011D31">
        <w:rPr>
          <w:color w:val="000000" w:themeColor="text1"/>
        </w:rPr>
        <w:t xml:space="preserve"> Finance - SEC (2018)</w:t>
      </w:r>
    </w:p>
    <w:p w14:paraId="2BCC0822" w14:textId="4D60CDE7" w:rsidR="004017DD" w:rsidRDefault="004017DD" w:rsidP="004017DD">
      <w:pPr>
        <w:pStyle w:val="ListParagraph"/>
        <w:spacing w:line="360" w:lineRule="auto"/>
        <w:ind w:left="3960"/>
        <w:jc w:val="center"/>
        <w:rPr>
          <w:color w:val="000000" w:themeColor="text1"/>
        </w:rPr>
      </w:pPr>
    </w:p>
    <w:p w14:paraId="32693447" w14:textId="76E3D50F" w:rsidR="004017DD" w:rsidRDefault="004017DD" w:rsidP="004017DD">
      <w:pPr>
        <w:pStyle w:val="Caption"/>
        <w:jc w:val="center"/>
        <w:rPr>
          <w:b/>
          <w:i w:val="0"/>
          <w:color w:val="auto"/>
          <w:sz w:val="24"/>
          <w:szCs w:val="24"/>
        </w:rPr>
      </w:pPr>
      <w:bookmarkStart w:id="68" w:name="_Toc7375552"/>
      <w:r w:rsidRPr="001B5681">
        <w:rPr>
          <w:b/>
          <w:i w:val="0"/>
          <w:color w:val="auto"/>
          <w:sz w:val="24"/>
          <w:szCs w:val="24"/>
        </w:rPr>
        <w:t xml:space="preserve">Figure </w:t>
      </w:r>
      <w:r w:rsidRPr="001B5681">
        <w:rPr>
          <w:b/>
          <w:i w:val="0"/>
          <w:color w:val="auto"/>
          <w:sz w:val="24"/>
          <w:szCs w:val="24"/>
        </w:rPr>
        <w:fldChar w:fldCharType="begin"/>
      </w:r>
      <w:r w:rsidRPr="001B5681">
        <w:rPr>
          <w:b/>
          <w:i w:val="0"/>
          <w:color w:val="auto"/>
          <w:sz w:val="24"/>
          <w:szCs w:val="24"/>
        </w:rPr>
        <w:instrText xml:space="preserve"> SEQ Figure \* ARABIC </w:instrText>
      </w:r>
      <w:r w:rsidRPr="001B5681">
        <w:rPr>
          <w:b/>
          <w:i w:val="0"/>
          <w:color w:val="auto"/>
          <w:sz w:val="24"/>
          <w:szCs w:val="24"/>
        </w:rPr>
        <w:fldChar w:fldCharType="separate"/>
      </w:r>
      <w:r w:rsidR="003C7B36">
        <w:rPr>
          <w:b/>
          <w:i w:val="0"/>
          <w:noProof/>
          <w:color w:val="auto"/>
          <w:sz w:val="24"/>
          <w:szCs w:val="24"/>
        </w:rPr>
        <w:t>3</w:t>
      </w:r>
      <w:r w:rsidRPr="001B5681">
        <w:rPr>
          <w:b/>
          <w:i w:val="0"/>
          <w:color w:val="auto"/>
          <w:sz w:val="24"/>
          <w:szCs w:val="24"/>
        </w:rPr>
        <w:fldChar w:fldCharType="end"/>
      </w:r>
      <w:r w:rsidRPr="001B5681">
        <w:rPr>
          <w:b/>
          <w:i w:val="0"/>
          <w:color w:val="auto"/>
          <w:sz w:val="24"/>
          <w:szCs w:val="24"/>
        </w:rPr>
        <w:t>. Organizational hierarchy of an office in Corporation Finance Division</w:t>
      </w:r>
      <w:bookmarkEnd w:id="68"/>
    </w:p>
    <w:p w14:paraId="0907654F" w14:textId="77777777" w:rsidR="004017DD" w:rsidRPr="00246B1C" w:rsidRDefault="004017DD" w:rsidP="004017DD"/>
    <w:p w14:paraId="7BC62F2F" w14:textId="77777777" w:rsidR="004017DD" w:rsidRPr="000A7550" w:rsidRDefault="004017DD" w:rsidP="004017DD">
      <w:r>
        <w:rPr>
          <w:noProof/>
        </w:rPr>
        <w:drawing>
          <wp:inline distT="0" distB="0" distL="0" distR="0" wp14:anchorId="79BA0DD9" wp14:editId="71B22ADA">
            <wp:extent cx="5419725" cy="25146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24483" t="37725" r="18879" b="13813"/>
                    <a:stretch/>
                  </pic:blipFill>
                  <pic:spPr bwMode="auto">
                    <a:xfrm>
                      <a:off x="0" y="0"/>
                      <a:ext cx="5419725" cy="2514600"/>
                    </a:xfrm>
                    <a:prstGeom prst="rect">
                      <a:avLst/>
                    </a:prstGeom>
                    <a:ln>
                      <a:noFill/>
                    </a:ln>
                    <a:extLst>
                      <a:ext uri="{53640926-AAD7-44D8-BBD7-CCE9431645EC}">
                        <a14:shadowObscured xmlns:a14="http://schemas.microsoft.com/office/drawing/2010/main"/>
                      </a:ext>
                    </a:extLst>
                  </pic:spPr>
                </pic:pic>
              </a:graphicData>
            </a:graphic>
          </wp:inline>
        </w:drawing>
      </w:r>
    </w:p>
    <w:p w14:paraId="7D0D13B5" w14:textId="76B7C219" w:rsidR="004017DD" w:rsidRPr="00DD24E9" w:rsidRDefault="00953B8E" w:rsidP="00953B8E">
      <w:pPr>
        <w:pStyle w:val="ListParagraph"/>
        <w:spacing w:line="360" w:lineRule="auto"/>
        <w:ind w:left="3544"/>
        <w:jc w:val="center"/>
        <w:rPr>
          <w:color w:val="000000" w:themeColor="text1"/>
        </w:rPr>
      </w:pPr>
      <w:r>
        <w:rPr>
          <w:color w:val="000000" w:themeColor="text1"/>
        </w:rPr>
        <w:t>Source: Division of Corporation</w:t>
      </w:r>
      <w:r w:rsidR="004017DD" w:rsidRPr="00011D31">
        <w:rPr>
          <w:color w:val="000000" w:themeColor="text1"/>
        </w:rPr>
        <w:t xml:space="preserve"> Finance - SEC (2018)</w:t>
      </w:r>
    </w:p>
    <w:p w14:paraId="13B8D59C" w14:textId="61E3E2E0" w:rsidR="004017DD" w:rsidRDefault="004017DD" w:rsidP="004017DD">
      <w:pPr>
        <w:pStyle w:val="Caption"/>
        <w:rPr>
          <w:b/>
          <w:i w:val="0"/>
          <w:color w:val="000000" w:themeColor="text1"/>
          <w:sz w:val="24"/>
          <w:szCs w:val="24"/>
        </w:rPr>
      </w:pPr>
    </w:p>
    <w:p w14:paraId="7F5FCC54" w14:textId="112F2524" w:rsidR="00C734DC" w:rsidRDefault="00C734DC" w:rsidP="00C734DC">
      <w:pPr>
        <w:pStyle w:val="Caption"/>
        <w:jc w:val="center"/>
        <w:rPr>
          <w:b/>
          <w:i w:val="0"/>
          <w:color w:val="000000" w:themeColor="text1"/>
          <w:sz w:val="24"/>
          <w:szCs w:val="24"/>
        </w:rPr>
      </w:pPr>
      <w:r w:rsidRPr="000912EF">
        <w:rPr>
          <w:b/>
          <w:i w:val="0"/>
          <w:color w:val="000000" w:themeColor="text1"/>
          <w:sz w:val="24"/>
          <w:szCs w:val="24"/>
        </w:rPr>
        <w:lastRenderedPageBreak/>
        <w:t xml:space="preserve">Figure </w:t>
      </w:r>
      <w:r w:rsidRPr="000912EF">
        <w:rPr>
          <w:b/>
          <w:i w:val="0"/>
          <w:color w:val="000000" w:themeColor="text1"/>
          <w:sz w:val="24"/>
          <w:szCs w:val="24"/>
        </w:rPr>
        <w:fldChar w:fldCharType="begin"/>
      </w:r>
      <w:r w:rsidRPr="000912EF">
        <w:rPr>
          <w:b/>
          <w:i w:val="0"/>
          <w:color w:val="000000" w:themeColor="text1"/>
          <w:sz w:val="24"/>
          <w:szCs w:val="24"/>
        </w:rPr>
        <w:instrText xml:space="preserve"> SEQ Figure \* ARABIC </w:instrText>
      </w:r>
      <w:r w:rsidRPr="000912EF">
        <w:rPr>
          <w:b/>
          <w:i w:val="0"/>
          <w:color w:val="000000" w:themeColor="text1"/>
          <w:sz w:val="24"/>
          <w:szCs w:val="24"/>
        </w:rPr>
        <w:fldChar w:fldCharType="separate"/>
      </w:r>
      <w:r w:rsidR="001B5681">
        <w:rPr>
          <w:b/>
          <w:i w:val="0"/>
          <w:noProof/>
          <w:color w:val="000000" w:themeColor="text1"/>
          <w:sz w:val="24"/>
          <w:szCs w:val="24"/>
        </w:rPr>
        <w:t>4</w:t>
      </w:r>
      <w:r w:rsidRPr="000912EF">
        <w:rPr>
          <w:b/>
          <w:i w:val="0"/>
          <w:color w:val="000000" w:themeColor="text1"/>
          <w:sz w:val="24"/>
          <w:szCs w:val="24"/>
        </w:rPr>
        <w:fldChar w:fldCharType="end"/>
      </w:r>
      <w:r w:rsidRPr="000912EF">
        <w:rPr>
          <w:b/>
          <w:i w:val="0"/>
          <w:color w:val="000000" w:themeColor="text1"/>
          <w:sz w:val="24"/>
          <w:szCs w:val="24"/>
        </w:rPr>
        <w:t xml:space="preserve">. </w:t>
      </w:r>
      <w:r>
        <w:rPr>
          <w:b/>
          <w:i w:val="0"/>
          <w:color w:val="000000" w:themeColor="text1"/>
          <w:sz w:val="24"/>
          <w:szCs w:val="24"/>
        </w:rPr>
        <w:t>Time distribution of sample</w:t>
      </w:r>
      <w:bookmarkEnd w:id="65"/>
    </w:p>
    <w:p w14:paraId="192EB7F7" w14:textId="77777777" w:rsidR="00C734DC" w:rsidRPr="000B32B0" w:rsidRDefault="00C734DC" w:rsidP="00C734DC">
      <w:pPr>
        <w:ind w:left="720"/>
      </w:pPr>
      <w:r>
        <w:rPr>
          <w:noProof/>
        </w:rPr>
        <w:drawing>
          <wp:inline distT="0" distB="0" distL="0" distR="0" wp14:anchorId="3054458A" wp14:editId="2BFC8B90">
            <wp:extent cx="5076825" cy="2609850"/>
            <wp:effectExtent l="0" t="0" r="9525"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B960512" w14:textId="77777777" w:rsidR="00C734DC" w:rsidRDefault="00C734DC" w:rsidP="00F91520">
      <w:pPr>
        <w:pStyle w:val="Heading1"/>
        <w:rPr>
          <w:rFonts w:ascii="Times New Roman" w:hAnsi="Times New Roman" w:cs="Times New Roman"/>
          <w:b/>
          <w:color w:val="000000" w:themeColor="text1"/>
          <w:sz w:val="24"/>
          <w:szCs w:val="24"/>
          <w:lang w:eastAsia="en-US"/>
        </w:rPr>
        <w:sectPr w:rsidR="00C734DC" w:rsidSect="006076D6">
          <w:headerReference w:type="default" r:id="rId49"/>
          <w:footerReference w:type="default" r:id="rId50"/>
          <w:pgSz w:w="11906" w:h="16838"/>
          <w:pgMar w:top="1440" w:right="1440" w:bottom="1440" w:left="1276" w:header="708" w:footer="708" w:gutter="0"/>
          <w:cols w:space="708"/>
          <w:docGrid w:linePitch="360"/>
        </w:sectPr>
      </w:pPr>
    </w:p>
    <w:p w14:paraId="6B7284D6" w14:textId="51EA470C" w:rsidR="00C734DC" w:rsidRPr="000912EF" w:rsidRDefault="00C734DC" w:rsidP="00C734DC">
      <w:pPr>
        <w:pStyle w:val="Caption"/>
        <w:jc w:val="center"/>
        <w:rPr>
          <w:b/>
          <w:i w:val="0"/>
          <w:color w:val="000000" w:themeColor="text1"/>
          <w:sz w:val="24"/>
          <w:szCs w:val="24"/>
          <w:lang w:eastAsia="en-US"/>
        </w:rPr>
      </w:pPr>
      <w:bookmarkStart w:id="69" w:name="_Toc7375554"/>
      <w:r w:rsidRPr="000912EF">
        <w:rPr>
          <w:b/>
          <w:i w:val="0"/>
          <w:color w:val="000000" w:themeColor="text1"/>
          <w:sz w:val="24"/>
          <w:szCs w:val="24"/>
        </w:rPr>
        <w:lastRenderedPageBreak/>
        <w:t xml:space="preserve">Figure </w:t>
      </w:r>
      <w:r w:rsidRPr="000912EF">
        <w:rPr>
          <w:b/>
          <w:i w:val="0"/>
          <w:color w:val="000000" w:themeColor="text1"/>
          <w:sz w:val="24"/>
          <w:szCs w:val="24"/>
        </w:rPr>
        <w:fldChar w:fldCharType="begin"/>
      </w:r>
      <w:r w:rsidRPr="000912EF">
        <w:rPr>
          <w:b/>
          <w:i w:val="0"/>
          <w:color w:val="000000" w:themeColor="text1"/>
          <w:sz w:val="24"/>
          <w:szCs w:val="24"/>
        </w:rPr>
        <w:instrText xml:space="preserve"> SEQ Figure \* ARABIC </w:instrText>
      </w:r>
      <w:r w:rsidRPr="000912EF">
        <w:rPr>
          <w:b/>
          <w:i w:val="0"/>
          <w:color w:val="000000" w:themeColor="text1"/>
          <w:sz w:val="24"/>
          <w:szCs w:val="24"/>
        </w:rPr>
        <w:fldChar w:fldCharType="separate"/>
      </w:r>
      <w:r w:rsidR="001B5681">
        <w:rPr>
          <w:b/>
          <w:i w:val="0"/>
          <w:noProof/>
          <w:color w:val="000000" w:themeColor="text1"/>
          <w:sz w:val="24"/>
          <w:szCs w:val="24"/>
        </w:rPr>
        <w:t>5</w:t>
      </w:r>
      <w:r w:rsidRPr="000912EF">
        <w:rPr>
          <w:b/>
          <w:i w:val="0"/>
          <w:color w:val="000000" w:themeColor="text1"/>
          <w:sz w:val="24"/>
          <w:szCs w:val="24"/>
        </w:rPr>
        <w:fldChar w:fldCharType="end"/>
      </w:r>
      <w:r w:rsidRPr="000912EF">
        <w:rPr>
          <w:b/>
          <w:i w:val="0"/>
          <w:color w:val="000000" w:themeColor="text1"/>
          <w:sz w:val="24"/>
          <w:szCs w:val="24"/>
        </w:rPr>
        <w:t>. Duration</w:t>
      </w:r>
      <w:bookmarkEnd w:id="69"/>
    </w:p>
    <w:p w14:paraId="235EEE45" w14:textId="77777777" w:rsidR="00C734DC" w:rsidRPr="000912EF" w:rsidRDefault="00C734DC" w:rsidP="00C734DC">
      <w:pPr>
        <w:spacing w:line="360" w:lineRule="auto"/>
        <w:ind w:left="993"/>
        <w:jc w:val="both"/>
        <w:rPr>
          <w:lang w:eastAsia="en-US"/>
        </w:rPr>
      </w:pPr>
      <w:r w:rsidRPr="000912EF">
        <w:rPr>
          <w:noProof/>
        </w:rPr>
        <w:drawing>
          <wp:inline distT="0" distB="0" distL="0" distR="0" wp14:anchorId="1E724F0E" wp14:editId="513099BB">
            <wp:extent cx="4772025" cy="243840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BE78F88" w14:textId="14EB59CF" w:rsidR="00C734DC" w:rsidRPr="000912EF" w:rsidRDefault="00C734DC" w:rsidP="00C734DC">
      <w:pPr>
        <w:pStyle w:val="Caption"/>
        <w:jc w:val="center"/>
        <w:rPr>
          <w:b/>
          <w:i w:val="0"/>
          <w:color w:val="000000" w:themeColor="text1"/>
          <w:sz w:val="24"/>
          <w:szCs w:val="24"/>
        </w:rPr>
      </w:pPr>
      <w:bookmarkStart w:id="70" w:name="_Toc7375555"/>
      <w:r w:rsidRPr="000912EF">
        <w:rPr>
          <w:b/>
          <w:i w:val="0"/>
          <w:color w:val="000000" w:themeColor="text1"/>
          <w:sz w:val="24"/>
          <w:szCs w:val="24"/>
        </w:rPr>
        <w:t xml:space="preserve">Figure </w:t>
      </w:r>
      <w:r w:rsidRPr="000912EF">
        <w:rPr>
          <w:b/>
          <w:i w:val="0"/>
          <w:color w:val="000000" w:themeColor="text1"/>
          <w:sz w:val="24"/>
          <w:szCs w:val="24"/>
        </w:rPr>
        <w:fldChar w:fldCharType="begin"/>
      </w:r>
      <w:r w:rsidRPr="000912EF">
        <w:rPr>
          <w:b/>
          <w:i w:val="0"/>
          <w:color w:val="000000" w:themeColor="text1"/>
          <w:sz w:val="24"/>
          <w:szCs w:val="24"/>
        </w:rPr>
        <w:instrText xml:space="preserve"> SEQ Figure \* ARABIC </w:instrText>
      </w:r>
      <w:r w:rsidRPr="000912EF">
        <w:rPr>
          <w:b/>
          <w:i w:val="0"/>
          <w:color w:val="000000" w:themeColor="text1"/>
          <w:sz w:val="24"/>
          <w:szCs w:val="24"/>
        </w:rPr>
        <w:fldChar w:fldCharType="separate"/>
      </w:r>
      <w:r w:rsidR="001B5681">
        <w:rPr>
          <w:b/>
          <w:i w:val="0"/>
          <w:noProof/>
          <w:color w:val="000000" w:themeColor="text1"/>
          <w:sz w:val="24"/>
          <w:szCs w:val="24"/>
        </w:rPr>
        <w:t>6</w:t>
      </w:r>
      <w:r w:rsidRPr="000912EF">
        <w:rPr>
          <w:b/>
          <w:i w:val="0"/>
          <w:color w:val="000000" w:themeColor="text1"/>
          <w:sz w:val="24"/>
          <w:szCs w:val="24"/>
        </w:rPr>
        <w:fldChar w:fldCharType="end"/>
      </w:r>
      <w:r w:rsidRPr="000912EF">
        <w:rPr>
          <w:b/>
          <w:i w:val="0"/>
          <w:color w:val="000000" w:themeColor="text1"/>
          <w:sz w:val="24"/>
          <w:szCs w:val="24"/>
        </w:rPr>
        <w:t>. Number of comment letters</w:t>
      </w:r>
      <w:bookmarkEnd w:id="70"/>
    </w:p>
    <w:p w14:paraId="4D7A0C4D" w14:textId="77777777" w:rsidR="00C734DC" w:rsidRPr="000912EF" w:rsidRDefault="00C734DC" w:rsidP="00C734DC">
      <w:pPr>
        <w:ind w:left="851"/>
      </w:pPr>
      <w:r w:rsidRPr="000912EF">
        <w:rPr>
          <w:noProof/>
        </w:rPr>
        <w:drawing>
          <wp:inline distT="0" distB="0" distL="0" distR="0" wp14:anchorId="5F9E2051" wp14:editId="6DB66F8F">
            <wp:extent cx="4914900" cy="2333625"/>
            <wp:effectExtent l="0" t="0" r="0"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E36D324" w14:textId="77777777" w:rsidR="00C734DC" w:rsidRPr="000912EF" w:rsidRDefault="00C734DC" w:rsidP="00C734DC">
      <w:pPr>
        <w:ind w:left="851"/>
        <w:jc w:val="center"/>
        <w:rPr>
          <w:b/>
          <w:color w:val="000000" w:themeColor="text1"/>
        </w:rPr>
      </w:pPr>
    </w:p>
    <w:p w14:paraId="784EFEDD" w14:textId="0800BE58" w:rsidR="00C734DC" w:rsidRPr="000912EF" w:rsidRDefault="00C734DC" w:rsidP="00C734DC">
      <w:pPr>
        <w:pStyle w:val="Caption"/>
        <w:jc w:val="center"/>
        <w:rPr>
          <w:b/>
          <w:i w:val="0"/>
          <w:color w:val="000000" w:themeColor="text1"/>
          <w:sz w:val="24"/>
          <w:szCs w:val="24"/>
        </w:rPr>
      </w:pPr>
      <w:bookmarkStart w:id="71" w:name="_Toc7375556"/>
      <w:r w:rsidRPr="000912EF">
        <w:rPr>
          <w:b/>
          <w:i w:val="0"/>
          <w:color w:val="000000" w:themeColor="text1"/>
          <w:sz w:val="24"/>
          <w:szCs w:val="24"/>
        </w:rPr>
        <w:t xml:space="preserve">Figure </w:t>
      </w:r>
      <w:r w:rsidRPr="000912EF">
        <w:rPr>
          <w:b/>
          <w:i w:val="0"/>
          <w:color w:val="000000" w:themeColor="text1"/>
          <w:sz w:val="24"/>
          <w:szCs w:val="24"/>
        </w:rPr>
        <w:fldChar w:fldCharType="begin"/>
      </w:r>
      <w:r w:rsidRPr="000912EF">
        <w:rPr>
          <w:b/>
          <w:i w:val="0"/>
          <w:color w:val="000000" w:themeColor="text1"/>
          <w:sz w:val="24"/>
          <w:szCs w:val="24"/>
        </w:rPr>
        <w:instrText xml:space="preserve"> SEQ Figure \* ARABIC </w:instrText>
      </w:r>
      <w:r w:rsidRPr="000912EF">
        <w:rPr>
          <w:b/>
          <w:i w:val="0"/>
          <w:color w:val="000000" w:themeColor="text1"/>
          <w:sz w:val="24"/>
          <w:szCs w:val="24"/>
        </w:rPr>
        <w:fldChar w:fldCharType="separate"/>
      </w:r>
      <w:r w:rsidR="001B5681">
        <w:rPr>
          <w:b/>
          <w:i w:val="0"/>
          <w:noProof/>
          <w:color w:val="000000" w:themeColor="text1"/>
          <w:sz w:val="24"/>
          <w:szCs w:val="24"/>
        </w:rPr>
        <w:t>7</w:t>
      </w:r>
      <w:r w:rsidRPr="000912EF">
        <w:rPr>
          <w:b/>
          <w:i w:val="0"/>
          <w:color w:val="000000" w:themeColor="text1"/>
          <w:sz w:val="24"/>
          <w:szCs w:val="24"/>
        </w:rPr>
        <w:fldChar w:fldCharType="end"/>
      </w:r>
      <w:r w:rsidRPr="000912EF">
        <w:rPr>
          <w:b/>
          <w:i w:val="0"/>
          <w:color w:val="000000" w:themeColor="text1"/>
          <w:sz w:val="24"/>
          <w:szCs w:val="24"/>
        </w:rPr>
        <w:t>. Number of comments initial comment letters</w:t>
      </w:r>
      <w:bookmarkEnd w:id="71"/>
    </w:p>
    <w:p w14:paraId="09946EFB" w14:textId="77777777" w:rsidR="00C734DC" w:rsidRPr="000912EF" w:rsidRDefault="00C734DC" w:rsidP="00C734DC">
      <w:pPr>
        <w:spacing w:line="360" w:lineRule="auto"/>
        <w:ind w:left="993"/>
        <w:jc w:val="both"/>
        <w:rPr>
          <w:lang w:eastAsia="en-US"/>
        </w:rPr>
      </w:pPr>
      <w:r>
        <w:rPr>
          <w:noProof/>
        </w:rPr>
        <w:drawing>
          <wp:inline distT="0" distB="0" distL="0" distR="0" wp14:anchorId="5E0C36FF" wp14:editId="65591A10">
            <wp:extent cx="4886325" cy="215265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EFEA7BB" w14:textId="77777777" w:rsidR="00C734DC" w:rsidRDefault="00C734DC" w:rsidP="00F91520">
      <w:pPr>
        <w:pStyle w:val="Heading1"/>
        <w:rPr>
          <w:rFonts w:ascii="Times New Roman" w:hAnsi="Times New Roman" w:cs="Times New Roman"/>
          <w:b/>
          <w:color w:val="000000" w:themeColor="text1"/>
          <w:sz w:val="24"/>
          <w:szCs w:val="24"/>
          <w:lang w:eastAsia="en-US"/>
        </w:rPr>
        <w:sectPr w:rsidR="00C734DC" w:rsidSect="006076D6">
          <w:headerReference w:type="default" r:id="rId54"/>
          <w:footerReference w:type="default" r:id="rId55"/>
          <w:pgSz w:w="11906" w:h="16838"/>
          <w:pgMar w:top="1440" w:right="1440" w:bottom="1440" w:left="1276" w:header="708" w:footer="708" w:gutter="0"/>
          <w:cols w:space="708"/>
          <w:docGrid w:linePitch="360"/>
        </w:sectPr>
      </w:pPr>
    </w:p>
    <w:p w14:paraId="2B6766E9" w14:textId="2CE02BD7" w:rsidR="000A79C2" w:rsidRDefault="006076D6" w:rsidP="00F91520">
      <w:pPr>
        <w:pStyle w:val="Heading1"/>
        <w:rPr>
          <w:rFonts w:ascii="Times New Roman" w:hAnsi="Times New Roman" w:cs="Times New Roman"/>
          <w:b/>
          <w:color w:val="000000" w:themeColor="text1"/>
          <w:sz w:val="24"/>
          <w:szCs w:val="24"/>
          <w:lang w:eastAsia="en-US"/>
        </w:rPr>
      </w:pPr>
      <w:bookmarkStart w:id="72" w:name="_Toc9185819"/>
      <w:r w:rsidRPr="000912EF">
        <w:rPr>
          <w:rFonts w:ascii="Times New Roman" w:hAnsi="Times New Roman" w:cs="Times New Roman"/>
          <w:b/>
          <w:color w:val="000000" w:themeColor="text1"/>
          <w:sz w:val="24"/>
          <w:szCs w:val="24"/>
          <w:lang w:eastAsia="en-US"/>
        </w:rPr>
        <w:lastRenderedPageBreak/>
        <w:t>APPENDIX</w:t>
      </w:r>
      <w:r w:rsidR="00652EE1" w:rsidRPr="000912EF">
        <w:rPr>
          <w:rFonts w:ascii="Times New Roman" w:hAnsi="Times New Roman" w:cs="Times New Roman"/>
          <w:b/>
          <w:color w:val="000000" w:themeColor="text1"/>
          <w:sz w:val="24"/>
          <w:szCs w:val="24"/>
          <w:lang w:eastAsia="en-US"/>
        </w:rPr>
        <w:t xml:space="preserve"> 1</w:t>
      </w:r>
      <w:bookmarkEnd w:id="72"/>
    </w:p>
    <w:p w14:paraId="1C46E1C4" w14:textId="20016AD3" w:rsidR="000A79C2" w:rsidRPr="000A79C2" w:rsidRDefault="000A79C2" w:rsidP="005E0922">
      <w:pPr>
        <w:jc w:val="both"/>
        <w:rPr>
          <w:b/>
          <w:lang w:eastAsia="en-US"/>
        </w:rPr>
      </w:pPr>
      <w:r w:rsidRPr="000A79C2">
        <w:rPr>
          <w:b/>
          <w:lang w:eastAsia="en-US"/>
        </w:rPr>
        <w:t>Variables and definition</w:t>
      </w:r>
    </w:p>
    <w:tbl>
      <w:tblPr>
        <w:tblStyle w:val="PlainTable2"/>
        <w:tblW w:w="9719" w:type="dxa"/>
        <w:tblLook w:val="04A0" w:firstRow="1" w:lastRow="0" w:firstColumn="1" w:lastColumn="0" w:noHBand="0" w:noVBand="1"/>
      </w:tblPr>
      <w:tblGrid>
        <w:gridCol w:w="1803"/>
        <w:gridCol w:w="7916"/>
      </w:tblGrid>
      <w:tr w:rsidR="000A79C2" w14:paraId="11E59E4A" w14:textId="77777777" w:rsidTr="003918BB">
        <w:trPr>
          <w:cnfStyle w:val="100000000000" w:firstRow="1" w:lastRow="0" w:firstColumn="0" w:lastColumn="0" w:oddVBand="0" w:evenVBand="0" w:oddHBand="0"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803" w:type="dxa"/>
            <w:tcBorders>
              <w:top w:val="single" w:sz="4" w:space="0" w:color="000000"/>
              <w:bottom w:val="single" w:sz="4" w:space="0" w:color="auto"/>
            </w:tcBorders>
            <w:vAlign w:val="center"/>
          </w:tcPr>
          <w:p w14:paraId="50F12FCA" w14:textId="3E4B3A4B" w:rsidR="000A79C2" w:rsidRPr="006A31CD" w:rsidRDefault="000A79C2" w:rsidP="00F87B9C">
            <w:pPr>
              <w:rPr>
                <w:b w:val="0"/>
                <w:lang w:eastAsia="en-US"/>
              </w:rPr>
            </w:pPr>
            <w:r w:rsidRPr="006A31CD">
              <w:rPr>
                <w:b w:val="0"/>
                <w:lang w:eastAsia="en-US"/>
              </w:rPr>
              <w:t>Variable</w:t>
            </w:r>
          </w:p>
        </w:tc>
        <w:tc>
          <w:tcPr>
            <w:tcW w:w="7916" w:type="dxa"/>
            <w:tcBorders>
              <w:top w:val="single" w:sz="4" w:space="0" w:color="000000"/>
              <w:bottom w:val="single" w:sz="4" w:space="0" w:color="auto"/>
            </w:tcBorders>
            <w:vAlign w:val="center"/>
          </w:tcPr>
          <w:p w14:paraId="4FC34973" w14:textId="285398B8" w:rsidR="000A79C2" w:rsidRPr="006A31CD" w:rsidRDefault="000A79C2" w:rsidP="00F87B9C">
            <w:pPr>
              <w:cnfStyle w:val="100000000000" w:firstRow="1" w:lastRow="0" w:firstColumn="0" w:lastColumn="0" w:oddVBand="0" w:evenVBand="0" w:oddHBand="0" w:evenHBand="0" w:firstRowFirstColumn="0" w:firstRowLastColumn="0" w:lastRowFirstColumn="0" w:lastRowLastColumn="0"/>
              <w:rPr>
                <w:b w:val="0"/>
                <w:lang w:eastAsia="en-US"/>
              </w:rPr>
            </w:pPr>
            <w:r w:rsidRPr="006A31CD">
              <w:rPr>
                <w:b w:val="0"/>
                <w:lang w:eastAsia="en-US"/>
              </w:rPr>
              <w:t>Definition</w:t>
            </w:r>
          </w:p>
        </w:tc>
      </w:tr>
      <w:tr w:rsidR="006A31CD" w14:paraId="0A4A0AA0" w14:textId="77777777" w:rsidTr="0064016B">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9719" w:type="dxa"/>
            <w:gridSpan w:val="2"/>
            <w:tcBorders>
              <w:top w:val="single" w:sz="4" w:space="0" w:color="auto"/>
              <w:bottom w:val="nil"/>
            </w:tcBorders>
            <w:vAlign w:val="center"/>
          </w:tcPr>
          <w:p w14:paraId="739DDD91" w14:textId="51EAB5C7" w:rsidR="006A31CD" w:rsidRPr="006A31CD" w:rsidRDefault="006A31CD" w:rsidP="00F87B9C">
            <w:pPr>
              <w:rPr>
                <w:b w:val="0"/>
                <w:i/>
                <w:lang w:eastAsia="en-US"/>
              </w:rPr>
            </w:pPr>
            <w:r w:rsidRPr="006A31CD">
              <w:rPr>
                <w:b w:val="0"/>
                <w:i/>
                <w:lang w:eastAsia="en-US"/>
              </w:rPr>
              <w:t>Panel A. SEC review attributes</w:t>
            </w:r>
          </w:p>
        </w:tc>
      </w:tr>
      <w:tr w:rsidR="000A79C2" w14:paraId="3234B323" w14:textId="77777777" w:rsidTr="003918BB">
        <w:trPr>
          <w:trHeight w:val="71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558654D8" w14:textId="3DB55726" w:rsidR="000A79C2" w:rsidRDefault="00940606" w:rsidP="00F87B9C">
            <w:pPr>
              <w:rPr>
                <w:lang w:eastAsia="en-US"/>
              </w:rPr>
            </w:pPr>
            <w:r>
              <w:rPr>
                <w:b w:val="0"/>
                <w:lang w:eastAsia="en-US"/>
              </w:rPr>
              <w:t>Duration</w:t>
            </w:r>
          </w:p>
        </w:tc>
        <w:tc>
          <w:tcPr>
            <w:tcW w:w="7916" w:type="dxa"/>
            <w:tcBorders>
              <w:top w:val="nil"/>
              <w:bottom w:val="nil"/>
            </w:tcBorders>
            <w:vAlign w:val="center"/>
          </w:tcPr>
          <w:p w14:paraId="1D71CF91" w14:textId="37D97086" w:rsidR="000A79C2" w:rsidRDefault="00940606" w:rsidP="00F87B9C">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The number of days from the date of initial S-1 filings to the date of IPOs </w:t>
            </w:r>
            <w:r>
              <w:rPr>
                <w:lang w:eastAsia="en-US"/>
              </w:rPr>
              <w:fldChar w:fldCharType="begin" w:fldLock="1"/>
            </w:r>
            <w:r w:rsidR="00FF2469">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rPr>
                <w:lang w:eastAsia="en-US"/>
              </w:rPr>
              <w:fldChar w:fldCharType="separate"/>
            </w:r>
            <w:r w:rsidRPr="00940606">
              <w:rPr>
                <w:noProof/>
                <w:lang w:eastAsia="en-US"/>
              </w:rPr>
              <w:t>(Ertimur &amp; Nondorf, 2006)</w:t>
            </w:r>
            <w:r>
              <w:rPr>
                <w:lang w:eastAsia="en-US"/>
              </w:rPr>
              <w:fldChar w:fldCharType="end"/>
            </w:r>
            <w:r w:rsidR="00A232C3">
              <w:rPr>
                <w:lang w:eastAsia="en-US"/>
              </w:rPr>
              <w:t xml:space="preserve"> (Source: Thomson Reuters Eikon)</w:t>
            </w:r>
          </w:p>
        </w:tc>
      </w:tr>
      <w:tr w:rsidR="000A79C2" w14:paraId="2DCB0A07" w14:textId="77777777" w:rsidTr="003918BB">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2AC907CE" w14:textId="35B83AE3" w:rsidR="000A79C2" w:rsidRDefault="0064016B" w:rsidP="00F87B9C">
            <w:pPr>
              <w:rPr>
                <w:lang w:eastAsia="en-US"/>
              </w:rPr>
            </w:pPr>
            <w:r>
              <w:rPr>
                <w:b w:val="0"/>
                <w:lang w:eastAsia="en-US"/>
              </w:rPr>
              <w:t>Letters</w:t>
            </w:r>
          </w:p>
        </w:tc>
        <w:tc>
          <w:tcPr>
            <w:tcW w:w="7916" w:type="dxa"/>
            <w:tcBorders>
              <w:top w:val="nil"/>
              <w:bottom w:val="nil"/>
            </w:tcBorders>
            <w:vAlign w:val="center"/>
          </w:tcPr>
          <w:p w14:paraId="7D3D2540" w14:textId="5DD8AC47" w:rsidR="000A79C2" w:rsidRDefault="00940606" w:rsidP="00F87B9C">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The n</w:t>
            </w:r>
            <w:r w:rsidRPr="00940606">
              <w:rPr>
                <w:lang w:eastAsia="en-US"/>
              </w:rPr>
              <w:t xml:space="preserve">umber of comment letters that the SEC issues to firm </w:t>
            </w:r>
            <w:proofErr w:type="spellStart"/>
            <w:r w:rsidRPr="00940606">
              <w:rPr>
                <w:lang w:eastAsia="en-US"/>
              </w:rPr>
              <w:t>i</w:t>
            </w:r>
            <w:proofErr w:type="spellEnd"/>
            <w:r w:rsidRPr="00940606">
              <w:rPr>
                <w:lang w:eastAsia="en-US"/>
              </w:rPr>
              <w:t xml:space="preserve"> during the SEC’s review process </w:t>
            </w:r>
            <w:r>
              <w:rPr>
                <w:lang w:eastAsia="en-US"/>
              </w:rPr>
              <w:fldChar w:fldCharType="begin" w:fldLock="1"/>
            </w:r>
            <w:r w:rsidR="00A611DF">
              <w:rPr>
                <w:lang w:eastAsia="en-US"/>
              </w:rPr>
              <w:instrText>ADDIN CSL_CITATION {"citationItems":[{"id":"ITEM-1","itemData":{"ISSN":"13806653","author":[{"dropping-particle":"","family":"Li","given":"Bing","non-dropping-particle":"","parse-names":false,"suffix":""},{"dropping-particle":"","family":"Liu","given":"Zhenbin","non-dropping-particle":"","parse-names":false,"suffix":""}],"container-title":"Review of Accounting Studies","id":"ITEM-1","issue":"3","issued":{"date-parts":[["2017"]]},"page":"1229-1260","publisher":"Review of Accounting Studies","title":"The oversight role of regulators: evidence from SEC comment letters in the BIPO process","type":"article-journal","volume":"22"},"uris":["http://www.mendeley.com/documents/?uuid=14e67220-7f18-451c-bcec-f870e9e5ce78"]}],"mendeley":{"formattedCitation":"(Li &amp; Liu, 2017a)","plainTextFormattedCitation":"(Li &amp; Liu, 2017a)","previouslyFormattedCitation":"(Li &amp; Liu, 2017a)"},"properties":{"noteIndex":0},"schema":"https://github.com/citation-style-language/schema/raw/master/csl-citation.json"}</w:instrText>
            </w:r>
            <w:r>
              <w:rPr>
                <w:lang w:eastAsia="en-US"/>
              </w:rPr>
              <w:fldChar w:fldCharType="separate"/>
            </w:r>
            <w:r w:rsidR="00AF6682" w:rsidRPr="00AF6682">
              <w:rPr>
                <w:noProof/>
                <w:lang w:eastAsia="en-US"/>
              </w:rPr>
              <w:t>(Li &amp; Liu, 2017a)</w:t>
            </w:r>
            <w:r>
              <w:rPr>
                <w:lang w:eastAsia="en-US"/>
              </w:rPr>
              <w:fldChar w:fldCharType="end"/>
            </w:r>
            <w:r w:rsidR="00A232C3">
              <w:rPr>
                <w:lang w:eastAsia="en-US"/>
              </w:rPr>
              <w:t xml:space="preserve"> (Source: EDGAR</w:t>
            </w:r>
            <w:r w:rsidR="007B5AFB">
              <w:rPr>
                <w:lang w:eastAsia="en-US"/>
              </w:rPr>
              <w:t xml:space="preserve"> and manual data</w:t>
            </w:r>
            <w:r w:rsidR="00A232C3">
              <w:rPr>
                <w:lang w:eastAsia="en-US"/>
              </w:rPr>
              <w:t>)</w:t>
            </w:r>
          </w:p>
        </w:tc>
      </w:tr>
      <w:tr w:rsidR="000A79C2" w14:paraId="087CDED2" w14:textId="77777777" w:rsidTr="003918BB">
        <w:trPr>
          <w:trHeight w:val="71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672E8C26" w14:textId="66C58548" w:rsidR="0064016B" w:rsidRPr="0064016B" w:rsidRDefault="0064016B" w:rsidP="00F87B9C">
            <w:pPr>
              <w:rPr>
                <w:b w:val="0"/>
                <w:lang w:eastAsia="en-US"/>
              </w:rPr>
            </w:pPr>
            <w:r>
              <w:rPr>
                <w:b w:val="0"/>
                <w:lang w:eastAsia="en-US"/>
              </w:rPr>
              <w:t>Comments</w:t>
            </w:r>
          </w:p>
        </w:tc>
        <w:tc>
          <w:tcPr>
            <w:tcW w:w="7916" w:type="dxa"/>
            <w:tcBorders>
              <w:top w:val="nil"/>
              <w:bottom w:val="nil"/>
            </w:tcBorders>
            <w:vAlign w:val="center"/>
          </w:tcPr>
          <w:p w14:paraId="7FC3756D" w14:textId="789CC0F1" w:rsidR="000A79C2" w:rsidRDefault="00940606" w:rsidP="00F87B9C">
            <w:pPr>
              <w:cnfStyle w:val="000000000000" w:firstRow="0" w:lastRow="0" w:firstColumn="0" w:lastColumn="0" w:oddVBand="0" w:evenVBand="0" w:oddHBand="0" w:evenHBand="0" w:firstRowFirstColumn="0" w:firstRowLastColumn="0" w:lastRowFirstColumn="0" w:lastRowLastColumn="0"/>
              <w:rPr>
                <w:lang w:eastAsia="en-US"/>
              </w:rPr>
            </w:pPr>
            <w:r w:rsidRPr="00940606">
              <w:rPr>
                <w:lang w:eastAsia="en-US"/>
              </w:rPr>
              <w:t xml:space="preserve">The number of comments in the initial comment letters that the SEC issues to firm </w:t>
            </w:r>
            <w:proofErr w:type="spellStart"/>
            <w:r w:rsidRPr="00940606">
              <w:rPr>
                <w:lang w:eastAsia="en-US"/>
              </w:rPr>
              <w:t>i</w:t>
            </w:r>
            <w:proofErr w:type="spellEnd"/>
            <w:r w:rsidRPr="00940606">
              <w:rPr>
                <w:lang w:eastAsia="en-US"/>
              </w:rPr>
              <w:t xml:space="preserve"> during the SEC’s review process</w:t>
            </w:r>
            <w:r>
              <w:rPr>
                <w:lang w:eastAsia="en-US"/>
              </w:rPr>
              <w:t xml:space="preserve"> </w:t>
            </w:r>
            <w:r>
              <w:rPr>
                <w:lang w:eastAsia="en-US"/>
              </w:rPr>
              <w:fldChar w:fldCharType="begin" w:fldLock="1"/>
            </w:r>
            <w:r w:rsidR="00FF2469">
              <w:rPr>
                <w:lang w:eastAsia="en-US"/>
              </w:rPr>
              <w:instrText>ADDIN CSL_CITATION {"citationItems":[{"id":"ITEM-1","itemData":{"author":[{"dropping-particle":"","family":"Duro","given":"Miguel","non-dropping-particle":"","parse-names":false,"suffix":""},{"dropping-particle":"","family":"Heese","given":"Jonas","non-dropping-particle":"","parse-names":false,"suffix":""},{"dropping-particle":"","family":"Ormazabal","given":"Gaizka","non-dropping-particle":"","parse-names":false,"suffix":""}],"container-title":"CEPR Discussion Paper No. DP12145","id":"ITEM-1","issued":{"date-parts":[["2017"]]},"note":"We classify the content of the CLs (both public and private) based on the taxonomy described in Appendix B. Specifically, in line with prior research (e.g., Cassell et al., 2013), we code the following variables. \n+        Examination Length is the number of days from the first letter to the last letter. \n+        Time from filing date is the number of days from the firm’s 10-K filing to the start of the SEC’s firm review (i.e., until the date of the first CL). \n+        Total Comments is the total number of unique topics raised by the SEC. \n+        Accounting Comments is the total number of comments classified as “Accounting Rules and Disclosure”. \n+        Accounting Core Comments is the total number of accounting comments (sub)classified as “Accounts receivable &amp;amp; cash reporting issues”, “Depreciation, depletion, or amortization reporting issues”, “Expense (payroll, SGA, other) recording issues”, “Inventory, vendor, and/or cost of sales issues”, “Lease, leasehold issues (FAS 13 (98) and IAS 17)”, “Liabilities, payables, and accrual estimate issues”, “Revenue recognition (including deferred revenue) issues”, “Percentage of completion issues” and “Research and Development issues”. \n+        Accounting Non-Core Comments is the total number of comments classified as “Accounting Rules and Disclosure” and not coded as Accounting Core Comments. Operational, Control and Risk \n+        Comments is the total number of comments classified as such (see Appendix B for details).","title":"Does the Public Disclosure of the SEC's Oversight Actions Matter ?","type":"article-journal"},"uris":["http://www.mendeley.com/documents/?uuid=1244073f-8151-4447-8b41-8cd7e5d57e28"]}],"mendeley":{"formattedCitation":"(Duro et al., 2017)","manualFormatting":"(Duro et al., 2017)","plainTextFormattedCitation":"(Duro et al., 2017)","previouslyFormattedCitation":"(Duro et al., 2017)"},"properties":{"noteIndex":0},"schema":"https://github.com/citation-style-language/schema/raw/master/csl-citation.json"}</w:instrText>
            </w:r>
            <w:r>
              <w:rPr>
                <w:lang w:eastAsia="en-US"/>
              </w:rPr>
              <w:fldChar w:fldCharType="separate"/>
            </w:r>
            <w:r>
              <w:rPr>
                <w:noProof/>
                <w:lang w:eastAsia="en-US"/>
              </w:rPr>
              <w:t>(Duro et al.</w:t>
            </w:r>
            <w:r w:rsidRPr="00940606">
              <w:rPr>
                <w:noProof/>
                <w:lang w:eastAsia="en-US"/>
              </w:rPr>
              <w:t>, 2017)</w:t>
            </w:r>
            <w:r>
              <w:rPr>
                <w:lang w:eastAsia="en-US"/>
              </w:rPr>
              <w:fldChar w:fldCharType="end"/>
            </w:r>
            <w:r w:rsidR="00A232C3">
              <w:rPr>
                <w:lang w:eastAsia="en-US"/>
              </w:rPr>
              <w:t xml:space="preserve"> (Source: EDGAR</w:t>
            </w:r>
            <w:r w:rsidR="007B5AFB">
              <w:rPr>
                <w:lang w:eastAsia="en-US"/>
              </w:rPr>
              <w:t xml:space="preserve"> and manual data</w:t>
            </w:r>
            <w:r w:rsidR="00A232C3">
              <w:rPr>
                <w:lang w:eastAsia="en-US"/>
              </w:rPr>
              <w:t>)</w:t>
            </w:r>
          </w:p>
        </w:tc>
      </w:tr>
      <w:tr w:rsidR="007B5AFB" w14:paraId="538E1957" w14:textId="77777777" w:rsidTr="003918BB">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36541A26" w14:textId="740F296B" w:rsidR="007B5AFB" w:rsidRDefault="007B5AFB" w:rsidP="00F87B9C">
            <w:pPr>
              <w:rPr>
                <w:b w:val="0"/>
                <w:lang w:eastAsia="en-US"/>
              </w:rPr>
            </w:pPr>
            <w:r>
              <w:rPr>
                <w:b w:val="0"/>
                <w:lang w:eastAsia="en-US"/>
              </w:rPr>
              <w:t>Issues</w:t>
            </w:r>
          </w:p>
        </w:tc>
        <w:tc>
          <w:tcPr>
            <w:tcW w:w="7916" w:type="dxa"/>
            <w:tcBorders>
              <w:top w:val="nil"/>
              <w:bottom w:val="nil"/>
            </w:tcBorders>
            <w:vAlign w:val="center"/>
          </w:tcPr>
          <w:p w14:paraId="537BE85D" w14:textId="5E3714BA" w:rsidR="007B5AFB" w:rsidRPr="00940606" w:rsidRDefault="007B5AFB" w:rsidP="007B5AF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The number of issues in the initial comment letters that the SEC issues to firm I during the SEC review process </w:t>
            </w:r>
            <w:r>
              <w:rPr>
                <w:lang w:eastAsia="en-US"/>
              </w:rPr>
              <w:fldChar w:fldCharType="begin" w:fldLock="1"/>
            </w:r>
            <w:r>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rPr>
                <w:lang w:eastAsia="en-US"/>
              </w:rPr>
              <w:fldChar w:fldCharType="separate"/>
            </w:r>
            <w:r w:rsidRPr="00940606">
              <w:rPr>
                <w:noProof/>
                <w:lang w:eastAsia="en-US"/>
              </w:rPr>
              <w:t>(Ertimur &amp; Nondorf, 2006)</w:t>
            </w:r>
            <w:r>
              <w:rPr>
                <w:lang w:eastAsia="en-US"/>
              </w:rPr>
              <w:fldChar w:fldCharType="end"/>
            </w:r>
            <w:r>
              <w:rPr>
                <w:lang w:eastAsia="en-US"/>
              </w:rPr>
              <w:t xml:space="preserve"> (Source: manual coding)</w:t>
            </w:r>
          </w:p>
        </w:tc>
      </w:tr>
      <w:tr w:rsidR="008C76C1" w14:paraId="7FB58CB3" w14:textId="77777777" w:rsidTr="003918BB">
        <w:trPr>
          <w:trHeight w:val="992"/>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65552D8B" w14:textId="163DE823" w:rsidR="008C76C1" w:rsidRDefault="008C76C1" w:rsidP="00F87B9C">
            <w:pPr>
              <w:rPr>
                <w:b w:val="0"/>
                <w:lang w:eastAsia="en-US"/>
              </w:rPr>
            </w:pPr>
            <w:r>
              <w:rPr>
                <w:b w:val="0"/>
                <w:lang w:eastAsia="en-US"/>
              </w:rPr>
              <w:t>Accounting comments</w:t>
            </w:r>
          </w:p>
        </w:tc>
        <w:tc>
          <w:tcPr>
            <w:tcW w:w="7916" w:type="dxa"/>
            <w:tcBorders>
              <w:top w:val="nil"/>
              <w:bottom w:val="nil"/>
            </w:tcBorders>
            <w:vAlign w:val="center"/>
          </w:tcPr>
          <w:p w14:paraId="0FC12503" w14:textId="346C57F3" w:rsidR="008C76C1" w:rsidRPr="00940606" w:rsidRDefault="008C76C1"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The number of comments mentioned in the SEC </w:t>
            </w:r>
            <w:r w:rsidRPr="008C76C1">
              <w:rPr>
                <w:lang w:eastAsia="en-US"/>
              </w:rPr>
              <w:t>initial comment letters</w:t>
            </w:r>
            <w:r>
              <w:rPr>
                <w:lang w:eastAsia="en-US"/>
              </w:rPr>
              <w:t xml:space="preserve"> about the accounting issues in the initial S-1 filings</w:t>
            </w:r>
            <w:r w:rsidR="003918BB">
              <w:rPr>
                <w:lang w:eastAsia="en-US"/>
              </w:rPr>
              <w:t xml:space="preserve"> prepared by </w:t>
            </w:r>
            <w:r w:rsidRPr="008C76C1">
              <w:rPr>
                <w:lang w:eastAsia="en-US"/>
              </w:rPr>
              <w:t xml:space="preserve"> firm </w:t>
            </w:r>
            <w:proofErr w:type="spellStart"/>
            <w:r w:rsidRPr="008C76C1">
              <w:rPr>
                <w:lang w:eastAsia="en-US"/>
              </w:rPr>
              <w:t>i</w:t>
            </w:r>
            <w:proofErr w:type="spellEnd"/>
            <w:r w:rsidRPr="008C76C1">
              <w:rPr>
                <w:lang w:eastAsia="en-US"/>
              </w:rPr>
              <w:t xml:space="preserve"> </w:t>
            </w:r>
            <w:r>
              <w:rPr>
                <w:lang w:eastAsia="en-US"/>
              </w:rPr>
              <w:t>(</w:t>
            </w:r>
            <w:r>
              <w:rPr>
                <w:lang w:eastAsia="en-US"/>
              </w:rPr>
              <w:fldChar w:fldCharType="begin" w:fldLock="1"/>
            </w:r>
            <w:r w:rsidR="0082621D">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2013)","plainTextFormattedCitation":"(Cassell et al., 2013)","previouslyFormattedCitation":"(Cassell et al., 2013)"},"properties":{"noteIndex":0},"schema":"https://github.com/citation-style-language/schema/raw/master/csl-citation.json"}</w:instrText>
            </w:r>
            <w:r>
              <w:rPr>
                <w:lang w:eastAsia="en-US"/>
              </w:rPr>
              <w:fldChar w:fldCharType="separate"/>
            </w:r>
            <w:r w:rsidRPr="008C76C1">
              <w:rPr>
                <w:noProof/>
                <w:lang w:eastAsia="en-US"/>
              </w:rPr>
              <w:t>Cassell et al., 2013)</w:t>
            </w:r>
            <w:r>
              <w:rPr>
                <w:lang w:eastAsia="en-US"/>
              </w:rPr>
              <w:fldChar w:fldCharType="end"/>
            </w:r>
            <w:r>
              <w:rPr>
                <w:lang w:eastAsia="en-US"/>
              </w:rPr>
              <w:t xml:space="preserve"> (Source: manual coding)</w:t>
            </w:r>
          </w:p>
        </w:tc>
      </w:tr>
      <w:tr w:rsidR="008C76C1" w14:paraId="19E6BD44" w14:textId="77777777" w:rsidTr="003918BB">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4D5D6162" w14:textId="500C9430" w:rsidR="008C76C1" w:rsidRDefault="008C76C1" w:rsidP="00F87B9C">
            <w:pPr>
              <w:rPr>
                <w:b w:val="0"/>
                <w:lang w:eastAsia="en-US"/>
              </w:rPr>
            </w:pPr>
            <w:r>
              <w:rPr>
                <w:b w:val="0"/>
                <w:lang w:eastAsia="en-US"/>
              </w:rPr>
              <w:t>Offering comments</w:t>
            </w:r>
          </w:p>
        </w:tc>
        <w:tc>
          <w:tcPr>
            <w:tcW w:w="7916" w:type="dxa"/>
            <w:tcBorders>
              <w:top w:val="nil"/>
              <w:bottom w:val="nil"/>
            </w:tcBorders>
            <w:vAlign w:val="center"/>
          </w:tcPr>
          <w:p w14:paraId="126DD08F" w14:textId="44692F79" w:rsidR="008C76C1" w:rsidRPr="00940606"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The number of comments mentioned in the SEC </w:t>
            </w:r>
            <w:r w:rsidRPr="008C76C1">
              <w:rPr>
                <w:lang w:eastAsia="en-US"/>
              </w:rPr>
              <w:t>initial comment letters</w:t>
            </w:r>
            <w:r>
              <w:rPr>
                <w:lang w:eastAsia="en-US"/>
              </w:rPr>
              <w:t xml:space="preserve"> about the offering issues in the initial S-1 filings prepared by </w:t>
            </w:r>
            <w:r w:rsidRPr="008C76C1">
              <w:rPr>
                <w:lang w:eastAsia="en-US"/>
              </w:rPr>
              <w:t xml:space="preserve"> firm </w:t>
            </w:r>
            <w:proofErr w:type="spellStart"/>
            <w:r w:rsidRPr="008C76C1">
              <w:rPr>
                <w:lang w:eastAsia="en-US"/>
              </w:rPr>
              <w:t>i</w:t>
            </w:r>
            <w:proofErr w:type="spellEnd"/>
            <w:r w:rsidRPr="008C76C1">
              <w:rPr>
                <w:lang w:eastAsia="en-US"/>
              </w:rPr>
              <w:t xml:space="preserve"> </w:t>
            </w:r>
            <w:r>
              <w:rPr>
                <w:lang w:eastAsia="en-US"/>
              </w:rPr>
              <w:t>(</w:t>
            </w:r>
            <w:r>
              <w:rPr>
                <w:lang w:eastAsia="en-US"/>
              </w:rPr>
              <w:fldChar w:fldCharType="begin" w:fldLock="1"/>
            </w:r>
            <w:r w:rsidR="0082621D">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2013)","plainTextFormattedCitation":"(Cassell et al., 2013)","previouslyFormattedCitation":"(Cassell et al., 2013)"},"properties":{"noteIndex":0},"schema":"https://github.com/citation-style-language/schema/raw/master/csl-citation.json"}</w:instrText>
            </w:r>
            <w:r>
              <w:rPr>
                <w:lang w:eastAsia="en-US"/>
              </w:rPr>
              <w:fldChar w:fldCharType="separate"/>
            </w:r>
            <w:r w:rsidRPr="008C76C1">
              <w:rPr>
                <w:noProof/>
                <w:lang w:eastAsia="en-US"/>
              </w:rPr>
              <w:t>Cassell et al., 2013)</w:t>
            </w:r>
            <w:r>
              <w:rPr>
                <w:lang w:eastAsia="en-US"/>
              </w:rPr>
              <w:fldChar w:fldCharType="end"/>
            </w:r>
            <w:r>
              <w:rPr>
                <w:lang w:eastAsia="en-US"/>
              </w:rPr>
              <w:t xml:space="preserve"> (Source: manual coding)</w:t>
            </w:r>
          </w:p>
        </w:tc>
      </w:tr>
      <w:tr w:rsidR="008C76C1" w14:paraId="3F330F26" w14:textId="77777777" w:rsidTr="003918BB">
        <w:trPr>
          <w:trHeight w:val="71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786F5257" w14:textId="7CE4900E" w:rsidR="008C76C1" w:rsidRDefault="008C76C1" w:rsidP="00F87B9C">
            <w:pPr>
              <w:rPr>
                <w:b w:val="0"/>
                <w:lang w:eastAsia="en-US"/>
              </w:rPr>
            </w:pPr>
            <w:r>
              <w:rPr>
                <w:b w:val="0"/>
                <w:lang w:eastAsia="en-US"/>
              </w:rPr>
              <w:t>Business comments</w:t>
            </w:r>
          </w:p>
        </w:tc>
        <w:tc>
          <w:tcPr>
            <w:tcW w:w="7916" w:type="dxa"/>
            <w:tcBorders>
              <w:top w:val="nil"/>
              <w:bottom w:val="nil"/>
            </w:tcBorders>
            <w:vAlign w:val="center"/>
          </w:tcPr>
          <w:p w14:paraId="61B6DC6C" w14:textId="2138D0D1" w:rsidR="008C76C1" w:rsidRPr="00940606"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The number of comments mentioned in the SEC </w:t>
            </w:r>
            <w:r w:rsidRPr="008C76C1">
              <w:rPr>
                <w:lang w:eastAsia="en-US"/>
              </w:rPr>
              <w:t>initial comment letters</w:t>
            </w:r>
            <w:r>
              <w:rPr>
                <w:lang w:eastAsia="en-US"/>
              </w:rPr>
              <w:t xml:space="preserve"> about the business issues in the initial S-1 filings prepared by </w:t>
            </w:r>
            <w:r w:rsidRPr="008C76C1">
              <w:rPr>
                <w:lang w:eastAsia="en-US"/>
              </w:rPr>
              <w:t xml:space="preserve"> firm </w:t>
            </w:r>
            <w:proofErr w:type="spellStart"/>
            <w:r w:rsidRPr="008C76C1">
              <w:rPr>
                <w:lang w:eastAsia="en-US"/>
              </w:rPr>
              <w:t>i</w:t>
            </w:r>
            <w:proofErr w:type="spellEnd"/>
            <w:r w:rsidRPr="008C76C1">
              <w:rPr>
                <w:lang w:eastAsia="en-US"/>
              </w:rPr>
              <w:t xml:space="preserve"> </w:t>
            </w:r>
            <w:r>
              <w:rPr>
                <w:lang w:eastAsia="en-US"/>
              </w:rPr>
              <w:t>(</w:t>
            </w:r>
            <w:r>
              <w:rPr>
                <w:lang w:eastAsia="en-US"/>
              </w:rPr>
              <w:fldChar w:fldCharType="begin" w:fldLock="1"/>
            </w:r>
            <w:r w:rsidR="0082621D">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2013)","plainTextFormattedCitation":"(Cassell et al., 2013)","previouslyFormattedCitation":"(Cassell et al., 2013)"},"properties":{"noteIndex":0},"schema":"https://github.com/citation-style-language/schema/raw/master/csl-citation.json"}</w:instrText>
            </w:r>
            <w:r>
              <w:rPr>
                <w:lang w:eastAsia="en-US"/>
              </w:rPr>
              <w:fldChar w:fldCharType="separate"/>
            </w:r>
            <w:r w:rsidRPr="008C76C1">
              <w:rPr>
                <w:noProof/>
                <w:lang w:eastAsia="en-US"/>
              </w:rPr>
              <w:t>Cassell et al., 2013)</w:t>
            </w:r>
            <w:r>
              <w:rPr>
                <w:lang w:eastAsia="en-US"/>
              </w:rPr>
              <w:fldChar w:fldCharType="end"/>
            </w:r>
            <w:r>
              <w:rPr>
                <w:lang w:eastAsia="en-US"/>
              </w:rPr>
              <w:t xml:space="preserve"> (Source: manual coding)</w:t>
            </w:r>
          </w:p>
        </w:tc>
      </w:tr>
      <w:tr w:rsidR="008C76C1" w14:paraId="43488D2D" w14:textId="77777777" w:rsidTr="003918BB">
        <w:trPr>
          <w:cnfStyle w:val="000000100000" w:firstRow="0" w:lastRow="0" w:firstColumn="0" w:lastColumn="0" w:oddVBand="0" w:evenVBand="0" w:oddHBand="1" w:evenHBand="0" w:firstRowFirstColumn="0" w:firstRowLastColumn="0" w:lastRowFirstColumn="0" w:lastRowLastColumn="0"/>
          <w:trHeight w:val="1264"/>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73D1ECDB" w14:textId="7788988B" w:rsidR="008C76C1" w:rsidRDefault="008C76C1" w:rsidP="00F87B9C">
            <w:pPr>
              <w:rPr>
                <w:b w:val="0"/>
                <w:lang w:eastAsia="en-US"/>
              </w:rPr>
            </w:pPr>
            <w:r>
              <w:rPr>
                <w:b w:val="0"/>
                <w:lang w:eastAsia="en-US"/>
              </w:rPr>
              <w:t>Corporate governance comments</w:t>
            </w:r>
          </w:p>
        </w:tc>
        <w:tc>
          <w:tcPr>
            <w:tcW w:w="7916" w:type="dxa"/>
            <w:tcBorders>
              <w:top w:val="nil"/>
              <w:bottom w:val="nil"/>
            </w:tcBorders>
            <w:vAlign w:val="center"/>
          </w:tcPr>
          <w:p w14:paraId="577875B5" w14:textId="23026B50" w:rsidR="008C76C1" w:rsidRPr="00940606"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The number of comments mentioned in the SEC </w:t>
            </w:r>
            <w:r w:rsidRPr="008C76C1">
              <w:rPr>
                <w:lang w:eastAsia="en-US"/>
              </w:rPr>
              <w:t>initial comment letters</w:t>
            </w:r>
            <w:r>
              <w:rPr>
                <w:lang w:eastAsia="en-US"/>
              </w:rPr>
              <w:t xml:space="preserve"> about the corporate governance issues in the initial S-1 filings prepared by </w:t>
            </w:r>
            <w:r w:rsidRPr="008C76C1">
              <w:rPr>
                <w:lang w:eastAsia="en-US"/>
              </w:rPr>
              <w:t xml:space="preserve"> firm </w:t>
            </w:r>
            <w:proofErr w:type="spellStart"/>
            <w:r w:rsidRPr="008C76C1">
              <w:rPr>
                <w:lang w:eastAsia="en-US"/>
              </w:rPr>
              <w:t>i</w:t>
            </w:r>
            <w:proofErr w:type="spellEnd"/>
            <w:r w:rsidRPr="008C76C1">
              <w:rPr>
                <w:lang w:eastAsia="en-US"/>
              </w:rPr>
              <w:t xml:space="preserve"> </w:t>
            </w:r>
            <w:r>
              <w:rPr>
                <w:lang w:eastAsia="en-US"/>
              </w:rPr>
              <w:t>(</w:t>
            </w:r>
            <w:r>
              <w:rPr>
                <w:lang w:eastAsia="en-US"/>
              </w:rPr>
              <w:fldChar w:fldCharType="begin" w:fldLock="1"/>
            </w:r>
            <w:r w:rsidR="0082621D">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2013)","plainTextFormattedCitation":"(Cassell et al., 2013)","previouslyFormattedCitation":"(Cassell et al., 2013)"},"properties":{"noteIndex":0},"schema":"https://github.com/citation-style-language/schema/raw/master/csl-citation.json"}</w:instrText>
            </w:r>
            <w:r>
              <w:rPr>
                <w:lang w:eastAsia="en-US"/>
              </w:rPr>
              <w:fldChar w:fldCharType="separate"/>
            </w:r>
            <w:r w:rsidRPr="008C76C1">
              <w:rPr>
                <w:noProof/>
                <w:lang w:eastAsia="en-US"/>
              </w:rPr>
              <w:t>Cassell et al., 2013)</w:t>
            </w:r>
            <w:r>
              <w:rPr>
                <w:lang w:eastAsia="en-US"/>
              </w:rPr>
              <w:fldChar w:fldCharType="end"/>
            </w:r>
            <w:r>
              <w:rPr>
                <w:lang w:eastAsia="en-US"/>
              </w:rPr>
              <w:t xml:space="preserve"> (Source: manual coding)</w:t>
            </w:r>
          </w:p>
        </w:tc>
      </w:tr>
      <w:tr w:rsidR="003918BB" w14:paraId="1F4FB774" w14:textId="77777777" w:rsidTr="003918BB">
        <w:trPr>
          <w:trHeight w:val="71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9631693" w14:textId="5953ECA6" w:rsidR="003918BB" w:rsidRDefault="003918BB" w:rsidP="003918BB">
            <w:pPr>
              <w:rPr>
                <w:b w:val="0"/>
                <w:lang w:eastAsia="en-US"/>
              </w:rPr>
            </w:pPr>
            <w:r>
              <w:rPr>
                <w:b w:val="0"/>
                <w:lang w:eastAsia="en-US"/>
              </w:rPr>
              <w:t>Disclosure comments</w:t>
            </w:r>
          </w:p>
        </w:tc>
        <w:tc>
          <w:tcPr>
            <w:tcW w:w="7916" w:type="dxa"/>
            <w:tcBorders>
              <w:top w:val="nil"/>
              <w:bottom w:val="nil"/>
            </w:tcBorders>
            <w:vAlign w:val="center"/>
          </w:tcPr>
          <w:p w14:paraId="0965BEA7" w14:textId="6F07F87B" w:rsidR="003918BB" w:rsidRPr="00940606"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The number of comments mentioned in the SEC </w:t>
            </w:r>
            <w:r w:rsidRPr="008C76C1">
              <w:rPr>
                <w:lang w:eastAsia="en-US"/>
              </w:rPr>
              <w:t>initial comment letters</w:t>
            </w:r>
            <w:r>
              <w:rPr>
                <w:lang w:eastAsia="en-US"/>
              </w:rPr>
              <w:t xml:space="preserve"> about the disclosure issues in the initial S-1 filings prepared by </w:t>
            </w:r>
            <w:r w:rsidRPr="008C76C1">
              <w:rPr>
                <w:lang w:eastAsia="en-US"/>
              </w:rPr>
              <w:t xml:space="preserve"> firm </w:t>
            </w:r>
            <w:proofErr w:type="spellStart"/>
            <w:r w:rsidRPr="008C76C1">
              <w:rPr>
                <w:lang w:eastAsia="en-US"/>
              </w:rPr>
              <w:t>i</w:t>
            </w:r>
            <w:proofErr w:type="spellEnd"/>
            <w:r w:rsidRPr="008C76C1">
              <w:rPr>
                <w:lang w:eastAsia="en-US"/>
              </w:rPr>
              <w:t xml:space="preserve"> </w:t>
            </w:r>
            <w:r>
              <w:rPr>
                <w:lang w:eastAsia="en-US"/>
              </w:rPr>
              <w:t>(</w:t>
            </w:r>
            <w:r>
              <w:rPr>
                <w:lang w:eastAsia="en-US"/>
              </w:rPr>
              <w:fldChar w:fldCharType="begin" w:fldLock="1"/>
            </w:r>
            <w:r w:rsidR="0082621D">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2013)","plainTextFormattedCitation":"(Cassell et al., 2013)","previouslyFormattedCitation":"(Cassell et al., 2013)"},"properties":{"noteIndex":0},"schema":"https://github.com/citation-style-language/schema/raw/master/csl-citation.json"}</w:instrText>
            </w:r>
            <w:r>
              <w:rPr>
                <w:lang w:eastAsia="en-US"/>
              </w:rPr>
              <w:fldChar w:fldCharType="separate"/>
            </w:r>
            <w:r w:rsidRPr="008C76C1">
              <w:rPr>
                <w:noProof/>
                <w:lang w:eastAsia="en-US"/>
              </w:rPr>
              <w:t>Cassell et al., 2013)</w:t>
            </w:r>
            <w:r>
              <w:rPr>
                <w:lang w:eastAsia="en-US"/>
              </w:rPr>
              <w:fldChar w:fldCharType="end"/>
            </w:r>
            <w:r>
              <w:rPr>
                <w:lang w:eastAsia="en-US"/>
              </w:rPr>
              <w:t xml:space="preserve"> (Source: manual coding)</w:t>
            </w:r>
          </w:p>
        </w:tc>
      </w:tr>
      <w:tr w:rsidR="003918BB" w14:paraId="0397D0EC" w14:textId="77777777" w:rsidTr="00391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3F232424" w14:textId="77777777" w:rsidR="003918BB" w:rsidRDefault="003918BB" w:rsidP="003918BB">
            <w:pPr>
              <w:rPr>
                <w:lang w:eastAsia="en-US"/>
              </w:rPr>
            </w:pPr>
          </w:p>
        </w:tc>
        <w:tc>
          <w:tcPr>
            <w:tcW w:w="7916" w:type="dxa"/>
            <w:tcBorders>
              <w:top w:val="nil"/>
              <w:bottom w:val="nil"/>
            </w:tcBorders>
            <w:vAlign w:val="center"/>
          </w:tcPr>
          <w:p w14:paraId="422E419C" w14:textId="77777777"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p>
        </w:tc>
      </w:tr>
      <w:tr w:rsidR="003918BB" w14:paraId="46066FB6" w14:textId="77777777" w:rsidTr="0064016B">
        <w:trPr>
          <w:trHeight w:val="272"/>
        </w:trPr>
        <w:tc>
          <w:tcPr>
            <w:cnfStyle w:val="001000000000" w:firstRow="0" w:lastRow="0" w:firstColumn="1" w:lastColumn="0" w:oddVBand="0" w:evenVBand="0" w:oddHBand="0" w:evenHBand="0" w:firstRowFirstColumn="0" w:firstRowLastColumn="0" w:lastRowFirstColumn="0" w:lastRowLastColumn="0"/>
            <w:tcW w:w="9719" w:type="dxa"/>
            <w:gridSpan w:val="2"/>
            <w:tcBorders>
              <w:top w:val="nil"/>
              <w:bottom w:val="nil"/>
            </w:tcBorders>
            <w:vAlign w:val="center"/>
          </w:tcPr>
          <w:p w14:paraId="70213BF7" w14:textId="1B0F253E" w:rsidR="003918BB" w:rsidRPr="00A232C3" w:rsidRDefault="003918BB" w:rsidP="003918BB">
            <w:pPr>
              <w:rPr>
                <w:bCs w:val="0"/>
                <w:i/>
                <w:lang w:eastAsia="en-US"/>
              </w:rPr>
            </w:pPr>
            <w:r>
              <w:rPr>
                <w:b w:val="0"/>
                <w:i/>
                <w:lang w:eastAsia="en-US"/>
              </w:rPr>
              <w:t>Panel B. SEC’s characteristics</w:t>
            </w:r>
          </w:p>
        </w:tc>
      </w:tr>
      <w:tr w:rsidR="003918BB" w14:paraId="15C070F9" w14:textId="77777777" w:rsidTr="00391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4F6D749D" w14:textId="1F90C074" w:rsidR="003918BB" w:rsidRPr="00D77941" w:rsidRDefault="003918BB" w:rsidP="003918BB">
            <w:pPr>
              <w:rPr>
                <w:b w:val="0"/>
                <w:lang w:eastAsia="en-US"/>
              </w:rPr>
            </w:pPr>
            <w:r>
              <w:rPr>
                <w:b w:val="0"/>
                <w:lang w:eastAsia="en-US"/>
              </w:rPr>
              <w:t>Directors/Chiefs</w:t>
            </w:r>
          </w:p>
        </w:tc>
        <w:tc>
          <w:tcPr>
            <w:tcW w:w="7916" w:type="dxa"/>
            <w:tcBorders>
              <w:top w:val="nil"/>
              <w:bottom w:val="nil"/>
            </w:tcBorders>
            <w:vAlign w:val="center"/>
          </w:tcPr>
          <w:p w14:paraId="351F8866" w14:textId="077BDE66"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An indicator variable equals to 1 if  job position of the reviewer, who signs in the comment letter of the initial S-1 filings, is Assistant Director, Senior Assistant Chief Accountant, Legal Branch Chief or Accounting Branch Chief, and 0 otherwise (</w:t>
            </w:r>
            <w:r w:rsidRPr="000912EF">
              <w:rPr>
                <w:lang w:eastAsia="en-US"/>
              </w:rPr>
              <w:fldChar w:fldCharType="begin" w:fldLock="1"/>
            </w:r>
            <w:r>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Pr="000912EF">
              <w:rPr>
                <w:lang w:eastAsia="en-US"/>
              </w:rPr>
              <w:fldChar w:fldCharType="separate"/>
            </w:r>
            <w:r>
              <w:rPr>
                <w:noProof/>
                <w:lang w:eastAsia="en-US"/>
              </w:rPr>
              <w:t xml:space="preserve">Baugh et al., </w:t>
            </w:r>
            <w:r w:rsidRPr="000912EF">
              <w:rPr>
                <w:noProof/>
                <w:lang w:eastAsia="en-US"/>
              </w:rPr>
              <w:t>2017)</w:t>
            </w:r>
            <w:r w:rsidRPr="000912EF">
              <w:rPr>
                <w:lang w:eastAsia="en-US"/>
              </w:rPr>
              <w:fldChar w:fldCharType="end"/>
            </w:r>
          </w:p>
        </w:tc>
      </w:tr>
      <w:tr w:rsidR="003918BB" w14:paraId="4F1264A7" w14:textId="77777777" w:rsidTr="003918BB">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20226C91" w14:textId="77777777" w:rsidR="003918BB" w:rsidRDefault="003918BB" w:rsidP="003918BB">
            <w:pPr>
              <w:rPr>
                <w:lang w:eastAsia="en-US"/>
              </w:rPr>
            </w:pPr>
          </w:p>
        </w:tc>
        <w:tc>
          <w:tcPr>
            <w:tcW w:w="7916" w:type="dxa"/>
            <w:tcBorders>
              <w:top w:val="nil"/>
              <w:bottom w:val="nil"/>
            </w:tcBorders>
            <w:vAlign w:val="center"/>
          </w:tcPr>
          <w:p w14:paraId="63ABC0DA" w14:textId="77777777"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p>
        </w:tc>
      </w:tr>
      <w:tr w:rsidR="003918BB" w14:paraId="207C2353" w14:textId="77777777" w:rsidTr="00391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3D165DF2" w14:textId="25F4515D" w:rsidR="003918BB" w:rsidRPr="00D77941" w:rsidRDefault="003918BB" w:rsidP="003918BB">
            <w:pPr>
              <w:rPr>
                <w:b w:val="0"/>
                <w:lang w:eastAsia="en-US"/>
              </w:rPr>
            </w:pPr>
            <w:r>
              <w:rPr>
                <w:b w:val="0"/>
                <w:lang w:eastAsia="en-US"/>
              </w:rPr>
              <w:t>Accountant</w:t>
            </w:r>
          </w:p>
        </w:tc>
        <w:tc>
          <w:tcPr>
            <w:tcW w:w="7916" w:type="dxa"/>
            <w:tcBorders>
              <w:top w:val="nil"/>
              <w:bottom w:val="nil"/>
            </w:tcBorders>
            <w:vAlign w:val="center"/>
          </w:tcPr>
          <w:p w14:paraId="1E1ED91E" w14:textId="34E59E53"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An indicator variable equals to 1 if the job classification of the reviewer, who signs in the comment letter of the initial S-1 filings of firm </w:t>
            </w:r>
            <w:proofErr w:type="spellStart"/>
            <w:r>
              <w:rPr>
                <w:lang w:eastAsia="en-US"/>
              </w:rPr>
              <w:t>i</w:t>
            </w:r>
            <w:proofErr w:type="spellEnd"/>
            <w:r>
              <w:rPr>
                <w:lang w:eastAsia="en-US"/>
              </w:rPr>
              <w:t xml:space="preserve"> is Accountant, and 0 otherwise (</w:t>
            </w:r>
            <w:r w:rsidRPr="000912EF">
              <w:rPr>
                <w:lang w:eastAsia="en-US"/>
              </w:rPr>
              <w:fldChar w:fldCharType="begin" w:fldLock="1"/>
            </w:r>
            <w:r>
              <w:rPr>
                <w:lang w:eastAsia="en-US"/>
              </w:rPr>
              <w:instrText>ADDIN CSL_CITATION {"citationItems":[{"id":"ITEM-1","itemData":{"DOI":"10.3386/w19846","ISBN":"7324453201","ISSN":"9780983648703","author":[{"dropping-particle":"","family":"Baugh","given":"Matthew","non-dropping-particle":"","parse-names":false,"suffix":""},{"dropping-particle":"","family":"Kim","given":"Kyonghee","non-dropping-particle":"","parse-names":false,"suffix":""},{"dropping-particle":"","family":"Lee","given":"Kwang J.","non-dropping-particle":"","parse-names":false,"suffix":""}],"id":"ITEM-1","issued":{"date-parts":[["2017"]]},"title":"The Effect of SEC Reviewers on Comment Letters and Financial Reporting Quality","type":"article-journal"},"uris":["http://www.mendeley.com/documents/?uuid=c7a2e1db-fef8-4c72-baa1-98dd82052a0d"]}],"mendeley":{"formattedCitation":"(Baugh et al., 2017)","manualFormatting":"Baugh et al., 2017)","plainTextFormattedCitation":"(Baugh et al., 2017)","previouslyFormattedCitation":"(Baugh et al., 2017)"},"properties":{"noteIndex":0},"schema":"https://github.com/citation-style-language/schema/raw/master/csl-citation.json"}</w:instrText>
            </w:r>
            <w:r w:rsidRPr="000912EF">
              <w:rPr>
                <w:lang w:eastAsia="en-US"/>
              </w:rPr>
              <w:fldChar w:fldCharType="separate"/>
            </w:r>
            <w:r>
              <w:rPr>
                <w:noProof/>
                <w:lang w:eastAsia="en-US"/>
              </w:rPr>
              <w:t xml:space="preserve">Baugh et al., </w:t>
            </w:r>
            <w:r w:rsidRPr="000912EF">
              <w:rPr>
                <w:noProof/>
                <w:lang w:eastAsia="en-US"/>
              </w:rPr>
              <w:t>2017)</w:t>
            </w:r>
            <w:r w:rsidRPr="000912EF">
              <w:rPr>
                <w:lang w:eastAsia="en-US"/>
              </w:rPr>
              <w:fldChar w:fldCharType="end"/>
            </w:r>
            <w:r>
              <w:rPr>
                <w:lang w:eastAsia="en-US"/>
              </w:rPr>
              <w:t xml:space="preserve">. (Source: </w:t>
            </w:r>
            <w:hyperlink r:id="rId56" w:history="1">
              <w:r w:rsidRPr="000912EF">
                <w:rPr>
                  <w:rStyle w:val="Hyperlink"/>
                  <w:lang w:eastAsia="en-US"/>
                </w:rPr>
                <w:t>https://www.federalpay.org/employees/securities-and-exchange-commission</w:t>
              </w:r>
            </w:hyperlink>
            <w:r>
              <w:rPr>
                <w:rStyle w:val="Hyperlink"/>
                <w:lang w:eastAsia="en-US"/>
              </w:rPr>
              <w:t>)</w:t>
            </w:r>
          </w:p>
        </w:tc>
      </w:tr>
      <w:tr w:rsidR="003918BB" w14:paraId="7AA620B1" w14:textId="77777777" w:rsidTr="003918BB">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5061622D" w14:textId="77777777" w:rsidR="003918BB" w:rsidRDefault="003918BB" w:rsidP="003918BB">
            <w:pPr>
              <w:rPr>
                <w:lang w:eastAsia="en-US"/>
              </w:rPr>
            </w:pPr>
          </w:p>
        </w:tc>
        <w:tc>
          <w:tcPr>
            <w:tcW w:w="7916" w:type="dxa"/>
            <w:tcBorders>
              <w:top w:val="nil"/>
              <w:bottom w:val="nil"/>
            </w:tcBorders>
            <w:vAlign w:val="center"/>
          </w:tcPr>
          <w:p w14:paraId="43003961" w14:textId="77777777"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p>
        </w:tc>
      </w:tr>
      <w:tr w:rsidR="003918BB" w14:paraId="7C57E195" w14:textId="77777777" w:rsidTr="006401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19" w:type="dxa"/>
            <w:gridSpan w:val="2"/>
            <w:tcBorders>
              <w:top w:val="nil"/>
              <w:bottom w:val="nil"/>
            </w:tcBorders>
            <w:vAlign w:val="center"/>
          </w:tcPr>
          <w:p w14:paraId="3C03E43E" w14:textId="406CA52B" w:rsidR="003918BB" w:rsidRPr="003617EB" w:rsidRDefault="003918BB" w:rsidP="003918BB">
            <w:pPr>
              <w:rPr>
                <w:bCs w:val="0"/>
                <w:i/>
                <w:lang w:eastAsia="en-US"/>
              </w:rPr>
            </w:pPr>
            <w:r>
              <w:rPr>
                <w:b w:val="0"/>
                <w:i/>
                <w:lang w:eastAsia="en-US"/>
              </w:rPr>
              <w:t xml:space="preserve">Panel C. </w:t>
            </w:r>
            <w:r w:rsidR="00D92D32">
              <w:rPr>
                <w:b w:val="0"/>
                <w:i/>
                <w:lang w:eastAsia="en-US"/>
              </w:rPr>
              <w:t>Incidences</w:t>
            </w:r>
            <w:r>
              <w:rPr>
                <w:b w:val="0"/>
                <w:i/>
                <w:lang w:eastAsia="en-US"/>
              </w:rPr>
              <w:t xml:space="preserve"> (regulatory events and crises)</w:t>
            </w:r>
          </w:p>
        </w:tc>
      </w:tr>
      <w:tr w:rsidR="003918BB" w14:paraId="26F1E9A8" w14:textId="77777777" w:rsidTr="003918BB">
        <w:trPr>
          <w:trHeight w:val="578"/>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40C75BD9" w14:textId="50DEA8E0" w:rsidR="003918BB" w:rsidRPr="003617EB" w:rsidRDefault="003918BB" w:rsidP="003918BB">
            <w:pPr>
              <w:rPr>
                <w:b w:val="0"/>
                <w:lang w:eastAsia="en-US"/>
              </w:rPr>
            </w:pPr>
            <w:r>
              <w:rPr>
                <w:b w:val="0"/>
                <w:lang w:eastAsia="en-US"/>
              </w:rPr>
              <w:lastRenderedPageBreak/>
              <w:t>JOBs Act</w:t>
            </w:r>
          </w:p>
        </w:tc>
        <w:tc>
          <w:tcPr>
            <w:tcW w:w="7916" w:type="dxa"/>
            <w:tcBorders>
              <w:top w:val="nil"/>
              <w:bottom w:val="nil"/>
            </w:tcBorders>
            <w:vAlign w:val="center"/>
          </w:tcPr>
          <w:p w14:paraId="3B1B7204" w14:textId="6DBBE2C9"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An indicator variable equals to 1 if the filing year of firm </w:t>
            </w:r>
            <w:proofErr w:type="spellStart"/>
            <w:r>
              <w:rPr>
                <w:lang w:eastAsia="en-US"/>
              </w:rPr>
              <w:t>i</w:t>
            </w:r>
            <w:proofErr w:type="spellEnd"/>
            <w:r>
              <w:rPr>
                <w:lang w:eastAsia="en-US"/>
              </w:rPr>
              <w:t xml:space="preserve"> is from 2012, when </w:t>
            </w:r>
            <w:r w:rsidRPr="003617EB">
              <w:rPr>
                <w:lang w:eastAsia="en-US"/>
              </w:rPr>
              <w:t xml:space="preserve">Jumpstart Our Business </w:t>
            </w:r>
            <w:proofErr w:type="spellStart"/>
            <w:r w:rsidRPr="003617EB">
              <w:rPr>
                <w:lang w:eastAsia="en-US"/>
              </w:rPr>
              <w:t>Startups</w:t>
            </w:r>
            <w:proofErr w:type="spellEnd"/>
            <w:r w:rsidRPr="003617EB">
              <w:rPr>
                <w:lang w:eastAsia="en-US"/>
              </w:rPr>
              <w:t xml:space="preserve"> Act</w:t>
            </w:r>
            <w:r>
              <w:rPr>
                <w:lang w:eastAsia="en-US"/>
              </w:rPr>
              <w:t xml:space="preserve"> (JOBs Act) was enacted, to 2017, and 0 otherwise.</w:t>
            </w:r>
          </w:p>
        </w:tc>
      </w:tr>
      <w:tr w:rsidR="003918BB" w14:paraId="3500C6CA" w14:textId="77777777" w:rsidTr="00391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50E4EA65" w14:textId="43CF3738" w:rsidR="003918BB" w:rsidRDefault="003918BB" w:rsidP="003918BB">
            <w:pPr>
              <w:rPr>
                <w:b w:val="0"/>
                <w:lang w:eastAsia="en-US"/>
              </w:rPr>
            </w:pPr>
            <w:r>
              <w:rPr>
                <w:b w:val="0"/>
                <w:lang w:eastAsia="en-US"/>
              </w:rPr>
              <w:t>Dodd-Frank</w:t>
            </w:r>
          </w:p>
        </w:tc>
        <w:tc>
          <w:tcPr>
            <w:tcW w:w="7916" w:type="dxa"/>
            <w:tcBorders>
              <w:top w:val="nil"/>
              <w:bottom w:val="nil"/>
            </w:tcBorders>
            <w:vAlign w:val="center"/>
          </w:tcPr>
          <w:p w14:paraId="7900F696" w14:textId="2C433090"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An indicator variable equals to 1 if the filing year of firm </w:t>
            </w:r>
            <w:proofErr w:type="spellStart"/>
            <w:r>
              <w:rPr>
                <w:lang w:eastAsia="en-US"/>
              </w:rPr>
              <w:t>i</w:t>
            </w:r>
            <w:proofErr w:type="spellEnd"/>
            <w:r>
              <w:rPr>
                <w:lang w:eastAsia="en-US"/>
              </w:rPr>
              <w:t xml:space="preserve"> is from 2010, when </w:t>
            </w:r>
            <w:r w:rsidRPr="003617EB">
              <w:rPr>
                <w:lang w:eastAsia="en-US"/>
              </w:rPr>
              <w:t>Dodd–Frank Wall Street Reform and Consumer Protection Act</w:t>
            </w:r>
            <w:r>
              <w:rPr>
                <w:lang w:eastAsia="en-US"/>
              </w:rPr>
              <w:t xml:space="preserve"> was enacted, to 2011, and 0 if the filing year of firm </w:t>
            </w:r>
            <w:proofErr w:type="spellStart"/>
            <w:r>
              <w:rPr>
                <w:lang w:eastAsia="en-US"/>
              </w:rPr>
              <w:t>i</w:t>
            </w:r>
            <w:proofErr w:type="spellEnd"/>
            <w:r>
              <w:rPr>
                <w:lang w:eastAsia="en-US"/>
              </w:rPr>
              <w:t xml:space="preserve"> is from 2005 to 2009.</w:t>
            </w:r>
          </w:p>
        </w:tc>
      </w:tr>
      <w:tr w:rsidR="003918BB" w14:paraId="5F3C2399" w14:textId="77777777" w:rsidTr="003918BB">
        <w:trPr>
          <w:trHeight w:val="567"/>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3864FB7" w14:textId="6B7566D6" w:rsidR="003918BB" w:rsidRDefault="003918BB" w:rsidP="003918BB">
            <w:pPr>
              <w:rPr>
                <w:b w:val="0"/>
                <w:lang w:eastAsia="en-US"/>
              </w:rPr>
            </w:pPr>
            <w:r>
              <w:rPr>
                <w:b w:val="0"/>
                <w:lang w:eastAsia="en-US"/>
              </w:rPr>
              <w:t>Financial crisis</w:t>
            </w:r>
          </w:p>
        </w:tc>
        <w:tc>
          <w:tcPr>
            <w:tcW w:w="7916" w:type="dxa"/>
            <w:tcBorders>
              <w:top w:val="nil"/>
              <w:bottom w:val="nil"/>
            </w:tcBorders>
            <w:vAlign w:val="center"/>
          </w:tcPr>
          <w:p w14:paraId="22ACEE3B" w14:textId="3676E221"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An indicator variable equals to 1 if filing year of firm </w:t>
            </w:r>
            <w:proofErr w:type="spellStart"/>
            <w:r>
              <w:rPr>
                <w:lang w:eastAsia="en-US"/>
              </w:rPr>
              <w:t>i</w:t>
            </w:r>
            <w:proofErr w:type="spellEnd"/>
            <w:r>
              <w:rPr>
                <w:lang w:eastAsia="en-US"/>
              </w:rPr>
              <w:t xml:space="preserve"> is in 2008 or 2009, when financial crisis occurred, and 0 if the filing year if from 2005 to 2007 or from 2010 to 2011 </w:t>
            </w:r>
            <w:r>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2018)","plainTextFormattedCitation":"(Colaco et al., 2018)","previouslyFormattedCitation":"(Colaco et al., 2018)"},"properties":{"noteIndex":0},"schema":"https://github.com/citation-style-language/schema/raw/master/csl-citation.json"}</w:instrText>
            </w:r>
            <w:r>
              <w:rPr>
                <w:lang w:eastAsia="en-US"/>
              </w:rPr>
              <w:fldChar w:fldCharType="separate"/>
            </w:r>
            <w:r w:rsidR="00B75B62" w:rsidRPr="00B75B62">
              <w:rPr>
                <w:noProof/>
                <w:lang w:eastAsia="en-US"/>
              </w:rPr>
              <w:t>(Colaco et al., 2018)</w:t>
            </w:r>
            <w:r>
              <w:rPr>
                <w:lang w:eastAsia="en-US"/>
              </w:rPr>
              <w:fldChar w:fldCharType="end"/>
            </w:r>
          </w:p>
        </w:tc>
      </w:tr>
      <w:tr w:rsidR="003918BB" w14:paraId="6399892A" w14:textId="77777777" w:rsidTr="0064016B">
        <w:trPr>
          <w:cnfStyle w:val="000000100000" w:firstRow="0" w:lastRow="0" w:firstColumn="0" w:lastColumn="0" w:oddVBand="0" w:evenVBand="0" w:oddHBand="1"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9719" w:type="dxa"/>
            <w:gridSpan w:val="2"/>
            <w:tcBorders>
              <w:top w:val="nil"/>
              <w:bottom w:val="nil"/>
            </w:tcBorders>
            <w:vAlign w:val="center"/>
          </w:tcPr>
          <w:p w14:paraId="78FED760" w14:textId="36958808" w:rsidR="003918BB" w:rsidRPr="0047251B" w:rsidRDefault="003918BB" w:rsidP="003918BB">
            <w:pPr>
              <w:rPr>
                <w:bCs w:val="0"/>
                <w:i/>
                <w:lang w:eastAsia="en-US"/>
              </w:rPr>
            </w:pPr>
            <w:r>
              <w:rPr>
                <w:b w:val="0"/>
                <w:i/>
                <w:lang w:eastAsia="en-US"/>
              </w:rPr>
              <w:t>Panel D</w:t>
            </w:r>
            <w:r w:rsidRPr="0047251B">
              <w:rPr>
                <w:b w:val="0"/>
                <w:i/>
                <w:lang w:eastAsia="en-US"/>
              </w:rPr>
              <w:t>. Industry</w:t>
            </w:r>
            <w:r>
              <w:rPr>
                <w:b w:val="0"/>
                <w:i/>
                <w:lang w:eastAsia="en-US"/>
              </w:rPr>
              <w:t xml:space="preserve"> and market</w:t>
            </w:r>
          </w:p>
        </w:tc>
      </w:tr>
      <w:tr w:rsidR="003918BB" w14:paraId="0460B2AE" w14:textId="77777777" w:rsidTr="003918BB">
        <w:trPr>
          <w:trHeight w:val="142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0A15853" w14:textId="6F693254" w:rsidR="003918BB" w:rsidRPr="00354CCB" w:rsidRDefault="003918BB" w:rsidP="003918BB">
            <w:pPr>
              <w:rPr>
                <w:b w:val="0"/>
                <w:lang w:eastAsia="en-US"/>
              </w:rPr>
            </w:pPr>
            <w:r>
              <w:rPr>
                <w:b w:val="0"/>
                <w:lang w:eastAsia="en-US"/>
              </w:rPr>
              <w:t xml:space="preserve">Regulated </w:t>
            </w:r>
          </w:p>
        </w:tc>
        <w:tc>
          <w:tcPr>
            <w:tcW w:w="7916" w:type="dxa"/>
            <w:tcBorders>
              <w:top w:val="nil"/>
              <w:bottom w:val="nil"/>
            </w:tcBorders>
            <w:vAlign w:val="center"/>
          </w:tcPr>
          <w:p w14:paraId="18C62406" w14:textId="7B91645A"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An indicator variable equals to 1 if the IPO firm’s industry as classified by SIC codes is </w:t>
            </w:r>
            <w:r w:rsidRPr="000912EF">
              <w:rPr>
                <w:lang w:eastAsia="en-US"/>
              </w:rPr>
              <w:t xml:space="preserve">4900–4939 (electric and gas), 1300 (oil and gas extraction), 4000–4700 (transportation), 4800 (telecommunications) </w:t>
            </w:r>
            <w:r>
              <w:rPr>
                <w:lang w:eastAsia="en-US"/>
              </w:rPr>
              <w:t xml:space="preserve">or </w:t>
            </w:r>
            <w:r w:rsidRPr="000912EF">
              <w:rPr>
                <w:lang w:eastAsia="en-US"/>
              </w:rPr>
              <w:t xml:space="preserve"> 4950–4959 (sanitary services)</w:t>
            </w:r>
            <w:r>
              <w:rPr>
                <w:lang w:eastAsia="en-US"/>
              </w:rPr>
              <w:t xml:space="preserve"> </w:t>
            </w:r>
            <w:r w:rsidRPr="000912EF">
              <w:rPr>
                <w:lang w:eastAsia="en-US"/>
              </w:rPr>
              <w:fldChar w:fldCharType="begin" w:fldLock="1"/>
            </w:r>
            <w:r>
              <w:rPr>
                <w:lang w:eastAsia="en-US"/>
              </w:rPr>
              <w:instrText>ADDIN CSL_CITATION {"citationItems":[{"id":"ITEM-1","itemData":{"abstract":"We examine the comment letters issued by the Securities and Exchange Commission to public company filers for a sample of firms completing an initial public offering. First we describe the comment letter process for our sample firms, focusing on the duration of the process, the number of iterations the filing goes through, and the number and types of issues that are raised by the SEC. Next, we study the determinants of the comment letter process, with particular emphasis on managerial expertise and corporate governance, and its potential implications for the firms’ information environment. Our results show that higher managerial expertise is associated with fewer issues. We also find weak evidence that the attributes of the comment letter process are associated with the firm’s information environment. We contribute to the literature by providing insights to the SEC’s review process, firm’s disclosure systems, and the IPO process.","author":[{"dropping-particle":"","family":"Ertimur","given":"Yonca","non-dropping-particle":"","parse-names":false,"suffix":""},{"dropping-particle":"","family":"Nondorf","given":"Maria E.","non-dropping-particle":"","parse-names":false,"suffix":""}],"container-title":"Working paper","id":"ITEM-1","issued":{"date-parts":[["2006"]]},"title":"IPO Firms and the SEC Comment Letter Process","type":"report"},"uris":["http://www.mendeley.com/documents/?uuid=01b61a32-44a8-4cff-b503-d4d5cb89a0fb"]}],"mendeley":{"formattedCitation":"(Ertimur &amp; Nondorf, 2006)","plainTextFormattedCitation":"(Ertimur &amp; Nondorf, 2006)","previouslyFormattedCitation":"(Ertimur &amp; Nondorf, 2006)"},"properties":{"noteIndex":0},"schema":"https://github.com/citation-style-language/schema/raw/master/csl-citation.json"}</w:instrText>
            </w:r>
            <w:r w:rsidRPr="000912EF">
              <w:rPr>
                <w:lang w:eastAsia="en-US"/>
              </w:rPr>
              <w:fldChar w:fldCharType="separate"/>
            </w:r>
            <w:r w:rsidRPr="000912EF">
              <w:rPr>
                <w:noProof/>
                <w:lang w:eastAsia="en-US"/>
              </w:rPr>
              <w:t>(Ertimur &amp; Nondorf, 2006)</w:t>
            </w:r>
            <w:r w:rsidRPr="000912EF">
              <w:rPr>
                <w:lang w:eastAsia="en-US"/>
              </w:rPr>
              <w:fldChar w:fldCharType="end"/>
            </w:r>
          </w:p>
        </w:tc>
      </w:tr>
      <w:tr w:rsidR="003918BB" w14:paraId="5BB977B0" w14:textId="77777777" w:rsidTr="003918BB">
        <w:trPr>
          <w:cnfStyle w:val="000000100000" w:firstRow="0" w:lastRow="0" w:firstColumn="0" w:lastColumn="0" w:oddVBand="0" w:evenVBand="0" w:oddHBand="1" w:evenHBand="0" w:firstRowFirstColumn="0" w:firstRowLastColumn="0" w:lastRowFirstColumn="0" w:lastRowLastColumn="0"/>
          <w:trHeight w:val="2407"/>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2D54219" w14:textId="0DDEA55B" w:rsidR="003918BB" w:rsidRPr="00354CCB" w:rsidRDefault="003918BB" w:rsidP="003918BB">
            <w:pPr>
              <w:rPr>
                <w:b w:val="0"/>
                <w:lang w:eastAsia="en-US"/>
              </w:rPr>
            </w:pPr>
            <w:r>
              <w:rPr>
                <w:b w:val="0"/>
                <w:lang w:eastAsia="en-US"/>
              </w:rPr>
              <w:t>Technology</w:t>
            </w:r>
          </w:p>
        </w:tc>
        <w:tc>
          <w:tcPr>
            <w:tcW w:w="7916" w:type="dxa"/>
            <w:tcBorders>
              <w:top w:val="nil"/>
              <w:bottom w:val="nil"/>
            </w:tcBorders>
            <w:vAlign w:val="center"/>
          </w:tcPr>
          <w:p w14:paraId="1A5576C1" w14:textId="56B32179"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sidRPr="006575E5">
              <w:rPr>
                <w:lang w:eastAsia="en-US"/>
              </w:rPr>
              <w:t xml:space="preserve">An indicator variable equals to 1 if the IPO firm’s industry as classified by SIC codes is </w:t>
            </w:r>
            <w:r w:rsidRPr="002D0362">
              <w:rPr>
                <w:lang w:eastAsia="en-US"/>
              </w:rPr>
              <w:t>3571, 3572, 3575, 3577, 3578 (i.e. computer hardware); 3661, 3663, 3669 (i.e. communications equipment); 3671, 3672, 3674, 3675, 3677, 3678, 3679 (i.e. electronics); 3812 (i.e. navigation equipment); 3823, 3825, 3826, 3827, 3829 (i.e. measuring and controlling devices); 3841, 3845 (i.e. medical instruments); 4812, 4813 (i.e. telephone equipment); 4899 (i.e</w:t>
            </w:r>
            <w:r>
              <w:rPr>
                <w:lang w:eastAsia="en-US"/>
              </w:rPr>
              <w:t xml:space="preserve">. communications services) or </w:t>
            </w:r>
            <w:r w:rsidRPr="002D0362">
              <w:rPr>
                <w:lang w:eastAsia="en-US"/>
              </w:rPr>
              <w:t>7371, 7372, 7373, 7374, 7375, 7378,7379 (i.e. software)</w:t>
            </w:r>
            <w:r>
              <w:rPr>
                <w:lang w:eastAsia="en-US"/>
              </w:rPr>
              <w:t xml:space="preserve"> </w:t>
            </w:r>
            <w:r>
              <w:rPr>
                <w:lang w:eastAsia="en-US"/>
              </w:rPr>
              <w:fldChar w:fldCharType="begin" w:fldLock="1"/>
            </w:r>
            <w:r w:rsidR="00A611DF">
              <w:rPr>
                <w:lang w:eastAsia="en-US"/>
              </w:rP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2018)","plainTextFormattedCitation":"(Colaco et al., 2018)","previouslyFormattedCitation":"(Colaco et al., 2018)"},"properties":{"noteIndex":0},"schema":"https://github.com/citation-style-language/schema/raw/master/csl-citation.json"}</w:instrText>
            </w:r>
            <w:r>
              <w:rPr>
                <w:lang w:eastAsia="en-US"/>
              </w:rPr>
              <w:fldChar w:fldCharType="separate"/>
            </w:r>
            <w:r>
              <w:rPr>
                <w:noProof/>
                <w:lang w:eastAsia="en-US"/>
              </w:rPr>
              <w:t>(Colaco et al.</w:t>
            </w:r>
            <w:r w:rsidR="00F57010">
              <w:rPr>
                <w:noProof/>
                <w:lang w:eastAsia="en-US"/>
              </w:rPr>
              <w:t>, 2018</w:t>
            </w:r>
            <w:r w:rsidRPr="0047251B">
              <w:rPr>
                <w:noProof/>
                <w:lang w:eastAsia="en-US"/>
              </w:rPr>
              <w:t>)</w:t>
            </w:r>
            <w:r>
              <w:rPr>
                <w:lang w:eastAsia="en-US"/>
              </w:rPr>
              <w:fldChar w:fldCharType="end"/>
            </w:r>
          </w:p>
        </w:tc>
      </w:tr>
      <w:tr w:rsidR="003918BB" w14:paraId="2C22E93B" w14:textId="77777777" w:rsidTr="003918BB">
        <w:trPr>
          <w:trHeight w:val="142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6BB3121C" w14:textId="683A6D63" w:rsidR="003918BB" w:rsidRDefault="003918BB" w:rsidP="003918BB">
            <w:pPr>
              <w:rPr>
                <w:b w:val="0"/>
                <w:lang w:eastAsia="en-US"/>
              </w:rPr>
            </w:pPr>
            <w:r>
              <w:rPr>
                <w:b w:val="0"/>
                <w:lang w:eastAsia="en-US"/>
              </w:rPr>
              <w:t>IPOs by industry</w:t>
            </w:r>
          </w:p>
        </w:tc>
        <w:tc>
          <w:tcPr>
            <w:tcW w:w="7916" w:type="dxa"/>
            <w:tcBorders>
              <w:top w:val="nil"/>
              <w:bottom w:val="nil"/>
            </w:tcBorders>
            <w:vAlign w:val="center"/>
          </w:tcPr>
          <w:p w14:paraId="4FCAA4D9" w14:textId="2613708A" w:rsidR="003918BB" w:rsidRPr="006575E5"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The number of IPOs in the same industry </w:t>
            </w:r>
            <w:r w:rsidRPr="006575E5">
              <w:rPr>
                <w:lang w:eastAsia="en-US"/>
              </w:rPr>
              <w:t xml:space="preserve">of the initial S-1 filing of firm </w:t>
            </w:r>
            <w:proofErr w:type="spellStart"/>
            <w:r w:rsidRPr="006575E5">
              <w:rPr>
                <w:lang w:eastAsia="en-US"/>
              </w:rPr>
              <w:t>i</w:t>
            </w:r>
            <w:proofErr w:type="spellEnd"/>
            <w:r w:rsidRPr="006575E5">
              <w:rPr>
                <w:lang w:eastAsia="en-US"/>
              </w:rPr>
              <w:t xml:space="preserve"> (</w:t>
            </w:r>
            <w:proofErr w:type="spellStart"/>
            <w:r w:rsidRPr="006575E5">
              <w:rPr>
                <w:lang w:eastAsia="en-US"/>
              </w:rPr>
              <w:t>Colaco</w:t>
            </w:r>
            <w:proofErr w:type="spellEnd"/>
            <w:r w:rsidRPr="006575E5">
              <w:rPr>
                <w:lang w:eastAsia="en-US"/>
              </w:rPr>
              <w:t xml:space="preserve"> et al., </w:t>
            </w:r>
            <w:r w:rsidR="00F57010">
              <w:rPr>
                <w:lang w:eastAsia="en-US"/>
              </w:rPr>
              <w:t>2018</w:t>
            </w:r>
            <w:r w:rsidRPr="006575E5">
              <w:rPr>
                <w:lang w:eastAsia="en-US"/>
              </w:rPr>
              <w:t>)</w:t>
            </w:r>
          </w:p>
        </w:tc>
      </w:tr>
      <w:tr w:rsidR="003918BB" w14:paraId="378CBCF2" w14:textId="77777777" w:rsidTr="003918BB">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738942E2" w14:textId="250756D7" w:rsidR="003918BB" w:rsidRDefault="003918BB" w:rsidP="003918BB">
            <w:pPr>
              <w:rPr>
                <w:lang w:eastAsia="en-US"/>
              </w:rPr>
            </w:pPr>
            <w:r>
              <w:rPr>
                <w:b w:val="0"/>
                <w:lang w:eastAsia="en-US"/>
              </w:rPr>
              <w:t>Herfindahl Index</w:t>
            </w:r>
          </w:p>
        </w:tc>
        <w:tc>
          <w:tcPr>
            <w:tcW w:w="7916" w:type="dxa"/>
            <w:tcBorders>
              <w:top w:val="nil"/>
              <w:bottom w:val="nil"/>
            </w:tcBorders>
            <w:vAlign w:val="center"/>
          </w:tcPr>
          <w:p w14:paraId="73D7C425" w14:textId="7EA6150B"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m:oMath>
              <m:r>
                <w:rPr>
                  <w:rFonts w:ascii="Cambria Math" w:hAnsi="Cambria Math"/>
                  <w:lang w:eastAsia="en-US"/>
                </w:rPr>
                <m:t>Herfindahl Index=</m:t>
              </m:r>
              <m:nary>
                <m:naryPr>
                  <m:chr m:val="∑"/>
                  <m:limLoc m:val="undOvr"/>
                  <m:ctrlPr>
                    <w:rPr>
                      <w:rFonts w:ascii="Cambria Math" w:hAnsi="Cambria Math"/>
                      <w:i/>
                      <w:lang w:eastAsia="en-US"/>
                    </w:rPr>
                  </m:ctrlPr>
                </m:naryPr>
                <m:sub>
                  <m:r>
                    <w:rPr>
                      <w:rFonts w:ascii="Cambria Math" w:hAnsi="Cambria Math"/>
                      <w:lang w:eastAsia="en-US"/>
                    </w:rPr>
                    <m:t>i=1</m:t>
                  </m:r>
                </m:sub>
                <m:sup>
                  <m:r>
                    <w:rPr>
                      <w:rFonts w:ascii="Cambria Math" w:hAnsi="Cambria Math"/>
                      <w:lang w:eastAsia="en-US"/>
                    </w:rPr>
                    <m:t>n</m:t>
                  </m:r>
                </m:sup>
                <m:e>
                  <m:sSup>
                    <m:sSupPr>
                      <m:ctrlPr>
                        <w:rPr>
                          <w:rFonts w:ascii="Cambria Math" w:hAnsi="Cambria Math"/>
                          <w:i/>
                          <w:lang w:eastAsia="en-US"/>
                        </w:rPr>
                      </m:ctrlPr>
                    </m:sSupPr>
                    <m:e>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sales</m:t>
                              </m:r>
                            </m:e>
                            <m:sub>
                              <m:r>
                                <w:rPr>
                                  <w:rFonts w:ascii="Cambria Math" w:hAnsi="Cambria Math"/>
                                  <w:lang w:eastAsia="en-US"/>
                                </w:rPr>
                                <m:t>ij</m:t>
                              </m:r>
                            </m:sub>
                          </m:sSub>
                        </m:num>
                        <m:den>
                          <m:sSub>
                            <m:sSubPr>
                              <m:ctrlPr>
                                <w:rPr>
                                  <w:rFonts w:ascii="Cambria Math" w:hAnsi="Cambria Math"/>
                                  <w:i/>
                                  <w:lang w:eastAsia="en-US"/>
                                </w:rPr>
                              </m:ctrlPr>
                            </m:sSubPr>
                            <m:e>
                              <m:r>
                                <w:rPr>
                                  <w:rFonts w:ascii="Cambria Math" w:hAnsi="Cambria Math"/>
                                  <w:lang w:eastAsia="en-US"/>
                                </w:rPr>
                                <m:t>sales</m:t>
                              </m:r>
                            </m:e>
                            <m:sub>
                              <m:r>
                                <w:rPr>
                                  <w:rFonts w:ascii="Cambria Math" w:hAnsi="Cambria Math"/>
                                  <w:lang w:eastAsia="en-US"/>
                                </w:rPr>
                                <m:t>j</m:t>
                              </m:r>
                            </m:sub>
                          </m:sSub>
                        </m:den>
                      </m:f>
                      <m:r>
                        <w:rPr>
                          <w:rFonts w:ascii="Cambria Math" w:hAnsi="Cambria Math"/>
                          <w:lang w:eastAsia="en-US"/>
                        </w:rPr>
                        <m:t>)</m:t>
                      </m:r>
                    </m:e>
                    <m:sup>
                      <m:r>
                        <w:rPr>
                          <w:rFonts w:ascii="Cambria Math" w:hAnsi="Cambria Math"/>
                          <w:lang w:eastAsia="en-US"/>
                        </w:rPr>
                        <m:t>2</m:t>
                      </m:r>
                    </m:sup>
                  </m:sSup>
                </m:e>
              </m:nary>
            </m:oMath>
            <w:r>
              <w:rPr>
                <w:lang w:eastAsia="en-US"/>
              </w:rPr>
              <w:t xml:space="preserve"> where </w:t>
            </w:r>
            <m:oMath>
              <m:sSub>
                <m:sSubPr>
                  <m:ctrlPr>
                    <w:rPr>
                      <w:rFonts w:ascii="Cambria Math" w:hAnsi="Cambria Math"/>
                      <w:i/>
                      <w:lang w:eastAsia="en-US"/>
                    </w:rPr>
                  </m:ctrlPr>
                </m:sSubPr>
                <m:e>
                  <m:r>
                    <w:rPr>
                      <w:rFonts w:ascii="Cambria Math" w:hAnsi="Cambria Math"/>
                      <w:lang w:eastAsia="en-US"/>
                    </w:rPr>
                    <m:t>sales</m:t>
                  </m:r>
                </m:e>
                <m:sub>
                  <m:r>
                    <w:rPr>
                      <w:rFonts w:ascii="Cambria Math" w:hAnsi="Cambria Math"/>
                      <w:lang w:eastAsia="en-US"/>
                    </w:rPr>
                    <m:t>ij</m:t>
                  </m:r>
                </m:sub>
              </m:sSub>
            </m:oMath>
            <w:r w:rsidRPr="006575E5">
              <w:rPr>
                <w:rFonts w:eastAsiaTheme="minorEastAsia"/>
                <w:lang w:eastAsia="en-US"/>
              </w:rPr>
              <w:t xml:space="preserve"> is firm i’s sales in industry j, as defined by two-digit SIC codes, </w:t>
            </w:r>
            <m:oMath>
              <m:sSub>
                <m:sSubPr>
                  <m:ctrlPr>
                    <w:rPr>
                      <w:rFonts w:ascii="Cambria Math" w:hAnsi="Cambria Math"/>
                      <w:i/>
                      <w:lang w:eastAsia="en-US"/>
                    </w:rPr>
                  </m:ctrlPr>
                </m:sSubPr>
                <m:e>
                  <m:r>
                    <w:rPr>
                      <w:rFonts w:ascii="Cambria Math" w:hAnsi="Cambria Math"/>
                      <w:lang w:eastAsia="en-US"/>
                    </w:rPr>
                    <m:t>sales</m:t>
                  </m:r>
                </m:e>
                <m:sub>
                  <m:r>
                    <w:rPr>
                      <w:rFonts w:ascii="Cambria Math" w:hAnsi="Cambria Math"/>
                      <w:lang w:eastAsia="en-US"/>
                    </w:rPr>
                    <m:t>j</m:t>
                  </m:r>
                </m:sub>
              </m:sSub>
            </m:oMath>
            <w:r w:rsidRPr="006575E5">
              <w:rPr>
                <w:rFonts w:eastAsiaTheme="minorEastAsia"/>
                <w:lang w:eastAsia="en-US"/>
              </w:rPr>
              <w:t xml:space="preserve"> is the sum of sales for all firms in industry j </w:t>
            </w:r>
            <w:r w:rsidRPr="006575E5">
              <w:rPr>
                <w:rFonts w:eastAsiaTheme="minorEastAsia"/>
                <w:lang w:eastAsia="en-US"/>
              </w:rPr>
              <w:fldChar w:fldCharType="begin" w:fldLock="1"/>
            </w:r>
            <w:r w:rsidRPr="006575E5">
              <w:rPr>
                <w:rFonts w:eastAsiaTheme="minorEastAsia"/>
                <w:lang w:eastAsia="en-US"/>
              </w:rPr>
              <w:instrText>ADDIN CSL_CITATION {"citationItems":[{"id":"ITEM-1","itemData":{"DOI":"10.1016/j.jaccpubpol.2015.11.005","ISSN":"0278-4254","author":[{"dropping-particle":"","family":"Wang","given":"Qian","non-dropping-particle":"","parse-names":false,"suffix":""}],"container-title":"Journal of Accounting and Public Policy","id":"ITEM-1","issue":"2","issued":{"date-parts":[["2016"]]},"page":"109-133","publisher":"Elsevier Inc.","title":"J . Account . Public Policy Determinants of segment disclosure deficiencies and the effect of the SEC comment letter process q","type":"article-journal","volume":"35"},"uris":["http://www.mendeley.com/documents/?uuid=91cfdfb9-8157-4540-8d03-7dd2af28c48c"]}],"mendeley":{"formattedCitation":"(Wang, 2016)","plainTextFormattedCitation":"(Wang, 2016)","previouslyFormattedCitation":"(Wang, 2016)"},"properties":{"noteIndex":0},"schema":"https://github.com/citation-style-language/schema/raw/master/csl-citation.json"}</w:instrText>
            </w:r>
            <w:r w:rsidRPr="006575E5">
              <w:rPr>
                <w:rFonts w:eastAsiaTheme="minorEastAsia"/>
                <w:lang w:eastAsia="en-US"/>
              </w:rPr>
              <w:fldChar w:fldCharType="separate"/>
            </w:r>
            <w:r w:rsidRPr="006575E5">
              <w:rPr>
                <w:rFonts w:eastAsiaTheme="minorEastAsia"/>
                <w:noProof/>
                <w:lang w:eastAsia="en-US"/>
              </w:rPr>
              <w:t>(Wang, 2016)</w:t>
            </w:r>
            <w:r w:rsidRPr="006575E5">
              <w:rPr>
                <w:rFonts w:eastAsiaTheme="minorEastAsia"/>
                <w:lang w:eastAsia="en-US"/>
              </w:rPr>
              <w:fldChar w:fldCharType="end"/>
            </w:r>
          </w:p>
        </w:tc>
      </w:tr>
      <w:tr w:rsidR="003918BB" w14:paraId="113E8BFB" w14:textId="77777777" w:rsidTr="006575E5">
        <w:trPr>
          <w:trHeight w:val="1133"/>
        </w:trPr>
        <w:tc>
          <w:tcPr>
            <w:cnfStyle w:val="001000000000" w:firstRow="0" w:lastRow="0" w:firstColumn="1" w:lastColumn="0" w:oddVBand="0" w:evenVBand="0" w:oddHBand="0" w:evenHBand="0" w:firstRowFirstColumn="0" w:firstRowLastColumn="0" w:lastRowFirstColumn="0" w:lastRowLastColumn="0"/>
            <w:tcW w:w="9719" w:type="dxa"/>
            <w:gridSpan w:val="2"/>
            <w:tcBorders>
              <w:top w:val="nil"/>
              <w:bottom w:val="nil"/>
            </w:tcBorders>
            <w:vAlign w:val="center"/>
          </w:tcPr>
          <w:p w14:paraId="7BEEBFBC" w14:textId="3410F7D6" w:rsidR="003918BB" w:rsidRDefault="003918BB" w:rsidP="003918BB">
            <w:pPr>
              <w:rPr>
                <w:lang w:eastAsia="en-US"/>
              </w:rPr>
            </w:pPr>
            <w:r>
              <w:rPr>
                <w:b w:val="0"/>
                <w:i/>
                <w:lang w:eastAsia="en-US"/>
              </w:rPr>
              <w:t>Panel E. IPO firms’ characteristics</w:t>
            </w:r>
          </w:p>
        </w:tc>
      </w:tr>
      <w:tr w:rsidR="003918BB" w14:paraId="0DD24396" w14:textId="77777777" w:rsidTr="007F6190">
        <w:trPr>
          <w:cnfStyle w:val="000000100000" w:firstRow="0" w:lastRow="0" w:firstColumn="0" w:lastColumn="0" w:oddVBand="0" w:evenVBand="0" w:oddHBand="1"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03543B98" w14:textId="38A5BDF1" w:rsidR="003918BB" w:rsidRDefault="003918BB" w:rsidP="003918BB">
            <w:pPr>
              <w:rPr>
                <w:lang w:eastAsia="en-US"/>
              </w:rPr>
            </w:pPr>
            <w:r>
              <w:rPr>
                <w:b w:val="0"/>
                <w:lang w:eastAsia="en-US"/>
              </w:rPr>
              <w:t>Size</w:t>
            </w:r>
          </w:p>
        </w:tc>
        <w:tc>
          <w:tcPr>
            <w:tcW w:w="7916" w:type="dxa"/>
            <w:tcBorders>
              <w:top w:val="nil"/>
              <w:bottom w:val="nil"/>
            </w:tcBorders>
            <w:vAlign w:val="center"/>
          </w:tcPr>
          <w:p w14:paraId="517EF037" w14:textId="6CFEF863" w:rsidR="003918BB" w:rsidRDefault="003918BB" w:rsidP="00BF477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Firm size</w:t>
            </w:r>
            <w:r w:rsidRPr="000912EF">
              <w:rPr>
                <w:lang w:eastAsia="en-US"/>
              </w:rPr>
              <w:t xml:space="preserve"> is calculated as </w:t>
            </w:r>
            <w:r w:rsidR="00BF4779">
              <w:rPr>
                <w:lang w:eastAsia="en-US"/>
              </w:rPr>
              <w:t xml:space="preserve">natural </w:t>
            </w:r>
            <w:r>
              <w:rPr>
                <w:lang w:eastAsia="en-US"/>
              </w:rPr>
              <w:t xml:space="preserve">logarithm of </w:t>
            </w:r>
            <w:r w:rsidRPr="000912EF">
              <w:rPr>
                <w:lang w:eastAsia="en-US"/>
              </w:rPr>
              <w:t xml:space="preserve">shares outstanding at fiscal year-end times the </w:t>
            </w:r>
            <w:r>
              <w:rPr>
                <w:lang w:eastAsia="en-US"/>
              </w:rPr>
              <w:t xml:space="preserve">share price </w:t>
            </w:r>
            <w:r w:rsidR="00A51701">
              <w:rPr>
                <w:lang w:eastAsia="en-US"/>
              </w:rPr>
              <w:t>in year t</w:t>
            </w:r>
            <w:r>
              <w:rPr>
                <w:lang w:eastAsia="en-US"/>
              </w:rPr>
              <w:t xml:space="preserve"> (</w:t>
            </w:r>
            <w:proofErr w:type="spellStart"/>
            <w:r w:rsidRPr="000912EF">
              <w:rPr>
                <w:noProof/>
                <w:lang w:eastAsia="en-US"/>
              </w:rPr>
              <w:t>Duro</w:t>
            </w:r>
            <w:proofErr w:type="spellEnd"/>
            <w:r w:rsidRPr="000912EF">
              <w:rPr>
                <w:noProof/>
                <w:lang w:eastAsia="en-US"/>
              </w:rPr>
              <w:t xml:space="preserve"> et al., 2017)</w:t>
            </w:r>
            <w:r>
              <w:rPr>
                <w:lang w:eastAsia="en-US"/>
              </w:rPr>
              <w:t xml:space="preserve">. (Source: </w:t>
            </w:r>
            <w:proofErr w:type="spellStart"/>
            <w:r>
              <w:rPr>
                <w:lang w:eastAsia="en-US"/>
              </w:rPr>
              <w:t>Compustat</w:t>
            </w:r>
            <w:proofErr w:type="spellEnd"/>
            <w:r>
              <w:rPr>
                <w:lang w:eastAsia="en-US"/>
              </w:rPr>
              <w:t>)</w:t>
            </w:r>
          </w:p>
        </w:tc>
      </w:tr>
      <w:tr w:rsidR="003918BB" w14:paraId="1DCB8AAB" w14:textId="77777777" w:rsidTr="003918BB">
        <w:trPr>
          <w:trHeight w:val="988"/>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8A35878" w14:textId="2AE7A309" w:rsidR="003918BB" w:rsidRDefault="003918BB" w:rsidP="003918BB">
            <w:pPr>
              <w:rPr>
                <w:lang w:eastAsia="en-US"/>
              </w:rPr>
            </w:pPr>
            <w:r>
              <w:rPr>
                <w:b w:val="0"/>
                <w:lang w:eastAsia="en-US"/>
              </w:rPr>
              <w:t>Big 4</w:t>
            </w:r>
          </w:p>
        </w:tc>
        <w:tc>
          <w:tcPr>
            <w:tcW w:w="7916" w:type="dxa"/>
            <w:tcBorders>
              <w:top w:val="nil"/>
              <w:bottom w:val="nil"/>
            </w:tcBorders>
            <w:vAlign w:val="center"/>
          </w:tcPr>
          <w:p w14:paraId="4D85B708" w14:textId="56118BE0"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An indicator variable equals to 1 if firm </w:t>
            </w:r>
            <w:proofErr w:type="spellStart"/>
            <w:r>
              <w:rPr>
                <w:lang w:eastAsia="en-US"/>
              </w:rPr>
              <w:t>i</w:t>
            </w:r>
            <w:proofErr w:type="spellEnd"/>
            <w:r>
              <w:rPr>
                <w:lang w:eastAsia="en-US"/>
              </w:rPr>
              <w:t xml:space="preserve"> is audited by Big 4 Auditors including Ernst &amp; Young, </w:t>
            </w:r>
            <w:r w:rsidRPr="00017957">
              <w:rPr>
                <w:lang w:eastAsia="en-US"/>
              </w:rPr>
              <w:t xml:space="preserve">Deloitte &amp; </w:t>
            </w:r>
            <w:proofErr w:type="spellStart"/>
            <w:r w:rsidRPr="00017957">
              <w:rPr>
                <w:lang w:eastAsia="en-US"/>
              </w:rPr>
              <w:t>Touche</w:t>
            </w:r>
            <w:proofErr w:type="spellEnd"/>
            <w:r>
              <w:rPr>
                <w:lang w:eastAsia="en-US"/>
              </w:rPr>
              <w:t xml:space="preserve">, KPMG, </w:t>
            </w:r>
            <w:r w:rsidRPr="00017957">
              <w:rPr>
                <w:lang w:eastAsia="en-US"/>
              </w:rPr>
              <w:t>PricewaterhouseCoopers</w:t>
            </w:r>
            <w:r>
              <w:rPr>
                <w:lang w:eastAsia="en-US"/>
              </w:rPr>
              <w:t xml:space="preserve"> </w:t>
            </w:r>
            <w:r w:rsidRPr="000912EF">
              <w:rPr>
                <w:lang w:eastAsia="en-US"/>
              </w:rPr>
              <w:fldChar w:fldCharType="begin" w:fldLock="1"/>
            </w:r>
            <w:r>
              <w:rPr>
                <w:lang w:eastAsia="en-US"/>
              </w:rPr>
              <w:instrText>ADDIN CSL_CITATION {"citationItems":[{"id":"ITEM-1","itemData":{"ISBN":"7133486296","ISSN":"19113846","PMID":"25246403","abstract":"The Securities and Exchange Commission (SEC) reviews company filings (10Q, 10K, S1, etc.) submitted to them. If a review identifies potential deficiencies, the SEC staff sends the company a comment letter seeking clarification, additional information, and ultimately perhaps, revision of the filing or future filings. We explore the content and resolution of SEC comment letters and then examine the informational consequences of letter resolution. The content analysis shows that nearly half of all comments involve accounting application, financial reporting, and disclosure issues. More than 17% of our sample immediately amend filings to resolve comment letters, and financial statements and/or footnotes are frequently revised. Following comment letter resolution, absolute abnormal returns and trading volume around earning announcements decline and analyst forecast accuracy improves. We conclude the SEC’s oversight has beneficial informational effects.","author":[{"dropping-particle":"","family":"Johnston","given":"Rick","non-dropping-particle":"","parse-names":false,"suffix":""},{"dropping-particle":"","family":"Petacchi","given":"Reining","non-dropping-particle":"","parse-names":false,"suffix":""}],"container-title":"Contemporary Accounting Research","id":"ITEM-1","issue":"2","issued":{"date-parts":[["2017"]]},"page":"1128-1155","title":"Regulatory Oversight of Financial Reporting: Securities and Exchange Commission Comment Letters","type":"article-journal","volume":"34"},"uris":["http://www.mendeley.com/documents/?uuid=6f0a5987-96ef-4573-9c9a-4445f9fb6ad8"]}],"mendeley":{"formattedCitation":"(Johnston &amp; Petacchi, 2017)","plainTextFormattedCitation":"(Johnston &amp; Petacchi, 2017)","previouslyFormattedCitation":"(Johnston &amp; Petacchi, 2017)"},"properties":{"noteIndex":0},"schema":"https://github.com/citation-style-language/schema/raw/master/csl-citation.json"}</w:instrText>
            </w:r>
            <w:r w:rsidRPr="000912EF">
              <w:rPr>
                <w:lang w:eastAsia="en-US"/>
              </w:rPr>
              <w:fldChar w:fldCharType="separate"/>
            </w:r>
            <w:r w:rsidRPr="000912EF">
              <w:rPr>
                <w:noProof/>
                <w:lang w:eastAsia="en-US"/>
              </w:rPr>
              <w:t>(Johnston &amp; Petacchi, 2017)</w:t>
            </w:r>
            <w:r w:rsidRPr="000912EF">
              <w:rPr>
                <w:lang w:eastAsia="en-US"/>
              </w:rPr>
              <w:fldChar w:fldCharType="end"/>
            </w:r>
            <w:r>
              <w:rPr>
                <w:lang w:eastAsia="en-US"/>
              </w:rPr>
              <w:t xml:space="preserve">, and 0 otherwise. (Source: </w:t>
            </w:r>
            <w:proofErr w:type="spellStart"/>
            <w:r>
              <w:rPr>
                <w:lang w:eastAsia="en-US"/>
              </w:rPr>
              <w:t>Compustat</w:t>
            </w:r>
            <w:proofErr w:type="spellEnd"/>
            <w:r>
              <w:rPr>
                <w:lang w:eastAsia="en-US"/>
              </w:rPr>
              <w:t>)</w:t>
            </w:r>
          </w:p>
        </w:tc>
      </w:tr>
      <w:tr w:rsidR="003918BB" w14:paraId="4CD43D6E" w14:textId="77777777" w:rsidTr="003918BB">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716E5E3" w14:textId="04440E08" w:rsidR="003918BB" w:rsidRDefault="003918BB" w:rsidP="003918BB">
            <w:pPr>
              <w:rPr>
                <w:lang w:eastAsia="en-US"/>
              </w:rPr>
            </w:pPr>
            <w:r w:rsidRPr="000F383A">
              <w:rPr>
                <w:b w:val="0"/>
                <w:lang w:eastAsia="en-US"/>
              </w:rPr>
              <w:t>Restructuring</w:t>
            </w:r>
            <w:r>
              <w:rPr>
                <w:b w:val="0"/>
                <w:lang w:eastAsia="en-US"/>
              </w:rPr>
              <w:t xml:space="preserve"> </w:t>
            </w:r>
          </w:p>
        </w:tc>
        <w:tc>
          <w:tcPr>
            <w:tcW w:w="7916" w:type="dxa"/>
            <w:tcBorders>
              <w:top w:val="nil"/>
              <w:bottom w:val="nil"/>
            </w:tcBorders>
            <w:vAlign w:val="center"/>
          </w:tcPr>
          <w:p w14:paraId="647DE558" w14:textId="691F6572" w:rsidR="003918BB" w:rsidRDefault="003918BB" w:rsidP="00FE47B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An indicator variable equals to 1 if firm </w:t>
            </w:r>
            <w:proofErr w:type="spellStart"/>
            <w:r>
              <w:rPr>
                <w:lang w:eastAsia="en-US"/>
              </w:rPr>
              <w:t>i</w:t>
            </w:r>
            <w:proofErr w:type="spellEnd"/>
            <w:r>
              <w:rPr>
                <w:lang w:eastAsia="en-US"/>
              </w:rPr>
              <w:t xml:space="preserve"> has non-zero restructuring cost on a pre-tax basis </w:t>
            </w:r>
            <w:r w:rsidRPr="000F383A">
              <w:rPr>
                <w:lang w:eastAsia="en-US"/>
              </w:rPr>
              <w:t xml:space="preserve">in </w:t>
            </w:r>
            <w:r w:rsidR="00A51701">
              <w:rPr>
                <w:lang w:eastAsia="en-US"/>
              </w:rPr>
              <w:t>year t</w:t>
            </w:r>
            <w:r>
              <w:rPr>
                <w:lang w:eastAsia="en-US"/>
              </w:rPr>
              <w:t xml:space="preserve">, and 0 otherwise </w:t>
            </w:r>
            <w:r w:rsidRPr="000912EF">
              <w:rPr>
                <w:lang w:eastAsia="en-US"/>
              </w:rPr>
              <w:t>(</w:t>
            </w:r>
            <w:r w:rsidRPr="000912EF">
              <w:rPr>
                <w:lang w:eastAsia="en-US"/>
              </w:rPr>
              <w:fldChar w:fldCharType="begin" w:fldLock="1"/>
            </w:r>
            <w:r>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 ","plainTextFormattedCitation":"(Cassell et al., 2013)","previouslyFormattedCitation":"(Cassell et al., 2013)"},"properties":{"noteIndex":0},"schema":"https://github.com/citation-style-language/schema/raw/master/csl-citation.json"}</w:instrText>
            </w:r>
            <w:r w:rsidRPr="000912EF">
              <w:rPr>
                <w:lang w:eastAsia="en-US"/>
              </w:rPr>
              <w:fldChar w:fldCharType="separate"/>
            </w:r>
            <w:r w:rsidRPr="000912EF">
              <w:rPr>
                <w:noProof/>
                <w:lang w:eastAsia="en-US"/>
              </w:rPr>
              <w:t xml:space="preserve">Cassell et al., 2013; </w:t>
            </w:r>
            <w:r w:rsidRPr="000912EF">
              <w:rPr>
                <w:lang w:eastAsia="en-US"/>
              </w:rPr>
              <w:fldChar w:fldCharType="end"/>
            </w:r>
            <w:r w:rsidRPr="000912EF">
              <w:rPr>
                <w:lang w:eastAsia="en-US"/>
              </w:rPr>
              <w:t>Hesse et al., 2017)</w:t>
            </w:r>
            <w:r>
              <w:rPr>
                <w:lang w:eastAsia="en-US"/>
              </w:rPr>
              <w:t xml:space="preserve">. (Source: </w:t>
            </w:r>
            <w:proofErr w:type="spellStart"/>
            <w:r>
              <w:rPr>
                <w:lang w:eastAsia="en-US"/>
              </w:rPr>
              <w:t>Compustat</w:t>
            </w:r>
            <w:proofErr w:type="spellEnd"/>
            <w:r>
              <w:rPr>
                <w:lang w:eastAsia="en-US"/>
              </w:rPr>
              <w:t>)</w:t>
            </w:r>
          </w:p>
        </w:tc>
      </w:tr>
      <w:tr w:rsidR="003918BB" w14:paraId="4501B28E" w14:textId="77777777" w:rsidTr="003918BB">
        <w:trPr>
          <w:trHeight w:val="993"/>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673E7E79" w14:textId="03615825" w:rsidR="003918BB" w:rsidRDefault="003918BB" w:rsidP="003918BB">
            <w:pPr>
              <w:rPr>
                <w:lang w:eastAsia="en-US"/>
              </w:rPr>
            </w:pPr>
            <w:r>
              <w:rPr>
                <w:b w:val="0"/>
                <w:lang w:eastAsia="en-US"/>
              </w:rPr>
              <w:lastRenderedPageBreak/>
              <w:t xml:space="preserve">M&amp;A </w:t>
            </w:r>
          </w:p>
        </w:tc>
        <w:tc>
          <w:tcPr>
            <w:tcW w:w="7916" w:type="dxa"/>
            <w:tcBorders>
              <w:top w:val="nil"/>
              <w:bottom w:val="nil"/>
            </w:tcBorders>
            <w:vAlign w:val="center"/>
          </w:tcPr>
          <w:p w14:paraId="6386CA09" w14:textId="25318DC9" w:rsidR="003918BB" w:rsidRDefault="003918BB" w:rsidP="00FE47B9">
            <w:pPr>
              <w:cnfStyle w:val="000000000000" w:firstRow="0" w:lastRow="0" w:firstColumn="0" w:lastColumn="0" w:oddVBand="0" w:evenVBand="0" w:oddHBand="0" w:evenHBand="0" w:firstRowFirstColumn="0" w:firstRowLastColumn="0" w:lastRowFirstColumn="0" w:lastRowLastColumn="0"/>
              <w:rPr>
                <w:lang w:eastAsia="en-US"/>
              </w:rPr>
            </w:pPr>
            <w:r w:rsidRPr="00936218">
              <w:rPr>
                <w:lang w:eastAsia="en-US"/>
              </w:rPr>
              <w:t xml:space="preserve">An indicator variable equals to 1 if firm </w:t>
            </w:r>
            <w:proofErr w:type="spellStart"/>
            <w:r>
              <w:rPr>
                <w:lang w:eastAsia="en-US"/>
              </w:rPr>
              <w:t>i</w:t>
            </w:r>
            <w:proofErr w:type="spellEnd"/>
            <w:r>
              <w:rPr>
                <w:lang w:eastAsia="en-US"/>
              </w:rPr>
              <w:t xml:space="preserve"> has </w:t>
            </w:r>
            <w:r w:rsidRPr="000912EF">
              <w:rPr>
                <w:lang w:eastAsia="en-US"/>
              </w:rPr>
              <w:t>non-zero acquisitions or mergers</w:t>
            </w:r>
            <w:r>
              <w:rPr>
                <w:lang w:eastAsia="en-US"/>
              </w:rPr>
              <w:t xml:space="preserve"> on a pre-tax basis </w:t>
            </w:r>
            <w:r w:rsidRPr="000F383A">
              <w:rPr>
                <w:lang w:eastAsia="en-US"/>
              </w:rPr>
              <w:t xml:space="preserve">in </w:t>
            </w:r>
            <w:r w:rsidR="00A51701">
              <w:rPr>
                <w:lang w:eastAsia="en-US"/>
              </w:rPr>
              <w:t>year t</w:t>
            </w:r>
            <w:r>
              <w:rPr>
                <w:lang w:eastAsia="en-US"/>
              </w:rPr>
              <w:t xml:space="preserve"> </w:t>
            </w:r>
            <w:r w:rsidRPr="000912EF">
              <w:rPr>
                <w:lang w:eastAsia="en-US"/>
              </w:rPr>
              <w:t>(</w:t>
            </w:r>
            <w:r w:rsidRPr="000912EF">
              <w:rPr>
                <w:lang w:eastAsia="en-US"/>
              </w:rPr>
              <w:fldChar w:fldCharType="begin" w:fldLock="1"/>
            </w:r>
            <w:r>
              <w:rPr>
                <w:lang w:eastAsia="en-US"/>
              </w:rPr>
              <w:instrText>ADDIN CSL_CITATION {"citationItems":[{"id":"ITEM-1","itemData":{"author":[{"dropping-particle":"","family":"Cassell","given":"C. A.","non-dropping-particle":"","parse-names":false,"suffix":""},{"dropping-particle":"","family":"Dreher","given":"L. M.","non-dropping-particle":"","parse-names":false,"suffix":""},{"dropping-particle":"","family":"Myers","given":"L. A.","non-dropping-particle":"","parse-names":false,"suffix":""}],"container-title":"The Accounting Review","id":"ITEM-1","issue":"6","issued":{"date-parts":[["2013"]]},"page":"1875-1908","title":"Reviewing the SEC's review process: 10-K comment letters and the cost of remediation","type":"article-journal","volume":"88"},"uris":["http://www.mendeley.com/documents/?uuid=dea718b9-c36f-49a6-a8c7-49415620a7b4"]}],"mendeley":{"formattedCitation":"(Cassell et al., 2013)","manualFormatting":"Cassell et al., 2013; ","plainTextFormattedCitation":"(Cassell et al., 2013)","previouslyFormattedCitation":"(Cassell et al., 2013)"},"properties":{"noteIndex":0},"schema":"https://github.com/citation-style-language/schema/raw/master/csl-citation.json"}</w:instrText>
            </w:r>
            <w:r w:rsidRPr="000912EF">
              <w:rPr>
                <w:lang w:eastAsia="en-US"/>
              </w:rPr>
              <w:fldChar w:fldCharType="separate"/>
            </w:r>
            <w:r w:rsidRPr="000912EF">
              <w:rPr>
                <w:noProof/>
                <w:lang w:eastAsia="en-US"/>
              </w:rPr>
              <w:t xml:space="preserve">Cassell et al., 2013; </w:t>
            </w:r>
            <w:r w:rsidRPr="000912EF">
              <w:rPr>
                <w:lang w:eastAsia="en-US"/>
              </w:rPr>
              <w:fldChar w:fldCharType="end"/>
            </w:r>
            <w:r w:rsidRPr="000912EF">
              <w:rPr>
                <w:lang w:eastAsia="en-US"/>
              </w:rPr>
              <w:t>Hesse et al., 2017)</w:t>
            </w:r>
            <w:r>
              <w:rPr>
                <w:lang w:eastAsia="en-US"/>
              </w:rPr>
              <w:t xml:space="preserve">. (Source: </w:t>
            </w:r>
            <w:proofErr w:type="spellStart"/>
            <w:r>
              <w:rPr>
                <w:lang w:eastAsia="en-US"/>
              </w:rPr>
              <w:t>Compustat</w:t>
            </w:r>
            <w:proofErr w:type="spellEnd"/>
            <w:r>
              <w:rPr>
                <w:lang w:eastAsia="en-US"/>
              </w:rPr>
              <w:t>)</w:t>
            </w:r>
          </w:p>
        </w:tc>
      </w:tr>
      <w:tr w:rsidR="003918BB" w14:paraId="7CB4E345" w14:textId="77777777" w:rsidTr="003918BB">
        <w:trPr>
          <w:cnfStyle w:val="000000100000" w:firstRow="0" w:lastRow="0" w:firstColumn="0" w:lastColumn="0" w:oddVBand="0" w:evenVBand="0" w:oddHBand="1" w:evenHBand="0" w:firstRowFirstColumn="0" w:firstRowLastColumn="0" w:lastRowFirstColumn="0" w:lastRowLastColumn="0"/>
          <w:trHeight w:val="991"/>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420A1E99" w14:textId="1BEFA0E9" w:rsidR="003918BB" w:rsidRDefault="003918BB" w:rsidP="003918BB">
            <w:pPr>
              <w:rPr>
                <w:lang w:eastAsia="en-US"/>
              </w:rPr>
            </w:pPr>
            <w:proofErr w:type="gramStart"/>
            <w:r>
              <w:rPr>
                <w:b w:val="0"/>
                <w:lang w:eastAsia="en-US"/>
              </w:rPr>
              <w:t>Positive-earnings</w:t>
            </w:r>
            <w:proofErr w:type="gramEnd"/>
          </w:p>
        </w:tc>
        <w:tc>
          <w:tcPr>
            <w:tcW w:w="7916" w:type="dxa"/>
            <w:tcBorders>
              <w:top w:val="nil"/>
              <w:bottom w:val="nil"/>
            </w:tcBorders>
            <w:vAlign w:val="center"/>
          </w:tcPr>
          <w:p w14:paraId="1944BA89" w14:textId="5D57A1EB" w:rsidR="003918BB" w:rsidRDefault="003918BB" w:rsidP="00FE47B9">
            <w:pPr>
              <w:cnfStyle w:val="000000100000" w:firstRow="0" w:lastRow="0" w:firstColumn="0" w:lastColumn="0" w:oddVBand="0" w:evenVBand="0" w:oddHBand="1" w:evenHBand="0" w:firstRowFirstColumn="0" w:firstRowLastColumn="0" w:lastRowFirstColumn="0" w:lastRowLastColumn="0"/>
              <w:rPr>
                <w:lang w:eastAsia="en-US"/>
              </w:rPr>
            </w:pPr>
            <w:r w:rsidRPr="00936218">
              <w:rPr>
                <w:lang w:eastAsia="en-US"/>
              </w:rPr>
              <w:t>An indicator variab</w:t>
            </w:r>
            <w:r>
              <w:rPr>
                <w:lang w:eastAsia="en-US"/>
              </w:rPr>
              <w:t xml:space="preserve">le equals to 1 if firm </w:t>
            </w:r>
            <w:proofErr w:type="spellStart"/>
            <w:r>
              <w:rPr>
                <w:lang w:eastAsia="en-US"/>
              </w:rPr>
              <w:t>i</w:t>
            </w:r>
            <w:proofErr w:type="spellEnd"/>
            <w:r>
              <w:rPr>
                <w:lang w:eastAsia="en-US"/>
              </w:rPr>
              <w:t xml:space="preserve"> has net income</w:t>
            </w:r>
            <w:r w:rsidRPr="000F383A">
              <w:rPr>
                <w:lang w:eastAsia="en-US"/>
              </w:rPr>
              <w:t xml:space="preserve"> in </w:t>
            </w:r>
            <w:r w:rsidR="00A51701">
              <w:rPr>
                <w:lang w:eastAsia="en-US"/>
              </w:rPr>
              <w:t xml:space="preserve">year </w:t>
            </w:r>
            <w:proofErr w:type="spellStart"/>
            <w:r w:rsidR="00A51701">
              <w:rPr>
                <w:lang w:eastAsia="en-US"/>
              </w:rPr>
              <w:t>t</w:t>
            </w:r>
            <w:proofErr w:type="spellEnd"/>
            <w:r w:rsidR="00FE47B9">
              <w:rPr>
                <w:lang w:eastAsia="en-US"/>
              </w:rPr>
              <w:t xml:space="preserve"> </w:t>
            </w:r>
            <w:r>
              <w:rPr>
                <w:lang w:eastAsia="en-US"/>
              </w:rPr>
              <w:t>equal or higher than zero (</w:t>
            </w:r>
            <w:r w:rsidRPr="000912EF">
              <w:rPr>
                <w:lang w:eastAsia="en-US"/>
              </w:rPr>
              <w:t>Hesse et al., 2017)</w:t>
            </w:r>
            <w:r>
              <w:rPr>
                <w:lang w:eastAsia="en-US"/>
              </w:rPr>
              <w:t xml:space="preserve">. (Source: </w:t>
            </w:r>
            <w:proofErr w:type="spellStart"/>
            <w:r>
              <w:rPr>
                <w:lang w:eastAsia="en-US"/>
              </w:rPr>
              <w:t>Compustat</w:t>
            </w:r>
            <w:proofErr w:type="spellEnd"/>
            <w:r>
              <w:rPr>
                <w:lang w:eastAsia="en-US"/>
              </w:rPr>
              <w:t>)</w:t>
            </w:r>
          </w:p>
        </w:tc>
      </w:tr>
      <w:tr w:rsidR="003918BB" w14:paraId="6CD6EF14" w14:textId="77777777" w:rsidTr="003918BB">
        <w:trPr>
          <w:trHeight w:val="864"/>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397CDA75" w14:textId="15DA32D8" w:rsidR="003918BB" w:rsidRDefault="00B90319" w:rsidP="003918BB">
            <w:pPr>
              <w:rPr>
                <w:lang w:eastAsia="en-US"/>
              </w:rPr>
            </w:pPr>
            <w:proofErr w:type="spellStart"/>
            <w:r>
              <w:rPr>
                <w:b w:val="0"/>
                <w:lang w:eastAsia="en-US"/>
              </w:rPr>
              <w:t>CEOchairman</w:t>
            </w:r>
            <w:proofErr w:type="spellEnd"/>
          </w:p>
        </w:tc>
        <w:tc>
          <w:tcPr>
            <w:tcW w:w="7916" w:type="dxa"/>
            <w:tcBorders>
              <w:top w:val="nil"/>
              <w:bottom w:val="nil"/>
            </w:tcBorders>
            <w:vAlign w:val="center"/>
          </w:tcPr>
          <w:p w14:paraId="05D58EE1" w14:textId="37DB9923" w:rsidR="003918BB" w:rsidRDefault="003918BB" w:rsidP="00FE47B9">
            <w:pPr>
              <w:cnfStyle w:val="000000000000" w:firstRow="0" w:lastRow="0" w:firstColumn="0" w:lastColumn="0" w:oddVBand="0" w:evenVBand="0" w:oddHBand="0" w:evenHBand="0" w:firstRowFirstColumn="0" w:firstRowLastColumn="0" w:lastRowFirstColumn="0" w:lastRowLastColumn="0"/>
              <w:rPr>
                <w:lang w:eastAsia="en-US"/>
              </w:rPr>
            </w:pPr>
            <w:r w:rsidRPr="00936218">
              <w:rPr>
                <w:lang w:eastAsia="en-US"/>
              </w:rPr>
              <w:t xml:space="preserve">An indicator variable equals to 1 if firm </w:t>
            </w:r>
            <w:proofErr w:type="spellStart"/>
            <w:r>
              <w:rPr>
                <w:lang w:eastAsia="en-US"/>
              </w:rPr>
              <w:t>i</w:t>
            </w:r>
            <w:proofErr w:type="spellEnd"/>
            <w:r>
              <w:rPr>
                <w:lang w:eastAsia="en-US"/>
              </w:rPr>
              <w:t xml:space="preserve"> has CEO also working as a chairman of board member of </w:t>
            </w:r>
            <w:r w:rsidR="00A51701">
              <w:rPr>
                <w:lang w:eastAsia="en-US"/>
              </w:rPr>
              <w:t>in year t</w:t>
            </w:r>
            <w:r>
              <w:rPr>
                <w:lang w:eastAsia="en-US"/>
              </w:rPr>
              <w:t xml:space="preserve"> (</w:t>
            </w:r>
            <w:r w:rsidRPr="000912EF">
              <w:rPr>
                <w:lang w:eastAsia="en-US"/>
              </w:rPr>
              <w:t>Hesse et al., 2017)</w:t>
            </w:r>
            <w:r>
              <w:rPr>
                <w:lang w:eastAsia="en-US"/>
              </w:rPr>
              <w:t xml:space="preserve">. (Source: Thomson Reuters </w:t>
            </w:r>
            <w:proofErr w:type="spellStart"/>
            <w:r>
              <w:rPr>
                <w:lang w:eastAsia="en-US"/>
              </w:rPr>
              <w:t>Datastream</w:t>
            </w:r>
            <w:proofErr w:type="spellEnd"/>
            <w:r>
              <w:rPr>
                <w:lang w:eastAsia="en-US"/>
              </w:rPr>
              <w:t>)</w:t>
            </w:r>
          </w:p>
        </w:tc>
      </w:tr>
      <w:tr w:rsidR="003918BB" w14:paraId="1F72A897" w14:textId="77777777" w:rsidTr="003918BB">
        <w:trPr>
          <w:cnfStyle w:val="000000100000" w:firstRow="0" w:lastRow="0" w:firstColumn="0" w:lastColumn="0" w:oddVBand="0" w:evenVBand="0" w:oddHBand="1" w:evenHBand="0" w:firstRowFirstColumn="0" w:firstRowLastColumn="0" w:lastRowFirstColumn="0" w:lastRowLastColumn="0"/>
          <w:trHeight w:val="976"/>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C342250" w14:textId="345F2288" w:rsidR="003918BB" w:rsidRPr="00B432D5" w:rsidRDefault="00296848" w:rsidP="003918BB">
            <w:pPr>
              <w:rPr>
                <w:b w:val="0"/>
                <w:lang w:eastAsia="en-US"/>
              </w:rPr>
            </w:pPr>
            <w:r>
              <w:rPr>
                <w:b w:val="0"/>
                <w:lang w:eastAsia="en-US"/>
              </w:rPr>
              <w:t>Sales</w:t>
            </w:r>
            <w:r w:rsidR="003918BB">
              <w:rPr>
                <w:b w:val="0"/>
                <w:lang w:eastAsia="en-US"/>
              </w:rPr>
              <w:t xml:space="preserve"> growth</w:t>
            </w:r>
          </w:p>
        </w:tc>
        <w:tc>
          <w:tcPr>
            <w:tcW w:w="7916" w:type="dxa"/>
            <w:tcBorders>
              <w:top w:val="nil"/>
              <w:bottom w:val="nil"/>
            </w:tcBorders>
            <w:vAlign w:val="center"/>
          </w:tcPr>
          <w:p w14:paraId="17151927" w14:textId="330E1751" w:rsidR="003918BB" w:rsidRDefault="003918BB" w:rsidP="00D63272">
            <w:pPr>
              <w:cnfStyle w:val="000000100000" w:firstRow="0" w:lastRow="0" w:firstColumn="0" w:lastColumn="0" w:oddVBand="0" w:evenVBand="0" w:oddHBand="1" w:evenHBand="0" w:firstRowFirstColumn="0" w:firstRowLastColumn="0" w:lastRowFirstColumn="0" w:lastRowLastColumn="0"/>
              <w:rPr>
                <w:lang w:eastAsia="en-US"/>
              </w:rPr>
            </w:pPr>
            <w:r w:rsidRPr="002268CE">
              <w:rPr>
                <w:lang w:eastAsia="en-US"/>
              </w:rPr>
              <w:t xml:space="preserve">The change in annual sales </w:t>
            </w:r>
            <w:r w:rsidR="00A51701">
              <w:rPr>
                <w:lang w:eastAsia="en-US"/>
              </w:rPr>
              <w:t xml:space="preserve">from year t-1 </w:t>
            </w:r>
            <w:r w:rsidR="00D63272">
              <w:rPr>
                <w:lang w:eastAsia="en-US"/>
              </w:rPr>
              <w:t xml:space="preserve">to </w:t>
            </w:r>
            <w:r w:rsidR="00A51701">
              <w:rPr>
                <w:lang w:eastAsia="en-US"/>
              </w:rPr>
              <w:t>year t</w:t>
            </w:r>
            <w:r>
              <w:rPr>
                <w:lang w:eastAsia="en-US"/>
              </w:rPr>
              <w:t xml:space="preserve"> (</w:t>
            </w:r>
            <w:r w:rsidRPr="000912EF">
              <w:rPr>
                <w:lang w:eastAsia="en-US"/>
              </w:rPr>
              <w:t>Hesse et al., 2017)</w:t>
            </w:r>
            <w:r>
              <w:rPr>
                <w:lang w:eastAsia="en-US"/>
              </w:rPr>
              <w:t xml:space="preserve">. (Source: </w:t>
            </w:r>
            <w:proofErr w:type="spellStart"/>
            <w:r>
              <w:rPr>
                <w:lang w:eastAsia="en-US"/>
              </w:rPr>
              <w:t>Compustat</w:t>
            </w:r>
            <w:proofErr w:type="spellEnd"/>
            <w:r>
              <w:rPr>
                <w:lang w:eastAsia="en-US"/>
              </w:rPr>
              <w:t>)</w:t>
            </w:r>
          </w:p>
        </w:tc>
      </w:tr>
      <w:tr w:rsidR="003918BB" w14:paraId="2F41B74A" w14:textId="77777777" w:rsidTr="003918BB">
        <w:trPr>
          <w:trHeight w:val="861"/>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1712F236" w14:textId="2BBB1297" w:rsidR="003918BB" w:rsidRPr="002268CE" w:rsidRDefault="003918BB" w:rsidP="003918BB">
            <w:pPr>
              <w:rPr>
                <w:b w:val="0"/>
                <w:lang w:eastAsia="en-US"/>
              </w:rPr>
            </w:pPr>
            <w:r>
              <w:rPr>
                <w:b w:val="0"/>
                <w:lang w:eastAsia="en-US"/>
              </w:rPr>
              <w:t>Leverage</w:t>
            </w:r>
          </w:p>
        </w:tc>
        <w:tc>
          <w:tcPr>
            <w:tcW w:w="7916" w:type="dxa"/>
            <w:tcBorders>
              <w:top w:val="nil"/>
              <w:bottom w:val="nil"/>
            </w:tcBorders>
            <w:vAlign w:val="center"/>
          </w:tcPr>
          <w:p w14:paraId="4CE2AE33" w14:textId="54294E9C" w:rsidR="003918BB" w:rsidRDefault="003918BB" w:rsidP="00FE47B9">
            <w:pPr>
              <w:cnfStyle w:val="000000000000" w:firstRow="0" w:lastRow="0" w:firstColumn="0" w:lastColumn="0" w:oddVBand="0" w:evenVBand="0" w:oddHBand="0" w:evenHBand="0" w:firstRowFirstColumn="0" w:firstRowLastColumn="0" w:lastRowFirstColumn="0" w:lastRowLastColumn="0"/>
              <w:rPr>
                <w:lang w:eastAsia="en-US"/>
              </w:rPr>
            </w:pPr>
            <w:r w:rsidRPr="002268CE">
              <w:rPr>
                <w:lang w:eastAsia="en-US"/>
              </w:rPr>
              <w:t>The ratio of to</w:t>
            </w:r>
            <w:r>
              <w:rPr>
                <w:lang w:eastAsia="en-US"/>
              </w:rPr>
              <w:t xml:space="preserve">tal liabilities to total equity in </w:t>
            </w:r>
            <w:r w:rsidR="00A51701">
              <w:rPr>
                <w:lang w:eastAsia="en-US"/>
              </w:rPr>
              <w:t>year t</w:t>
            </w:r>
            <w:r>
              <w:rPr>
                <w:lang w:eastAsia="en-US"/>
              </w:rPr>
              <w:t xml:space="preserve"> (</w:t>
            </w:r>
            <w:proofErr w:type="spellStart"/>
            <w:r w:rsidRPr="000912EF">
              <w:rPr>
                <w:noProof/>
                <w:lang w:eastAsia="en-US"/>
              </w:rPr>
              <w:t>Duro</w:t>
            </w:r>
            <w:proofErr w:type="spellEnd"/>
            <w:r w:rsidRPr="000912EF">
              <w:rPr>
                <w:noProof/>
                <w:lang w:eastAsia="en-US"/>
              </w:rPr>
              <w:t xml:space="preserve"> et al., 2017)</w:t>
            </w:r>
            <w:r>
              <w:rPr>
                <w:lang w:eastAsia="en-US"/>
              </w:rPr>
              <w:t xml:space="preserve">. (Source: </w:t>
            </w:r>
            <w:proofErr w:type="spellStart"/>
            <w:r>
              <w:rPr>
                <w:lang w:eastAsia="en-US"/>
              </w:rPr>
              <w:t>Compustat</w:t>
            </w:r>
            <w:proofErr w:type="spellEnd"/>
            <w:r>
              <w:rPr>
                <w:lang w:eastAsia="en-US"/>
              </w:rPr>
              <w:t>)</w:t>
            </w:r>
          </w:p>
        </w:tc>
      </w:tr>
      <w:tr w:rsidR="003918BB" w14:paraId="01E237B3" w14:textId="77777777" w:rsidTr="003918BB">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6C8B131A" w14:textId="71D06D13" w:rsidR="003918BB" w:rsidRPr="005E5B6C" w:rsidRDefault="003918BB" w:rsidP="003918BB">
            <w:pPr>
              <w:rPr>
                <w:b w:val="0"/>
                <w:lang w:eastAsia="en-US"/>
              </w:rPr>
            </w:pPr>
            <w:r>
              <w:rPr>
                <w:b w:val="0"/>
                <w:lang w:eastAsia="en-US"/>
              </w:rPr>
              <w:t>BM</w:t>
            </w:r>
          </w:p>
        </w:tc>
        <w:tc>
          <w:tcPr>
            <w:tcW w:w="7916" w:type="dxa"/>
            <w:tcBorders>
              <w:top w:val="nil"/>
              <w:bottom w:val="nil"/>
            </w:tcBorders>
            <w:vAlign w:val="center"/>
          </w:tcPr>
          <w:p w14:paraId="2E68B486" w14:textId="0259E31B" w:rsidR="003918BB" w:rsidRDefault="003918BB" w:rsidP="00FE47B9">
            <w:pPr>
              <w:cnfStyle w:val="000000100000" w:firstRow="0" w:lastRow="0" w:firstColumn="0" w:lastColumn="0" w:oddVBand="0" w:evenVBand="0" w:oddHBand="1" w:evenHBand="0" w:firstRowFirstColumn="0" w:firstRowLastColumn="0" w:lastRowFirstColumn="0" w:lastRowLastColumn="0"/>
              <w:rPr>
                <w:lang w:eastAsia="en-US"/>
              </w:rPr>
            </w:pPr>
            <w:r w:rsidRPr="005E5B6C">
              <w:rPr>
                <w:lang w:eastAsia="en-US"/>
              </w:rPr>
              <w:t>The ratio of the book value of equity to the market value of equity</w:t>
            </w:r>
            <w:r>
              <w:rPr>
                <w:lang w:eastAsia="en-US"/>
              </w:rPr>
              <w:t xml:space="preserve"> in </w:t>
            </w:r>
            <w:r w:rsidR="00A51701">
              <w:rPr>
                <w:lang w:eastAsia="en-US"/>
              </w:rPr>
              <w:t>year t</w:t>
            </w:r>
            <w:r>
              <w:rPr>
                <w:lang w:eastAsia="en-US"/>
              </w:rPr>
              <w:t xml:space="preserve"> (</w:t>
            </w:r>
            <w:proofErr w:type="spellStart"/>
            <w:r w:rsidRPr="000912EF">
              <w:rPr>
                <w:noProof/>
                <w:lang w:eastAsia="en-US"/>
              </w:rPr>
              <w:t>Duro</w:t>
            </w:r>
            <w:proofErr w:type="spellEnd"/>
            <w:r w:rsidRPr="000912EF">
              <w:rPr>
                <w:noProof/>
                <w:lang w:eastAsia="en-US"/>
              </w:rPr>
              <w:t xml:space="preserve"> et al., 2017)</w:t>
            </w:r>
            <w:r>
              <w:rPr>
                <w:lang w:eastAsia="en-US"/>
              </w:rPr>
              <w:t xml:space="preserve">. (Source: </w:t>
            </w:r>
            <w:proofErr w:type="spellStart"/>
            <w:r>
              <w:rPr>
                <w:lang w:eastAsia="en-US"/>
              </w:rPr>
              <w:t>Compustat</w:t>
            </w:r>
            <w:proofErr w:type="spellEnd"/>
            <w:r>
              <w:rPr>
                <w:lang w:eastAsia="en-US"/>
              </w:rPr>
              <w:t>)</w:t>
            </w:r>
          </w:p>
        </w:tc>
      </w:tr>
      <w:tr w:rsidR="003918BB" w14:paraId="20F4550E" w14:textId="77777777" w:rsidTr="003918BB">
        <w:trPr>
          <w:trHeight w:val="1867"/>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09E6A74A" w14:textId="3602CF15" w:rsidR="003918BB" w:rsidRPr="005E5B6C" w:rsidRDefault="003918BB" w:rsidP="003918BB">
            <w:pPr>
              <w:rPr>
                <w:b w:val="0"/>
                <w:lang w:eastAsia="en-US"/>
              </w:rPr>
            </w:pPr>
            <w:r>
              <w:rPr>
                <w:b w:val="0"/>
                <w:lang w:eastAsia="en-US"/>
              </w:rPr>
              <w:t xml:space="preserve">External financing </w:t>
            </w:r>
          </w:p>
        </w:tc>
        <w:tc>
          <w:tcPr>
            <w:tcW w:w="7916" w:type="dxa"/>
            <w:tcBorders>
              <w:top w:val="nil"/>
              <w:bottom w:val="nil"/>
            </w:tcBorders>
            <w:vAlign w:val="center"/>
          </w:tcPr>
          <w:p w14:paraId="70AC66E5" w14:textId="206DD77F"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T</w:t>
            </w:r>
            <w:r w:rsidRPr="005E5B6C">
              <w:rPr>
                <w:lang w:eastAsia="en-US"/>
              </w:rPr>
              <w:t>he sum of equity financing and debt financing scaled by total assets</w:t>
            </w:r>
            <w:r w:rsidR="00A51701">
              <w:rPr>
                <w:lang w:eastAsia="en-US"/>
              </w:rPr>
              <w:t xml:space="preserve"> in year t</w:t>
            </w:r>
            <w:r w:rsidRPr="005E5B6C">
              <w:rPr>
                <w:lang w:eastAsia="en-US"/>
              </w:rPr>
              <w:t xml:space="preserve">. Equity financing equals the sales of common and preferred stock minus the purchases of common and preferred stock </w:t>
            </w:r>
            <w:r>
              <w:rPr>
                <w:lang w:eastAsia="en-US"/>
              </w:rPr>
              <w:t xml:space="preserve">minus dividends. </w:t>
            </w:r>
            <w:r w:rsidRPr="005E5B6C">
              <w:rPr>
                <w:lang w:eastAsia="en-US"/>
              </w:rPr>
              <w:t>Debt financing equals long-term debt issued minus long-term debt reduction m</w:t>
            </w:r>
            <w:r>
              <w:rPr>
                <w:lang w:eastAsia="en-US"/>
              </w:rPr>
              <w:t>inus the change in current debt (</w:t>
            </w:r>
            <w:proofErr w:type="spellStart"/>
            <w:r w:rsidRPr="000912EF">
              <w:rPr>
                <w:noProof/>
                <w:lang w:eastAsia="en-US"/>
              </w:rPr>
              <w:t>Duro</w:t>
            </w:r>
            <w:proofErr w:type="spellEnd"/>
            <w:r w:rsidRPr="000912EF">
              <w:rPr>
                <w:noProof/>
                <w:lang w:eastAsia="en-US"/>
              </w:rPr>
              <w:t xml:space="preserve"> et al., 2017)</w:t>
            </w:r>
            <w:r>
              <w:rPr>
                <w:lang w:eastAsia="en-US"/>
              </w:rPr>
              <w:t xml:space="preserve">. (Source: </w:t>
            </w:r>
            <w:proofErr w:type="spellStart"/>
            <w:r>
              <w:rPr>
                <w:lang w:eastAsia="en-US"/>
              </w:rPr>
              <w:t>Compustat</w:t>
            </w:r>
            <w:proofErr w:type="spellEnd"/>
            <w:r>
              <w:rPr>
                <w:lang w:eastAsia="en-US"/>
              </w:rPr>
              <w:t>).</w:t>
            </w:r>
          </w:p>
        </w:tc>
      </w:tr>
      <w:tr w:rsidR="003918BB" w14:paraId="4E6FBCB3" w14:textId="77777777" w:rsidTr="003918BB">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6D25F7F2" w14:textId="6F235722" w:rsidR="003918BB" w:rsidRPr="005E5B6C" w:rsidRDefault="003918BB" w:rsidP="003918BB">
            <w:pPr>
              <w:rPr>
                <w:b w:val="0"/>
                <w:lang w:eastAsia="en-US"/>
              </w:rPr>
            </w:pPr>
            <w:r>
              <w:rPr>
                <w:b w:val="0"/>
                <w:lang w:eastAsia="en-US"/>
              </w:rPr>
              <w:t>Firm age</w:t>
            </w:r>
          </w:p>
        </w:tc>
        <w:tc>
          <w:tcPr>
            <w:tcW w:w="7916" w:type="dxa"/>
            <w:tcBorders>
              <w:top w:val="nil"/>
              <w:bottom w:val="nil"/>
            </w:tcBorders>
            <w:vAlign w:val="center"/>
          </w:tcPr>
          <w:p w14:paraId="64A5F9DF" w14:textId="72F1AA6C" w:rsidR="003918BB" w:rsidRDefault="003918BB" w:rsidP="003918BB">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The number</w:t>
            </w:r>
            <w:r w:rsidRPr="000912EF">
              <w:rPr>
                <w:lang w:eastAsia="en-US"/>
              </w:rPr>
              <w:t xml:space="preserve"> of years since the firm first ap</w:t>
            </w:r>
            <w:r>
              <w:rPr>
                <w:lang w:eastAsia="en-US"/>
              </w:rPr>
              <w:t xml:space="preserve">pears in </w:t>
            </w:r>
            <w:proofErr w:type="spellStart"/>
            <w:r>
              <w:rPr>
                <w:lang w:eastAsia="en-US"/>
              </w:rPr>
              <w:t>Compustat</w:t>
            </w:r>
            <w:proofErr w:type="spellEnd"/>
            <w:r>
              <w:rPr>
                <w:lang w:eastAsia="en-US"/>
              </w:rPr>
              <w:t xml:space="preserve"> to the</w:t>
            </w:r>
            <w:r w:rsidRPr="000912EF">
              <w:rPr>
                <w:lang w:eastAsia="en-US"/>
              </w:rPr>
              <w:t xml:space="preserve"> year</w:t>
            </w:r>
            <w:r>
              <w:rPr>
                <w:lang w:eastAsia="en-US"/>
              </w:rPr>
              <w:t xml:space="preserve"> of the initial S-1 filings (</w:t>
            </w:r>
            <w:r w:rsidRPr="000912EF">
              <w:rPr>
                <w:lang w:eastAsia="en-US"/>
              </w:rPr>
              <w:t>Hesse et al., 2017)</w:t>
            </w:r>
            <w:r>
              <w:rPr>
                <w:lang w:eastAsia="en-US"/>
              </w:rPr>
              <w:t xml:space="preserve">. (Source: </w:t>
            </w:r>
            <w:proofErr w:type="spellStart"/>
            <w:r>
              <w:rPr>
                <w:lang w:eastAsia="en-US"/>
              </w:rPr>
              <w:t>Compustat</w:t>
            </w:r>
            <w:proofErr w:type="spellEnd"/>
            <w:r>
              <w:rPr>
                <w:lang w:eastAsia="en-US"/>
              </w:rPr>
              <w:t>).</w:t>
            </w:r>
          </w:p>
        </w:tc>
      </w:tr>
      <w:tr w:rsidR="003918BB" w14:paraId="68559113" w14:textId="77777777" w:rsidTr="003918BB">
        <w:trPr>
          <w:trHeight w:val="1142"/>
        </w:trPr>
        <w:tc>
          <w:tcPr>
            <w:cnfStyle w:val="001000000000" w:firstRow="0" w:lastRow="0" w:firstColumn="1" w:lastColumn="0" w:oddVBand="0" w:evenVBand="0" w:oddHBand="0" w:evenHBand="0" w:firstRowFirstColumn="0" w:firstRowLastColumn="0" w:lastRowFirstColumn="0" w:lastRowLastColumn="0"/>
            <w:tcW w:w="1803" w:type="dxa"/>
            <w:tcBorders>
              <w:top w:val="nil"/>
              <w:bottom w:val="nil"/>
            </w:tcBorders>
            <w:vAlign w:val="center"/>
          </w:tcPr>
          <w:p w14:paraId="7DB2FED1" w14:textId="0F6E866B" w:rsidR="003918BB" w:rsidRPr="005E5B6C" w:rsidRDefault="003918BB" w:rsidP="003918BB">
            <w:pPr>
              <w:rPr>
                <w:b w:val="0"/>
                <w:lang w:eastAsia="en-US"/>
              </w:rPr>
            </w:pPr>
            <w:r>
              <w:rPr>
                <w:b w:val="0"/>
                <w:lang w:eastAsia="en-US"/>
              </w:rPr>
              <w:t>Segments</w:t>
            </w:r>
          </w:p>
        </w:tc>
        <w:tc>
          <w:tcPr>
            <w:tcW w:w="7916" w:type="dxa"/>
            <w:tcBorders>
              <w:top w:val="nil"/>
              <w:bottom w:val="nil"/>
            </w:tcBorders>
            <w:vAlign w:val="center"/>
          </w:tcPr>
          <w:p w14:paraId="56E69E59" w14:textId="72ADB0F1" w:rsidR="003918BB" w:rsidRDefault="003918BB" w:rsidP="003918BB">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 xml:space="preserve">The </w:t>
            </w:r>
            <w:r w:rsidRPr="00796F81">
              <w:rPr>
                <w:lang w:eastAsia="en-US"/>
              </w:rPr>
              <w:t>number of non-empty and unique segment industry codes</w:t>
            </w:r>
            <w:r w:rsidR="00A51701">
              <w:rPr>
                <w:lang w:eastAsia="en-US"/>
              </w:rPr>
              <w:t xml:space="preserve"> in year t </w:t>
            </w:r>
            <w:r>
              <w:rPr>
                <w:lang w:eastAsia="en-US"/>
              </w:rPr>
              <w:t>(</w:t>
            </w:r>
            <w:proofErr w:type="spellStart"/>
            <w:r w:rsidRPr="000912EF">
              <w:rPr>
                <w:noProof/>
                <w:lang w:eastAsia="en-US"/>
              </w:rPr>
              <w:t>Duro</w:t>
            </w:r>
            <w:proofErr w:type="spellEnd"/>
            <w:r w:rsidRPr="000912EF">
              <w:rPr>
                <w:noProof/>
                <w:lang w:eastAsia="en-US"/>
              </w:rPr>
              <w:t xml:space="preserve"> et al., 2017)</w:t>
            </w:r>
            <w:r>
              <w:rPr>
                <w:lang w:eastAsia="en-US"/>
              </w:rPr>
              <w:t xml:space="preserve">. (Source: </w:t>
            </w:r>
            <w:proofErr w:type="spellStart"/>
            <w:r>
              <w:rPr>
                <w:lang w:eastAsia="en-US"/>
              </w:rPr>
              <w:t>Compustat</w:t>
            </w:r>
            <w:proofErr w:type="spellEnd"/>
            <w:r>
              <w:rPr>
                <w:lang w:eastAsia="en-US"/>
              </w:rPr>
              <w:t>).</w:t>
            </w:r>
          </w:p>
        </w:tc>
      </w:tr>
      <w:tr w:rsidR="003918BB" w14:paraId="6E0FFFA3" w14:textId="77777777" w:rsidTr="003918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Borders>
              <w:top w:val="nil"/>
              <w:bottom w:val="single" w:sz="4" w:space="0" w:color="000000" w:themeColor="text1"/>
            </w:tcBorders>
            <w:vAlign w:val="center"/>
          </w:tcPr>
          <w:p w14:paraId="70DD4296" w14:textId="2024174D" w:rsidR="003918BB" w:rsidRPr="00796F81" w:rsidRDefault="003918BB" w:rsidP="003918BB">
            <w:pPr>
              <w:rPr>
                <w:b w:val="0"/>
                <w:lang w:eastAsia="en-US"/>
              </w:rPr>
            </w:pPr>
            <w:r>
              <w:rPr>
                <w:b w:val="0"/>
                <w:lang w:eastAsia="en-US"/>
              </w:rPr>
              <w:t>Z score</w:t>
            </w:r>
          </w:p>
        </w:tc>
        <w:tc>
          <w:tcPr>
            <w:tcW w:w="7916" w:type="dxa"/>
            <w:tcBorders>
              <w:top w:val="nil"/>
              <w:bottom w:val="single" w:sz="4" w:space="0" w:color="000000" w:themeColor="text1"/>
            </w:tcBorders>
            <w:vAlign w:val="center"/>
          </w:tcPr>
          <w:p w14:paraId="735063C2" w14:textId="0A02D5BB" w:rsidR="003918BB" w:rsidRDefault="00B90319" w:rsidP="003918BB">
            <w:pPr>
              <w:cnfStyle w:val="000000100000" w:firstRow="0" w:lastRow="0" w:firstColumn="0" w:lastColumn="0" w:oddVBand="0" w:evenVBand="0" w:oddHBand="1" w:evenHBand="0" w:firstRowFirstColumn="0" w:firstRowLastColumn="0" w:lastRowFirstColumn="0" w:lastRowLastColumn="0"/>
              <w:rPr>
                <w:lang w:eastAsia="en-US"/>
              </w:rPr>
            </w:pPr>
            <w:proofErr w:type="spellStart"/>
            <w:r>
              <w:rPr>
                <w:lang w:eastAsia="en-US"/>
              </w:rPr>
              <w:t>Zscore</w:t>
            </w:r>
            <w:proofErr w:type="spellEnd"/>
            <w:r w:rsidR="003918BB">
              <w:rPr>
                <w:lang w:eastAsia="en-US"/>
              </w:rPr>
              <w:t xml:space="preserve"> is </w:t>
            </w:r>
            <w:r w:rsidR="003918BB" w:rsidRPr="00796F81">
              <w:rPr>
                <w:lang w:eastAsia="en-US"/>
              </w:rPr>
              <w:t>equal to 1.2 * [net working capital/total assets]</w:t>
            </w:r>
            <w:r w:rsidR="003918BB">
              <w:rPr>
                <w:lang w:eastAsia="en-US"/>
              </w:rPr>
              <w:t xml:space="preserve"> + 1.4 * [retained earnings</w:t>
            </w:r>
            <w:r w:rsidR="003918BB" w:rsidRPr="00796F81">
              <w:rPr>
                <w:lang w:eastAsia="en-US"/>
              </w:rPr>
              <w:t>/total assets] + 3.3 * [earnings befor</w:t>
            </w:r>
            <w:r w:rsidR="003918BB">
              <w:rPr>
                <w:lang w:eastAsia="en-US"/>
              </w:rPr>
              <w:t>e interest and taxes</w:t>
            </w:r>
            <w:r w:rsidR="003918BB" w:rsidRPr="00796F81">
              <w:rPr>
                <w:lang w:eastAsia="en-US"/>
              </w:rPr>
              <w:t>/total assets] + 0.6 * [marke</w:t>
            </w:r>
            <w:r w:rsidR="003918BB">
              <w:rPr>
                <w:lang w:eastAsia="en-US"/>
              </w:rPr>
              <w:t>t value of equity</w:t>
            </w:r>
            <w:r w:rsidR="003918BB" w:rsidRPr="00796F81">
              <w:rPr>
                <w:lang w:eastAsia="en-US"/>
              </w:rPr>
              <w:t xml:space="preserve">/book value of </w:t>
            </w:r>
            <w:r w:rsidR="003918BB">
              <w:rPr>
                <w:lang w:eastAsia="en-US"/>
              </w:rPr>
              <w:t>liabilities] + 1.0 * [sales</w:t>
            </w:r>
            <w:r w:rsidR="003918BB" w:rsidRPr="00796F81">
              <w:rPr>
                <w:lang w:eastAsia="en-US"/>
              </w:rPr>
              <w:t>/total assets]</w:t>
            </w:r>
          </w:p>
        </w:tc>
      </w:tr>
    </w:tbl>
    <w:p w14:paraId="4F13BE6F" w14:textId="77777777" w:rsidR="000A79C2" w:rsidRDefault="000A79C2" w:rsidP="000A79C2">
      <w:pPr>
        <w:rPr>
          <w:rFonts w:eastAsiaTheme="majorEastAsia"/>
          <w:lang w:eastAsia="en-US"/>
        </w:rPr>
      </w:pPr>
      <w:r>
        <w:rPr>
          <w:lang w:eastAsia="en-US"/>
        </w:rPr>
        <w:br w:type="page"/>
      </w:r>
    </w:p>
    <w:p w14:paraId="4DAB0C02" w14:textId="77777777" w:rsidR="00A93728" w:rsidRPr="000912EF" w:rsidRDefault="00A93728" w:rsidP="00F91520">
      <w:pPr>
        <w:pStyle w:val="Heading1"/>
        <w:rPr>
          <w:rFonts w:ascii="Times New Roman" w:hAnsi="Times New Roman" w:cs="Times New Roman"/>
          <w:b/>
          <w:color w:val="000000" w:themeColor="text1"/>
          <w:sz w:val="24"/>
          <w:szCs w:val="24"/>
        </w:rPr>
        <w:sectPr w:rsidR="00A93728" w:rsidRPr="000912EF" w:rsidSect="006076D6">
          <w:headerReference w:type="default" r:id="rId57"/>
          <w:footerReference w:type="default" r:id="rId58"/>
          <w:pgSz w:w="11906" w:h="16838"/>
          <w:pgMar w:top="1440" w:right="1440" w:bottom="1440" w:left="1276" w:header="708" w:footer="708" w:gutter="0"/>
          <w:cols w:space="708"/>
          <w:docGrid w:linePitch="360"/>
        </w:sectPr>
      </w:pPr>
    </w:p>
    <w:p w14:paraId="217F3C5C" w14:textId="4DB8126C" w:rsidR="00652EE1" w:rsidRPr="000912EF" w:rsidRDefault="00652EE1" w:rsidP="00F91520">
      <w:pPr>
        <w:pStyle w:val="Heading1"/>
        <w:rPr>
          <w:rFonts w:ascii="Times New Roman" w:hAnsi="Times New Roman" w:cs="Times New Roman"/>
          <w:b/>
          <w:color w:val="000000" w:themeColor="text1"/>
          <w:sz w:val="24"/>
          <w:szCs w:val="24"/>
        </w:rPr>
      </w:pPr>
      <w:bookmarkStart w:id="73" w:name="_Toc9185820"/>
      <w:r w:rsidRPr="000912EF">
        <w:rPr>
          <w:rFonts w:ascii="Times New Roman" w:hAnsi="Times New Roman" w:cs="Times New Roman"/>
          <w:b/>
          <w:color w:val="000000" w:themeColor="text1"/>
          <w:sz w:val="24"/>
          <w:szCs w:val="24"/>
        </w:rPr>
        <w:lastRenderedPageBreak/>
        <w:t xml:space="preserve">APPENDIX </w:t>
      </w:r>
      <w:r w:rsidR="00A90510">
        <w:rPr>
          <w:rFonts w:ascii="Times New Roman" w:hAnsi="Times New Roman" w:cs="Times New Roman"/>
          <w:b/>
          <w:color w:val="000000" w:themeColor="text1"/>
          <w:sz w:val="24"/>
          <w:szCs w:val="24"/>
        </w:rPr>
        <w:t>2</w:t>
      </w:r>
      <w:bookmarkEnd w:id="73"/>
    </w:p>
    <w:p w14:paraId="29A78C08" w14:textId="5FDD171E" w:rsidR="00E45397" w:rsidRPr="00E45397" w:rsidRDefault="00E45397" w:rsidP="00E45397">
      <w:pPr>
        <w:rPr>
          <w:b/>
        </w:rPr>
      </w:pPr>
      <w:r w:rsidRPr="00E45397">
        <w:rPr>
          <w:b/>
        </w:rPr>
        <w:t>SEC comment letters coding process</w:t>
      </w:r>
    </w:p>
    <w:p w14:paraId="05D3DE70" w14:textId="77777777" w:rsidR="00B635B5" w:rsidRDefault="00E45397" w:rsidP="00E45397">
      <w:pPr>
        <w:spacing w:line="360" w:lineRule="auto"/>
        <w:jc w:val="both"/>
        <w:sectPr w:rsidR="00B635B5" w:rsidSect="006076D6">
          <w:headerReference w:type="default" r:id="rId59"/>
          <w:footerReference w:type="default" r:id="rId60"/>
          <w:pgSz w:w="11906" w:h="16838"/>
          <w:pgMar w:top="1440" w:right="1440" w:bottom="1440" w:left="1276" w:header="708" w:footer="708" w:gutter="0"/>
          <w:cols w:space="708"/>
          <w:docGrid w:linePitch="360"/>
        </w:sectPr>
      </w:pPr>
      <w:r>
        <w:t xml:space="preserve">In this study, I design a self-constructed coding scheme on the initial SEC comment letters for the initial S-1 filings </w:t>
      </w:r>
      <w:proofErr w:type="gramStart"/>
      <w:r>
        <w:t>in order to</w:t>
      </w:r>
      <w:proofErr w:type="gramEnd"/>
      <w:r>
        <w:t xml:space="preserve"> thoroughly capture the issues mentioned in the SEC comment letters which assists the additional examination of the impact of JOBs Act on the extent of SEC review. </w:t>
      </w:r>
      <w:proofErr w:type="gramStart"/>
      <w:r>
        <w:t>In order to</w:t>
      </w:r>
      <w:proofErr w:type="gramEnd"/>
      <w:r>
        <w:t xml:space="preserve"> construct the coding scheme of the initial SEC comment letters, I follow the standard coding procedure with 5 main stages as developed by Weber (1985). In the first stage, I define the recoding units as theme and action required in each specific comment in the initial SEC comment letters. In the initial SEC comment letters, each comment is presented in a paragraph started by a sequential number. In each comment, the theme is the information (a word or word phrase) about the issue relating to the information quality of initial S-1 filings as explored by the SEC, and the action required is the information (a word or word phrase) about the action which is required by the SEC to resolve the issue. In the second stage, I choose a random sample of 20 comment letters and define the theme and action required for each specific comment in each comment letter.  The themes and actions required are identified through the keywords in each paragraph of comment. Particularly, I identify the keywords in each comment in the initial SEC comment letters and subsequently, sort these single keywords into the groups of keywords which have similar messages. Following that, the name of each key-word group is given and defined as the themes and action required.  In the third stage, I summarize these themes and actions required and then provide the mutually exclusive definition and code for each. In the fourth stage, I group the themes into five categories </w:t>
      </w:r>
      <w:proofErr w:type="gramStart"/>
      <w:r>
        <w:t>including;</w:t>
      </w:r>
      <w:proofErr w:type="gramEnd"/>
      <w:r>
        <w:t xml:space="preserve"> </w:t>
      </w:r>
      <w:r w:rsidR="00B635B5">
        <w:t>Earnings management issues</w:t>
      </w:r>
      <w:r>
        <w:t>,</w:t>
      </w:r>
      <w:r w:rsidR="00B635B5">
        <w:t xml:space="preserve"> Other accounting issues,</w:t>
      </w:r>
      <w:r>
        <w:t xml:space="preserve"> Offering Issues, Business Issues, Corporate Governance Issues</w:t>
      </w:r>
      <w:r w:rsidR="00B635B5">
        <w:t>, Disclosure</w:t>
      </w:r>
      <w:r>
        <w:t xml:space="preserve"> Issues</w:t>
      </w:r>
      <w:r w:rsidR="00B635B5">
        <w:t xml:space="preserve"> and No issues</w:t>
      </w:r>
      <w:r>
        <w:t>, basing on the general context in which the themes are used as well as the list of main chapters and sections in S-1 f</w:t>
      </w:r>
      <w:r w:rsidR="00B635B5">
        <w:t xml:space="preserve">ilings as required by the SEC. </w:t>
      </w:r>
      <w:r>
        <w:t xml:space="preserve">Finally, this coding scheme </w:t>
      </w:r>
      <w:r w:rsidR="00B635B5">
        <w:t>is</w:t>
      </w:r>
      <w:r>
        <w:t xml:space="preserve"> tested on another random sample of </w:t>
      </w:r>
      <w:r w:rsidR="00B635B5">
        <w:t xml:space="preserve">20 </w:t>
      </w:r>
      <w:r>
        <w:t xml:space="preserve">initial SEC comment letters </w:t>
      </w:r>
      <w:proofErr w:type="gramStart"/>
      <w:r>
        <w:t>in order to</w:t>
      </w:r>
      <w:proofErr w:type="gramEnd"/>
      <w:r>
        <w:t xml:space="preserve"> identify whether further categories of comments are missed. </w:t>
      </w:r>
      <w:r w:rsidR="00B635B5">
        <w:t>The following table presents the coding scheme</w:t>
      </w:r>
      <w:r w:rsidR="00B635B5" w:rsidRPr="00B635B5">
        <w:t xml:space="preserve"> </w:t>
      </w:r>
      <w:r w:rsidR="00B635B5">
        <w:t>the self-constructed coding scheme on the initial SEC comment letters for the initial S-1 filings.</w:t>
      </w:r>
    </w:p>
    <w:p w14:paraId="6AD5C59A" w14:textId="2A3714D0" w:rsidR="00B635B5" w:rsidRDefault="00B635B5" w:rsidP="00E45397">
      <w:pPr>
        <w:spacing w:line="360" w:lineRule="auto"/>
        <w:jc w:val="both"/>
        <w:rPr>
          <w:rFonts w:asciiTheme="minorHAnsi" w:hAnsiTheme="minorHAnsi" w:cstheme="minorBidi"/>
          <w:sz w:val="22"/>
          <w:szCs w:val="22"/>
          <w:lang w:eastAsia="en-US"/>
        </w:rPr>
      </w:pPr>
      <w:r>
        <w:lastRenderedPageBreak/>
        <w:fldChar w:fldCharType="begin"/>
      </w:r>
      <w:r>
        <w:instrText xml:space="preserve"> LINK Excel.Sheet.12 "E:\\PhD journey\\Coding\\Coding scheme + coding of 404 comment letters.xlsx" "Coding scheme!R2C1:R134C3" \a \f 4 \h </w:instrText>
      </w:r>
      <w:r w:rsidR="007A59ED">
        <w:instrText xml:space="preserve"> \* MERGEFORMAT </w:instrText>
      </w:r>
      <w:r>
        <w:fldChar w:fldCharType="separate"/>
      </w:r>
    </w:p>
    <w:tbl>
      <w:tblPr>
        <w:tblW w:w="14170" w:type="dxa"/>
        <w:tblLook w:val="04A0" w:firstRow="1" w:lastRow="0" w:firstColumn="1" w:lastColumn="0" w:noHBand="0" w:noVBand="1"/>
      </w:tblPr>
      <w:tblGrid>
        <w:gridCol w:w="705"/>
        <w:gridCol w:w="3001"/>
        <w:gridCol w:w="10464"/>
      </w:tblGrid>
      <w:tr w:rsidR="007A59ED" w:rsidRPr="007A59ED" w14:paraId="11C78F45"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42B36" w14:textId="3C357BA9"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 xml:space="preserve">Code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21A8F68" w14:textId="77777777"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Themes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FFC6BFC" w14:textId="77777777"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Descriptions</w:t>
            </w:r>
          </w:p>
        </w:tc>
      </w:tr>
      <w:tr w:rsidR="007A59ED" w:rsidRPr="007A59ED" w14:paraId="76BD01B5"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0131F" w14:textId="77777777"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C7A69EC"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I. EARNINGS MANAGEMENT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F3E5E85"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These items represent the SEC' comments regarding issuers' earning management activities including the comments mentioning issues on choice of accounting method, application of accounting method and issues on accounting-transactions/actions. All comments on section "Note to Financial Statements" about a specific transaction/event should be categorized into this item or the item of "Other accounting issues".</w:t>
            </w:r>
          </w:p>
        </w:tc>
      </w:tr>
      <w:tr w:rsidR="007A59ED" w:rsidRPr="007A59ED" w14:paraId="5DA6D2B3"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F78473" w14:textId="77777777" w:rsidR="007A59ED" w:rsidRPr="007A59ED" w:rsidRDefault="007A59ED" w:rsidP="00B635B5">
            <w:pPr>
              <w:rPr>
                <w:rFonts w:eastAsia="Times New Roman"/>
                <w:color w:val="000000" w:themeColor="text1"/>
                <w:sz w:val="22"/>
                <w:szCs w:val="22"/>
              </w:rPr>
            </w:pPr>
            <w:r w:rsidRPr="007A59ED">
              <w:rPr>
                <w:rFonts w:eastAsia="Times New Roman"/>
                <w:color w:val="000000" w:themeColor="text1"/>
                <w:sz w:val="22"/>
                <w:szCs w:val="22"/>
              </w:rPr>
              <w:t> </w:t>
            </w:r>
          </w:p>
        </w:tc>
        <w:tc>
          <w:tcPr>
            <w:tcW w:w="13490" w:type="dxa"/>
            <w:gridSpan w:val="2"/>
            <w:tcBorders>
              <w:top w:val="single" w:sz="4" w:space="0" w:color="auto"/>
              <w:left w:val="nil"/>
              <w:bottom w:val="single" w:sz="4" w:space="0" w:color="auto"/>
              <w:right w:val="single" w:sz="4" w:space="0" w:color="auto"/>
            </w:tcBorders>
            <w:shd w:val="clear" w:color="auto" w:fill="auto"/>
            <w:vAlign w:val="center"/>
            <w:hideMark/>
          </w:tcPr>
          <w:p w14:paraId="49B5C72D" w14:textId="013D6947" w:rsidR="007A59ED" w:rsidRPr="007A59ED" w:rsidRDefault="007A59ED" w:rsidP="00B635B5">
            <w:pPr>
              <w:rPr>
                <w:rFonts w:eastAsia="Times New Roman"/>
                <w:b/>
                <w:bCs/>
                <w:color w:val="000000" w:themeColor="text1"/>
                <w:sz w:val="22"/>
                <w:szCs w:val="22"/>
              </w:rPr>
            </w:pPr>
            <w:r w:rsidRPr="007A59ED">
              <w:rPr>
                <w:rFonts w:eastAsia="Times New Roman"/>
                <w:b/>
                <w:bCs/>
                <w:color w:val="000000" w:themeColor="text1"/>
                <w:sz w:val="22"/>
                <w:szCs w:val="22"/>
              </w:rPr>
              <w:t>Panel A: Issues on accounting method choice and application</w:t>
            </w:r>
          </w:p>
        </w:tc>
      </w:tr>
      <w:tr w:rsidR="007A59ED" w:rsidRPr="007A59ED" w14:paraId="06C303B6"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E168F"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FE45D9E"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Balance sheet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6E83EEE"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w:t>
            </w:r>
          </w:p>
        </w:tc>
      </w:tr>
      <w:tr w:rsidR="007A59ED" w:rsidRPr="007A59ED" w14:paraId="7F8AC12A"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720907"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BD115F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Current assets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F44054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w:t>
            </w:r>
            <w:proofErr w:type="gramStart"/>
            <w:r w:rsidRPr="007A59ED">
              <w:rPr>
                <w:rFonts w:eastAsia="Times New Roman"/>
                <w:color w:val="000000" w:themeColor="text1"/>
                <w:sz w:val="22"/>
                <w:szCs w:val="22"/>
              </w:rPr>
              <w:t>methods  (</w:t>
            </w:r>
            <w:proofErr w:type="gramEnd"/>
            <w:r w:rsidRPr="007A59ED">
              <w:rPr>
                <w:rFonts w:eastAsia="Times New Roman"/>
                <w:color w:val="000000" w:themeColor="text1"/>
                <w:sz w:val="22"/>
                <w:szCs w:val="22"/>
              </w:rPr>
              <w:t>accounting principles, accounting literature) as well as application of accounting methods (estimates, assumptions, timing, classification, calculation, recording)of receivables, inventories, cash or cash equivalents, marketable securities, trading securities or other current assets (including contra accounts)</w:t>
            </w:r>
          </w:p>
        </w:tc>
      </w:tr>
      <w:tr w:rsidR="007A59ED" w:rsidRPr="007A59ED" w14:paraId="1D4B2A13" w14:textId="77777777" w:rsidTr="007A59ED">
        <w:trPr>
          <w:trHeight w:val="12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162B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0D3F2A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Non-current assets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E1095AF" w14:textId="20B56C9D"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property, plants and </w:t>
            </w:r>
            <w:r w:rsidR="007A59ED" w:rsidRPr="007A59ED">
              <w:rPr>
                <w:rFonts w:eastAsia="Times New Roman"/>
                <w:color w:val="000000" w:themeColor="text1"/>
                <w:sz w:val="22"/>
                <w:szCs w:val="22"/>
              </w:rPr>
              <w:t>equipment</w:t>
            </w:r>
            <w:r w:rsidRPr="007A59ED">
              <w:rPr>
                <w:rFonts w:eastAsia="Times New Roman"/>
                <w:color w:val="000000" w:themeColor="text1"/>
                <w:sz w:val="22"/>
                <w:szCs w:val="22"/>
              </w:rPr>
              <w:t xml:space="preserve"> or other non-current assets (including contra accounts),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impairment methods of long-lived assets, valuation allowance, deferred tax assets, plan assets, long-term securities</w:t>
            </w:r>
          </w:p>
        </w:tc>
      </w:tr>
      <w:tr w:rsidR="007A59ED" w:rsidRPr="007A59ED" w14:paraId="6C5CA650" w14:textId="77777777" w:rsidTr="007A59ED">
        <w:trPr>
          <w:trHeight w:val="88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9EA06"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6B3E13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Depreciation and amortization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DD2D5B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choice of accounting methods (accounting principles, accounting literature) as well as application of accounting methods (estimates, assumptions, timing, classification, calculation, recording) of depreciation and amortization</w:t>
            </w:r>
          </w:p>
        </w:tc>
      </w:tr>
      <w:tr w:rsidR="007A59ED" w:rsidRPr="007A59ED" w14:paraId="3B564B23"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5420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CA3B14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Current liabilities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ED4F8B7" w14:textId="7518456E"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choice of accounting methods (accounting standards, accounting principles, accounting literature) as well as application of accounting methods (estimates, assumptions, timing, classification, calculation, recording) of payables, tax payables, current portion of long-term debt, </w:t>
            </w:r>
            <w:r w:rsidR="007A59ED" w:rsidRPr="007A59ED">
              <w:rPr>
                <w:rFonts w:eastAsia="Times New Roman"/>
                <w:color w:val="000000" w:themeColor="text1"/>
                <w:sz w:val="22"/>
                <w:szCs w:val="22"/>
              </w:rPr>
              <w:t>accrued</w:t>
            </w:r>
            <w:r w:rsidRPr="007A59ED">
              <w:rPr>
                <w:rFonts w:eastAsia="Times New Roman"/>
                <w:color w:val="000000" w:themeColor="text1"/>
                <w:sz w:val="22"/>
                <w:szCs w:val="22"/>
              </w:rPr>
              <w:t xml:space="preserve"> warranty or other current liabilities (including contra accounts)</w:t>
            </w:r>
          </w:p>
        </w:tc>
      </w:tr>
      <w:tr w:rsidR="007A59ED" w:rsidRPr="007A59ED" w14:paraId="5435CF0D"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D629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30B413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Non-current liabilities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1D2EF5E" w14:textId="3F82186A"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w:t>
            </w:r>
            <w:proofErr w:type="gramStart"/>
            <w:r w:rsidRPr="007A59ED">
              <w:rPr>
                <w:rFonts w:eastAsia="Times New Roman"/>
                <w:color w:val="000000" w:themeColor="text1"/>
                <w:sz w:val="22"/>
                <w:szCs w:val="22"/>
              </w:rPr>
              <w:t>recording)of</w:t>
            </w:r>
            <w:proofErr w:type="gramEnd"/>
            <w:r w:rsidRPr="007A59ED">
              <w:rPr>
                <w:rFonts w:eastAsia="Times New Roman"/>
                <w:color w:val="000000" w:themeColor="text1"/>
                <w:sz w:val="22"/>
                <w:szCs w:val="22"/>
              </w:rPr>
              <w:t xml:space="preserve"> non-current liabilit</w:t>
            </w:r>
            <w:r w:rsidR="007A59ED">
              <w:rPr>
                <w:rFonts w:eastAsia="Times New Roman"/>
                <w:color w:val="000000" w:themeColor="text1"/>
                <w:sz w:val="22"/>
                <w:szCs w:val="22"/>
              </w:rPr>
              <w:t>i</w:t>
            </w:r>
            <w:r w:rsidRPr="007A59ED">
              <w:rPr>
                <w:rFonts w:eastAsia="Times New Roman"/>
                <w:color w:val="000000" w:themeColor="text1"/>
                <w:sz w:val="22"/>
                <w:szCs w:val="22"/>
              </w:rPr>
              <w:t>es, e.g. PPE, long-term debt, deferred tax liabilities.</w:t>
            </w:r>
          </w:p>
        </w:tc>
      </w:tr>
      <w:tr w:rsidR="007A59ED" w:rsidRPr="007A59ED" w14:paraId="42F3BCBB"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500C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B0B06E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Equity</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115233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(historical) equity (not including the valuation of stock in the offering),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common stock, preferred stock, stock warranty (including contra account, e.g. treasury stock)</w:t>
            </w:r>
          </w:p>
        </w:tc>
      </w:tr>
      <w:tr w:rsidR="007A59ED" w:rsidRPr="007A59ED" w14:paraId="06623A5C"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9C390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344E5B6"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Income statement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52D4FF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w:t>
            </w:r>
          </w:p>
        </w:tc>
      </w:tr>
      <w:tr w:rsidR="007A59ED" w:rsidRPr="007A59ED" w14:paraId="4E18798A"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59DA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25E25C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Sales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0DB09E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revenue recognition (including contra account,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sales returns and allowance)</w:t>
            </w:r>
          </w:p>
        </w:tc>
      </w:tr>
      <w:tr w:rsidR="007A59ED" w:rsidRPr="007A59ED" w14:paraId="15853D5F" w14:textId="77777777" w:rsidTr="007A59ED">
        <w:trPr>
          <w:trHeight w:val="73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B7A5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99192A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Other income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0B4073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w:t>
            </w:r>
            <w:proofErr w:type="gramStart"/>
            <w:r w:rsidRPr="007A59ED">
              <w:rPr>
                <w:rFonts w:eastAsia="Times New Roman"/>
                <w:color w:val="000000" w:themeColor="text1"/>
                <w:sz w:val="22"/>
                <w:szCs w:val="22"/>
              </w:rPr>
              <w:t>recording )</w:t>
            </w:r>
            <w:proofErr w:type="gramEnd"/>
            <w:r w:rsidRPr="007A59ED">
              <w:rPr>
                <w:rFonts w:eastAsia="Times New Roman"/>
                <w:color w:val="000000" w:themeColor="text1"/>
                <w:sz w:val="22"/>
                <w:szCs w:val="22"/>
              </w:rPr>
              <w:t xml:space="preserve"> of other income, e.g. interest income, deemed dividend, reimbursement</w:t>
            </w:r>
          </w:p>
        </w:tc>
      </w:tr>
      <w:tr w:rsidR="007A59ED" w:rsidRPr="007A59ED" w14:paraId="7AB61EB3"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0131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938694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Cost of goods sold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42C834E" w14:textId="5ED613ED"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choice of accounting methods (accounting principle, accounting literature) as well as application of accounting methods (estimates, assumptions, timing, classification, calculation, recording) of cost of </w:t>
            </w:r>
            <w:proofErr w:type="spellStart"/>
            <w:r w:rsidRPr="007A59ED">
              <w:rPr>
                <w:rFonts w:eastAsia="Times New Roman"/>
                <w:color w:val="000000" w:themeColor="text1"/>
                <w:sz w:val="22"/>
                <w:szCs w:val="22"/>
              </w:rPr>
              <w:t>good</w:t>
            </w:r>
            <w:proofErr w:type="spellEnd"/>
            <w:r w:rsidRPr="007A59ED">
              <w:rPr>
                <w:rFonts w:eastAsia="Times New Roman"/>
                <w:color w:val="000000" w:themeColor="text1"/>
                <w:sz w:val="22"/>
                <w:szCs w:val="22"/>
              </w:rPr>
              <w:t xml:space="preserve"> </w:t>
            </w:r>
            <w:r w:rsidR="007A59ED" w:rsidRPr="007A59ED">
              <w:rPr>
                <w:rFonts w:eastAsia="Times New Roman"/>
                <w:color w:val="000000" w:themeColor="text1"/>
                <w:sz w:val="22"/>
                <w:szCs w:val="22"/>
              </w:rPr>
              <w:t>sold</w:t>
            </w:r>
          </w:p>
        </w:tc>
      </w:tr>
      <w:tr w:rsidR="007A59ED" w:rsidRPr="007A59ED" w14:paraId="1E092627"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4B14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FD22BE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R&amp;D expense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CEA92A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choice of accounting methods (accounting principles, accounting literature) as well as application of accounting methods (estimates, assumptions, timing, classification, calculation, recording) of R&amp;D expense</w:t>
            </w:r>
          </w:p>
        </w:tc>
      </w:tr>
      <w:tr w:rsidR="007A59ED" w:rsidRPr="007A59ED" w14:paraId="1953BA8E"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0967F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3E5E7E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Advertising expense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5FEC18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choice of accounting methods (accounting principles, accounting literature) as well as application of accounting methods (estimates, assumptions, timing, classification, calculation) of advertising expense</w:t>
            </w:r>
          </w:p>
        </w:tc>
      </w:tr>
      <w:tr w:rsidR="007A59ED" w:rsidRPr="007A59ED" w14:paraId="5D907741"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890E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B4B09E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Compensation expense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8C736D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compensation expense,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valuation of stock option grant</w:t>
            </w:r>
          </w:p>
        </w:tc>
      </w:tr>
      <w:tr w:rsidR="007A59ED" w:rsidRPr="007A59ED" w14:paraId="58EB22CC" w14:textId="77777777" w:rsidTr="007A59ED">
        <w:trPr>
          <w:trHeight w:val="12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3BD09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3BDA10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Other expenses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CD816B0" w14:textId="552A8C66"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w:t>
            </w:r>
            <w:proofErr w:type="gramStart"/>
            <w:r w:rsidRPr="007A59ED">
              <w:rPr>
                <w:rFonts w:eastAsia="Times New Roman"/>
                <w:color w:val="000000" w:themeColor="text1"/>
                <w:sz w:val="22"/>
                <w:szCs w:val="22"/>
              </w:rPr>
              <w:t>literature)  as</w:t>
            </w:r>
            <w:proofErr w:type="gramEnd"/>
            <w:r w:rsidRPr="007A59ED">
              <w:rPr>
                <w:rFonts w:eastAsia="Times New Roman"/>
                <w:color w:val="000000" w:themeColor="text1"/>
                <w:sz w:val="22"/>
                <w:szCs w:val="22"/>
              </w:rPr>
              <w:t xml:space="preserve"> well as application of accounting methods (estimates, assumptions, timing, classification, calculation, recording)of other expenses, e.g. , Selling, general and administration expense, Benefit expense, contribution margin, customer acquisition cost, income tax, </w:t>
            </w:r>
            <w:r w:rsidR="007A59ED" w:rsidRPr="007A59ED">
              <w:rPr>
                <w:rFonts w:eastAsia="Times New Roman"/>
                <w:color w:val="000000" w:themeColor="text1"/>
                <w:sz w:val="22"/>
                <w:szCs w:val="22"/>
              </w:rPr>
              <w:t>provision</w:t>
            </w:r>
            <w:r w:rsidRPr="007A59ED">
              <w:rPr>
                <w:rFonts w:eastAsia="Times New Roman"/>
                <w:color w:val="000000" w:themeColor="text1"/>
                <w:sz w:val="22"/>
                <w:szCs w:val="22"/>
              </w:rPr>
              <w:t xml:space="preserve"> for income tax; including contra-account (e.g. tax benefit)</w:t>
            </w:r>
          </w:p>
        </w:tc>
      </w:tr>
      <w:tr w:rsidR="007A59ED" w:rsidRPr="007A59ED" w14:paraId="204259D9"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2C32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22671B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Extraordinary items and discontinued operation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7E611B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w:t>
            </w:r>
            <w:proofErr w:type="gramStart"/>
            <w:r w:rsidRPr="007A59ED">
              <w:rPr>
                <w:rFonts w:eastAsia="Times New Roman"/>
                <w:color w:val="000000" w:themeColor="text1"/>
                <w:sz w:val="22"/>
                <w:szCs w:val="22"/>
              </w:rPr>
              <w:t>Extraordinary</w:t>
            </w:r>
            <w:proofErr w:type="gramEnd"/>
            <w:r w:rsidRPr="007A59ED">
              <w:rPr>
                <w:rFonts w:eastAsia="Times New Roman"/>
                <w:color w:val="000000" w:themeColor="text1"/>
                <w:sz w:val="22"/>
                <w:szCs w:val="22"/>
              </w:rPr>
              <w:t xml:space="preserve"> items and discontinued operation</w:t>
            </w:r>
          </w:p>
        </w:tc>
      </w:tr>
      <w:tr w:rsidR="007A59ED" w:rsidRPr="007A59ED" w14:paraId="289C6930"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D8E6F"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7CDFF6E"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Earnings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4CD074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earning numbers,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net income, other comprehensive income, EBIT, EBITDA, or earning-related ratio, e.g. ROA, EPS</w:t>
            </w:r>
          </w:p>
        </w:tc>
      </w:tr>
      <w:tr w:rsidR="007A59ED" w:rsidRPr="007A59ED" w14:paraId="734347BB"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C13B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A0DB6BE"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Cash flow statement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B28474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w:t>
            </w:r>
          </w:p>
        </w:tc>
      </w:tr>
      <w:tr w:rsidR="007A59ED" w:rsidRPr="007A59ED" w14:paraId="6EC1642D"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3C21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A16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1D9378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Cash flow from operations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534342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w:t>
            </w:r>
            <w:proofErr w:type="gramStart"/>
            <w:r w:rsidRPr="007A59ED">
              <w:rPr>
                <w:rFonts w:eastAsia="Times New Roman"/>
                <w:color w:val="000000" w:themeColor="text1"/>
                <w:sz w:val="22"/>
                <w:szCs w:val="22"/>
              </w:rPr>
              <w:t>literature)  as</w:t>
            </w:r>
            <w:proofErr w:type="gramEnd"/>
            <w:r w:rsidRPr="007A59ED">
              <w:rPr>
                <w:rFonts w:eastAsia="Times New Roman"/>
                <w:color w:val="000000" w:themeColor="text1"/>
                <w:sz w:val="22"/>
                <w:szCs w:val="22"/>
              </w:rPr>
              <w:t xml:space="preserve"> well as application of accounting methods (estimates, assumptions, timing, classification, calculation, recording) of cash flow from operations</w:t>
            </w:r>
          </w:p>
        </w:tc>
      </w:tr>
      <w:tr w:rsidR="007A59ED" w:rsidRPr="007A59ED" w14:paraId="1E0A2A3F"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D128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82D7CF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Cash flow from investing activities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420167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w:t>
            </w:r>
            <w:proofErr w:type="gramStart"/>
            <w:r w:rsidRPr="007A59ED">
              <w:rPr>
                <w:rFonts w:eastAsia="Times New Roman"/>
                <w:color w:val="000000" w:themeColor="text1"/>
                <w:sz w:val="22"/>
                <w:szCs w:val="22"/>
              </w:rPr>
              <w:t>literature)  as</w:t>
            </w:r>
            <w:proofErr w:type="gramEnd"/>
            <w:r w:rsidRPr="007A59ED">
              <w:rPr>
                <w:rFonts w:eastAsia="Times New Roman"/>
                <w:color w:val="000000" w:themeColor="text1"/>
                <w:sz w:val="22"/>
                <w:szCs w:val="22"/>
              </w:rPr>
              <w:t xml:space="preserve"> well as application of accounting methods (estimates, assumptions, timing, classification, calculation, recording) of cash flow from investing activities</w:t>
            </w:r>
          </w:p>
        </w:tc>
      </w:tr>
      <w:tr w:rsidR="007A59ED" w:rsidRPr="007A59ED" w14:paraId="18F0F621"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37F0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C2C84E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Cash flow from financing activities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2F3AAE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w:t>
            </w:r>
            <w:proofErr w:type="gramStart"/>
            <w:r w:rsidRPr="007A59ED">
              <w:rPr>
                <w:rFonts w:eastAsia="Times New Roman"/>
                <w:color w:val="000000" w:themeColor="text1"/>
                <w:sz w:val="22"/>
                <w:szCs w:val="22"/>
              </w:rPr>
              <w:t>literature)  as</w:t>
            </w:r>
            <w:proofErr w:type="gramEnd"/>
            <w:r w:rsidRPr="007A59ED">
              <w:rPr>
                <w:rFonts w:eastAsia="Times New Roman"/>
                <w:color w:val="000000" w:themeColor="text1"/>
                <w:sz w:val="22"/>
                <w:szCs w:val="22"/>
              </w:rPr>
              <w:t xml:space="preserve"> well as application of accounting methods (estimates, assumptions, timing, classification, calculation, recording) of cash flow from financing activities</w:t>
            </w:r>
          </w:p>
        </w:tc>
      </w:tr>
      <w:tr w:rsidR="007A59ED" w:rsidRPr="007A59ED" w14:paraId="0476619C" w14:textId="77777777" w:rsidTr="007A59ED">
        <w:trPr>
          <w:trHeight w:val="117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1F140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A19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6500153"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Financial items in general</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64F8A39" w14:textId="6324F8C8"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choice of accounting methods (accounting principles, accounting literature)  as well as application of accounting methods (estimates, assumptions, timing, classification, calculation, recording) of aggregated financial items,  e.g. total assets, working capital, debts, total liabilities, securities, free cash flow or more than one financial items, </w:t>
            </w:r>
            <w:r w:rsidR="007A59ED" w:rsidRPr="007A59ED">
              <w:rPr>
                <w:rFonts w:eastAsia="Times New Roman"/>
                <w:color w:val="000000" w:themeColor="text1"/>
                <w:sz w:val="22"/>
                <w:szCs w:val="22"/>
              </w:rPr>
              <w:t>e.g., whole</w:t>
            </w:r>
            <w:r w:rsidRPr="007A59ED">
              <w:rPr>
                <w:rFonts w:eastAsia="Times New Roman"/>
                <w:color w:val="000000" w:themeColor="text1"/>
                <w:sz w:val="22"/>
                <w:szCs w:val="22"/>
              </w:rPr>
              <w:t xml:space="preserve"> financial statements, or other components of financial statement, e.g. segment reporting, reporting currency, fiscal year end</w:t>
            </w:r>
          </w:p>
        </w:tc>
      </w:tr>
      <w:tr w:rsidR="007A59ED" w:rsidRPr="007A59ED" w14:paraId="68FBBA14" w14:textId="77777777" w:rsidTr="007A59ED">
        <w:trPr>
          <w:trHeight w:val="690"/>
        </w:trPr>
        <w:tc>
          <w:tcPr>
            <w:tcW w:w="680" w:type="dxa"/>
            <w:tcBorders>
              <w:top w:val="single" w:sz="4" w:space="0" w:color="auto"/>
              <w:left w:val="single" w:sz="4" w:space="0" w:color="auto"/>
              <w:bottom w:val="single" w:sz="4" w:space="0" w:color="auto"/>
              <w:right w:val="nil"/>
            </w:tcBorders>
            <w:shd w:val="clear" w:color="auto" w:fill="auto"/>
            <w:noWrap/>
            <w:vAlign w:val="center"/>
            <w:hideMark/>
          </w:tcPr>
          <w:p w14:paraId="4C8B5A4A" w14:textId="77777777" w:rsidR="007A59ED" w:rsidRPr="007A59ED" w:rsidRDefault="007A59ED" w:rsidP="00B635B5">
            <w:pPr>
              <w:rPr>
                <w:rFonts w:eastAsia="Times New Roman"/>
                <w:color w:val="000000" w:themeColor="text1"/>
                <w:sz w:val="22"/>
                <w:szCs w:val="22"/>
              </w:rPr>
            </w:pPr>
          </w:p>
        </w:tc>
        <w:tc>
          <w:tcPr>
            <w:tcW w:w="1349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108C85F" w14:textId="74E8018D" w:rsidR="007A59ED" w:rsidRPr="007A59ED" w:rsidRDefault="007A59ED" w:rsidP="00B635B5">
            <w:pPr>
              <w:rPr>
                <w:rFonts w:eastAsia="Times New Roman"/>
                <w:b/>
                <w:bCs/>
                <w:color w:val="000000" w:themeColor="text1"/>
                <w:sz w:val="22"/>
                <w:szCs w:val="22"/>
              </w:rPr>
            </w:pPr>
            <w:r w:rsidRPr="007A59ED">
              <w:rPr>
                <w:rFonts w:eastAsia="Times New Roman"/>
                <w:b/>
                <w:bCs/>
                <w:color w:val="000000" w:themeColor="text1"/>
                <w:sz w:val="22"/>
                <w:szCs w:val="22"/>
              </w:rPr>
              <w:t>Panel B: Issues on accounting-related transactions/events</w:t>
            </w:r>
          </w:p>
        </w:tc>
      </w:tr>
      <w:tr w:rsidR="007A59ED" w:rsidRPr="007A59ED" w14:paraId="0DE0F825" w14:textId="77777777" w:rsidTr="007A59ED">
        <w:trPr>
          <w:trHeight w:val="69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E7BB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A20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87DDFC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Asset acquisitions and dispositions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FFE67CC" w14:textId="0AC4AA6A"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when and how specific R&amp;D </w:t>
            </w:r>
            <w:r w:rsidR="007A59ED" w:rsidRPr="007A59ED">
              <w:rPr>
                <w:rFonts w:eastAsia="Times New Roman"/>
                <w:color w:val="000000" w:themeColor="text1"/>
                <w:sz w:val="22"/>
                <w:szCs w:val="22"/>
              </w:rPr>
              <w:t>activities</w:t>
            </w:r>
            <w:r w:rsidRPr="007A59ED">
              <w:rPr>
                <w:rFonts w:eastAsia="Times New Roman"/>
                <w:color w:val="000000" w:themeColor="text1"/>
                <w:sz w:val="22"/>
                <w:szCs w:val="22"/>
              </w:rPr>
              <w:t xml:space="preserve"> or maintenance activities or sales of PPE or shipment of </w:t>
            </w:r>
            <w:proofErr w:type="gramStart"/>
            <w:r w:rsidRPr="007A59ED">
              <w:rPr>
                <w:rFonts w:eastAsia="Times New Roman"/>
                <w:color w:val="000000" w:themeColor="text1"/>
                <w:sz w:val="22"/>
                <w:szCs w:val="22"/>
              </w:rPr>
              <w:t>merchandise  are</w:t>
            </w:r>
            <w:proofErr w:type="gramEnd"/>
            <w:r w:rsidRPr="007A59ED">
              <w:rPr>
                <w:rFonts w:eastAsia="Times New Roman"/>
                <w:color w:val="000000" w:themeColor="text1"/>
                <w:sz w:val="22"/>
                <w:szCs w:val="22"/>
              </w:rPr>
              <w:t xml:space="preserve"> conducted as well as when and how specific compensation expenses are paid, including accounting treatments for subsequent events</w:t>
            </w:r>
          </w:p>
        </w:tc>
      </w:tr>
      <w:tr w:rsidR="007A59ED" w:rsidRPr="007A59ED" w14:paraId="0A2CE0F5"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C60D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A21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C3AB5F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Other accounting-related transactions/events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363E3F4" w14:textId="73908A52"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firm’s other accounting-related transactions/actions which are often presented in section of "Note to Financial Statements" in S-1 filings, e.g. related-party (board members, other insiders) transaction, M&amp;A </w:t>
            </w:r>
            <w:r w:rsidR="007A59ED" w:rsidRPr="007A59ED">
              <w:rPr>
                <w:rFonts w:eastAsia="Times New Roman"/>
                <w:color w:val="000000" w:themeColor="text1"/>
                <w:sz w:val="22"/>
                <w:szCs w:val="22"/>
              </w:rPr>
              <w:t>activities</w:t>
            </w:r>
            <w:r w:rsidRPr="007A59ED">
              <w:rPr>
                <w:rFonts w:eastAsia="Times New Roman"/>
                <w:color w:val="000000" w:themeColor="text1"/>
                <w:sz w:val="22"/>
                <w:szCs w:val="22"/>
              </w:rPr>
              <w:t xml:space="preserve">, investment activities, acquisitions, leasing activities, off-balance sheet </w:t>
            </w:r>
            <w:proofErr w:type="gramStart"/>
            <w:r w:rsidRPr="007A59ED">
              <w:rPr>
                <w:rFonts w:eastAsia="Times New Roman"/>
                <w:color w:val="000000" w:themeColor="text1"/>
                <w:sz w:val="22"/>
                <w:szCs w:val="22"/>
              </w:rPr>
              <w:t>arrangement ,</w:t>
            </w:r>
            <w:proofErr w:type="gramEnd"/>
            <w:r w:rsidRPr="007A59ED">
              <w:rPr>
                <w:rFonts w:eastAsia="Times New Roman"/>
                <w:color w:val="000000" w:themeColor="text1"/>
                <w:sz w:val="22"/>
                <w:szCs w:val="22"/>
              </w:rPr>
              <w:t xml:space="preserve"> including accounting treatments for subsequent events</w:t>
            </w:r>
          </w:p>
        </w:tc>
      </w:tr>
      <w:tr w:rsidR="007A59ED" w:rsidRPr="007A59ED" w14:paraId="4430BD46"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EDE4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3618037"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II. OTHER ACCOUNTING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E8089BC"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These items represent the SEC' comments relating to non-EM-related accounting issues including accounting method choice, accounting method application for specific items or related accounting transaction. All comments on section "Note to Financial Statements" about a specific transaction/event should be categorized into this item or the item of "Earnings management issue".</w:t>
            </w:r>
          </w:p>
        </w:tc>
      </w:tr>
      <w:tr w:rsidR="007A59ED" w:rsidRPr="007A59ED" w14:paraId="61899815"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A075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3575C9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 forma financial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98795C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pro forma financial information derived from effects of changes in the firm’s capital structure based on the offering or effects of a merger transaction. Pro forma financial item presents historical balance sheet and income statement information adjusted as if a transaction had occurred in the latest fiscal year or subsequent interim period </w:t>
            </w:r>
          </w:p>
        </w:tc>
      </w:tr>
      <w:tr w:rsidR="007A59ED" w:rsidRPr="007A59ED" w14:paraId="471BE427"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C3EA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31CBBD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Non-GAAP measure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05F67B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critiques and requests regarding non-</w:t>
            </w:r>
            <w:proofErr w:type="gramStart"/>
            <w:r w:rsidRPr="007A59ED">
              <w:rPr>
                <w:rFonts w:eastAsia="Times New Roman"/>
                <w:color w:val="000000" w:themeColor="text1"/>
                <w:sz w:val="22"/>
                <w:szCs w:val="22"/>
              </w:rPr>
              <w:t>GAAP  financial</w:t>
            </w:r>
            <w:proofErr w:type="gramEnd"/>
            <w:r w:rsidRPr="007A59ED">
              <w:rPr>
                <w:rFonts w:eastAsia="Times New Roman"/>
                <w:color w:val="000000" w:themeColor="text1"/>
                <w:sz w:val="22"/>
                <w:szCs w:val="22"/>
              </w:rPr>
              <w:t xml:space="preserve"> information. Non-GAAP financial measure is a numerical measure of a registrant's historical or future financial performance, financial position, or cash flow that excludes (or includes) </w:t>
            </w:r>
            <w:proofErr w:type="gramStart"/>
            <w:r w:rsidRPr="007A59ED">
              <w:rPr>
                <w:rFonts w:eastAsia="Times New Roman"/>
                <w:color w:val="000000" w:themeColor="text1"/>
                <w:sz w:val="22"/>
                <w:szCs w:val="22"/>
              </w:rPr>
              <w:t>amounts, or</w:t>
            </w:r>
            <w:proofErr w:type="gramEnd"/>
            <w:r w:rsidRPr="007A59ED">
              <w:rPr>
                <w:rFonts w:eastAsia="Times New Roman"/>
                <w:color w:val="000000" w:themeColor="text1"/>
                <w:sz w:val="22"/>
                <w:szCs w:val="22"/>
              </w:rPr>
              <w:t xml:space="preserve"> is subject to adjustments that have the effect of excluding amounts, that are included (or excluded) in the most directly comparable GAAP measure.</w:t>
            </w:r>
          </w:p>
        </w:tc>
      </w:tr>
      <w:tr w:rsidR="007A59ED" w:rsidRPr="007A59ED" w14:paraId="748C20AD"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C76E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B3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D39268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Audit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487B08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 request for additional information regarding the firm’s relationship with its audit firm, including issues with auditor changes, issues with matters disclosed (or that should have been disclosed) in the audit report, and issues with the auditor’s consent letter for the offering;</w:t>
            </w:r>
          </w:p>
        </w:tc>
      </w:tr>
      <w:tr w:rsidR="007A59ED" w:rsidRPr="007A59ED" w14:paraId="6339C0FE"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E93C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608B1D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Financial Statement Restatement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69AFF1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about a restatement of the financial statements presented in the offering document;</w:t>
            </w:r>
          </w:p>
        </w:tc>
      </w:tr>
      <w:tr w:rsidR="007A59ED" w:rsidRPr="007A59ED" w14:paraId="38804DB5"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ADB8B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89472F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Internal controls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20C2F5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about the firm’s internal control systems and the testing, if any, of controls as well as reportable conditions or other irregularity that was identified by management related to the firm’s internal controls</w:t>
            </w:r>
          </w:p>
        </w:tc>
      </w:tr>
      <w:tr w:rsidR="007A59ED" w:rsidRPr="007A59ED" w14:paraId="0D1ECCCB"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1E85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EAAB49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Claims, Commitments and Contingencies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5DF933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Issues or comments raised about the firm’s accounting for and disclosure of </w:t>
            </w:r>
            <w:proofErr w:type="spellStart"/>
            <w:proofErr w:type="gramStart"/>
            <w:r w:rsidRPr="007A59ED">
              <w:rPr>
                <w:rFonts w:eastAsia="Times New Roman"/>
                <w:color w:val="000000" w:themeColor="text1"/>
                <w:sz w:val="22"/>
                <w:szCs w:val="22"/>
              </w:rPr>
              <w:t>it</w:t>
            </w:r>
            <w:proofErr w:type="spellEnd"/>
            <w:proofErr w:type="gramEnd"/>
            <w:r w:rsidRPr="007A59ED">
              <w:rPr>
                <w:rFonts w:eastAsia="Times New Roman"/>
                <w:color w:val="000000" w:themeColor="text1"/>
                <w:sz w:val="22"/>
                <w:szCs w:val="22"/>
              </w:rPr>
              <w:t xml:space="preserve"> obligations and long-term commitments, including legal matters</w:t>
            </w:r>
          </w:p>
        </w:tc>
      </w:tr>
      <w:tr w:rsidR="007A59ED" w:rsidRPr="007A59ED" w14:paraId="71855147"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3433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F575D8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Off-Balance Sheet Arrangements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5AC640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or comments relating to the understanding of off- balance sheet arrangements, including special purpose entities, and their material effects</w:t>
            </w:r>
          </w:p>
        </w:tc>
      </w:tr>
      <w:tr w:rsidR="007A59ED" w:rsidRPr="007A59ED" w14:paraId="5F5493CD" w14:textId="77777777" w:rsidTr="007A59ED">
        <w:trPr>
          <w:trHeight w:val="70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C059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B8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0BFEC0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New Accounting Pronouncements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DCF289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Comments regarding a firm’s disclosures of the effects of newly- issued accounting pronouncements, particularly the firm’s consideration of any material impact that the pronouncements may have on the firm’s financial results</w:t>
            </w:r>
          </w:p>
        </w:tc>
      </w:tr>
      <w:tr w:rsidR="007A59ED" w:rsidRPr="007A59ED" w14:paraId="363405E8"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6F7BD" w14:textId="77777777" w:rsidR="00B635B5" w:rsidRPr="007A59ED" w:rsidRDefault="00B635B5" w:rsidP="00B635B5">
            <w:pPr>
              <w:jc w:val="right"/>
              <w:rPr>
                <w:rFonts w:eastAsia="Times New Roman"/>
                <w:b/>
                <w:bCs/>
                <w:color w:val="000000" w:themeColor="text1"/>
                <w:sz w:val="22"/>
                <w:szCs w:val="22"/>
              </w:rPr>
            </w:pPr>
            <w:r w:rsidRPr="007A59ED">
              <w:rPr>
                <w:rFonts w:eastAsia="Times New Roman"/>
                <w:b/>
                <w:bCs/>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84AE673"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III. OFFERING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C77ACFC"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These items represent the SEC' comments relating to the issuers' initial public offering including offering attributes, offering procedures, offering effect, regulations, offering documents and S-1 filing's sections</w:t>
            </w:r>
          </w:p>
        </w:tc>
      </w:tr>
      <w:tr w:rsidR="007A59ED" w:rsidRPr="007A59ED" w14:paraId="41992195"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35E4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BD40708"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Characteristics of stocks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01E9DD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for information about type of stocks (including consideration, </w:t>
            </w:r>
            <w:proofErr w:type="gramStart"/>
            <w:r w:rsidRPr="007A59ED">
              <w:rPr>
                <w:rFonts w:eastAsia="Times New Roman"/>
                <w:color w:val="000000" w:themeColor="text1"/>
                <w:sz w:val="22"/>
                <w:szCs w:val="22"/>
              </w:rPr>
              <w:t>warrants )</w:t>
            </w:r>
            <w:proofErr w:type="gramEnd"/>
            <w:r w:rsidRPr="007A59ED">
              <w:rPr>
                <w:rFonts w:eastAsia="Times New Roman"/>
                <w:color w:val="000000" w:themeColor="text1"/>
                <w:sz w:val="22"/>
                <w:szCs w:val="22"/>
              </w:rPr>
              <w:t>, number of stocks, stock price and stock value relating to issuers' initial public offering, including the symbol used to list on stock exchange</w:t>
            </w:r>
          </w:p>
        </w:tc>
      </w:tr>
      <w:tr w:rsidR="007A59ED" w:rsidRPr="007A59ED" w14:paraId="0C4BE041"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A35F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EE5CAC1"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Timing of offering</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0A02F8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and comments about a point of time or duration of the issuer's initial public offering or other offering-related transactions</w:t>
            </w:r>
          </w:p>
        </w:tc>
      </w:tr>
      <w:tr w:rsidR="007A59ED" w:rsidRPr="007A59ED" w14:paraId="2B288773"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6D66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3BC47D9"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Dividends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91D112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and requests regarding the dividends that the firm intend to pay in the future</w:t>
            </w:r>
          </w:p>
        </w:tc>
      </w:tr>
      <w:tr w:rsidR="007A59ED" w:rsidRPr="007A59ED" w14:paraId="2C3E62D6"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E0FEA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E96F9A7"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Proceed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0F46E7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for information about amount of proceed from their initial public offering, how issuer raised the proceeds as well as how they will use this proceed.</w:t>
            </w:r>
          </w:p>
        </w:tc>
      </w:tr>
      <w:tr w:rsidR="007A59ED" w:rsidRPr="007A59ED" w14:paraId="6BBE7E12"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2678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A2ACAAA" w14:textId="456E6356" w:rsidR="00B635B5" w:rsidRPr="007A59ED" w:rsidRDefault="00384C93" w:rsidP="00B635B5">
            <w:pPr>
              <w:rPr>
                <w:rFonts w:eastAsia="Times New Roman"/>
                <w:b/>
                <w:bCs/>
                <w:color w:val="000000" w:themeColor="text1"/>
                <w:sz w:val="22"/>
                <w:szCs w:val="22"/>
              </w:rPr>
            </w:pPr>
            <w:r>
              <w:rPr>
                <w:rFonts w:eastAsia="Times New Roman"/>
                <w:b/>
                <w:bCs/>
                <w:color w:val="000000" w:themeColor="text1"/>
                <w:sz w:val="22"/>
                <w:szCs w:val="22"/>
              </w:rPr>
              <w:t xml:space="preserve">Actions effecting stock </w:t>
            </w:r>
            <w:r w:rsidR="00B635B5" w:rsidRPr="007A59ED">
              <w:rPr>
                <w:rFonts w:eastAsia="Times New Roman"/>
                <w:b/>
                <w:bCs/>
                <w:color w:val="000000" w:themeColor="text1"/>
                <w:sz w:val="22"/>
                <w:szCs w:val="22"/>
              </w:rPr>
              <w:t>value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6AD91C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for information about conversion of stocks, split of stocks, redemption of stocks related to initial public offering</w:t>
            </w:r>
          </w:p>
        </w:tc>
      </w:tr>
      <w:tr w:rsidR="007A59ED" w:rsidRPr="007A59ED" w14:paraId="43DCEC69"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F75F45" w14:textId="77777777" w:rsidR="00B635B5" w:rsidRPr="007A59ED" w:rsidRDefault="00B635B5" w:rsidP="00B635B5">
            <w:pPr>
              <w:jc w:val="right"/>
              <w:rPr>
                <w:rFonts w:eastAsia="Times New Roman"/>
                <w:b/>
                <w:bCs/>
                <w:color w:val="000000" w:themeColor="text1"/>
                <w:sz w:val="22"/>
                <w:szCs w:val="22"/>
              </w:rPr>
            </w:pPr>
            <w:r w:rsidRPr="007A59ED">
              <w:rPr>
                <w:rFonts w:eastAsia="Times New Roman"/>
                <w:b/>
                <w:bCs/>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E0E8EBD"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Parties of offering</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F86DD1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w:t>
            </w:r>
          </w:p>
        </w:tc>
      </w:tr>
      <w:tr w:rsidR="007A59ED" w:rsidRPr="007A59ED" w14:paraId="5A047C07"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65A4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AA313D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Stockholders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D3DE199" w14:textId="344B21FC"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requests regarding </w:t>
            </w:r>
            <w:r w:rsidR="007A59ED" w:rsidRPr="007A59ED">
              <w:rPr>
                <w:rFonts w:eastAsia="Times New Roman"/>
                <w:color w:val="000000" w:themeColor="text1"/>
                <w:sz w:val="22"/>
                <w:szCs w:val="22"/>
              </w:rPr>
              <w:t>identifications</w:t>
            </w:r>
            <w:r w:rsidRPr="007A59ED">
              <w:rPr>
                <w:rFonts w:eastAsia="Times New Roman"/>
                <w:color w:val="000000" w:themeColor="text1"/>
                <w:sz w:val="22"/>
                <w:szCs w:val="22"/>
              </w:rPr>
              <w:t xml:space="preserve"> of stockholders (</w:t>
            </w:r>
            <w:r w:rsidR="007A59ED" w:rsidRPr="007A59ED">
              <w:rPr>
                <w:rFonts w:eastAsia="Times New Roman"/>
                <w:color w:val="000000" w:themeColor="text1"/>
                <w:sz w:val="22"/>
                <w:szCs w:val="22"/>
              </w:rPr>
              <w:t>principal</w:t>
            </w:r>
            <w:r w:rsidRPr="007A59ED">
              <w:rPr>
                <w:rFonts w:eastAsia="Times New Roman"/>
                <w:color w:val="000000" w:themeColor="text1"/>
                <w:sz w:val="22"/>
                <w:szCs w:val="22"/>
              </w:rPr>
              <w:t xml:space="preserve"> or selling stockholders) related to initial public offering, their control (which is indicated by the number/percentage of stocks held), their consents, their tax </w:t>
            </w:r>
            <w:proofErr w:type="gramStart"/>
            <w:r w:rsidRPr="007A59ED">
              <w:rPr>
                <w:rFonts w:eastAsia="Times New Roman"/>
                <w:color w:val="000000" w:themeColor="text1"/>
                <w:sz w:val="22"/>
                <w:szCs w:val="22"/>
              </w:rPr>
              <w:t>status</w:t>
            </w:r>
            <w:proofErr w:type="gramEnd"/>
            <w:r w:rsidRPr="007A59ED">
              <w:rPr>
                <w:rFonts w:eastAsia="Times New Roman"/>
                <w:color w:val="000000" w:themeColor="text1"/>
                <w:sz w:val="22"/>
                <w:szCs w:val="22"/>
              </w:rPr>
              <w:t xml:space="preserve"> and their rights as well as their communication with the issuer</w:t>
            </w:r>
          </w:p>
        </w:tc>
      </w:tr>
      <w:tr w:rsidR="007A59ED" w:rsidRPr="007A59ED" w14:paraId="6C70856A"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7036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2E9EDE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Underwriters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3591B13" w14:textId="5D16618B"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regarding identification, obligation, compensation of underwriters in connection with the issuer's initial public offering as well as the underwriting procedures and the </w:t>
            </w:r>
            <w:r w:rsidR="007A59ED" w:rsidRPr="007A59ED">
              <w:rPr>
                <w:rFonts w:eastAsia="Times New Roman"/>
                <w:color w:val="000000" w:themeColor="text1"/>
                <w:sz w:val="22"/>
                <w:szCs w:val="22"/>
              </w:rPr>
              <w:t>underwriters</w:t>
            </w:r>
            <w:r w:rsidRPr="007A59ED">
              <w:rPr>
                <w:rFonts w:eastAsia="Times New Roman"/>
                <w:color w:val="000000" w:themeColor="text1"/>
                <w:sz w:val="22"/>
                <w:szCs w:val="22"/>
              </w:rPr>
              <w:t>' agreements with the firm.</w:t>
            </w:r>
          </w:p>
        </w:tc>
      </w:tr>
      <w:tr w:rsidR="007A59ED" w:rsidRPr="007A59ED" w14:paraId="68FBE7ED"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B185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C8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BA26E2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Other parties (offering)</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1684A6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requests regarding identification or obligation or transactions of other parties of the issuer's initial public offering,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sponsor, consultant, NASDAQ representative</w:t>
            </w:r>
          </w:p>
        </w:tc>
      </w:tr>
      <w:tr w:rsidR="007A59ED" w:rsidRPr="007A59ED" w14:paraId="4F1088DC"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D4F0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ACCC662"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Effect of offering</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CE38274" w14:textId="2AB3AE40"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Critiques and requests </w:t>
            </w:r>
            <w:r w:rsidR="007A59ED" w:rsidRPr="007A59ED">
              <w:rPr>
                <w:rFonts w:eastAsia="Times New Roman"/>
                <w:color w:val="000000" w:themeColor="text1"/>
                <w:sz w:val="22"/>
                <w:szCs w:val="22"/>
              </w:rPr>
              <w:t>regarding</w:t>
            </w:r>
            <w:r w:rsidRPr="007A59ED">
              <w:rPr>
                <w:rFonts w:eastAsia="Times New Roman"/>
                <w:color w:val="000000" w:themeColor="text1"/>
                <w:sz w:val="22"/>
                <w:szCs w:val="22"/>
              </w:rPr>
              <w:t xml:space="preserve"> effects of the issuer's initial </w:t>
            </w:r>
            <w:r w:rsidR="007A59ED" w:rsidRPr="007A59ED">
              <w:rPr>
                <w:rFonts w:eastAsia="Times New Roman"/>
                <w:color w:val="000000" w:themeColor="text1"/>
                <w:sz w:val="22"/>
                <w:szCs w:val="22"/>
              </w:rPr>
              <w:t>public</w:t>
            </w:r>
            <w:r w:rsidRPr="007A59ED">
              <w:rPr>
                <w:rFonts w:eastAsia="Times New Roman"/>
                <w:color w:val="000000" w:themeColor="text1"/>
                <w:sz w:val="22"/>
                <w:szCs w:val="22"/>
              </w:rPr>
              <w:t xml:space="preserve"> offering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w:t>
            </w:r>
            <w:r w:rsidR="007A59ED" w:rsidRPr="007A59ED">
              <w:rPr>
                <w:rFonts w:eastAsia="Times New Roman"/>
                <w:color w:val="000000" w:themeColor="text1"/>
                <w:sz w:val="22"/>
                <w:szCs w:val="22"/>
              </w:rPr>
              <w:t>dilution</w:t>
            </w:r>
            <w:r w:rsidRPr="007A59ED">
              <w:rPr>
                <w:rFonts w:eastAsia="Times New Roman"/>
                <w:color w:val="000000" w:themeColor="text1"/>
                <w:sz w:val="22"/>
                <w:szCs w:val="22"/>
              </w:rPr>
              <w:t xml:space="preserve"> effect, costs of being a public company)</w:t>
            </w:r>
          </w:p>
        </w:tc>
      </w:tr>
      <w:tr w:rsidR="007A59ED" w:rsidRPr="007A59ED" w14:paraId="17709E9B"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F4F4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B70BA66"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Offering-related transactions/actions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EAB9499" w14:textId="6B8AD000"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for information regarding trading and exercise of the issuer's initial </w:t>
            </w:r>
            <w:r w:rsidR="007A59ED" w:rsidRPr="007A59ED">
              <w:rPr>
                <w:rFonts w:eastAsia="Times New Roman"/>
                <w:color w:val="000000" w:themeColor="text1"/>
                <w:sz w:val="22"/>
                <w:szCs w:val="22"/>
              </w:rPr>
              <w:t>public</w:t>
            </w:r>
            <w:r w:rsidRPr="007A59ED">
              <w:rPr>
                <w:rFonts w:eastAsia="Times New Roman"/>
                <w:color w:val="000000" w:themeColor="text1"/>
                <w:sz w:val="22"/>
                <w:szCs w:val="22"/>
              </w:rPr>
              <w:t xml:space="preserve"> offering or other transactions/actions related to the offering. For example, this item could include the listing, sale, transfer, or other disposition of stocks by the original firm's member to a third party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Exit Event).</w:t>
            </w:r>
          </w:p>
        </w:tc>
      </w:tr>
      <w:tr w:rsidR="007A59ED" w:rsidRPr="007A59ED" w14:paraId="72F24488"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15EDF"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C21848D"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Risk factors (offering)</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CE6F28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and requests regarding characteristics and impact of risk factors on the issuers' initial public offering as well as their risk management</w:t>
            </w:r>
          </w:p>
        </w:tc>
      </w:tr>
      <w:tr w:rsidR="007A59ED" w:rsidRPr="007A59ED" w14:paraId="443D7667"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C176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35AD051"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Offering-related regulation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DF67D9C" w14:textId="11D52732"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 and requests </w:t>
            </w:r>
            <w:r w:rsidR="007A59ED" w:rsidRPr="007A59ED">
              <w:rPr>
                <w:rFonts w:eastAsia="Times New Roman"/>
                <w:color w:val="000000" w:themeColor="text1"/>
                <w:sz w:val="22"/>
                <w:szCs w:val="22"/>
              </w:rPr>
              <w:t>regarding</w:t>
            </w:r>
            <w:r w:rsidRPr="007A59ED">
              <w:rPr>
                <w:rFonts w:eastAsia="Times New Roman"/>
                <w:color w:val="000000" w:themeColor="text1"/>
                <w:sz w:val="22"/>
                <w:szCs w:val="22"/>
              </w:rPr>
              <w:t xml:space="preserve"> regulation the issuer followed to prepare and present the S-1 filings as well as conduct their initial offering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JOB Act)</w:t>
            </w:r>
          </w:p>
        </w:tc>
      </w:tr>
      <w:tr w:rsidR="007A59ED" w:rsidRPr="007A59ED" w14:paraId="07160D84"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4381F"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819A38D"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Offering fee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AA42B1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firm's registration fee or </w:t>
            </w:r>
            <w:proofErr w:type="gramStart"/>
            <w:r w:rsidRPr="007A59ED">
              <w:rPr>
                <w:rFonts w:eastAsia="Times New Roman"/>
                <w:color w:val="000000" w:themeColor="text1"/>
                <w:sz w:val="22"/>
                <w:szCs w:val="22"/>
              </w:rPr>
              <w:t>other</w:t>
            </w:r>
            <w:proofErr w:type="gramEnd"/>
            <w:r w:rsidRPr="007A59ED">
              <w:rPr>
                <w:rFonts w:eastAsia="Times New Roman"/>
                <w:color w:val="000000" w:themeColor="text1"/>
                <w:sz w:val="22"/>
                <w:szCs w:val="22"/>
              </w:rPr>
              <w:t xml:space="preserve"> offering-related fee</w:t>
            </w:r>
          </w:p>
        </w:tc>
      </w:tr>
      <w:tr w:rsidR="007A59ED" w:rsidRPr="007A59ED" w14:paraId="49280FB8"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33A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2F872ED"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Exhibits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05DCA5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critiques regarding the use, </w:t>
            </w:r>
            <w:proofErr w:type="gramStart"/>
            <w:r w:rsidRPr="007A59ED">
              <w:rPr>
                <w:rFonts w:eastAsia="Times New Roman"/>
                <w:color w:val="000000" w:themeColor="text1"/>
                <w:sz w:val="22"/>
                <w:szCs w:val="22"/>
              </w:rPr>
              <w:t>style</w:t>
            </w:r>
            <w:proofErr w:type="gramEnd"/>
            <w:r w:rsidRPr="007A59ED">
              <w:rPr>
                <w:rFonts w:eastAsia="Times New Roman"/>
                <w:color w:val="000000" w:themeColor="text1"/>
                <w:sz w:val="22"/>
                <w:szCs w:val="22"/>
              </w:rPr>
              <w:t xml:space="preserve"> and content of exhibits as well as request to include additional exhibits</w:t>
            </w:r>
          </w:p>
        </w:tc>
      </w:tr>
      <w:tr w:rsidR="007A59ED" w:rsidRPr="007A59ED" w14:paraId="14EAAB34"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FF4D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08FA9C7"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Undertakings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271057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critiques regarding the use, </w:t>
            </w:r>
            <w:proofErr w:type="gramStart"/>
            <w:r w:rsidRPr="007A59ED">
              <w:rPr>
                <w:rFonts w:eastAsia="Times New Roman"/>
                <w:color w:val="000000" w:themeColor="text1"/>
                <w:sz w:val="22"/>
                <w:szCs w:val="22"/>
              </w:rPr>
              <w:t>style</w:t>
            </w:r>
            <w:proofErr w:type="gramEnd"/>
            <w:r w:rsidRPr="007A59ED">
              <w:rPr>
                <w:rFonts w:eastAsia="Times New Roman"/>
                <w:color w:val="000000" w:themeColor="text1"/>
                <w:sz w:val="22"/>
                <w:szCs w:val="22"/>
              </w:rPr>
              <w:t xml:space="preserve"> and content of undertakings</w:t>
            </w:r>
          </w:p>
        </w:tc>
      </w:tr>
      <w:tr w:rsidR="007A59ED" w:rsidRPr="007A59ED" w14:paraId="21690414"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693A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C4A41A2"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Illustration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7C4BBE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the pictures, graphic and artworks used in S-1 filing</w:t>
            </w:r>
          </w:p>
        </w:tc>
      </w:tr>
      <w:tr w:rsidR="007A59ED" w:rsidRPr="007A59ED" w14:paraId="1F85481E"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CE3C7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6F2B332"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Offering-related document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7D1325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offering-related document,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written communication with potential investors, research reports</w:t>
            </w:r>
          </w:p>
        </w:tc>
      </w:tr>
      <w:tr w:rsidR="007A59ED" w:rsidRPr="007A59ED" w14:paraId="418FE0B1"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C5AD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BA525C5"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Consent letter</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9A6DD9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Comments about the format and inclusion of consent letters as part of the filing document;</w:t>
            </w:r>
          </w:p>
        </w:tc>
      </w:tr>
      <w:tr w:rsidR="007A59ED" w:rsidRPr="007A59ED" w14:paraId="02D544D3"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BC34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C19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36FB152"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Why filing</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EF25C8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why the firm is undergoing an initial public offering as well as why they are filing S-1</w:t>
            </w:r>
          </w:p>
        </w:tc>
      </w:tr>
      <w:tr w:rsidR="007A59ED" w:rsidRPr="007A59ED" w14:paraId="6556E393"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DFD96" w14:textId="77777777" w:rsidR="00B635B5" w:rsidRPr="007A59ED" w:rsidRDefault="00B635B5" w:rsidP="00B635B5">
            <w:pPr>
              <w:jc w:val="right"/>
              <w:rPr>
                <w:rFonts w:eastAsia="Times New Roman"/>
                <w:b/>
                <w:bCs/>
                <w:color w:val="000000" w:themeColor="text1"/>
                <w:sz w:val="22"/>
                <w:szCs w:val="22"/>
              </w:rPr>
            </w:pPr>
            <w:r w:rsidRPr="007A59ED">
              <w:rPr>
                <w:rFonts w:eastAsia="Times New Roman"/>
                <w:b/>
                <w:bCs/>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5B64067"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IV. BUSINESS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BD1A940"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These items represent the SEC's comments relating to the issuer's manufacturing, operating, R&amp;D, marketing and selling activities</w:t>
            </w:r>
          </w:p>
        </w:tc>
      </w:tr>
      <w:tr w:rsidR="007A59ED" w:rsidRPr="007A59ED" w14:paraId="6F201718" w14:textId="77777777" w:rsidTr="007A59ED">
        <w:trPr>
          <w:trHeight w:val="34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656AD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ABFF42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Products/Services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105306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and requests regarding definition and volume of products/services which the issuers provided as well as their pricing strategy</w:t>
            </w:r>
          </w:p>
        </w:tc>
      </w:tr>
      <w:tr w:rsidR="007A59ED" w:rsidRPr="007A59ED" w14:paraId="7FF17B4F"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2EED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030FF4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Customers/Market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2BE0C7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 for information about identifications, behaviours, buying history of the issuer's current or potential customers (including website members) as well as market in which the issuers have been operating</w:t>
            </w:r>
          </w:p>
        </w:tc>
      </w:tr>
      <w:tr w:rsidR="007A59ED" w:rsidRPr="007A59ED" w14:paraId="5ED0960B"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48FF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5E2EF5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Suppliers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E04878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 critiques and requests regarding identifications, behaviours and buying history of the issuer's current or potential suppliers</w:t>
            </w:r>
          </w:p>
        </w:tc>
      </w:tr>
      <w:tr w:rsidR="007A59ED" w:rsidRPr="007A59ED" w14:paraId="3721101E"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906D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227BCE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Holding company</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9867AC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 critiques and requests regarding identifications, </w:t>
            </w:r>
            <w:proofErr w:type="gramStart"/>
            <w:r w:rsidRPr="007A59ED">
              <w:rPr>
                <w:rFonts w:eastAsia="Times New Roman"/>
                <w:color w:val="000000" w:themeColor="text1"/>
                <w:sz w:val="22"/>
                <w:szCs w:val="22"/>
              </w:rPr>
              <w:t>control</w:t>
            </w:r>
            <w:proofErr w:type="gramEnd"/>
            <w:r w:rsidRPr="007A59ED">
              <w:rPr>
                <w:rFonts w:eastAsia="Times New Roman"/>
                <w:color w:val="000000" w:themeColor="text1"/>
                <w:sz w:val="22"/>
                <w:szCs w:val="22"/>
              </w:rPr>
              <w:t xml:space="preserve"> and effect of the issuer's holding company</w:t>
            </w:r>
          </w:p>
        </w:tc>
      </w:tr>
      <w:tr w:rsidR="007A59ED" w:rsidRPr="007A59ED" w14:paraId="27D9AF38"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4111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1BF553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Other parties (business)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4345CD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firm's other related parties,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regulators, supporters, partners, vendors</w:t>
            </w:r>
          </w:p>
        </w:tc>
      </w:tr>
      <w:tr w:rsidR="007A59ED" w:rsidRPr="007A59ED" w14:paraId="0A306436" w14:textId="77777777" w:rsidTr="007A59ED">
        <w:trPr>
          <w:trHeight w:val="64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3C36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D6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80BE18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R&amp;D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AD861E4" w14:textId="46E61D1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requests </w:t>
            </w:r>
            <w:r w:rsidR="007A59ED" w:rsidRPr="007A59ED">
              <w:rPr>
                <w:rFonts w:eastAsia="Times New Roman"/>
                <w:color w:val="000000" w:themeColor="text1"/>
                <w:sz w:val="22"/>
                <w:szCs w:val="22"/>
              </w:rPr>
              <w:t>regarding</w:t>
            </w:r>
            <w:r w:rsidRPr="007A59ED">
              <w:rPr>
                <w:rFonts w:eastAsia="Times New Roman"/>
                <w:color w:val="000000" w:themeColor="text1"/>
                <w:sz w:val="22"/>
                <w:szCs w:val="22"/>
              </w:rPr>
              <w:t xml:space="preserve"> the issuer's R&amp;D activities (not including timing of R&amp;D activities) and members of R&amp;D </w:t>
            </w:r>
            <w:r w:rsidR="007A59ED" w:rsidRPr="007A59ED">
              <w:rPr>
                <w:rFonts w:eastAsia="Times New Roman"/>
                <w:color w:val="000000" w:themeColor="text1"/>
                <w:sz w:val="22"/>
                <w:szCs w:val="22"/>
              </w:rPr>
              <w:t>department</w:t>
            </w:r>
            <w:r w:rsidRPr="007A59ED">
              <w:rPr>
                <w:rFonts w:eastAsia="Times New Roman"/>
                <w:color w:val="000000" w:themeColor="text1"/>
                <w:sz w:val="22"/>
                <w:szCs w:val="22"/>
              </w:rPr>
              <w:t>, including press release about phase or results of product trials</w:t>
            </w:r>
          </w:p>
        </w:tc>
      </w:tr>
      <w:tr w:rsidR="007A59ED" w:rsidRPr="007A59ED" w14:paraId="5EAF4D26"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1332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0950AB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Competition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0C9899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firm's competitive strength</w:t>
            </w:r>
          </w:p>
        </w:tc>
      </w:tr>
      <w:tr w:rsidR="007A59ED" w:rsidRPr="007A59ED" w14:paraId="0755AFA8"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FA3F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CB2098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Industry</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52569B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for information about characteristics or trends </w:t>
            </w:r>
            <w:proofErr w:type="gramStart"/>
            <w:r w:rsidRPr="007A59ED">
              <w:rPr>
                <w:rFonts w:eastAsia="Times New Roman"/>
                <w:color w:val="000000" w:themeColor="text1"/>
                <w:sz w:val="22"/>
                <w:szCs w:val="22"/>
              </w:rPr>
              <w:t>of  industry</w:t>
            </w:r>
            <w:proofErr w:type="gramEnd"/>
            <w:r w:rsidRPr="007A59ED">
              <w:rPr>
                <w:rFonts w:eastAsia="Times New Roman"/>
                <w:color w:val="000000" w:themeColor="text1"/>
                <w:sz w:val="22"/>
                <w:szCs w:val="22"/>
              </w:rPr>
              <w:t xml:space="preserve"> in which the issuer has been operating, including Key Performance Indicators of the firm's industry</w:t>
            </w:r>
          </w:p>
        </w:tc>
      </w:tr>
      <w:tr w:rsidR="007A59ED" w:rsidRPr="007A59ED" w14:paraId="5B810B09"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0848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F28968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M&amp;A</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3241D33" w14:textId="271E2AD4"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 ,</w:t>
            </w:r>
            <w:proofErr w:type="gramEnd"/>
            <w:r w:rsidRPr="007A59ED">
              <w:rPr>
                <w:rFonts w:eastAsia="Times New Roman"/>
                <w:color w:val="000000" w:themeColor="text1"/>
                <w:sz w:val="22"/>
                <w:szCs w:val="22"/>
              </w:rPr>
              <w:t xml:space="preserve"> critiques and requests regarding the issuers' M&amp;A activities, their targets or acquirers, results and impacts of M&amp;A. This item includes other </w:t>
            </w:r>
            <w:r w:rsidR="007A59ED" w:rsidRPr="007A59ED">
              <w:rPr>
                <w:rFonts w:eastAsia="Times New Roman"/>
                <w:color w:val="000000" w:themeColor="text1"/>
                <w:sz w:val="22"/>
                <w:szCs w:val="22"/>
              </w:rPr>
              <w:t>restructuring</w:t>
            </w:r>
            <w:r w:rsidRPr="007A59ED">
              <w:rPr>
                <w:rFonts w:eastAsia="Times New Roman"/>
                <w:color w:val="000000" w:themeColor="text1"/>
                <w:sz w:val="22"/>
                <w:szCs w:val="22"/>
              </w:rPr>
              <w:t xml:space="preserve"> activi</w:t>
            </w:r>
            <w:r w:rsidR="007A59ED">
              <w:rPr>
                <w:rFonts w:eastAsia="Times New Roman"/>
                <w:color w:val="000000" w:themeColor="text1"/>
                <w:sz w:val="22"/>
                <w:szCs w:val="22"/>
              </w:rPr>
              <w:t>ti</w:t>
            </w:r>
            <w:r w:rsidRPr="007A59ED">
              <w:rPr>
                <w:rFonts w:eastAsia="Times New Roman"/>
                <w:color w:val="000000" w:themeColor="text1"/>
                <w:sz w:val="22"/>
                <w:szCs w:val="22"/>
              </w:rPr>
              <w:t>es conducted by the firm</w:t>
            </w:r>
          </w:p>
        </w:tc>
      </w:tr>
      <w:tr w:rsidR="007A59ED" w:rsidRPr="007A59ED" w14:paraId="6E2B68FB"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914C7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130005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Financing activities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9892A60" w14:textId="77777777"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 ,</w:t>
            </w:r>
            <w:proofErr w:type="gramEnd"/>
            <w:r w:rsidRPr="007A59ED">
              <w:rPr>
                <w:rFonts w:eastAsia="Times New Roman"/>
                <w:color w:val="000000" w:themeColor="text1"/>
                <w:sz w:val="22"/>
                <w:szCs w:val="22"/>
              </w:rPr>
              <w:t xml:space="preserve"> critiques and requests regarding the issuers' financing activities, including issues regarding historical/current stockholders, historical/current dividends, credit facility, partnership distribution, market capitalization, indebtedness</w:t>
            </w:r>
          </w:p>
        </w:tc>
      </w:tr>
      <w:tr w:rsidR="007A59ED" w:rsidRPr="007A59ED" w14:paraId="69FE6A17"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769A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44D314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Investment activities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067D25F" w14:textId="1621C2E3"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 ,</w:t>
            </w:r>
            <w:proofErr w:type="gramEnd"/>
            <w:r w:rsidRPr="007A59ED">
              <w:rPr>
                <w:rFonts w:eastAsia="Times New Roman"/>
                <w:color w:val="000000" w:themeColor="text1"/>
                <w:sz w:val="22"/>
                <w:szCs w:val="22"/>
              </w:rPr>
              <w:t xml:space="preserve"> critiques and requests regarding the issuers' investment </w:t>
            </w:r>
            <w:r w:rsidR="007A59ED" w:rsidRPr="007A59ED">
              <w:rPr>
                <w:rFonts w:eastAsia="Times New Roman"/>
                <w:color w:val="000000" w:themeColor="text1"/>
                <w:sz w:val="22"/>
                <w:szCs w:val="22"/>
              </w:rPr>
              <w:t>activities</w:t>
            </w:r>
            <w:r w:rsidRPr="007A59ED">
              <w:rPr>
                <w:rFonts w:eastAsia="Times New Roman"/>
                <w:color w:val="000000" w:themeColor="text1"/>
                <w:sz w:val="22"/>
                <w:szCs w:val="22"/>
              </w:rPr>
              <w:t xml:space="preserve"> (e.g. investment in stocks and bonds, purchase/sale of fixed assets) including capital expenditure</w:t>
            </w:r>
          </w:p>
        </w:tc>
      </w:tr>
      <w:tr w:rsidR="007A59ED" w:rsidRPr="007A59ED" w14:paraId="07B28C26"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8DD8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0986B5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Operating activities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25A27B7" w14:textId="77777777"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 ,</w:t>
            </w:r>
            <w:proofErr w:type="gramEnd"/>
            <w:r w:rsidRPr="007A59ED">
              <w:rPr>
                <w:rFonts w:eastAsia="Times New Roman"/>
                <w:color w:val="000000" w:themeColor="text1"/>
                <w:sz w:val="22"/>
                <w:szCs w:val="22"/>
              </w:rPr>
              <w:t xml:space="preserve"> critiques and requests regarding the issuers' operating activities, including manufacturing, distributing, marketing, and selling a product or service (e.g. terms of sale, backlog, reimbursement, warranty) and business strategy (not including R&amp;D activities)</w:t>
            </w:r>
          </w:p>
        </w:tc>
      </w:tr>
      <w:tr w:rsidR="007A59ED" w:rsidRPr="007A59ED" w14:paraId="7BFC8E3E"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B745C6"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CFCB11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Material Agreements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521C7D9" w14:textId="5E893728"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 critiques and requests regarding material contracts/agreements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lease agreements, </w:t>
            </w:r>
            <w:proofErr w:type="spellStart"/>
            <w:r w:rsidRPr="007A59ED">
              <w:rPr>
                <w:rFonts w:eastAsia="Times New Roman"/>
                <w:color w:val="000000" w:themeColor="text1"/>
                <w:sz w:val="22"/>
                <w:szCs w:val="22"/>
              </w:rPr>
              <w:t>debt</w:t>
            </w:r>
            <w:proofErr w:type="spellEnd"/>
            <w:r w:rsidRPr="007A59ED">
              <w:rPr>
                <w:rFonts w:eastAsia="Times New Roman"/>
                <w:color w:val="000000" w:themeColor="text1"/>
                <w:sz w:val="22"/>
                <w:szCs w:val="22"/>
              </w:rPr>
              <w:t>/</w:t>
            </w:r>
            <w:r w:rsidR="007A59ED" w:rsidRPr="007A59ED">
              <w:rPr>
                <w:rFonts w:eastAsia="Times New Roman"/>
                <w:color w:val="000000" w:themeColor="text1"/>
                <w:sz w:val="22"/>
                <w:szCs w:val="22"/>
              </w:rPr>
              <w:t>credit</w:t>
            </w:r>
            <w:r w:rsidRPr="007A59ED">
              <w:rPr>
                <w:rFonts w:eastAsia="Times New Roman"/>
                <w:color w:val="000000" w:themeColor="text1"/>
                <w:sz w:val="22"/>
                <w:szCs w:val="22"/>
              </w:rPr>
              <w:t xml:space="preserve"> agreement, debt covenants, contractual obligation) and their terms</w:t>
            </w:r>
          </w:p>
        </w:tc>
      </w:tr>
      <w:tr w:rsidR="007A59ED" w:rsidRPr="007A59ED" w14:paraId="336B1F12"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9EC7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3225CF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Intellectual property</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85441BF" w14:textId="77777777"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 ,</w:t>
            </w:r>
            <w:proofErr w:type="gramEnd"/>
            <w:r w:rsidRPr="007A59ED">
              <w:rPr>
                <w:rFonts w:eastAsia="Times New Roman"/>
                <w:color w:val="000000" w:themeColor="text1"/>
                <w:sz w:val="22"/>
                <w:szCs w:val="22"/>
              </w:rPr>
              <w:t xml:space="preserve"> critiques and requests regarding issuer’s terms of their intellectual property and any claims against their intellectual property</w:t>
            </w:r>
          </w:p>
        </w:tc>
      </w:tr>
      <w:tr w:rsidR="007A59ED" w:rsidRPr="007A59ED" w14:paraId="079A3DD8"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C87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37F19C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Technology</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E0DEF1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firm's technology infrastructure</w:t>
            </w:r>
          </w:p>
        </w:tc>
      </w:tr>
      <w:tr w:rsidR="007A59ED" w:rsidRPr="007A59ED" w14:paraId="1DECFA71"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33DF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5AC226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Segments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7B10A82" w14:textId="77777777"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 ,</w:t>
            </w:r>
            <w:proofErr w:type="gramEnd"/>
            <w:r w:rsidRPr="007A59ED">
              <w:rPr>
                <w:rFonts w:eastAsia="Times New Roman"/>
                <w:color w:val="000000" w:themeColor="text1"/>
                <w:sz w:val="22"/>
                <w:szCs w:val="22"/>
              </w:rPr>
              <w:t xml:space="preserve"> critiques and requests regarding the identification of operating segments, aggregation or disaggregation of operating segments and information about geographic areas in which the firm operates, including issues on the firms' subsidiaries</w:t>
            </w:r>
          </w:p>
        </w:tc>
      </w:tr>
      <w:tr w:rsidR="007A59ED" w:rsidRPr="007A59ED" w14:paraId="1317B62F" w14:textId="77777777" w:rsidTr="007A59ED">
        <w:trPr>
          <w:trHeight w:val="49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0730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D19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459B34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Risk factors (business)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040700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requests regarding characteristics and impact of risk factors on the issuers' business as well as risk management,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self-insurance program</w:t>
            </w:r>
          </w:p>
        </w:tc>
      </w:tr>
      <w:tr w:rsidR="007A59ED" w:rsidRPr="007A59ED" w14:paraId="6CC5E304"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4EE8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D20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B2FBFD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Results of operation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1E0165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critiques and requests regarding issuer's results from operations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liquidity, probability, capital resource, gross margin, key business metrics, segment reporting) which are often presented by the disclosure of amount of accounting item, determinants/trends of the results as well as the firm's plans to achieve the results, including critiques regarding the issuer's business strength</w:t>
            </w:r>
          </w:p>
        </w:tc>
      </w:tr>
      <w:tr w:rsidR="007A59ED" w:rsidRPr="007A59ED" w14:paraId="1C512F48" w14:textId="77777777" w:rsidTr="007A59ED">
        <w:trPr>
          <w:trHeight w:val="66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A3015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D21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E78692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External reports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C672707"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information from reports prepared by external parties, data cited from these reports as well as the identification of the parties who prepared these reports</w:t>
            </w:r>
          </w:p>
        </w:tc>
      </w:tr>
      <w:tr w:rsidR="007A59ED" w:rsidRPr="007A59ED" w14:paraId="450FFA15"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F9AD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D22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D3356F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Business-related regulation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59AF75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about information about regulation relating the issuer's business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environmental law, tax rate, legal proceedings)</w:t>
            </w:r>
          </w:p>
        </w:tc>
      </w:tr>
      <w:tr w:rsidR="007A59ED" w:rsidRPr="007A59ED" w14:paraId="2C796C0D"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9CEE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D23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A83FEA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Status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4CD8BD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critiques and requests regarding firm's status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limited liability company, Delaware corporation, emerging growth company</w:t>
            </w:r>
          </w:p>
        </w:tc>
      </w:tr>
      <w:tr w:rsidR="007A59ED" w:rsidRPr="007A59ED" w14:paraId="51FD6CDD"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32FF1F"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D24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4721E4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Going concern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90077B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or comments regarding the firm’s ability to continue as a going concern as well as their capacity </w:t>
            </w:r>
          </w:p>
        </w:tc>
      </w:tr>
      <w:tr w:rsidR="007A59ED" w:rsidRPr="007A59ED" w14:paraId="010D4BEA"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63BC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D25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B6FB41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Properties and Facilities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75D4AD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or comments surrounding the description of the locations in which the firm operates</w:t>
            </w:r>
          </w:p>
        </w:tc>
      </w:tr>
      <w:tr w:rsidR="007A59ED" w:rsidRPr="007A59ED" w14:paraId="40A70C6C" w14:textId="77777777" w:rsidTr="007A59ED">
        <w:trPr>
          <w:trHeight w:val="54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604C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B915B86"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 xml:space="preserve">V. CORPORATE GOVERNANCE ISSUES </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270E8FE"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 xml:space="preserve"> These items represent the SEC's comments relating to the issuers' corporate governance mechanism</w:t>
            </w:r>
          </w:p>
        </w:tc>
      </w:tr>
      <w:tr w:rsidR="007A59ED" w:rsidRPr="007A59ED" w14:paraId="7087B533"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4754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16356A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Managers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AFFC078" w14:textId="15524B83"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about information about identifications of the issuer's managers, their agreement, the </w:t>
            </w:r>
            <w:proofErr w:type="gramStart"/>
            <w:r w:rsidRPr="007A59ED">
              <w:rPr>
                <w:rFonts w:eastAsia="Times New Roman"/>
                <w:color w:val="000000" w:themeColor="text1"/>
                <w:sz w:val="22"/>
                <w:szCs w:val="22"/>
              </w:rPr>
              <w:t>time</w:t>
            </w:r>
            <w:proofErr w:type="gramEnd"/>
            <w:r w:rsidRPr="007A59ED">
              <w:rPr>
                <w:rFonts w:eastAsia="Times New Roman"/>
                <w:color w:val="000000" w:themeColor="text1"/>
                <w:sz w:val="22"/>
                <w:szCs w:val="22"/>
              </w:rPr>
              <w:t xml:space="preserve"> and resources they have been devoting to the firm as well as their </w:t>
            </w:r>
            <w:r w:rsidR="007A59ED" w:rsidRPr="007A59ED">
              <w:rPr>
                <w:rFonts w:eastAsia="Times New Roman"/>
                <w:color w:val="000000" w:themeColor="text1"/>
                <w:sz w:val="22"/>
                <w:szCs w:val="22"/>
              </w:rPr>
              <w:t xml:space="preserve">right </w:t>
            </w:r>
            <w:r w:rsidR="007A59ED">
              <w:rPr>
                <w:rFonts w:eastAsia="Times New Roman"/>
                <w:color w:val="000000" w:themeColor="text1"/>
                <w:sz w:val="22"/>
                <w:szCs w:val="22"/>
              </w:rPr>
              <w:t xml:space="preserve">and </w:t>
            </w:r>
            <w:r w:rsidR="007A59ED" w:rsidRPr="007A59ED">
              <w:rPr>
                <w:rFonts w:eastAsia="Times New Roman"/>
                <w:color w:val="000000" w:themeColor="text1"/>
                <w:sz w:val="22"/>
                <w:szCs w:val="22"/>
              </w:rPr>
              <w:t>obligation</w:t>
            </w:r>
            <w:r w:rsidRPr="007A59ED">
              <w:rPr>
                <w:rFonts w:eastAsia="Times New Roman"/>
                <w:color w:val="000000" w:themeColor="text1"/>
                <w:sz w:val="22"/>
                <w:szCs w:val="22"/>
              </w:rPr>
              <w:t xml:space="preserve"> (e.g., issues on the firms' status as controlled company), including key performance measure applied to the managers and leadership structure</w:t>
            </w:r>
          </w:p>
        </w:tc>
      </w:tr>
      <w:tr w:rsidR="007A59ED" w:rsidRPr="007A59ED" w14:paraId="457C65DE" w14:textId="77777777" w:rsidTr="007A59ED">
        <w:trPr>
          <w:trHeight w:val="34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3F5E3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70F159E"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Related parties' transactions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8BCFE8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and requests regarding transactions of related parties</w:t>
            </w:r>
          </w:p>
        </w:tc>
      </w:tr>
      <w:tr w:rsidR="007A59ED" w:rsidRPr="007A59ED" w14:paraId="1DFD6E98" w14:textId="77777777" w:rsidTr="007A59ED">
        <w:trPr>
          <w:trHeight w:val="3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CC8A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28B2BD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Ownership structure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01E1AF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and requests regarding the issuers' ownership structure, including identifications, </w:t>
            </w:r>
            <w:proofErr w:type="gramStart"/>
            <w:r w:rsidRPr="007A59ED">
              <w:rPr>
                <w:rFonts w:eastAsia="Times New Roman"/>
                <w:color w:val="000000" w:themeColor="text1"/>
                <w:sz w:val="22"/>
                <w:szCs w:val="22"/>
              </w:rPr>
              <w:t>control  and</w:t>
            </w:r>
            <w:proofErr w:type="gramEnd"/>
            <w:r w:rsidRPr="007A59ED">
              <w:rPr>
                <w:rFonts w:eastAsia="Times New Roman"/>
                <w:color w:val="000000" w:themeColor="text1"/>
                <w:sz w:val="22"/>
                <w:szCs w:val="22"/>
              </w:rPr>
              <w:t xml:space="preserve">  interest of the owners</w:t>
            </w:r>
          </w:p>
        </w:tc>
      </w:tr>
      <w:tr w:rsidR="007A59ED" w:rsidRPr="007A59ED" w14:paraId="5F51B8D0"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8702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3441DA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Compensation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731749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amount of non- or stock-based compensation which was paid as well as the compensation plans for the firm’s executives and employees, metrics that the firm (typically through its board of directors) uses to assess management performance, in order to determine annual bonuses</w:t>
            </w:r>
          </w:p>
        </w:tc>
      </w:tr>
      <w:tr w:rsidR="007A59ED" w:rsidRPr="007A59ED" w14:paraId="204C6BF1"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BF11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9CD8813" w14:textId="661A7EC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Organizational stru</w:t>
            </w:r>
            <w:r w:rsidR="0030659B">
              <w:rPr>
                <w:rFonts w:eastAsia="Times New Roman"/>
                <w:color w:val="000000" w:themeColor="text1"/>
                <w:sz w:val="22"/>
                <w:szCs w:val="22"/>
              </w:rPr>
              <w:t>c</w:t>
            </w:r>
            <w:r w:rsidRPr="007A59ED">
              <w:rPr>
                <w:rFonts w:eastAsia="Times New Roman"/>
                <w:color w:val="000000" w:themeColor="text1"/>
                <w:sz w:val="22"/>
                <w:szCs w:val="22"/>
              </w:rPr>
              <w:t>ture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CEA36F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Comments to provide clarification about the firm’s organizational structure, both before and after the offering</w:t>
            </w:r>
          </w:p>
        </w:tc>
      </w:tr>
      <w:tr w:rsidR="007A59ED" w:rsidRPr="007A59ED" w14:paraId="5776C6A1" w14:textId="77777777" w:rsidTr="007A59ED">
        <w:trPr>
          <w:trHeight w:val="3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D5C2D6"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9A04DC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Anti-Takeover Provisions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5D3BFE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anti- takeover provisions that are included in the firm’s by-laws</w:t>
            </w:r>
          </w:p>
        </w:tc>
      </w:tr>
      <w:tr w:rsidR="007A59ED" w:rsidRPr="007A59ED" w14:paraId="60F4B9E2" w14:textId="77777777" w:rsidTr="007A59ED">
        <w:trPr>
          <w:trHeight w:val="58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AEFF1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E7D88E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Signatures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0F8B99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 to identify the individuals, particularly the chief accounting executive, who will be responsible for signing the firm’s financial statement certifications under Section 302 of the Sarbanes-Oxley Act</w:t>
            </w:r>
          </w:p>
        </w:tc>
      </w:tr>
      <w:tr w:rsidR="007A59ED" w:rsidRPr="007A59ED" w14:paraId="2790107A" w14:textId="77777777" w:rsidTr="007A59ED">
        <w:trPr>
          <w:trHeight w:val="3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BFFC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E8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0DF363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Employee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E3021DE" w14:textId="796415D1"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employee-related matters, including salary, </w:t>
            </w:r>
            <w:r w:rsidR="007A59ED" w:rsidRPr="007A59ED">
              <w:rPr>
                <w:rFonts w:eastAsia="Times New Roman"/>
                <w:color w:val="000000" w:themeColor="text1"/>
                <w:sz w:val="22"/>
                <w:szCs w:val="22"/>
              </w:rPr>
              <w:t>labour</w:t>
            </w:r>
            <w:r w:rsidRPr="007A59ED">
              <w:rPr>
                <w:rFonts w:eastAsia="Times New Roman"/>
                <w:color w:val="000000" w:themeColor="text1"/>
                <w:sz w:val="22"/>
                <w:szCs w:val="22"/>
              </w:rPr>
              <w:t xml:space="preserve"> issues, employment contracts, pension and other employee benefit</w:t>
            </w:r>
          </w:p>
        </w:tc>
      </w:tr>
      <w:tr w:rsidR="007A59ED" w:rsidRPr="007A59ED" w14:paraId="7FCE5F94"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4CF17" w14:textId="77777777" w:rsidR="00B635B5" w:rsidRPr="007A59ED" w:rsidRDefault="00B635B5" w:rsidP="00B635B5">
            <w:pPr>
              <w:jc w:val="right"/>
              <w:rPr>
                <w:rFonts w:eastAsia="Times New Roman"/>
                <w:b/>
                <w:bCs/>
                <w:color w:val="000000" w:themeColor="text1"/>
                <w:sz w:val="22"/>
                <w:szCs w:val="22"/>
              </w:rPr>
            </w:pPr>
            <w:r w:rsidRPr="007A59ED">
              <w:rPr>
                <w:rFonts w:eastAsia="Times New Roman"/>
                <w:b/>
                <w:bCs/>
                <w:color w:val="000000" w:themeColor="text1"/>
                <w:sz w:val="22"/>
                <w:szCs w:val="22"/>
              </w:rPr>
              <w:t>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B199D17"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VI. DISCLOSURE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0AC5F3C"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These items represent the SEC's comments relating to language used in the S-1 filings as well as the qualitative characteristics of the information disclosed in the S-1 filings. These items also represent the SEC's request for additional documents. In addition, these items represent the SEC's comments on the issuer's undertaking relating to the filing and disclosure of S-1, amended S-1 and other related documents</w:t>
            </w:r>
          </w:p>
        </w:tc>
      </w:tr>
      <w:tr w:rsidR="007A59ED" w:rsidRPr="007A59ED" w14:paraId="219B6921"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5A85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4885AA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Technical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E0A062B" w14:textId="01D7AB34"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critiques and requests regarding meaning and use of industry-</w:t>
            </w:r>
            <w:r w:rsidR="007A59ED" w:rsidRPr="007A59ED">
              <w:rPr>
                <w:rFonts w:eastAsia="Times New Roman"/>
                <w:color w:val="000000" w:themeColor="text1"/>
                <w:sz w:val="22"/>
                <w:szCs w:val="22"/>
              </w:rPr>
              <w:t>specific</w:t>
            </w:r>
            <w:r w:rsidRPr="007A59ED">
              <w:rPr>
                <w:rFonts w:eastAsia="Times New Roman"/>
                <w:color w:val="000000" w:themeColor="text1"/>
                <w:sz w:val="22"/>
                <w:szCs w:val="22"/>
              </w:rPr>
              <w:t xml:space="preserve"> terms or jargons in the S-1 filing</w:t>
            </w:r>
          </w:p>
        </w:tc>
      </w:tr>
      <w:tr w:rsidR="007A59ED" w:rsidRPr="007A59ED" w14:paraId="72E98B97"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1CD1B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6A6DC5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Abstract word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A607EB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use of abstract words</w:t>
            </w:r>
          </w:p>
        </w:tc>
      </w:tr>
      <w:tr w:rsidR="007A59ED" w:rsidRPr="007A59ED" w14:paraId="043807B6"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D15A6"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954231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Defined term/acronym</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BD34CD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use of inappropriate or numerous defined terms or acronym in S-1 filing</w:t>
            </w:r>
          </w:p>
        </w:tc>
      </w:tr>
      <w:tr w:rsidR="007A59ED" w:rsidRPr="007A59ED" w14:paraId="64B86B32"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C93A7"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00952E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Over-positive tone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0BE045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Critiques and requests regarding hype or overstating information in S-1 filing</w:t>
            </w:r>
          </w:p>
        </w:tc>
      </w:tr>
      <w:tr w:rsidR="007A59ED" w:rsidRPr="007A59ED" w14:paraId="2216FE54"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539D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lastRenderedPageBreak/>
              <w:t>F5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7B92E2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Selective disclosure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62B318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Critiques and requests selective disclosure S-1 filing, for example, the disclosure focus on upside or 'good' information with lack </w:t>
            </w:r>
            <w:proofErr w:type="gramStart"/>
            <w:r w:rsidRPr="007A59ED">
              <w:rPr>
                <w:rFonts w:eastAsia="Times New Roman"/>
                <w:color w:val="000000" w:themeColor="text1"/>
                <w:sz w:val="22"/>
                <w:szCs w:val="22"/>
              </w:rPr>
              <w:t>of  discussion</w:t>
            </w:r>
            <w:proofErr w:type="gramEnd"/>
            <w:r w:rsidRPr="007A59ED">
              <w:rPr>
                <w:rFonts w:eastAsia="Times New Roman"/>
                <w:color w:val="000000" w:themeColor="text1"/>
                <w:sz w:val="22"/>
                <w:szCs w:val="22"/>
              </w:rPr>
              <w:t xml:space="preserve"> of the risk s and downside of their business and operating environment</w:t>
            </w:r>
          </w:p>
        </w:tc>
      </w:tr>
      <w:tr w:rsidR="007A59ED" w:rsidRPr="007A59ED" w14:paraId="4CDAAAA4"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7958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4A08B5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Uncertain tone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E0FBD3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Critiques and requests regarding uncertain tone of information disclosed in S-1 filing</w:t>
            </w:r>
          </w:p>
        </w:tc>
      </w:tr>
      <w:tr w:rsidR="007A59ED" w:rsidRPr="007A59ED" w14:paraId="6BCA12CA"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1303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3348C1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Completeness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1F053C2" w14:textId="37094F90"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Critiques and requests regarding lack of necessary or important information required by specific rules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Regulation S-K), information which is </w:t>
            </w:r>
            <w:r w:rsidR="007A59ED" w:rsidRPr="007A59ED">
              <w:rPr>
                <w:rFonts w:eastAsia="Times New Roman"/>
                <w:color w:val="000000" w:themeColor="text1"/>
                <w:sz w:val="22"/>
                <w:szCs w:val="22"/>
              </w:rPr>
              <w:t>disclosed</w:t>
            </w:r>
            <w:r w:rsidRPr="007A59ED">
              <w:rPr>
                <w:rFonts w:eastAsia="Times New Roman"/>
                <w:color w:val="000000" w:themeColor="text1"/>
                <w:sz w:val="22"/>
                <w:szCs w:val="22"/>
              </w:rPr>
              <w:t xml:space="preserve"> in other sections in S-1 filings or other document, requests for including additional statement. </w:t>
            </w:r>
          </w:p>
        </w:tc>
      </w:tr>
      <w:tr w:rsidR="007A59ED" w:rsidRPr="007A59ED" w14:paraId="58943122" w14:textId="77777777" w:rsidTr="007A59ED">
        <w:trPr>
          <w:trHeight w:val="54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FBD0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2429F5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General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0E692A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general, unclear or unintelligible information in S-1 filing which often required to clarify by a specific rule, request for clarifying information which is clarified in other sections in S-1 filings or other document, requests for including more clear statement</w:t>
            </w:r>
          </w:p>
        </w:tc>
      </w:tr>
      <w:tr w:rsidR="007A59ED" w:rsidRPr="007A59ED" w14:paraId="126D0A24" w14:textId="77777777" w:rsidTr="007A59ED">
        <w:trPr>
          <w:trHeight w:val="555"/>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CEE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068315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Inaccurate/inappropriate disclosure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5838B46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critiques and requests regarding (could-be) inaccurate or (could-be) inappropriate disclosures of information (</w:t>
            </w:r>
            <w:proofErr w:type="gramStart"/>
            <w:r w:rsidRPr="007A59ED">
              <w:rPr>
                <w:rFonts w:eastAsia="Times New Roman"/>
                <w:color w:val="000000" w:themeColor="text1"/>
                <w:sz w:val="22"/>
                <w:szCs w:val="22"/>
              </w:rPr>
              <w:t>e.g.</w:t>
            </w:r>
            <w:proofErr w:type="gramEnd"/>
            <w:r w:rsidRPr="007A59ED">
              <w:rPr>
                <w:rFonts w:eastAsia="Times New Roman"/>
                <w:color w:val="000000" w:themeColor="text1"/>
                <w:sz w:val="22"/>
                <w:szCs w:val="22"/>
              </w:rPr>
              <w:t xml:space="preserve"> disclaimer, incorrect grammar) as well as (could-be) inappropriate position of the information in S-1 filing, including images, graphics or artworks used in the S-1 filing</w:t>
            </w:r>
          </w:p>
        </w:tc>
      </w:tr>
      <w:tr w:rsidR="007A59ED" w:rsidRPr="007A59ED" w14:paraId="680CD546"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2AC830"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104ED3B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Disclosure too outdated or generic</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B1D247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Critiques regarding the degree to which the information disclosed in S-1 filing are </w:t>
            </w:r>
            <w:proofErr w:type="gramStart"/>
            <w:r w:rsidRPr="007A59ED">
              <w:rPr>
                <w:rFonts w:eastAsia="Times New Roman"/>
                <w:color w:val="000000" w:themeColor="text1"/>
                <w:sz w:val="22"/>
                <w:szCs w:val="22"/>
              </w:rPr>
              <w:t>outdated  and</w:t>
            </w:r>
            <w:proofErr w:type="gramEnd"/>
            <w:r w:rsidRPr="007A59ED">
              <w:rPr>
                <w:rFonts w:eastAsia="Times New Roman"/>
                <w:color w:val="000000" w:themeColor="text1"/>
                <w:sz w:val="22"/>
                <w:szCs w:val="22"/>
              </w:rPr>
              <w:t xml:space="preserve"> unique/specific to issuer</w:t>
            </w:r>
          </w:p>
        </w:tc>
      </w:tr>
      <w:tr w:rsidR="007A59ED" w:rsidRPr="007A59ED" w14:paraId="1B283D10"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EDBC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522837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Relevance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8193C3A" w14:textId="0DB0BFA5" w:rsidR="00B635B5" w:rsidRPr="007A59ED" w:rsidRDefault="00B635B5" w:rsidP="00B635B5">
            <w:pPr>
              <w:rPr>
                <w:rFonts w:eastAsia="Times New Roman"/>
                <w:color w:val="000000" w:themeColor="text1"/>
                <w:sz w:val="22"/>
                <w:szCs w:val="22"/>
              </w:rPr>
            </w:pPr>
            <w:proofErr w:type="gramStart"/>
            <w:r w:rsidRPr="007A59ED">
              <w:rPr>
                <w:rFonts w:eastAsia="Times New Roman"/>
                <w:color w:val="000000" w:themeColor="text1"/>
                <w:sz w:val="22"/>
                <w:szCs w:val="22"/>
              </w:rPr>
              <w:t>Questions  regarding</w:t>
            </w:r>
            <w:proofErr w:type="gramEnd"/>
            <w:r w:rsidRPr="007A59ED">
              <w:rPr>
                <w:rFonts w:eastAsia="Times New Roman"/>
                <w:color w:val="000000" w:themeColor="text1"/>
                <w:sz w:val="22"/>
                <w:szCs w:val="22"/>
              </w:rPr>
              <w:t xml:space="preserve"> information that </w:t>
            </w:r>
            <w:r w:rsidR="007A59ED" w:rsidRPr="007A59ED">
              <w:rPr>
                <w:rFonts w:eastAsia="Times New Roman"/>
                <w:color w:val="000000" w:themeColor="text1"/>
                <w:sz w:val="22"/>
                <w:szCs w:val="22"/>
              </w:rPr>
              <w:t>conflict</w:t>
            </w:r>
            <w:r w:rsidRPr="007A59ED">
              <w:rPr>
                <w:rFonts w:eastAsia="Times New Roman"/>
                <w:color w:val="000000" w:themeColor="text1"/>
                <w:sz w:val="22"/>
                <w:szCs w:val="22"/>
              </w:rPr>
              <w:t xml:space="preserve"> with other  or methods of matching information in S-1 filing</w:t>
            </w:r>
          </w:p>
        </w:tc>
      </w:tr>
      <w:tr w:rsidR="007A59ED" w:rsidRPr="007A59ED" w14:paraId="4218C39E"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B46EE"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89D1A8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References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E0FE03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Questions, critiques and requests regarding use, style of references as well as requests for adding references in S-1 filings</w:t>
            </w:r>
          </w:p>
        </w:tc>
      </w:tr>
      <w:tr w:rsidR="007A59ED" w:rsidRPr="007A59ED" w14:paraId="2B25F51E"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55C2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D7C9F7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Format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0FDFED5" w14:textId="7D8B10E2"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format (design or layout) of financial statements and other disclosure in S-1 filings which is </w:t>
            </w:r>
            <w:r w:rsidR="007A59ED" w:rsidRPr="007A59ED">
              <w:rPr>
                <w:rFonts w:eastAsia="Times New Roman"/>
                <w:color w:val="000000" w:themeColor="text1"/>
                <w:sz w:val="22"/>
                <w:szCs w:val="22"/>
              </w:rPr>
              <w:t>inappropriate</w:t>
            </w:r>
            <w:r w:rsidRPr="007A59ED">
              <w:rPr>
                <w:rFonts w:eastAsia="Times New Roman"/>
                <w:color w:val="000000" w:themeColor="text1"/>
                <w:sz w:val="22"/>
                <w:szCs w:val="22"/>
              </w:rPr>
              <w:t xml:space="preserve"> or difficult to follow</w:t>
            </w:r>
          </w:p>
        </w:tc>
      </w:tr>
      <w:tr w:rsidR="007A59ED" w:rsidRPr="007A59ED" w14:paraId="67C5DFD8"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93B2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09FB99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Unnoticeable disclosure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AA003F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Questions, </w:t>
            </w:r>
            <w:proofErr w:type="gramStart"/>
            <w:r w:rsidRPr="007A59ED">
              <w:rPr>
                <w:rFonts w:eastAsia="Times New Roman"/>
                <w:color w:val="000000" w:themeColor="text1"/>
                <w:sz w:val="22"/>
                <w:szCs w:val="22"/>
              </w:rPr>
              <w:t>critiques</w:t>
            </w:r>
            <w:proofErr w:type="gramEnd"/>
            <w:r w:rsidRPr="007A59ED">
              <w:rPr>
                <w:rFonts w:eastAsia="Times New Roman"/>
                <w:color w:val="000000" w:themeColor="text1"/>
                <w:sz w:val="22"/>
                <w:szCs w:val="22"/>
              </w:rPr>
              <w:t xml:space="preserve"> and requests regarding visibility of a particular disclosure</w:t>
            </w:r>
          </w:p>
        </w:tc>
      </w:tr>
      <w:tr w:rsidR="007A59ED" w:rsidRPr="007A59ED" w14:paraId="71E4AABD"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2940B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2A40E10"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Repetitive Disclosures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ABC390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 comment that management has unnecessarily repeated information or disclosures throughout sections of the filing without providing additional substance</w:t>
            </w:r>
          </w:p>
        </w:tc>
      </w:tr>
      <w:tr w:rsidR="007A59ED" w:rsidRPr="007A59ED" w14:paraId="20D1581D"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715C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F8AB27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Forward-looking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76EDEE06" w14:textId="4E975EB6" w:rsidR="00B635B5" w:rsidRPr="007A59ED" w:rsidRDefault="00B635B5" w:rsidP="00A02079">
            <w:pPr>
              <w:rPr>
                <w:rFonts w:eastAsia="Times New Roman"/>
                <w:color w:val="000000" w:themeColor="text1"/>
                <w:sz w:val="22"/>
                <w:szCs w:val="22"/>
              </w:rPr>
            </w:pPr>
            <w:r w:rsidRPr="007A59ED">
              <w:rPr>
                <w:rFonts w:eastAsia="Times New Roman"/>
                <w:color w:val="000000" w:themeColor="text1"/>
                <w:sz w:val="22"/>
                <w:szCs w:val="22"/>
              </w:rPr>
              <w:t>Comments or questions about the firm’s disclosure of forward-looking information</w:t>
            </w:r>
          </w:p>
        </w:tc>
      </w:tr>
      <w:tr w:rsidR="007A59ED" w:rsidRPr="007A59ED" w14:paraId="2174D528" w14:textId="77777777" w:rsidTr="007A59ED">
        <w:trPr>
          <w:trHeight w:val="39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E14CC"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F17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4E09BC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Too Detailed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7C591B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Comments that certain portions of the filing documents, such as the summary sections, contained too much detail or lengthy information</w:t>
            </w:r>
          </w:p>
        </w:tc>
      </w:tr>
      <w:tr w:rsidR="007A59ED" w:rsidRPr="007A59ED" w14:paraId="63CB94CB"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21CA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G1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9B2D4B8"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VII. NO ISSUES</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C974F57"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t xml:space="preserve">The SEC did not mention any issues of S-1 filings in their </w:t>
            </w:r>
            <w:proofErr w:type="gramStart"/>
            <w:r w:rsidRPr="007A59ED">
              <w:rPr>
                <w:rFonts w:eastAsia="Times New Roman"/>
                <w:b/>
                <w:bCs/>
                <w:color w:val="000000" w:themeColor="text1"/>
                <w:sz w:val="22"/>
                <w:szCs w:val="22"/>
              </w:rPr>
              <w:t>comment</w:t>
            </w:r>
            <w:proofErr w:type="gramEnd"/>
            <w:r w:rsidRPr="007A59ED">
              <w:rPr>
                <w:rFonts w:eastAsia="Times New Roman"/>
                <w:b/>
                <w:bCs/>
                <w:color w:val="000000" w:themeColor="text1"/>
                <w:sz w:val="22"/>
                <w:szCs w:val="22"/>
              </w:rPr>
              <w:t xml:space="preserve"> or they mention the issues that does not currently occur in the S-1 filing</w:t>
            </w:r>
          </w:p>
        </w:tc>
      </w:tr>
      <w:tr w:rsidR="007A59ED" w:rsidRPr="007A59ED" w14:paraId="08EC814F" w14:textId="77777777" w:rsidTr="007A59ED">
        <w:trPr>
          <w:trHeight w:val="1262"/>
        </w:trPr>
        <w:tc>
          <w:tcPr>
            <w:tcW w:w="680" w:type="dxa"/>
            <w:tcBorders>
              <w:top w:val="nil"/>
              <w:left w:val="nil"/>
              <w:bottom w:val="nil"/>
              <w:right w:val="nil"/>
            </w:tcBorders>
            <w:shd w:val="clear" w:color="auto" w:fill="auto"/>
            <w:vAlign w:val="center"/>
            <w:hideMark/>
          </w:tcPr>
          <w:p w14:paraId="3E09F458" w14:textId="77777777" w:rsidR="00B635B5" w:rsidRPr="007A59ED" w:rsidRDefault="00B635B5" w:rsidP="00B635B5">
            <w:pPr>
              <w:jc w:val="right"/>
              <w:rPr>
                <w:rFonts w:eastAsia="Times New Roman"/>
                <w:b/>
                <w:bCs/>
                <w:color w:val="000000" w:themeColor="text1"/>
                <w:sz w:val="22"/>
                <w:szCs w:val="22"/>
              </w:rPr>
            </w:pPr>
          </w:p>
        </w:tc>
        <w:tc>
          <w:tcPr>
            <w:tcW w:w="3001" w:type="dxa"/>
            <w:tcBorders>
              <w:top w:val="nil"/>
              <w:left w:val="nil"/>
              <w:bottom w:val="nil"/>
              <w:right w:val="nil"/>
            </w:tcBorders>
            <w:shd w:val="clear" w:color="auto" w:fill="auto"/>
            <w:vAlign w:val="center"/>
            <w:hideMark/>
          </w:tcPr>
          <w:p w14:paraId="1EEFA9C4" w14:textId="77777777" w:rsidR="00B635B5" w:rsidRPr="007A59ED" w:rsidRDefault="00B635B5" w:rsidP="00B635B5">
            <w:pPr>
              <w:jc w:val="right"/>
              <w:rPr>
                <w:rFonts w:eastAsia="Times New Roman"/>
                <w:color w:val="000000" w:themeColor="text1"/>
                <w:sz w:val="20"/>
                <w:szCs w:val="20"/>
              </w:rPr>
            </w:pPr>
          </w:p>
        </w:tc>
        <w:tc>
          <w:tcPr>
            <w:tcW w:w="10489" w:type="dxa"/>
            <w:tcBorders>
              <w:top w:val="nil"/>
              <w:left w:val="nil"/>
              <w:bottom w:val="nil"/>
              <w:right w:val="nil"/>
            </w:tcBorders>
            <w:shd w:val="clear" w:color="auto" w:fill="auto"/>
            <w:vAlign w:val="center"/>
            <w:hideMark/>
          </w:tcPr>
          <w:p w14:paraId="6B5076DA" w14:textId="77777777" w:rsidR="00B635B5" w:rsidRPr="007A59ED" w:rsidRDefault="00B635B5" w:rsidP="00B635B5">
            <w:pPr>
              <w:rPr>
                <w:rFonts w:eastAsia="Times New Roman"/>
                <w:color w:val="000000" w:themeColor="text1"/>
                <w:sz w:val="20"/>
                <w:szCs w:val="20"/>
              </w:rPr>
            </w:pPr>
          </w:p>
        </w:tc>
      </w:tr>
      <w:tr w:rsidR="007A59ED" w:rsidRPr="007A59ED" w14:paraId="3BEFB924" w14:textId="77777777" w:rsidTr="007A59ED">
        <w:trPr>
          <w:trHeight w:val="74"/>
        </w:trPr>
        <w:tc>
          <w:tcPr>
            <w:tcW w:w="680" w:type="dxa"/>
            <w:tcBorders>
              <w:top w:val="nil"/>
              <w:left w:val="nil"/>
              <w:bottom w:val="nil"/>
              <w:right w:val="nil"/>
            </w:tcBorders>
            <w:shd w:val="clear" w:color="auto" w:fill="auto"/>
            <w:vAlign w:val="center"/>
            <w:hideMark/>
          </w:tcPr>
          <w:p w14:paraId="74296DC4" w14:textId="77777777" w:rsidR="00B635B5" w:rsidRPr="007A59ED" w:rsidRDefault="00B635B5" w:rsidP="00B635B5">
            <w:pPr>
              <w:rPr>
                <w:rFonts w:eastAsia="Times New Roman"/>
                <w:color w:val="000000" w:themeColor="text1"/>
                <w:sz w:val="20"/>
                <w:szCs w:val="20"/>
              </w:rPr>
            </w:pPr>
          </w:p>
        </w:tc>
        <w:tc>
          <w:tcPr>
            <w:tcW w:w="3001" w:type="dxa"/>
            <w:tcBorders>
              <w:top w:val="nil"/>
              <w:left w:val="nil"/>
              <w:bottom w:val="nil"/>
              <w:right w:val="nil"/>
            </w:tcBorders>
            <w:shd w:val="clear" w:color="auto" w:fill="auto"/>
            <w:vAlign w:val="center"/>
            <w:hideMark/>
          </w:tcPr>
          <w:p w14:paraId="7464EFA3" w14:textId="77777777" w:rsidR="00B635B5" w:rsidRPr="007A59ED" w:rsidRDefault="00B635B5" w:rsidP="00B635B5">
            <w:pPr>
              <w:jc w:val="right"/>
              <w:rPr>
                <w:rFonts w:eastAsia="Times New Roman"/>
                <w:color w:val="000000" w:themeColor="text1"/>
                <w:sz w:val="20"/>
                <w:szCs w:val="20"/>
              </w:rPr>
            </w:pPr>
          </w:p>
        </w:tc>
        <w:tc>
          <w:tcPr>
            <w:tcW w:w="10489" w:type="dxa"/>
            <w:tcBorders>
              <w:top w:val="nil"/>
              <w:left w:val="nil"/>
              <w:bottom w:val="nil"/>
              <w:right w:val="nil"/>
            </w:tcBorders>
            <w:shd w:val="clear" w:color="auto" w:fill="auto"/>
            <w:vAlign w:val="center"/>
            <w:hideMark/>
          </w:tcPr>
          <w:p w14:paraId="5F4A2EBC" w14:textId="77777777" w:rsidR="00B635B5" w:rsidRPr="007A59ED" w:rsidRDefault="00B635B5" w:rsidP="00B635B5">
            <w:pPr>
              <w:rPr>
                <w:rFonts w:eastAsia="Times New Roman"/>
                <w:color w:val="000000" w:themeColor="text1"/>
                <w:sz w:val="20"/>
                <w:szCs w:val="20"/>
              </w:rPr>
            </w:pPr>
          </w:p>
        </w:tc>
      </w:tr>
      <w:tr w:rsidR="007A59ED" w:rsidRPr="007A59ED" w14:paraId="35118FBB" w14:textId="77777777" w:rsidTr="007A59ED">
        <w:trPr>
          <w:trHeight w:val="300"/>
        </w:trPr>
        <w:tc>
          <w:tcPr>
            <w:tcW w:w="14170" w:type="dxa"/>
            <w:gridSpan w:val="3"/>
            <w:tcBorders>
              <w:top w:val="nil"/>
              <w:left w:val="nil"/>
              <w:bottom w:val="single" w:sz="4" w:space="0" w:color="auto"/>
              <w:right w:val="nil"/>
            </w:tcBorders>
            <w:shd w:val="clear" w:color="auto" w:fill="auto"/>
            <w:vAlign w:val="center"/>
            <w:hideMark/>
          </w:tcPr>
          <w:p w14:paraId="769E618F" w14:textId="77777777" w:rsidR="00B635B5" w:rsidRPr="007A59ED" w:rsidRDefault="00B635B5" w:rsidP="00B635B5">
            <w:pPr>
              <w:rPr>
                <w:rFonts w:eastAsia="Times New Roman"/>
                <w:b/>
                <w:bCs/>
                <w:color w:val="000000" w:themeColor="text1"/>
                <w:sz w:val="22"/>
                <w:szCs w:val="22"/>
              </w:rPr>
            </w:pPr>
            <w:r w:rsidRPr="007A59ED">
              <w:rPr>
                <w:rFonts w:eastAsia="Times New Roman"/>
                <w:b/>
                <w:bCs/>
                <w:color w:val="000000" w:themeColor="text1"/>
                <w:sz w:val="22"/>
                <w:szCs w:val="22"/>
              </w:rPr>
              <w:lastRenderedPageBreak/>
              <w:t>PART 2. ACTION REQUIRED</w:t>
            </w:r>
          </w:p>
        </w:tc>
      </w:tr>
      <w:tr w:rsidR="007A59ED" w:rsidRPr="007A59ED" w14:paraId="395621B0"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3B83F" w14:textId="77777777"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 xml:space="preserve">Code </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8803562" w14:textId="77777777"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Action required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98CCB0A" w14:textId="77777777" w:rsidR="00B635B5" w:rsidRPr="007A59ED" w:rsidRDefault="00B635B5" w:rsidP="00B635B5">
            <w:pPr>
              <w:jc w:val="center"/>
              <w:rPr>
                <w:rFonts w:eastAsia="Times New Roman"/>
                <w:b/>
                <w:bCs/>
                <w:color w:val="000000" w:themeColor="text1"/>
                <w:sz w:val="22"/>
                <w:szCs w:val="22"/>
              </w:rPr>
            </w:pPr>
            <w:r w:rsidRPr="007A59ED">
              <w:rPr>
                <w:rFonts w:eastAsia="Times New Roman"/>
                <w:b/>
                <w:bCs/>
                <w:color w:val="000000" w:themeColor="text1"/>
                <w:sz w:val="22"/>
                <w:szCs w:val="22"/>
              </w:rPr>
              <w:t>Descriptions</w:t>
            </w:r>
          </w:p>
        </w:tc>
      </w:tr>
      <w:tr w:rsidR="007A59ED" w:rsidRPr="007A59ED" w14:paraId="665E72DE"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73BB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59AF96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No specific action required</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55FC6E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The SEC did not request any action from the issuers regarding revising responding or amending in the S-1 filing, or the SEC just instructed the IPO firm how to respond their comments, or how to prepare the S-1 filings. </w:t>
            </w:r>
          </w:p>
        </w:tc>
      </w:tr>
      <w:tr w:rsidR="007A59ED" w:rsidRPr="007A59ED" w14:paraId="7F89A9BA"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99E8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2</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EF30F0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Responding only</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D959BD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to confirm, explain, </w:t>
            </w:r>
            <w:proofErr w:type="gramStart"/>
            <w:r w:rsidRPr="007A59ED">
              <w:rPr>
                <w:rFonts w:eastAsia="Times New Roman"/>
                <w:color w:val="000000" w:themeColor="text1"/>
                <w:sz w:val="22"/>
                <w:szCs w:val="22"/>
              </w:rPr>
              <w:t>highlight</w:t>
            </w:r>
            <w:proofErr w:type="gramEnd"/>
            <w:r w:rsidRPr="007A59ED">
              <w:rPr>
                <w:rFonts w:eastAsia="Times New Roman"/>
                <w:color w:val="000000" w:themeColor="text1"/>
                <w:sz w:val="22"/>
                <w:szCs w:val="22"/>
              </w:rPr>
              <w:t xml:space="preserve"> and discuss in more detail with the SEC about unclear information in the S-1 filing or provide the SEC with additional information. No request for amending information on the S-1 filing. This action required is applied for the SEC comment </w:t>
            </w:r>
            <w:proofErr w:type="gramStart"/>
            <w:r w:rsidRPr="007A59ED">
              <w:rPr>
                <w:rFonts w:eastAsia="Times New Roman"/>
                <w:color w:val="000000" w:themeColor="text1"/>
                <w:sz w:val="22"/>
                <w:szCs w:val="22"/>
              </w:rPr>
              <w:t>containing  "</w:t>
            </w:r>
            <w:proofErr w:type="gramEnd"/>
            <w:r w:rsidRPr="007A59ED">
              <w:rPr>
                <w:rFonts w:eastAsia="Times New Roman"/>
                <w:color w:val="000000" w:themeColor="text1"/>
                <w:sz w:val="22"/>
                <w:szCs w:val="22"/>
              </w:rPr>
              <w:t>tell us..." or "please confirm our understanding..."</w:t>
            </w:r>
          </w:p>
        </w:tc>
      </w:tr>
      <w:tr w:rsidR="007A59ED" w:rsidRPr="007A59ED" w14:paraId="5E653533"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413E1A"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4F85D4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Avoiding hype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71EA9C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to remove </w:t>
            </w:r>
            <w:proofErr w:type="gramStart"/>
            <w:r w:rsidRPr="007A59ED">
              <w:rPr>
                <w:rFonts w:eastAsia="Times New Roman"/>
                <w:color w:val="000000" w:themeColor="text1"/>
                <w:sz w:val="22"/>
                <w:szCs w:val="22"/>
              </w:rPr>
              <w:t>overly-positive</w:t>
            </w:r>
            <w:proofErr w:type="gramEnd"/>
            <w:r w:rsidRPr="007A59ED">
              <w:rPr>
                <w:rFonts w:eastAsia="Times New Roman"/>
                <w:color w:val="000000" w:themeColor="text1"/>
                <w:sz w:val="22"/>
                <w:szCs w:val="22"/>
              </w:rPr>
              <w:t xml:space="preserve"> information or use balancing language in S-1 filings</w:t>
            </w:r>
          </w:p>
        </w:tc>
      </w:tr>
      <w:tr w:rsidR="007A59ED" w:rsidRPr="007A59ED" w14:paraId="453D2DAC"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6DEE9"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4</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6192745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Revising uncertain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A8757B9"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w:t>
            </w:r>
            <w:proofErr w:type="gramStart"/>
            <w:r w:rsidRPr="007A59ED">
              <w:rPr>
                <w:rFonts w:eastAsia="Times New Roman"/>
                <w:color w:val="000000" w:themeColor="text1"/>
                <w:sz w:val="22"/>
                <w:szCs w:val="22"/>
              </w:rPr>
              <w:t>to  avoid</w:t>
            </w:r>
            <w:proofErr w:type="gramEnd"/>
            <w:r w:rsidRPr="007A59ED">
              <w:rPr>
                <w:rFonts w:eastAsia="Times New Roman"/>
                <w:color w:val="000000" w:themeColor="text1"/>
                <w:sz w:val="22"/>
                <w:szCs w:val="22"/>
              </w:rPr>
              <w:t xml:space="preserve"> using uncertain tone in S-1 filing</w:t>
            </w:r>
          </w:p>
        </w:tc>
      </w:tr>
      <w:tr w:rsidR="007A59ED" w:rsidRPr="007A59ED" w14:paraId="0B2985A7" w14:textId="77777777" w:rsidTr="007A59ED">
        <w:trPr>
          <w:trHeight w:val="33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DF4AD"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4D707ED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Using plain language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6FBEF0D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define, simplify or remove the technique/abstract/defined information, or reduce the lengthy information, or generalize too detailed information in S-1 filings</w:t>
            </w:r>
          </w:p>
        </w:tc>
      </w:tr>
      <w:tr w:rsidR="007A59ED" w:rsidRPr="007A59ED" w14:paraId="1B52FD64"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F917B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6</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3910466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Providing updated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0691B8E"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update current information in the S-1 filing</w:t>
            </w:r>
          </w:p>
        </w:tc>
      </w:tr>
      <w:tr w:rsidR="007A59ED" w:rsidRPr="007A59ED" w14:paraId="4497FD86"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FA0E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7</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0D5C5A8B"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Providing specific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B0A48CF"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provide information which is more specific to firm</w:t>
            </w:r>
          </w:p>
        </w:tc>
      </w:tr>
      <w:tr w:rsidR="007A59ED" w:rsidRPr="007A59ED" w14:paraId="57BC3C00"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E5CCB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8</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BEBED9D"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Providing additional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507650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add new information or documents to S-1 filings which was not previously mentioned in the S-1 filing</w:t>
            </w:r>
          </w:p>
        </w:tc>
      </w:tr>
      <w:tr w:rsidR="007A59ED" w:rsidRPr="007A59ED" w14:paraId="6A016134"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6A024"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9</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54A849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Providing more detailed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6CE0E24"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to provide explanation, evidential information, or specific information to S-1 filings, as well as expand the current information, specify obfuscating information, quantify the qualitative </w:t>
            </w:r>
            <w:proofErr w:type="gramStart"/>
            <w:r w:rsidRPr="007A59ED">
              <w:rPr>
                <w:rFonts w:eastAsia="Times New Roman"/>
                <w:color w:val="000000" w:themeColor="text1"/>
                <w:sz w:val="22"/>
                <w:szCs w:val="22"/>
              </w:rPr>
              <w:t>information</w:t>
            </w:r>
            <w:proofErr w:type="gramEnd"/>
            <w:r w:rsidRPr="007A59ED">
              <w:rPr>
                <w:rFonts w:eastAsia="Times New Roman"/>
                <w:color w:val="000000" w:themeColor="text1"/>
                <w:sz w:val="22"/>
                <w:szCs w:val="22"/>
              </w:rPr>
              <w:t xml:space="preserve"> and highlight unnoticeable information in the S-1 filing.</w:t>
            </w:r>
          </w:p>
        </w:tc>
      </w:tr>
      <w:tr w:rsidR="007A59ED" w:rsidRPr="007A59ED" w14:paraId="0E7F2812" w14:textId="77777777" w:rsidTr="007A59ED">
        <w:trPr>
          <w:trHeight w:val="6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AF7D5"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10</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24028E75"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Reconciling inconsistent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111FDD7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reconcile/clarify the conflicting information in the S-1 filing</w:t>
            </w:r>
          </w:p>
        </w:tc>
      </w:tr>
      <w:tr w:rsidR="007A59ED" w:rsidRPr="007A59ED" w14:paraId="4EBDAB10" w14:textId="77777777" w:rsidTr="007A59ED">
        <w:trPr>
          <w:trHeight w:val="9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10338"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11</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6555C86"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Revising inaccurate/inappropriate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23CB7113"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revise, move or eliminate the inappropriate/inaccurate information in the S-1 filing</w:t>
            </w:r>
          </w:p>
        </w:tc>
      </w:tr>
      <w:tr w:rsidR="007A59ED" w:rsidRPr="007A59ED" w14:paraId="42BB18F9"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85163"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12</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14:paraId="2037353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Highlighting unnoticeable information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0101F25A"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 xml:space="preserve">Requests to state prominently unnoticeable information </w:t>
            </w:r>
          </w:p>
        </w:tc>
      </w:tr>
      <w:tr w:rsidR="007A59ED" w:rsidRPr="007A59ED" w14:paraId="5C2433FC"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9DDBB"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13</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5B7C02A2"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Avoiding selective disclosure</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F7DE76E"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balance the disclosure of inverse information in S-1 filings</w:t>
            </w:r>
          </w:p>
        </w:tc>
      </w:tr>
      <w:tr w:rsidR="007A59ED" w:rsidRPr="007A59ED" w14:paraId="3AB594B4"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EB4042"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14</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14:paraId="230D0B88"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Avoiding repetition</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46801515" w14:textId="5D2F6826" w:rsidR="00B635B5" w:rsidRPr="007A59ED" w:rsidRDefault="007A59ED" w:rsidP="00B635B5">
            <w:pPr>
              <w:rPr>
                <w:rFonts w:eastAsia="Times New Roman"/>
                <w:color w:val="000000" w:themeColor="text1"/>
                <w:sz w:val="22"/>
                <w:szCs w:val="22"/>
              </w:rPr>
            </w:pPr>
            <w:r w:rsidRPr="007A59ED">
              <w:rPr>
                <w:rFonts w:eastAsia="Times New Roman"/>
                <w:color w:val="000000" w:themeColor="text1"/>
                <w:sz w:val="22"/>
                <w:szCs w:val="22"/>
              </w:rPr>
              <w:t xml:space="preserve">Requests </w:t>
            </w:r>
            <w:proofErr w:type="gramStart"/>
            <w:r w:rsidRPr="007A59ED">
              <w:rPr>
                <w:rFonts w:eastAsia="Times New Roman"/>
                <w:color w:val="000000" w:themeColor="text1"/>
                <w:sz w:val="22"/>
                <w:szCs w:val="22"/>
              </w:rPr>
              <w:t>to  avoid</w:t>
            </w:r>
            <w:proofErr w:type="gramEnd"/>
            <w:r w:rsidRPr="007A59ED">
              <w:rPr>
                <w:rFonts w:eastAsia="Times New Roman"/>
                <w:color w:val="000000" w:themeColor="text1"/>
                <w:sz w:val="22"/>
                <w:szCs w:val="22"/>
              </w:rPr>
              <w:t xml:space="preserve"> repe</w:t>
            </w:r>
            <w:r w:rsidR="00B635B5" w:rsidRPr="007A59ED">
              <w:rPr>
                <w:rFonts w:eastAsia="Times New Roman"/>
                <w:color w:val="000000" w:themeColor="text1"/>
                <w:sz w:val="22"/>
                <w:szCs w:val="22"/>
              </w:rPr>
              <w:t>tition in S-1 filing</w:t>
            </w:r>
          </w:p>
        </w:tc>
      </w:tr>
      <w:tr w:rsidR="007A59ED" w:rsidRPr="007A59ED" w14:paraId="1C8883D0" w14:textId="77777777" w:rsidTr="007A59ED">
        <w:trPr>
          <w:trHeight w:val="300"/>
        </w:trPr>
        <w:tc>
          <w:tcPr>
            <w:tcW w:w="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6A191" w14:textId="77777777" w:rsidR="00B635B5" w:rsidRPr="007A59ED" w:rsidRDefault="00B635B5" w:rsidP="00B635B5">
            <w:pPr>
              <w:jc w:val="center"/>
              <w:rPr>
                <w:rFonts w:eastAsia="Times New Roman"/>
                <w:color w:val="000000" w:themeColor="text1"/>
                <w:sz w:val="22"/>
                <w:szCs w:val="22"/>
              </w:rPr>
            </w:pPr>
            <w:r w:rsidRPr="007A59ED">
              <w:rPr>
                <w:rFonts w:eastAsia="Times New Roman"/>
                <w:color w:val="000000" w:themeColor="text1"/>
                <w:sz w:val="22"/>
                <w:szCs w:val="22"/>
              </w:rPr>
              <w:t>15</w:t>
            </w:r>
          </w:p>
        </w:tc>
        <w:tc>
          <w:tcPr>
            <w:tcW w:w="3001" w:type="dxa"/>
            <w:tcBorders>
              <w:top w:val="single" w:sz="4" w:space="0" w:color="auto"/>
              <w:left w:val="nil"/>
              <w:bottom w:val="single" w:sz="4" w:space="0" w:color="auto"/>
              <w:right w:val="single" w:sz="4" w:space="0" w:color="auto"/>
            </w:tcBorders>
            <w:shd w:val="clear" w:color="auto" w:fill="auto"/>
            <w:vAlign w:val="center"/>
            <w:hideMark/>
          </w:tcPr>
          <w:p w14:paraId="76413241"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Using appropriate format</w:t>
            </w:r>
          </w:p>
        </w:tc>
        <w:tc>
          <w:tcPr>
            <w:tcW w:w="10489" w:type="dxa"/>
            <w:tcBorders>
              <w:top w:val="single" w:sz="4" w:space="0" w:color="auto"/>
              <w:left w:val="nil"/>
              <w:bottom w:val="single" w:sz="4" w:space="0" w:color="auto"/>
              <w:right w:val="single" w:sz="4" w:space="0" w:color="auto"/>
            </w:tcBorders>
            <w:shd w:val="clear" w:color="auto" w:fill="auto"/>
            <w:vAlign w:val="center"/>
            <w:hideMark/>
          </w:tcPr>
          <w:p w14:paraId="3E31EE1C" w14:textId="77777777" w:rsidR="00B635B5" w:rsidRPr="007A59ED" w:rsidRDefault="00B635B5" w:rsidP="00B635B5">
            <w:pPr>
              <w:rPr>
                <w:rFonts w:eastAsia="Times New Roman"/>
                <w:color w:val="000000" w:themeColor="text1"/>
                <w:sz w:val="22"/>
                <w:szCs w:val="22"/>
              </w:rPr>
            </w:pPr>
            <w:r w:rsidRPr="007A59ED">
              <w:rPr>
                <w:rFonts w:eastAsia="Times New Roman"/>
                <w:color w:val="000000" w:themeColor="text1"/>
                <w:sz w:val="22"/>
                <w:szCs w:val="22"/>
              </w:rPr>
              <w:t>Requests to change or correct inappropriate format in S-1 filing</w:t>
            </w:r>
          </w:p>
        </w:tc>
      </w:tr>
    </w:tbl>
    <w:p w14:paraId="7561E957" w14:textId="77777777" w:rsidR="002869D0" w:rsidRDefault="00B635B5" w:rsidP="00E45397">
      <w:pPr>
        <w:spacing w:line="360" w:lineRule="auto"/>
        <w:jc w:val="both"/>
        <w:sectPr w:rsidR="002869D0" w:rsidSect="00B635B5">
          <w:pgSz w:w="16838" w:h="11906" w:orient="landscape"/>
          <w:pgMar w:top="1276" w:right="1440" w:bottom="1440" w:left="1440" w:header="708" w:footer="708" w:gutter="0"/>
          <w:cols w:space="708"/>
          <w:docGrid w:linePitch="360"/>
        </w:sectPr>
      </w:pPr>
      <w:r>
        <w:fldChar w:fldCharType="end"/>
      </w:r>
    </w:p>
    <w:p w14:paraId="6855E5FA" w14:textId="090DE6F5" w:rsidR="00E45397" w:rsidRDefault="00E45397" w:rsidP="00E45397">
      <w:pPr>
        <w:spacing w:line="360" w:lineRule="auto"/>
        <w:jc w:val="both"/>
      </w:pPr>
    </w:p>
    <w:p w14:paraId="1DBFE386" w14:textId="28FAC888" w:rsidR="00652EE1" w:rsidRPr="004E12A2" w:rsidRDefault="00E45397" w:rsidP="00C20F6A">
      <w:pPr>
        <w:spacing w:line="360" w:lineRule="auto"/>
        <w:jc w:val="both"/>
      </w:pPr>
      <w:r>
        <w:t xml:space="preserve">After constructing the coding scheme of the initial SEC comment letters, I do the coding for each letter. </w:t>
      </w:r>
      <w:r w:rsidR="00D43CEB">
        <w:t xml:space="preserve">I coded </w:t>
      </w:r>
      <w:r w:rsidR="00D608D6">
        <w:t>259</w:t>
      </w:r>
      <w:r w:rsidR="00D43CEB">
        <w:t xml:space="preserve"> initial comment letters which contain 4873 comments in total. </w:t>
      </w:r>
      <w:r>
        <w:t xml:space="preserve">Following that, I transform these </w:t>
      </w:r>
      <w:r w:rsidR="002869D0">
        <w:t>coding</w:t>
      </w:r>
      <w:r>
        <w:t xml:space="preserve"> into suitable variables </w:t>
      </w:r>
      <w:r w:rsidR="009B65B1">
        <w:t>including</w:t>
      </w:r>
      <w:r>
        <w:t xml:space="preserve"> the types of issues </w:t>
      </w:r>
      <w:r w:rsidR="00D43CEB">
        <w:t xml:space="preserve">and the number of comments in each issue </w:t>
      </w:r>
      <w:r>
        <w:t xml:space="preserve">mentioned in the initial SEC comment letters.  </w:t>
      </w:r>
      <w:r w:rsidR="00D43CEB">
        <w:t xml:space="preserve">The following table provide </w:t>
      </w:r>
      <w:r w:rsidR="009B65B1">
        <w:t xml:space="preserve">the summary of the coding results. </w:t>
      </w:r>
    </w:p>
    <w:p w14:paraId="3FA3E2B3" w14:textId="4BFC5829" w:rsidR="009B65B1" w:rsidRDefault="009B65B1" w:rsidP="00D43CEB">
      <w:pPr>
        <w:spacing w:line="360" w:lineRule="auto"/>
        <w:jc w:val="both"/>
        <w:rPr>
          <w:rFonts w:asciiTheme="minorHAnsi" w:hAnsiTheme="minorHAnsi" w:cstheme="minorBidi"/>
          <w:sz w:val="22"/>
          <w:szCs w:val="22"/>
          <w:lang w:eastAsia="en-US"/>
        </w:rPr>
      </w:pPr>
      <w:r>
        <w:fldChar w:fldCharType="begin"/>
      </w:r>
      <w:r>
        <w:instrText xml:space="preserve"> LINK Excel.Sheet.12 "E:\\PhD journey\\Coding\\Coding scheme + coding of 404 comment letters.xlsx" "Sheet2!R1C1:R131C4" \a \f 4 \h </w:instrText>
      </w:r>
      <w:r w:rsidR="007F6190">
        <w:instrText xml:space="preserve"> \* MERGEFORMAT </w:instrText>
      </w:r>
      <w:r>
        <w:fldChar w:fldCharType="separate"/>
      </w:r>
    </w:p>
    <w:tbl>
      <w:tblPr>
        <w:tblW w:w="9760" w:type="dxa"/>
        <w:tblLook w:val="04A0" w:firstRow="1" w:lastRow="0" w:firstColumn="1" w:lastColumn="0" w:noHBand="0" w:noVBand="1"/>
      </w:tblPr>
      <w:tblGrid>
        <w:gridCol w:w="959"/>
        <w:gridCol w:w="6214"/>
        <w:gridCol w:w="1319"/>
        <w:gridCol w:w="1268"/>
      </w:tblGrid>
      <w:tr w:rsidR="002869D0" w:rsidRPr="009B65B1" w14:paraId="45B35B78" w14:textId="77777777" w:rsidTr="002869D0">
        <w:trPr>
          <w:trHeight w:val="300"/>
        </w:trPr>
        <w:tc>
          <w:tcPr>
            <w:tcW w:w="9760" w:type="dxa"/>
            <w:gridSpan w:val="4"/>
            <w:tcBorders>
              <w:bottom w:val="single" w:sz="4" w:space="0" w:color="auto"/>
              <w:right w:val="nil"/>
            </w:tcBorders>
            <w:shd w:val="clear" w:color="auto" w:fill="auto"/>
            <w:vAlign w:val="center"/>
            <w:hideMark/>
          </w:tcPr>
          <w:p w14:paraId="2AE24665" w14:textId="3DCC7E7F" w:rsidR="002869D0" w:rsidRPr="009B65B1" w:rsidRDefault="002869D0" w:rsidP="002869D0">
            <w:pPr>
              <w:rPr>
                <w:rFonts w:eastAsia="Times New Roman"/>
                <w:b/>
                <w:bCs/>
                <w:sz w:val="22"/>
                <w:szCs w:val="22"/>
              </w:rPr>
            </w:pPr>
            <w:r w:rsidRPr="009B65B1">
              <w:rPr>
                <w:rFonts w:eastAsia="Times New Roman"/>
                <w:b/>
                <w:bCs/>
                <w:sz w:val="22"/>
                <w:szCs w:val="22"/>
              </w:rPr>
              <w:t>PART 1: THEMES</w:t>
            </w:r>
          </w:p>
        </w:tc>
      </w:tr>
      <w:tr w:rsidR="009B65B1" w:rsidRPr="009B65B1" w14:paraId="3ED6ECDE" w14:textId="77777777" w:rsidTr="002869D0">
        <w:trPr>
          <w:trHeight w:val="57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8EF13"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 xml:space="preserve">Code </w:t>
            </w:r>
          </w:p>
        </w:tc>
        <w:tc>
          <w:tcPr>
            <w:tcW w:w="6214" w:type="dxa"/>
            <w:tcBorders>
              <w:top w:val="single" w:sz="4" w:space="0" w:color="auto"/>
              <w:left w:val="nil"/>
              <w:bottom w:val="single" w:sz="4" w:space="0" w:color="auto"/>
              <w:right w:val="single" w:sz="4" w:space="0" w:color="auto"/>
            </w:tcBorders>
            <w:shd w:val="clear" w:color="auto" w:fill="auto"/>
            <w:vAlign w:val="center"/>
            <w:hideMark/>
          </w:tcPr>
          <w:p w14:paraId="138875A3"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Themes</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7515977F"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Number of comments</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5861E68F"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w:t>
            </w:r>
          </w:p>
        </w:tc>
      </w:tr>
      <w:tr w:rsidR="009B65B1" w:rsidRPr="009B65B1" w14:paraId="0394B833" w14:textId="77777777" w:rsidTr="009B65B1">
        <w:trPr>
          <w:trHeight w:val="37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649D039"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68C5F0CC" w14:textId="77777777" w:rsidR="009B65B1" w:rsidRPr="009B65B1" w:rsidRDefault="009B65B1" w:rsidP="009B65B1">
            <w:pPr>
              <w:rPr>
                <w:rFonts w:eastAsia="Times New Roman"/>
                <w:b/>
                <w:bCs/>
                <w:sz w:val="22"/>
                <w:szCs w:val="22"/>
              </w:rPr>
            </w:pPr>
            <w:r w:rsidRPr="009B65B1">
              <w:rPr>
                <w:rFonts w:eastAsia="Times New Roman"/>
                <w:b/>
                <w:bCs/>
                <w:sz w:val="22"/>
                <w:szCs w:val="22"/>
              </w:rPr>
              <w:t>I. EARNINGS MANAGEMENT ISSUES</w:t>
            </w:r>
          </w:p>
        </w:tc>
        <w:tc>
          <w:tcPr>
            <w:tcW w:w="1319" w:type="dxa"/>
            <w:tcBorders>
              <w:top w:val="nil"/>
              <w:left w:val="nil"/>
              <w:bottom w:val="single" w:sz="4" w:space="0" w:color="auto"/>
              <w:right w:val="single" w:sz="4" w:space="0" w:color="auto"/>
            </w:tcBorders>
            <w:shd w:val="clear" w:color="auto" w:fill="auto"/>
            <w:vAlign w:val="center"/>
            <w:hideMark/>
          </w:tcPr>
          <w:p w14:paraId="0CB3B700"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847</w:t>
            </w:r>
          </w:p>
        </w:tc>
        <w:tc>
          <w:tcPr>
            <w:tcW w:w="1268" w:type="dxa"/>
            <w:tcBorders>
              <w:top w:val="nil"/>
              <w:left w:val="nil"/>
              <w:bottom w:val="single" w:sz="4" w:space="0" w:color="auto"/>
              <w:right w:val="single" w:sz="4" w:space="0" w:color="auto"/>
            </w:tcBorders>
            <w:shd w:val="clear" w:color="auto" w:fill="auto"/>
            <w:vAlign w:val="center"/>
            <w:hideMark/>
          </w:tcPr>
          <w:p w14:paraId="65803C43"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16.76</w:t>
            </w:r>
          </w:p>
        </w:tc>
      </w:tr>
      <w:tr w:rsidR="009B65B1" w:rsidRPr="009B65B1" w14:paraId="0F66CE95" w14:textId="77777777" w:rsidTr="009B65B1">
        <w:trPr>
          <w:trHeight w:val="345"/>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B6B388B" w14:textId="77777777" w:rsidR="009B65B1" w:rsidRPr="009B65B1" w:rsidRDefault="009B65B1" w:rsidP="009B65B1">
            <w:pP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5B65194A" w14:textId="77777777" w:rsidR="009B65B1" w:rsidRPr="009B65B1" w:rsidRDefault="009B65B1" w:rsidP="009B65B1">
            <w:pPr>
              <w:rPr>
                <w:rFonts w:eastAsia="Times New Roman"/>
                <w:b/>
                <w:bCs/>
                <w:sz w:val="22"/>
                <w:szCs w:val="22"/>
              </w:rPr>
            </w:pPr>
            <w:r w:rsidRPr="009B65B1">
              <w:rPr>
                <w:rFonts w:eastAsia="Times New Roman"/>
                <w:b/>
                <w:bCs/>
                <w:sz w:val="22"/>
                <w:szCs w:val="22"/>
              </w:rPr>
              <w:t>Panel A: Issues on accounting method choice and application</w:t>
            </w:r>
          </w:p>
        </w:tc>
        <w:tc>
          <w:tcPr>
            <w:tcW w:w="1319" w:type="dxa"/>
            <w:tcBorders>
              <w:top w:val="nil"/>
              <w:left w:val="nil"/>
              <w:bottom w:val="single" w:sz="4" w:space="0" w:color="auto"/>
              <w:right w:val="single" w:sz="4" w:space="0" w:color="auto"/>
            </w:tcBorders>
            <w:shd w:val="clear" w:color="auto" w:fill="auto"/>
            <w:vAlign w:val="center"/>
            <w:hideMark/>
          </w:tcPr>
          <w:p w14:paraId="50882232"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 </w:t>
            </w:r>
          </w:p>
        </w:tc>
        <w:tc>
          <w:tcPr>
            <w:tcW w:w="1268" w:type="dxa"/>
            <w:tcBorders>
              <w:top w:val="nil"/>
              <w:left w:val="nil"/>
              <w:bottom w:val="single" w:sz="4" w:space="0" w:color="auto"/>
              <w:right w:val="single" w:sz="4" w:space="0" w:color="auto"/>
            </w:tcBorders>
            <w:shd w:val="clear" w:color="auto" w:fill="auto"/>
            <w:noWrap/>
            <w:vAlign w:val="center"/>
            <w:hideMark/>
          </w:tcPr>
          <w:p w14:paraId="1194AABD"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r>
      <w:tr w:rsidR="009B65B1" w:rsidRPr="009B65B1" w14:paraId="45E7D540"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60FED43"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5C0E19F3" w14:textId="77777777" w:rsidR="009B65B1" w:rsidRPr="009B65B1" w:rsidRDefault="009B65B1" w:rsidP="009B65B1">
            <w:pPr>
              <w:rPr>
                <w:rFonts w:eastAsia="Times New Roman"/>
                <w:b/>
                <w:bCs/>
                <w:sz w:val="22"/>
                <w:szCs w:val="22"/>
              </w:rPr>
            </w:pPr>
            <w:r w:rsidRPr="009B65B1">
              <w:rPr>
                <w:rFonts w:eastAsia="Times New Roman"/>
                <w:b/>
                <w:bCs/>
                <w:sz w:val="22"/>
                <w:szCs w:val="22"/>
              </w:rPr>
              <w:t>Balance sheet</w:t>
            </w:r>
          </w:p>
        </w:tc>
        <w:tc>
          <w:tcPr>
            <w:tcW w:w="1319" w:type="dxa"/>
            <w:tcBorders>
              <w:top w:val="nil"/>
              <w:left w:val="nil"/>
              <w:bottom w:val="single" w:sz="4" w:space="0" w:color="auto"/>
              <w:right w:val="single" w:sz="4" w:space="0" w:color="auto"/>
            </w:tcBorders>
            <w:shd w:val="clear" w:color="auto" w:fill="auto"/>
            <w:vAlign w:val="center"/>
            <w:hideMark/>
          </w:tcPr>
          <w:p w14:paraId="24066DCC"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1268" w:type="dxa"/>
            <w:tcBorders>
              <w:top w:val="nil"/>
              <w:left w:val="nil"/>
              <w:bottom w:val="single" w:sz="4" w:space="0" w:color="auto"/>
              <w:right w:val="single" w:sz="4" w:space="0" w:color="auto"/>
            </w:tcBorders>
            <w:shd w:val="clear" w:color="auto" w:fill="auto"/>
            <w:noWrap/>
            <w:vAlign w:val="center"/>
            <w:hideMark/>
          </w:tcPr>
          <w:p w14:paraId="25AF01E1"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r>
      <w:tr w:rsidR="009B65B1" w:rsidRPr="009B65B1" w14:paraId="0DDC2DA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9ECE126" w14:textId="77777777" w:rsidR="009B65B1" w:rsidRPr="009B65B1" w:rsidRDefault="009B65B1" w:rsidP="009B65B1">
            <w:pPr>
              <w:jc w:val="center"/>
              <w:rPr>
                <w:rFonts w:eastAsia="Times New Roman"/>
                <w:sz w:val="22"/>
                <w:szCs w:val="22"/>
              </w:rPr>
            </w:pPr>
            <w:r w:rsidRPr="009B65B1">
              <w:rPr>
                <w:rFonts w:eastAsia="Times New Roman"/>
                <w:sz w:val="22"/>
                <w:szCs w:val="22"/>
              </w:rPr>
              <w:t>A1</w:t>
            </w:r>
          </w:p>
        </w:tc>
        <w:tc>
          <w:tcPr>
            <w:tcW w:w="6214" w:type="dxa"/>
            <w:tcBorders>
              <w:top w:val="nil"/>
              <w:left w:val="nil"/>
              <w:bottom w:val="single" w:sz="4" w:space="0" w:color="auto"/>
              <w:right w:val="single" w:sz="4" w:space="0" w:color="auto"/>
            </w:tcBorders>
            <w:shd w:val="clear" w:color="auto" w:fill="auto"/>
            <w:vAlign w:val="center"/>
            <w:hideMark/>
          </w:tcPr>
          <w:p w14:paraId="3F865408" w14:textId="77777777" w:rsidR="009B65B1" w:rsidRPr="009B65B1" w:rsidRDefault="009B65B1" w:rsidP="009B65B1">
            <w:pPr>
              <w:rPr>
                <w:rFonts w:eastAsia="Times New Roman"/>
                <w:sz w:val="22"/>
                <w:szCs w:val="22"/>
              </w:rPr>
            </w:pPr>
            <w:r w:rsidRPr="009B65B1">
              <w:rPr>
                <w:rFonts w:eastAsia="Times New Roman"/>
                <w:sz w:val="22"/>
                <w:szCs w:val="22"/>
              </w:rPr>
              <w:t>Current assets</w:t>
            </w:r>
          </w:p>
        </w:tc>
        <w:tc>
          <w:tcPr>
            <w:tcW w:w="1319" w:type="dxa"/>
            <w:tcBorders>
              <w:top w:val="nil"/>
              <w:left w:val="nil"/>
              <w:bottom w:val="single" w:sz="4" w:space="0" w:color="auto"/>
              <w:right w:val="single" w:sz="4" w:space="0" w:color="auto"/>
            </w:tcBorders>
            <w:shd w:val="clear" w:color="auto" w:fill="auto"/>
            <w:vAlign w:val="center"/>
            <w:hideMark/>
          </w:tcPr>
          <w:p w14:paraId="1F529FF5" w14:textId="77777777" w:rsidR="009B65B1" w:rsidRPr="009B65B1" w:rsidRDefault="009B65B1" w:rsidP="009B65B1">
            <w:pPr>
              <w:jc w:val="center"/>
              <w:rPr>
                <w:rFonts w:eastAsia="Times New Roman"/>
                <w:sz w:val="22"/>
                <w:szCs w:val="22"/>
              </w:rPr>
            </w:pPr>
            <w:r w:rsidRPr="009B65B1">
              <w:rPr>
                <w:rFonts w:eastAsia="Times New Roman"/>
                <w:sz w:val="22"/>
                <w:szCs w:val="22"/>
              </w:rPr>
              <w:t>32</w:t>
            </w:r>
          </w:p>
        </w:tc>
        <w:tc>
          <w:tcPr>
            <w:tcW w:w="1268" w:type="dxa"/>
            <w:tcBorders>
              <w:top w:val="nil"/>
              <w:left w:val="nil"/>
              <w:bottom w:val="single" w:sz="4" w:space="0" w:color="auto"/>
              <w:right w:val="single" w:sz="4" w:space="0" w:color="auto"/>
            </w:tcBorders>
            <w:shd w:val="clear" w:color="auto" w:fill="auto"/>
            <w:noWrap/>
            <w:vAlign w:val="center"/>
            <w:hideMark/>
          </w:tcPr>
          <w:p w14:paraId="3FCF46CE" w14:textId="77777777" w:rsidR="009B65B1" w:rsidRPr="009B65B1" w:rsidRDefault="009B65B1" w:rsidP="009B65B1">
            <w:pPr>
              <w:jc w:val="center"/>
              <w:rPr>
                <w:rFonts w:eastAsia="Times New Roman"/>
                <w:sz w:val="22"/>
                <w:szCs w:val="22"/>
              </w:rPr>
            </w:pPr>
            <w:r w:rsidRPr="009B65B1">
              <w:rPr>
                <w:rFonts w:eastAsia="Times New Roman"/>
                <w:sz w:val="22"/>
                <w:szCs w:val="22"/>
              </w:rPr>
              <w:t>0.63</w:t>
            </w:r>
          </w:p>
        </w:tc>
      </w:tr>
      <w:tr w:rsidR="009B65B1" w:rsidRPr="009B65B1" w14:paraId="624F1D7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2CFE07E" w14:textId="77777777" w:rsidR="009B65B1" w:rsidRPr="009B65B1" w:rsidRDefault="009B65B1" w:rsidP="009B65B1">
            <w:pPr>
              <w:jc w:val="center"/>
              <w:rPr>
                <w:rFonts w:eastAsia="Times New Roman"/>
                <w:sz w:val="22"/>
                <w:szCs w:val="22"/>
              </w:rPr>
            </w:pPr>
            <w:r w:rsidRPr="009B65B1">
              <w:rPr>
                <w:rFonts w:eastAsia="Times New Roman"/>
                <w:sz w:val="22"/>
                <w:szCs w:val="22"/>
              </w:rPr>
              <w:t>A2</w:t>
            </w:r>
          </w:p>
        </w:tc>
        <w:tc>
          <w:tcPr>
            <w:tcW w:w="6214" w:type="dxa"/>
            <w:tcBorders>
              <w:top w:val="nil"/>
              <w:left w:val="nil"/>
              <w:bottom w:val="single" w:sz="4" w:space="0" w:color="auto"/>
              <w:right w:val="single" w:sz="4" w:space="0" w:color="auto"/>
            </w:tcBorders>
            <w:shd w:val="clear" w:color="auto" w:fill="auto"/>
            <w:vAlign w:val="center"/>
            <w:hideMark/>
          </w:tcPr>
          <w:p w14:paraId="0BE41B8B" w14:textId="77777777" w:rsidR="009B65B1" w:rsidRPr="009B65B1" w:rsidRDefault="009B65B1" w:rsidP="009B65B1">
            <w:pPr>
              <w:rPr>
                <w:rFonts w:eastAsia="Times New Roman"/>
                <w:sz w:val="22"/>
                <w:szCs w:val="22"/>
              </w:rPr>
            </w:pPr>
            <w:r w:rsidRPr="009B65B1">
              <w:rPr>
                <w:rFonts w:eastAsia="Times New Roman"/>
                <w:sz w:val="22"/>
                <w:szCs w:val="22"/>
              </w:rPr>
              <w:t>Non-current assets</w:t>
            </w:r>
          </w:p>
        </w:tc>
        <w:tc>
          <w:tcPr>
            <w:tcW w:w="1319" w:type="dxa"/>
            <w:tcBorders>
              <w:top w:val="nil"/>
              <w:left w:val="nil"/>
              <w:bottom w:val="single" w:sz="4" w:space="0" w:color="auto"/>
              <w:right w:val="single" w:sz="4" w:space="0" w:color="auto"/>
            </w:tcBorders>
            <w:shd w:val="clear" w:color="auto" w:fill="auto"/>
            <w:vAlign w:val="center"/>
            <w:hideMark/>
          </w:tcPr>
          <w:p w14:paraId="490147D6" w14:textId="77777777" w:rsidR="009B65B1" w:rsidRPr="009B65B1" w:rsidRDefault="009B65B1" w:rsidP="009B65B1">
            <w:pPr>
              <w:jc w:val="center"/>
              <w:rPr>
                <w:rFonts w:eastAsia="Times New Roman"/>
                <w:sz w:val="22"/>
                <w:szCs w:val="22"/>
              </w:rPr>
            </w:pPr>
            <w:r w:rsidRPr="009B65B1">
              <w:rPr>
                <w:rFonts w:eastAsia="Times New Roman"/>
                <w:sz w:val="22"/>
                <w:szCs w:val="22"/>
              </w:rPr>
              <w:t>64</w:t>
            </w:r>
          </w:p>
        </w:tc>
        <w:tc>
          <w:tcPr>
            <w:tcW w:w="1268" w:type="dxa"/>
            <w:tcBorders>
              <w:top w:val="nil"/>
              <w:left w:val="nil"/>
              <w:bottom w:val="single" w:sz="4" w:space="0" w:color="auto"/>
              <w:right w:val="single" w:sz="4" w:space="0" w:color="auto"/>
            </w:tcBorders>
            <w:shd w:val="clear" w:color="auto" w:fill="auto"/>
            <w:noWrap/>
            <w:vAlign w:val="center"/>
            <w:hideMark/>
          </w:tcPr>
          <w:p w14:paraId="512DBA41" w14:textId="77777777" w:rsidR="009B65B1" w:rsidRPr="009B65B1" w:rsidRDefault="009B65B1" w:rsidP="009B65B1">
            <w:pPr>
              <w:jc w:val="center"/>
              <w:rPr>
                <w:rFonts w:eastAsia="Times New Roman"/>
                <w:sz w:val="22"/>
                <w:szCs w:val="22"/>
              </w:rPr>
            </w:pPr>
            <w:r w:rsidRPr="009B65B1">
              <w:rPr>
                <w:rFonts w:eastAsia="Times New Roman"/>
                <w:sz w:val="22"/>
                <w:szCs w:val="22"/>
              </w:rPr>
              <w:t>1.27</w:t>
            </w:r>
          </w:p>
        </w:tc>
      </w:tr>
      <w:tr w:rsidR="009B65B1" w:rsidRPr="009B65B1" w14:paraId="6404B45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02A2D82" w14:textId="77777777" w:rsidR="009B65B1" w:rsidRPr="009B65B1" w:rsidRDefault="009B65B1" w:rsidP="009B65B1">
            <w:pPr>
              <w:jc w:val="center"/>
              <w:rPr>
                <w:rFonts w:eastAsia="Times New Roman"/>
                <w:sz w:val="22"/>
                <w:szCs w:val="22"/>
              </w:rPr>
            </w:pPr>
            <w:r w:rsidRPr="009B65B1">
              <w:rPr>
                <w:rFonts w:eastAsia="Times New Roman"/>
                <w:sz w:val="22"/>
                <w:szCs w:val="22"/>
              </w:rPr>
              <w:t>A3</w:t>
            </w:r>
          </w:p>
        </w:tc>
        <w:tc>
          <w:tcPr>
            <w:tcW w:w="6214" w:type="dxa"/>
            <w:tcBorders>
              <w:top w:val="nil"/>
              <w:left w:val="nil"/>
              <w:bottom w:val="single" w:sz="4" w:space="0" w:color="auto"/>
              <w:right w:val="single" w:sz="4" w:space="0" w:color="auto"/>
            </w:tcBorders>
            <w:shd w:val="clear" w:color="auto" w:fill="auto"/>
            <w:vAlign w:val="center"/>
            <w:hideMark/>
          </w:tcPr>
          <w:p w14:paraId="3D208E72" w14:textId="77777777" w:rsidR="009B65B1" w:rsidRPr="009B65B1" w:rsidRDefault="009B65B1" w:rsidP="009B65B1">
            <w:pPr>
              <w:rPr>
                <w:rFonts w:eastAsia="Times New Roman"/>
                <w:sz w:val="22"/>
                <w:szCs w:val="22"/>
              </w:rPr>
            </w:pPr>
            <w:r w:rsidRPr="009B65B1">
              <w:rPr>
                <w:rFonts w:eastAsia="Times New Roman"/>
                <w:sz w:val="22"/>
                <w:szCs w:val="22"/>
              </w:rPr>
              <w:t>Depreciation and amortization</w:t>
            </w:r>
          </w:p>
        </w:tc>
        <w:tc>
          <w:tcPr>
            <w:tcW w:w="1319" w:type="dxa"/>
            <w:tcBorders>
              <w:top w:val="nil"/>
              <w:left w:val="nil"/>
              <w:bottom w:val="single" w:sz="4" w:space="0" w:color="auto"/>
              <w:right w:val="single" w:sz="4" w:space="0" w:color="auto"/>
            </w:tcBorders>
            <w:shd w:val="clear" w:color="auto" w:fill="auto"/>
            <w:vAlign w:val="center"/>
            <w:hideMark/>
          </w:tcPr>
          <w:p w14:paraId="25058A6D" w14:textId="77777777" w:rsidR="009B65B1" w:rsidRPr="009B65B1" w:rsidRDefault="009B65B1" w:rsidP="009B65B1">
            <w:pPr>
              <w:jc w:val="center"/>
              <w:rPr>
                <w:rFonts w:eastAsia="Times New Roman"/>
                <w:sz w:val="22"/>
                <w:szCs w:val="22"/>
              </w:rPr>
            </w:pPr>
            <w:r w:rsidRPr="009B65B1">
              <w:rPr>
                <w:rFonts w:eastAsia="Times New Roman"/>
                <w:sz w:val="22"/>
                <w:szCs w:val="22"/>
              </w:rPr>
              <w:t>5</w:t>
            </w:r>
          </w:p>
        </w:tc>
        <w:tc>
          <w:tcPr>
            <w:tcW w:w="1268" w:type="dxa"/>
            <w:tcBorders>
              <w:top w:val="nil"/>
              <w:left w:val="nil"/>
              <w:bottom w:val="single" w:sz="4" w:space="0" w:color="auto"/>
              <w:right w:val="single" w:sz="4" w:space="0" w:color="auto"/>
            </w:tcBorders>
            <w:shd w:val="clear" w:color="auto" w:fill="auto"/>
            <w:noWrap/>
            <w:vAlign w:val="center"/>
            <w:hideMark/>
          </w:tcPr>
          <w:p w14:paraId="609C375C" w14:textId="77777777" w:rsidR="009B65B1" w:rsidRPr="009B65B1" w:rsidRDefault="009B65B1" w:rsidP="009B65B1">
            <w:pPr>
              <w:jc w:val="center"/>
              <w:rPr>
                <w:rFonts w:eastAsia="Times New Roman"/>
                <w:sz w:val="22"/>
                <w:szCs w:val="22"/>
              </w:rPr>
            </w:pPr>
            <w:r w:rsidRPr="009B65B1">
              <w:rPr>
                <w:rFonts w:eastAsia="Times New Roman"/>
                <w:sz w:val="22"/>
                <w:szCs w:val="22"/>
              </w:rPr>
              <w:t>0.10</w:t>
            </w:r>
          </w:p>
        </w:tc>
      </w:tr>
      <w:tr w:rsidR="009B65B1" w:rsidRPr="009B65B1" w14:paraId="5C3CC66E"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3883BDD" w14:textId="77777777" w:rsidR="009B65B1" w:rsidRPr="009B65B1" w:rsidRDefault="009B65B1" w:rsidP="009B65B1">
            <w:pPr>
              <w:jc w:val="center"/>
              <w:rPr>
                <w:rFonts w:eastAsia="Times New Roman"/>
                <w:sz w:val="22"/>
                <w:szCs w:val="22"/>
              </w:rPr>
            </w:pPr>
            <w:r w:rsidRPr="009B65B1">
              <w:rPr>
                <w:rFonts w:eastAsia="Times New Roman"/>
                <w:sz w:val="22"/>
                <w:szCs w:val="22"/>
              </w:rPr>
              <w:t>A4</w:t>
            </w:r>
          </w:p>
        </w:tc>
        <w:tc>
          <w:tcPr>
            <w:tcW w:w="6214" w:type="dxa"/>
            <w:tcBorders>
              <w:top w:val="nil"/>
              <w:left w:val="nil"/>
              <w:bottom w:val="single" w:sz="4" w:space="0" w:color="auto"/>
              <w:right w:val="single" w:sz="4" w:space="0" w:color="auto"/>
            </w:tcBorders>
            <w:shd w:val="clear" w:color="auto" w:fill="auto"/>
            <w:vAlign w:val="center"/>
            <w:hideMark/>
          </w:tcPr>
          <w:p w14:paraId="3C6D4C3A" w14:textId="77777777" w:rsidR="009B65B1" w:rsidRPr="009B65B1" w:rsidRDefault="009B65B1" w:rsidP="009B65B1">
            <w:pPr>
              <w:rPr>
                <w:rFonts w:eastAsia="Times New Roman"/>
                <w:sz w:val="22"/>
                <w:szCs w:val="22"/>
              </w:rPr>
            </w:pPr>
            <w:r w:rsidRPr="009B65B1">
              <w:rPr>
                <w:rFonts w:eastAsia="Times New Roman"/>
                <w:sz w:val="22"/>
                <w:szCs w:val="22"/>
              </w:rPr>
              <w:t>Current liabilities</w:t>
            </w:r>
          </w:p>
        </w:tc>
        <w:tc>
          <w:tcPr>
            <w:tcW w:w="1319" w:type="dxa"/>
            <w:tcBorders>
              <w:top w:val="nil"/>
              <w:left w:val="nil"/>
              <w:bottom w:val="single" w:sz="4" w:space="0" w:color="auto"/>
              <w:right w:val="single" w:sz="4" w:space="0" w:color="auto"/>
            </w:tcBorders>
            <w:shd w:val="clear" w:color="auto" w:fill="auto"/>
            <w:vAlign w:val="center"/>
            <w:hideMark/>
          </w:tcPr>
          <w:p w14:paraId="481216BA" w14:textId="77777777" w:rsidR="009B65B1" w:rsidRPr="009B65B1" w:rsidRDefault="009B65B1" w:rsidP="009B65B1">
            <w:pPr>
              <w:jc w:val="center"/>
              <w:rPr>
                <w:rFonts w:eastAsia="Times New Roman"/>
                <w:sz w:val="22"/>
                <w:szCs w:val="22"/>
              </w:rPr>
            </w:pPr>
            <w:r w:rsidRPr="009B65B1">
              <w:rPr>
                <w:rFonts w:eastAsia="Times New Roman"/>
                <w:sz w:val="22"/>
                <w:szCs w:val="22"/>
              </w:rPr>
              <w:t>11</w:t>
            </w:r>
          </w:p>
        </w:tc>
        <w:tc>
          <w:tcPr>
            <w:tcW w:w="1268" w:type="dxa"/>
            <w:tcBorders>
              <w:top w:val="nil"/>
              <w:left w:val="nil"/>
              <w:bottom w:val="single" w:sz="4" w:space="0" w:color="auto"/>
              <w:right w:val="single" w:sz="4" w:space="0" w:color="auto"/>
            </w:tcBorders>
            <w:shd w:val="clear" w:color="auto" w:fill="auto"/>
            <w:noWrap/>
            <w:vAlign w:val="center"/>
            <w:hideMark/>
          </w:tcPr>
          <w:p w14:paraId="78FEA63F" w14:textId="77777777" w:rsidR="009B65B1" w:rsidRPr="009B65B1" w:rsidRDefault="009B65B1" w:rsidP="009B65B1">
            <w:pPr>
              <w:jc w:val="center"/>
              <w:rPr>
                <w:rFonts w:eastAsia="Times New Roman"/>
                <w:sz w:val="22"/>
                <w:szCs w:val="22"/>
              </w:rPr>
            </w:pPr>
            <w:r w:rsidRPr="009B65B1">
              <w:rPr>
                <w:rFonts w:eastAsia="Times New Roman"/>
                <w:sz w:val="22"/>
                <w:szCs w:val="22"/>
              </w:rPr>
              <w:t>0.22</w:t>
            </w:r>
          </w:p>
        </w:tc>
      </w:tr>
      <w:tr w:rsidR="009B65B1" w:rsidRPr="009B65B1" w14:paraId="5456357F"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2955A6E" w14:textId="77777777" w:rsidR="009B65B1" w:rsidRPr="009B65B1" w:rsidRDefault="009B65B1" w:rsidP="009B65B1">
            <w:pPr>
              <w:jc w:val="center"/>
              <w:rPr>
                <w:rFonts w:eastAsia="Times New Roman"/>
                <w:sz w:val="22"/>
                <w:szCs w:val="22"/>
              </w:rPr>
            </w:pPr>
            <w:r w:rsidRPr="009B65B1">
              <w:rPr>
                <w:rFonts w:eastAsia="Times New Roman"/>
                <w:sz w:val="22"/>
                <w:szCs w:val="22"/>
              </w:rPr>
              <w:t>A5</w:t>
            </w:r>
          </w:p>
        </w:tc>
        <w:tc>
          <w:tcPr>
            <w:tcW w:w="6214" w:type="dxa"/>
            <w:tcBorders>
              <w:top w:val="nil"/>
              <w:left w:val="nil"/>
              <w:bottom w:val="single" w:sz="4" w:space="0" w:color="auto"/>
              <w:right w:val="single" w:sz="4" w:space="0" w:color="auto"/>
            </w:tcBorders>
            <w:shd w:val="clear" w:color="auto" w:fill="auto"/>
            <w:vAlign w:val="center"/>
            <w:hideMark/>
          </w:tcPr>
          <w:p w14:paraId="56BAFA16" w14:textId="77777777" w:rsidR="009B65B1" w:rsidRPr="009B65B1" w:rsidRDefault="009B65B1" w:rsidP="009B65B1">
            <w:pPr>
              <w:rPr>
                <w:rFonts w:eastAsia="Times New Roman"/>
                <w:sz w:val="22"/>
                <w:szCs w:val="22"/>
              </w:rPr>
            </w:pPr>
            <w:r w:rsidRPr="009B65B1">
              <w:rPr>
                <w:rFonts w:eastAsia="Times New Roman"/>
                <w:sz w:val="22"/>
                <w:szCs w:val="22"/>
              </w:rPr>
              <w:t>Non-current liabilities</w:t>
            </w:r>
          </w:p>
        </w:tc>
        <w:tc>
          <w:tcPr>
            <w:tcW w:w="1319" w:type="dxa"/>
            <w:tcBorders>
              <w:top w:val="nil"/>
              <w:left w:val="nil"/>
              <w:bottom w:val="single" w:sz="4" w:space="0" w:color="auto"/>
              <w:right w:val="single" w:sz="4" w:space="0" w:color="auto"/>
            </w:tcBorders>
            <w:shd w:val="clear" w:color="auto" w:fill="auto"/>
            <w:vAlign w:val="center"/>
            <w:hideMark/>
          </w:tcPr>
          <w:p w14:paraId="5E190CCF" w14:textId="77777777" w:rsidR="009B65B1" w:rsidRPr="009B65B1" w:rsidRDefault="009B65B1" w:rsidP="009B65B1">
            <w:pPr>
              <w:jc w:val="center"/>
              <w:rPr>
                <w:rFonts w:eastAsia="Times New Roman"/>
                <w:sz w:val="22"/>
                <w:szCs w:val="22"/>
              </w:rPr>
            </w:pPr>
            <w:r w:rsidRPr="009B65B1">
              <w:rPr>
                <w:rFonts w:eastAsia="Times New Roman"/>
                <w:sz w:val="22"/>
                <w:szCs w:val="22"/>
              </w:rPr>
              <w:t>15</w:t>
            </w:r>
          </w:p>
        </w:tc>
        <w:tc>
          <w:tcPr>
            <w:tcW w:w="1268" w:type="dxa"/>
            <w:tcBorders>
              <w:top w:val="nil"/>
              <w:left w:val="nil"/>
              <w:bottom w:val="single" w:sz="4" w:space="0" w:color="auto"/>
              <w:right w:val="single" w:sz="4" w:space="0" w:color="auto"/>
            </w:tcBorders>
            <w:shd w:val="clear" w:color="auto" w:fill="auto"/>
            <w:noWrap/>
            <w:vAlign w:val="center"/>
            <w:hideMark/>
          </w:tcPr>
          <w:p w14:paraId="020D53D8" w14:textId="77777777" w:rsidR="009B65B1" w:rsidRPr="009B65B1" w:rsidRDefault="009B65B1" w:rsidP="009B65B1">
            <w:pPr>
              <w:jc w:val="center"/>
              <w:rPr>
                <w:rFonts w:eastAsia="Times New Roman"/>
                <w:sz w:val="22"/>
                <w:szCs w:val="22"/>
              </w:rPr>
            </w:pPr>
            <w:r w:rsidRPr="009B65B1">
              <w:rPr>
                <w:rFonts w:eastAsia="Times New Roman"/>
                <w:sz w:val="22"/>
                <w:szCs w:val="22"/>
              </w:rPr>
              <w:t>0.30</w:t>
            </w:r>
          </w:p>
        </w:tc>
      </w:tr>
      <w:tr w:rsidR="009B65B1" w:rsidRPr="009B65B1" w14:paraId="5BA08D9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A4F338A" w14:textId="77777777" w:rsidR="009B65B1" w:rsidRPr="009B65B1" w:rsidRDefault="009B65B1" w:rsidP="009B65B1">
            <w:pPr>
              <w:jc w:val="center"/>
              <w:rPr>
                <w:rFonts w:eastAsia="Times New Roman"/>
                <w:sz w:val="22"/>
                <w:szCs w:val="22"/>
              </w:rPr>
            </w:pPr>
            <w:r w:rsidRPr="009B65B1">
              <w:rPr>
                <w:rFonts w:eastAsia="Times New Roman"/>
                <w:sz w:val="22"/>
                <w:szCs w:val="22"/>
              </w:rPr>
              <w:t>A6</w:t>
            </w:r>
          </w:p>
        </w:tc>
        <w:tc>
          <w:tcPr>
            <w:tcW w:w="6214" w:type="dxa"/>
            <w:tcBorders>
              <w:top w:val="nil"/>
              <w:left w:val="nil"/>
              <w:bottom w:val="single" w:sz="4" w:space="0" w:color="auto"/>
              <w:right w:val="single" w:sz="4" w:space="0" w:color="auto"/>
            </w:tcBorders>
            <w:shd w:val="clear" w:color="auto" w:fill="auto"/>
            <w:vAlign w:val="center"/>
            <w:hideMark/>
          </w:tcPr>
          <w:p w14:paraId="1B78FCEB" w14:textId="77777777" w:rsidR="009B65B1" w:rsidRPr="009B65B1" w:rsidRDefault="009B65B1" w:rsidP="009B65B1">
            <w:pPr>
              <w:rPr>
                <w:rFonts w:eastAsia="Times New Roman"/>
                <w:sz w:val="22"/>
                <w:szCs w:val="22"/>
              </w:rPr>
            </w:pPr>
            <w:r w:rsidRPr="009B65B1">
              <w:rPr>
                <w:rFonts w:eastAsia="Times New Roman"/>
                <w:sz w:val="22"/>
                <w:szCs w:val="22"/>
              </w:rPr>
              <w:t>Equity</w:t>
            </w:r>
          </w:p>
        </w:tc>
        <w:tc>
          <w:tcPr>
            <w:tcW w:w="1319" w:type="dxa"/>
            <w:tcBorders>
              <w:top w:val="nil"/>
              <w:left w:val="nil"/>
              <w:bottom w:val="single" w:sz="4" w:space="0" w:color="auto"/>
              <w:right w:val="single" w:sz="4" w:space="0" w:color="auto"/>
            </w:tcBorders>
            <w:shd w:val="clear" w:color="auto" w:fill="auto"/>
            <w:vAlign w:val="center"/>
            <w:hideMark/>
          </w:tcPr>
          <w:p w14:paraId="0B8B774D" w14:textId="77777777" w:rsidR="009B65B1" w:rsidRPr="009B65B1" w:rsidRDefault="009B65B1" w:rsidP="009B65B1">
            <w:pPr>
              <w:jc w:val="center"/>
              <w:rPr>
                <w:rFonts w:eastAsia="Times New Roman"/>
                <w:sz w:val="22"/>
                <w:szCs w:val="22"/>
              </w:rPr>
            </w:pPr>
            <w:r w:rsidRPr="009B65B1">
              <w:rPr>
                <w:rFonts w:eastAsia="Times New Roman"/>
                <w:sz w:val="22"/>
                <w:szCs w:val="22"/>
              </w:rPr>
              <w:t>85</w:t>
            </w:r>
          </w:p>
        </w:tc>
        <w:tc>
          <w:tcPr>
            <w:tcW w:w="1268" w:type="dxa"/>
            <w:tcBorders>
              <w:top w:val="nil"/>
              <w:left w:val="nil"/>
              <w:bottom w:val="single" w:sz="4" w:space="0" w:color="auto"/>
              <w:right w:val="single" w:sz="4" w:space="0" w:color="auto"/>
            </w:tcBorders>
            <w:shd w:val="clear" w:color="auto" w:fill="auto"/>
            <w:noWrap/>
            <w:vAlign w:val="center"/>
            <w:hideMark/>
          </w:tcPr>
          <w:p w14:paraId="006C73BB" w14:textId="77777777" w:rsidR="009B65B1" w:rsidRPr="009B65B1" w:rsidRDefault="009B65B1" w:rsidP="009B65B1">
            <w:pPr>
              <w:jc w:val="center"/>
              <w:rPr>
                <w:rFonts w:eastAsia="Times New Roman"/>
                <w:sz w:val="22"/>
                <w:szCs w:val="22"/>
              </w:rPr>
            </w:pPr>
            <w:r w:rsidRPr="009B65B1">
              <w:rPr>
                <w:rFonts w:eastAsia="Times New Roman"/>
                <w:sz w:val="22"/>
                <w:szCs w:val="22"/>
              </w:rPr>
              <w:t>1.68</w:t>
            </w:r>
          </w:p>
        </w:tc>
      </w:tr>
      <w:tr w:rsidR="009B65B1" w:rsidRPr="009B65B1" w14:paraId="3E8AC0A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964F70F"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7166BC89" w14:textId="77777777" w:rsidR="009B65B1" w:rsidRPr="009B65B1" w:rsidRDefault="009B65B1" w:rsidP="009B65B1">
            <w:pPr>
              <w:rPr>
                <w:rFonts w:eastAsia="Times New Roman"/>
                <w:b/>
                <w:bCs/>
                <w:sz w:val="22"/>
                <w:szCs w:val="22"/>
              </w:rPr>
            </w:pPr>
            <w:r w:rsidRPr="009B65B1">
              <w:rPr>
                <w:rFonts w:eastAsia="Times New Roman"/>
                <w:b/>
                <w:bCs/>
                <w:sz w:val="22"/>
                <w:szCs w:val="22"/>
              </w:rPr>
              <w:t>Income statement</w:t>
            </w:r>
          </w:p>
        </w:tc>
        <w:tc>
          <w:tcPr>
            <w:tcW w:w="1319" w:type="dxa"/>
            <w:tcBorders>
              <w:top w:val="nil"/>
              <w:left w:val="nil"/>
              <w:bottom w:val="single" w:sz="4" w:space="0" w:color="auto"/>
              <w:right w:val="single" w:sz="4" w:space="0" w:color="auto"/>
            </w:tcBorders>
            <w:shd w:val="clear" w:color="auto" w:fill="auto"/>
            <w:vAlign w:val="center"/>
            <w:hideMark/>
          </w:tcPr>
          <w:p w14:paraId="0D5BB58E"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1268" w:type="dxa"/>
            <w:tcBorders>
              <w:top w:val="nil"/>
              <w:left w:val="nil"/>
              <w:bottom w:val="single" w:sz="4" w:space="0" w:color="auto"/>
              <w:right w:val="single" w:sz="4" w:space="0" w:color="auto"/>
            </w:tcBorders>
            <w:shd w:val="clear" w:color="auto" w:fill="auto"/>
            <w:noWrap/>
            <w:vAlign w:val="center"/>
            <w:hideMark/>
          </w:tcPr>
          <w:p w14:paraId="1250BDB7" w14:textId="77777777" w:rsidR="009B65B1" w:rsidRPr="009B65B1" w:rsidRDefault="009B65B1" w:rsidP="009B65B1">
            <w:pPr>
              <w:jc w:val="center"/>
              <w:rPr>
                <w:rFonts w:eastAsia="Times New Roman"/>
                <w:sz w:val="22"/>
                <w:szCs w:val="22"/>
              </w:rPr>
            </w:pPr>
            <w:r w:rsidRPr="009B65B1">
              <w:rPr>
                <w:rFonts w:eastAsia="Times New Roman"/>
                <w:sz w:val="22"/>
                <w:szCs w:val="22"/>
              </w:rPr>
              <w:t>0.00</w:t>
            </w:r>
          </w:p>
        </w:tc>
      </w:tr>
      <w:tr w:rsidR="009B65B1" w:rsidRPr="009B65B1" w14:paraId="7327BCF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C0D1F07" w14:textId="77777777" w:rsidR="009B65B1" w:rsidRPr="009B65B1" w:rsidRDefault="009B65B1" w:rsidP="009B65B1">
            <w:pPr>
              <w:jc w:val="center"/>
              <w:rPr>
                <w:rFonts w:eastAsia="Times New Roman"/>
                <w:sz w:val="22"/>
                <w:szCs w:val="22"/>
              </w:rPr>
            </w:pPr>
            <w:r w:rsidRPr="009B65B1">
              <w:rPr>
                <w:rFonts w:eastAsia="Times New Roman"/>
                <w:sz w:val="22"/>
                <w:szCs w:val="22"/>
              </w:rPr>
              <w:t>A7</w:t>
            </w:r>
          </w:p>
        </w:tc>
        <w:tc>
          <w:tcPr>
            <w:tcW w:w="6214" w:type="dxa"/>
            <w:tcBorders>
              <w:top w:val="nil"/>
              <w:left w:val="nil"/>
              <w:bottom w:val="single" w:sz="4" w:space="0" w:color="auto"/>
              <w:right w:val="single" w:sz="4" w:space="0" w:color="auto"/>
            </w:tcBorders>
            <w:shd w:val="clear" w:color="auto" w:fill="auto"/>
            <w:vAlign w:val="center"/>
            <w:hideMark/>
          </w:tcPr>
          <w:p w14:paraId="4E6C4C5F" w14:textId="77777777" w:rsidR="009B65B1" w:rsidRPr="009B65B1" w:rsidRDefault="009B65B1" w:rsidP="009B65B1">
            <w:pPr>
              <w:rPr>
                <w:rFonts w:eastAsia="Times New Roman"/>
                <w:sz w:val="22"/>
                <w:szCs w:val="22"/>
              </w:rPr>
            </w:pPr>
            <w:r w:rsidRPr="009B65B1">
              <w:rPr>
                <w:rFonts w:eastAsia="Times New Roman"/>
                <w:sz w:val="22"/>
                <w:szCs w:val="22"/>
              </w:rPr>
              <w:t>Sales</w:t>
            </w:r>
          </w:p>
        </w:tc>
        <w:tc>
          <w:tcPr>
            <w:tcW w:w="1319" w:type="dxa"/>
            <w:tcBorders>
              <w:top w:val="nil"/>
              <w:left w:val="nil"/>
              <w:bottom w:val="single" w:sz="4" w:space="0" w:color="auto"/>
              <w:right w:val="single" w:sz="4" w:space="0" w:color="auto"/>
            </w:tcBorders>
            <w:shd w:val="clear" w:color="auto" w:fill="auto"/>
            <w:vAlign w:val="center"/>
            <w:hideMark/>
          </w:tcPr>
          <w:p w14:paraId="2BBACA08" w14:textId="77777777" w:rsidR="009B65B1" w:rsidRPr="009B65B1" w:rsidRDefault="009B65B1" w:rsidP="009B65B1">
            <w:pPr>
              <w:jc w:val="center"/>
              <w:rPr>
                <w:rFonts w:eastAsia="Times New Roman"/>
                <w:sz w:val="22"/>
                <w:szCs w:val="22"/>
              </w:rPr>
            </w:pPr>
            <w:r w:rsidRPr="009B65B1">
              <w:rPr>
                <w:rFonts w:eastAsia="Times New Roman"/>
                <w:sz w:val="22"/>
                <w:szCs w:val="22"/>
              </w:rPr>
              <w:t>106</w:t>
            </w:r>
          </w:p>
        </w:tc>
        <w:tc>
          <w:tcPr>
            <w:tcW w:w="1268" w:type="dxa"/>
            <w:tcBorders>
              <w:top w:val="nil"/>
              <w:left w:val="nil"/>
              <w:bottom w:val="single" w:sz="4" w:space="0" w:color="auto"/>
              <w:right w:val="single" w:sz="4" w:space="0" w:color="auto"/>
            </w:tcBorders>
            <w:shd w:val="clear" w:color="auto" w:fill="auto"/>
            <w:noWrap/>
            <w:vAlign w:val="center"/>
            <w:hideMark/>
          </w:tcPr>
          <w:p w14:paraId="37E54F80" w14:textId="77777777" w:rsidR="009B65B1" w:rsidRPr="009B65B1" w:rsidRDefault="009B65B1" w:rsidP="009B65B1">
            <w:pPr>
              <w:jc w:val="center"/>
              <w:rPr>
                <w:rFonts w:eastAsia="Times New Roman"/>
                <w:sz w:val="22"/>
                <w:szCs w:val="22"/>
              </w:rPr>
            </w:pPr>
            <w:r w:rsidRPr="009B65B1">
              <w:rPr>
                <w:rFonts w:eastAsia="Times New Roman"/>
                <w:sz w:val="22"/>
                <w:szCs w:val="22"/>
              </w:rPr>
              <w:t>2.10</w:t>
            </w:r>
          </w:p>
        </w:tc>
      </w:tr>
      <w:tr w:rsidR="009B65B1" w:rsidRPr="009B65B1" w14:paraId="4BA4087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68A076E" w14:textId="77777777" w:rsidR="009B65B1" w:rsidRPr="009B65B1" w:rsidRDefault="009B65B1" w:rsidP="009B65B1">
            <w:pPr>
              <w:jc w:val="center"/>
              <w:rPr>
                <w:rFonts w:eastAsia="Times New Roman"/>
                <w:sz w:val="22"/>
                <w:szCs w:val="22"/>
              </w:rPr>
            </w:pPr>
            <w:r w:rsidRPr="009B65B1">
              <w:rPr>
                <w:rFonts w:eastAsia="Times New Roman"/>
                <w:sz w:val="22"/>
                <w:szCs w:val="22"/>
              </w:rPr>
              <w:t>A8</w:t>
            </w:r>
          </w:p>
        </w:tc>
        <w:tc>
          <w:tcPr>
            <w:tcW w:w="6214" w:type="dxa"/>
            <w:tcBorders>
              <w:top w:val="nil"/>
              <w:left w:val="nil"/>
              <w:bottom w:val="single" w:sz="4" w:space="0" w:color="auto"/>
              <w:right w:val="single" w:sz="4" w:space="0" w:color="auto"/>
            </w:tcBorders>
            <w:shd w:val="clear" w:color="auto" w:fill="auto"/>
            <w:vAlign w:val="center"/>
            <w:hideMark/>
          </w:tcPr>
          <w:p w14:paraId="084BF8C8" w14:textId="77777777" w:rsidR="009B65B1" w:rsidRPr="009B65B1" w:rsidRDefault="009B65B1" w:rsidP="009B65B1">
            <w:pPr>
              <w:rPr>
                <w:rFonts w:eastAsia="Times New Roman"/>
                <w:sz w:val="22"/>
                <w:szCs w:val="22"/>
              </w:rPr>
            </w:pPr>
            <w:r w:rsidRPr="009B65B1">
              <w:rPr>
                <w:rFonts w:eastAsia="Times New Roman"/>
                <w:sz w:val="22"/>
                <w:szCs w:val="22"/>
              </w:rPr>
              <w:t>Other income</w:t>
            </w:r>
          </w:p>
        </w:tc>
        <w:tc>
          <w:tcPr>
            <w:tcW w:w="1319" w:type="dxa"/>
            <w:tcBorders>
              <w:top w:val="nil"/>
              <w:left w:val="nil"/>
              <w:bottom w:val="single" w:sz="4" w:space="0" w:color="auto"/>
              <w:right w:val="single" w:sz="4" w:space="0" w:color="auto"/>
            </w:tcBorders>
            <w:shd w:val="clear" w:color="auto" w:fill="auto"/>
            <w:vAlign w:val="center"/>
            <w:hideMark/>
          </w:tcPr>
          <w:p w14:paraId="6593C0C2" w14:textId="77777777" w:rsidR="009B65B1" w:rsidRPr="009B65B1" w:rsidRDefault="009B65B1" w:rsidP="009B65B1">
            <w:pPr>
              <w:jc w:val="center"/>
              <w:rPr>
                <w:rFonts w:eastAsia="Times New Roman"/>
                <w:sz w:val="22"/>
                <w:szCs w:val="22"/>
              </w:rPr>
            </w:pPr>
            <w:r w:rsidRPr="009B65B1">
              <w:rPr>
                <w:rFonts w:eastAsia="Times New Roman"/>
                <w:sz w:val="22"/>
                <w:szCs w:val="22"/>
              </w:rPr>
              <w:t>8</w:t>
            </w:r>
          </w:p>
        </w:tc>
        <w:tc>
          <w:tcPr>
            <w:tcW w:w="1268" w:type="dxa"/>
            <w:tcBorders>
              <w:top w:val="nil"/>
              <w:left w:val="nil"/>
              <w:bottom w:val="single" w:sz="4" w:space="0" w:color="auto"/>
              <w:right w:val="single" w:sz="4" w:space="0" w:color="auto"/>
            </w:tcBorders>
            <w:shd w:val="clear" w:color="auto" w:fill="auto"/>
            <w:noWrap/>
            <w:vAlign w:val="center"/>
            <w:hideMark/>
          </w:tcPr>
          <w:p w14:paraId="7056C3D7" w14:textId="77777777" w:rsidR="009B65B1" w:rsidRPr="009B65B1" w:rsidRDefault="009B65B1" w:rsidP="009B65B1">
            <w:pPr>
              <w:jc w:val="center"/>
              <w:rPr>
                <w:rFonts w:eastAsia="Times New Roman"/>
                <w:sz w:val="22"/>
                <w:szCs w:val="22"/>
              </w:rPr>
            </w:pPr>
            <w:r w:rsidRPr="009B65B1">
              <w:rPr>
                <w:rFonts w:eastAsia="Times New Roman"/>
                <w:sz w:val="22"/>
                <w:szCs w:val="22"/>
              </w:rPr>
              <w:t>0.16</w:t>
            </w:r>
          </w:p>
        </w:tc>
      </w:tr>
      <w:tr w:rsidR="009B65B1" w:rsidRPr="009B65B1" w14:paraId="7661306F"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EE68723" w14:textId="77777777" w:rsidR="009B65B1" w:rsidRPr="009B65B1" w:rsidRDefault="009B65B1" w:rsidP="009B65B1">
            <w:pPr>
              <w:jc w:val="center"/>
              <w:rPr>
                <w:rFonts w:eastAsia="Times New Roman"/>
                <w:sz w:val="22"/>
                <w:szCs w:val="22"/>
              </w:rPr>
            </w:pPr>
            <w:r w:rsidRPr="009B65B1">
              <w:rPr>
                <w:rFonts w:eastAsia="Times New Roman"/>
                <w:sz w:val="22"/>
                <w:szCs w:val="22"/>
              </w:rPr>
              <w:t>A9</w:t>
            </w:r>
          </w:p>
        </w:tc>
        <w:tc>
          <w:tcPr>
            <w:tcW w:w="6214" w:type="dxa"/>
            <w:tcBorders>
              <w:top w:val="nil"/>
              <w:left w:val="nil"/>
              <w:bottom w:val="single" w:sz="4" w:space="0" w:color="auto"/>
              <w:right w:val="single" w:sz="4" w:space="0" w:color="auto"/>
            </w:tcBorders>
            <w:shd w:val="clear" w:color="auto" w:fill="auto"/>
            <w:vAlign w:val="center"/>
            <w:hideMark/>
          </w:tcPr>
          <w:p w14:paraId="1CDB40DA" w14:textId="77777777" w:rsidR="009B65B1" w:rsidRPr="009B65B1" w:rsidRDefault="009B65B1" w:rsidP="009B65B1">
            <w:pPr>
              <w:rPr>
                <w:rFonts w:eastAsia="Times New Roman"/>
                <w:sz w:val="22"/>
                <w:szCs w:val="22"/>
              </w:rPr>
            </w:pPr>
            <w:r w:rsidRPr="009B65B1">
              <w:rPr>
                <w:rFonts w:eastAsia="Times New Roman"/>
                <w:sz w:val="22"/>
                <w:szCs w:val="22"/>
              </w:rPr>
              <w:t>Cost of goods sold</w:t>
            </w:r>
          </w:p>
        </w:tc>
        <w:tc>
          <w:tcPr>
            <w:tcW w:w="1319" w:type="dxa"/>
            <w:tcBorders>
              <w:top w:val="nil"/>
              <w:left w:val="nil"/>
              <w:bottom w:val="single" w:sz="4" w:space="0" w:color="auto"/>
              <w:right w:val="single" w:sz="4" w:space="0" w:color="auto"/>
            </w:tcBorders>
            <w:shd w:val="clear" w:color="auto" w:fill="auto"/>
            <w:vAlign w:val="center"/>
            <w:hideMark/>
          </w:tcPr>
          <w:p w14:paraId="2253BDD8" w14:textId="77777777" w:rsidR="009B65B1" w:rsidRPr="009B65B1" w:rsidRDefault="009B65B1" w:rsidP="009B65B1">
            <w:pPr>
              <w:jc w:val="center"/>
              <w:rPr>
                <w:rFonts w:eastAsia="Times New Roman"/>
                <w:sz w:val="22"/>
                <w:szCs w:val="22"/>
              </w:rPr>
            </w:pPr>
            <w:r w:rsidRPr="009B65B1">
              <w:rPr>
                <w:rFonts w:eastAsia="Times New Roman"/>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14:paraId="01A6C85C" w14:textId="77777777" w:rsidR="009B65B1" w:rsidRPr="009B65B1" w:rsidRDefault="009B65B1" w:rsidP="009B65B1">
            <w:pPr>
              <w:jc w:val="center"/>
              <w:rPr>
                <w:rFonts w:eastAsia="Times New Roman"/>
                <w:sz w:val="22"/>
                <w:szCs w:val="22"/>
              </w:rPr>
            </w:pPr>
            <w:r w:rsidRPr="009B65B1">
              <w:rPr>
                <w:rFonts w:eastAsia="Times New Roman"/>
                <w:sz w:val="22"/>
                <w:szCs w:val="22"/>
              </w:rPr>
              <w:t>0.06</w:t>
            </w:r>
          </w:p>
        </w:tc>
      </w:tr>
      <w:tr w:rsidR="009B65B1" w:rsidRPr="009B65B1" w14:paraId="502484C0"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98C0951" w14:textId="77777777" w:rsidR="009B65B1" w:rsidRPr="009B65B1" w:rsidRDefault="009B65B1" w:rsidP="009B65B1">
            <w:pPr>
              <w:jc w:val="center"/>
              <w:rPr>
                <w:rFonts w:eastAsia="Times New Roman"/>
                <w:sz w:val="22"/>
                <w:szCs w:val="22"/>
              </w:rPr>
            </w:pPr>
            <w:r w:rsidRPr="009B65B1">
              <w:rPr>
                <w:rFonts w:eastAsia="Times New Roman"/>
                <w:sz w:val="22"/>
                <w:szCs w:val="22"/>
              </w:rPr>
              <w:t>A10</w:t>
            </w:r>
          </w:p>
        </w:tc>
        <w:tc>
          <w:tcPr>
            <w:tcW w:w="6214" w:type="dxa"/>
            <w:tcBorders>
              <w:top w:val="nil"/>
              <w:left w:val="nil"/>
              <w:bottom w:val="single" w:sz="4" w:space="0" w:color="auto"/>
              <w:right w:val="single" w:sz="4" w:space="0" w:color="auto"/>
            </w:tcBorders>
            <w:shd w:val="clear" w:color="auto" w:fill="auto"/>
            <w:vAlign w:val="center"/>
            <w:hideMark/>
          </w:tcPr>
          <w:p w14:paraId="5C4E1229" w14:textId="77777777" w:rsidR="009B65B1" w:rsidRPr="009B65B1" w:rsidRDefault="009B65B1" w:rsidP="009B65B1">
            <w:pPr>
              <w:rPr>
                <w:rFonts w:eastAsia="Times New Roman"/>
                <w:sz w:val="22"/>
                <w:szCs w:val="22"/>
              </w:rPr>
            </w:pPr>
            <w:r w:rsidRPr="009B65B1">
              <w:rPr>
                <w:rFonts w:eastAsia="Times New Roman"/>
                <w:sz w:val="22"/>
                <w:szCs w:val="22"/>
              </w:rPr>
              <w:t>R&amp;D expense</w:t>
            </w:r>
          </w:p>
        </w:tc>
        <w:tc>
          <w:tcPr>
            <w:tcW w:w="1319" w:type="dxa"/>
            <w:tcBorders>
              <w:top w:val="nil"/>
              <w:left w:val="nil"/>
              <w:bottom w:val="single" w:sz="4" w:space="0" w:color="auto"/>
              <w:right w:val="single" w:sz="4" w:space="0" w:color="auto"/>
            </w:tcBorders>
            <w:shd w:val="clear" w:color="auto" w:fill="auto"/>
            <w:vAlign w:val="center"/>
            <w:hideMark/>
          </w:tcPr>
          <w:p w14:paraId="3A1B8F67" w14:textId="77777777" w:rsidR="009B65B1" w:rsidRPr="009B65B1" w:rsidRDefault="009B65B1" w:rsidP="009B65B1">
            <w:pPr>
              <w:jc w:val="center"/>
              <w:rPr>
                <w:rFonts w:eastAsia="Times New Roman"/>
                <w:sz w:val="22"/>
                <w:szCs w:val="22"/>
              </w:rPr>
            </w:pPr>
            <w:r w:rsidRPr="009B65B1">
              <w:rPr>
                <w:rFonts w:eastAsia="Times New Roman"/>
                <w:sz w:val="22"/>
                <w:szCs w:val="22"/>
              </w:rPr>
              <w:t>4</w:t>
            </w:r>
          </w:p>
        </w:tc>
        <w:tc>
          <w:tcPr>
            <w:tcW w:w="1268" w:type="dxa"/>
            <w:tcBorders>
              <w:top w:val="nil"/>
              <w:left w:val="nil"/>
              <w:bottom w:val="single" w:sz="4" w:space="0" w:color="auto"/>
              <w:right w:val="single" w:sz="4" w:space="0" w:color="auto"/>
            </w:tcBorders>
            <w:shd w:val="clear" w:color="auto" w:fill="auto"/>
            <w:noWrap/>
            <w:vAlign w:val="center"/>
            <w:hideMark/>
          </w:tcPr>
          <w:p w14:paraId="4E593A75" w14:textId="77777777" w:rsidR="009B65B1" w:rsidRPr="009B65B1" w:rsidRDefault="009B65B1" w:rsidP="009B65B1">
            <w:pPr>
              <w:jc w:val="center"/>
              <w:rPr>
                <w:rFonts w:eastAsia="Times New Roman"/>
                <w:sz w:val="22"/>
                <w:szCs w:val="22"/>
              </w:rPr>
            </w:pPr>
            <w:r w:rsidRPr="009B65B1">
              <w:rPr>
                <w:rFonts w:eastAsia="Times New Roman"/>
                <w:sz w:val="22"/>
                <w:szCs w:val="22"/>
              </w:rPr>
              <w:t>0.08</w:t>
            </w:r>
          </w:p>
        </w:tc>
      </w:tr>
      <w:tr w:rsidR="009B65B1" w:rsidRPr="009B65B1" w14:paraId="2FD786F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405A952" w14:textId="77777777" w:rsidR="009B65B1" w:rsidRPr="009B65B1" w:rsidRDefault="009B65B1" w:rsidP="009B65B1">
            <w:pPr>
              <w:jc w:val="center"/>
              <w:rPr>
                <w:rFonts w:eastAsia="Times New Roman"/>
                <w:sz w:val="22"/>
                <w:szCs w:val="22"/>
              </w:rPr>
            </w:pPr>
            <w:r w:rsidRPr="009B65B1">
              <w:rPr>
                <w:rFonts w:eastAsia="Times New Roman"/>
                <w:sz w:val="22"/>
                <w:szCs w:val="22"/>
              </w:rPr>
              <w:t>A11</w:t>
            </w:r>
          </w:p>
        </w:tc>
        <w:tc>
          <w:tcPr>
            <w:tcW w:w="6214" w:type="dxa"/>
            <w:tcBorders>
              <w:top w:val="nil"/>
              <w:left w:val="nil"/>
              <w:bottom w:val="single" w:sz="4" w:space="0" w:color="auto"/>
              <w:right w:val="single" w:sz="4" w:space="0" w:color="auto"/>
            </w:tcBorders>
            <w:shd w:val="clear" w:color="auto" w:fill="auto"/>
            <w:vAlign w:val="center"/>
            <w:hideMark/>
          </w:tcPr>
          <w:p w14:paraId="083D7407" w14:textId="77777777" w:rsidR="009B65B1" w:rsidRPr="009B65B1" w:rsidRDefault="009B65B1" w:rsidP="009B65B1">
            <w:pPr>
              <w:rPr>
                <w:rFonts w:eastAsia="Times New Roman"/>
                <w:sz w:val="22"/>
                <w:szCs w:val="22"/>
              </w:rPr>
            </w:pPr>
            <w:r w:rsidRPr="009B65B1">
              <w:rPr>
                <w:rFonts w:eastAsia="Times New Roman"/>
                <w:sz w:val="22"/>
                <w:szCs w:val="22"/>
              </w:rPr>
              <w:t>Advertising expense</w:t>
            </w:r>
          </w:p>
        </w:tc>
        <w:tc>
          <w:tcPr>
            <w:tcW w:w="1319" w:type="dxa"/>
            <w:tcBorders>
              <w:top w:val="nil"/>
              <w:left w:val="nil"/>
              <w:bottom w:val="single" w:sz="4" w:space="0" w:color="auto"/>
              <w:right w:val="single" w:sz="4" w:space="0" w:color="auto"/>
            </w:tcBorders>
            <w:shd w:val="clear" w:color="auto" w:fill="auto"/>
            <w:vAlign w:val="center"/>
            <w:hideMark/>
          </w:tcPr>
          <w:p w14:paraId="3898DDBA"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14:paraId="5B7EF05A" w14:textId="77777777" w:rsidR="009B65B1" w:rsidRPr="009B65B1" w:rsidRDefault="009B65B1" w:rsidP="009B65B1">
            <w:pPr>
              <w:jc w:val="center"/>
              <w:rPr>
                <w:rFonts w:eastAsia="Times New Roman"/>
                <w:sz w:val="22"/>
                <w:szCs w:val="22"/>
              </w:rPr>
            </w:pPr>
            <w:r w:rsidRPr="009B65B1">
              <w:rPr>
                <w:rFonts w:eastAsia="Times New Roman"/>
                <w:sz w:val="22"/>
                <w:szCs w:val="22"/>
              </w:rPr>
              <w:t>0.02</w:t>
            </w:r>
          </w:p>
        </w:tc>
      </w:tr>
      <w:tr w:rsidR="009B65B1" w:rsidRPr="009B65B1" w14:paraId="497A192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A6246AA" w14:textId="77777777" w:rsidR="009B65B1" w:rsidRPr="009B65B1" w:rsidRDefault="009B65B1" w:rsidP="009B65B1">
            <w:pPr>
              <w:jc w:val="center"/>
              <w:rPr>
                <w:rFonts w:eastAsia="Times New Roman"/>
                <w:sz w:val="22"/>
                <w:szCs w:val="22"/>
              </w:rPr>
            </w:pPr>
            <w:r w:rsidRPr="009B65B1">
              <w:rPr>
                <w:rFonts w:eastAsia="Times New Roman"/>
                <w:sz w:val="22"/>
                <w:szCs w:val="22"/>
              </w:rPr>
              <w:t>A12</w:t>
            </w:r>
          </w:p>
        </w:tc>
        <w:tc>
          <w:tcPr>
            <w:tcW w:w="6214" w:type="dxa"/>
            <w:tcBorders>
              <w:top w:val="nil"/>
              <w:left w:val="nil"/>
              <w:bottom w:val="single" w:sz="4" w:space="0" w:color="auto"/>
              <w:right w:val="single" w:sz="4" w:space="0" w:color="auto"/>
            </w:tcBorders>
            <w:shd w:val="clear" w:color="auto" w:fill="auto"/>
            <w:vAlign w:val="center"/>
            <w:hideMark/>
          </w:tcPr>
          <w:p w14:paraId="273DCEC9" w14:textId="77777777" w:rsidR="009B65B1" w:rsidRPr="009B65B1" w:rsidRDefault="009B65B1" w:rsidP="009B65B1">
            <w:pPr>
              <w:rPr>
                <w:rFonts w:eastAsia="Times New Roman"/>
                <w:sz w:val="22"/>
                <w:szCs w:val="22"/>
              </w:rPr>
            </w:pPr>
            <w:r w:rsidRPr="009B65B1">
              <w:rPr>
                <w:rFonts w:eastAsia="Times New Roman"/>
                <w:sz w:val="22"/>
                <w:szCs w:val="22"/>
              </w:rPr>
              <w:t>Compensation expense</w:t>
            </w:r>
          </w:p>
        </w:tc>
        <w:tc>
          <w:tcPr>
            <w:tcW w:w="1319" w:type="dxa"/>
            <w:tcBorders>
              <w:top w:val="nil"/>
              <w:left w:val="nil"/>
              <w:bottom w:val="single" w:sz="4" w:space="0" w:color="auto"/>
              <w:right w:val="single" w:sz="4" w:space="0" w:color="auto"/>
            </w:tcBorders>
            <w:shd w:val="clear" w:color="auto" w:fill="auto"/>
            <w:vAlign w:val="center"/>
            <w:hideMark/>
          </w:tcPr>
          <w:p w14:paraId="0932C592" w14:textId="77777777" w:rsidR="009B65B1" w:rsidRPr="009B65B1" w:rsidRDefault="009B65B1" w:rsidP="009B65B1">
            <w:pPr>
              <w:jc w:val="center"/>
              <w:rPr>
                <w:rFonts w:eastAsia="Times New Roman"/>
                <w:sz w:val="22"/>
                <w:szCs w:val="22"/>
              </w:rPr>
            </w:pPr>
            <w:r w:rsidRPr="009B65B1">
              <w:rPr>
                <w:rFonts w:eastAsia="Times New Roman"/>
                <w:sz w:val="22"/>
                <w:szCs w:val="22"/>
              </w:rPr>
              <w:t>163</w:t>
            </w:r>
          </w:p>
        </w:tc>
        <w:tc>
          <w:tcPr>
            <w:tcW w:w="1268" w:type="dxa"/>
            <w:tcBorders>
              <w:top w:val="nil"/>
              <w:left w:val="nil"/>
              <w:bottom w:val="single" w:sz="4" w:space="0" w:color="auto"/>
              <w:right w:val="single" w:sz="4" w:space="0" w:color="auto"/>
            </w:tcBorders>
            <w:shd w:val="clear" w:color="auto" w:fill="auto"/>
            <w:noWrap/>
            <w:vAlign w:val="center"/>
            <w:hideMark/>
          </w:tcPr>
          <w:p w14:paraId="7BD22FA0" w14:textId="77777777" w:rsidR="009B65B1" w:rsidRPr="009B65B1" w:rsidRDefault="009B65B1" w:rsidP="009B65B1">
            <w:pPr>
              <w:jc w:val="center"/>
              <w:rPr>
                <w:rFonts w:eastAsia="Times New Roman"/>
                <w:sz w:val="22"/>
                <w:szCs w:val="22"/>
              </w:rPr>
            </w:pPr>
            <w:r w:rsidRPr="009B65B1">
              <w:rPr>
                <w:rFonts w:eastAsia="Times New Roman"/>
                <w:sz w:val="22"/>
                <w:szCs w:val="22"/>
              </w:rPr>
              <w:t>3.23</w:t>
            </w:r>
          </w:p>
        </w:tc>
      </w:tr>
      <w:tr w:rsidR="009B65B1" w:rsidRPr="009B65B1" w14:paraId="1DFA1E5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C244CD4" w14:textId="77777777" w:rsidR="009B65B1" w:rsidRPr="009B65B1" w:rsidRDefault="009B65B1" w:rsidP="009B65B1">
            <w:pPr>
              <w:jc w:val="center"/>
              <w:rPr>
                <w:rFonts w:eastAsia="Times New Roman"/>
                <w:sz w:val="22"/>
                <w:szCs w:val="22"/>
              </w:rPr>
            </w:pPr>
            <w:r w:rsidRPr="009B65B1">
              <w:rPr>
                <w:rFonts w:eastAsia="Times New Roman"/>
                <w:sz w:val="22"/>
                <w:szCs w:val="22"/>
              </w:rPr>
              <w:t>A13</w:t>
            </w:r>
          </w:p>
        </w:tc>
        <w:tc>
          <w:tcPr>
            <w:tcW w:w="6214" w:type="dxa"/>
            <w:tcBorders>
              <w:top w:val="nil"/>
              <w:left w:val="nil"/>
              <w:bottom w:val="single" w:sz="4" w:space="0" w:color="auto"/>
              <w:right w:val="single" w:sz="4" w:space="0" w:color="auto"/>
            </w:tcBorders>
            <w:shd w:val="clear" w:color="auto" w:fill="auto"/>
            <w:vAlign w:val="center"/>
            <w:hideMark/>
          </w:tcPr>
          <w:p w14:paraId="47A4426C" w14:textId="77777777" w:rsidR="009B65B1" w:rsidRPr="009B65B1" w:rsidRDefault="009B65B1" w:rsidP="009B65B1">
            <w:pPr>
              <w:rPr>
                <w:rFonts w:eastAsia="Times New Roman"/>
                <w:sz w:val="22"/>
                <w:szCs w:val="22"/>
              </w:rPr>
            </w:pPr>
            <w:r w:rsidRPr="009B65B1">
              <w:rPr>
                <w:rFonts w:eastAsia="Times New Roman"/>
                <w:sz w:val="22"/>
                <w:szCs w:val="22"/>
              </w:rPr>
              <w:t>Other expenses</w:t>
            </w:r>
          </w:p>
        </w:tc>
        <w:tc>
          <w:tcPr>
            <w:tcW w:w="1319" w:type="dxa"/>
            <w:tcBorders>
              <w:top w:val="nil"/>
              <w:left w:val="nil"/>
              <w:bottom w:val="single" w:sz="4" w:space="0" w:color="auto"/>
              <w:right w:val="single" w:sz="4" w:space="0" w:color="auto"/>
            </w:tcBorders>
            <w:shd w:val="clear" w:color="auto" w:fill="auto"/>
            <w:vAlign w:val="center"/>
            <w:hideMark/>
          </w:tcPr>
          <w:p w14:paraId="0395082C" w14:textId="77777777" w:rsidR="009B65B1" w:rsidRPr="009B65B1" w:rsidRDefault="009B65B1" w:rsidP="009B65B1">
            <w:pPr>
              <w:jc w:val="center"/>
              <w:rPr>
                <w:rFonts w:eastAsia="Times New Roman"/>
                <w:sz w:val="22"/>
                <w:szCs w:val="22"/>
              </w:rPr>
            </w:pPr>
            <w:r w:rsidRPr="009B65B1">
              <w:rPr>
                <w:rFonts w:eastAsia="Times New Roman"/>
                <w:sz w:val="22"/>
                <w:szCs w:val="22"/>
              </w:rPr>
              <w:t>47</w:t>
            </w:r>
          </w:p>
        </w:tc>
        <w:tc>
          <w:tcPr>
            <w:tcW w:w="1268" w:type="dxa"/>
            <w:tcBorders>
              <w:top w:val="nil"/>
              <w:left w:val="nil"/>
              <w:bottom w:val="single" w:sz="4" w:space="0" w:color="auto"/>
              <w:right w:val="single" w:sz="4" w:space="0" w:color="auto"/>
            </w:tcBorders>
            <w:shd w:val="clear" w:color="auto" w:fill="auto"/>
            <w:noWrap/>
            <w:vAlign w:val="center"/>
            <w:hideMark/>
          </w:tcPr>
          <w:p w14:paraId="076738C9" w14:textId="77777777" w:rsidR="009B65B1" w:rsidRPr="009B65B1" w:rsidRDefault="009B65B1" w:rsidP="009B65B1">
            <w:pPr>
              <w:jc w:val="center"/>
              <w:rPr>
                <w:rFonts w:eastAsia="Times New Roman"/>
                <w:sz w:val="22"/>
                <w:szCs w:val="22"/>
              </w:rPr>
            </w:pPr>
            <w:r w:rsidRPr="009B65B1">
              <w:rPr>
                <w:rFonts w:eastAsia="Times New Roman"/>
                <w:sz w:val="22"/>
                <w:szCs w:val="22"/>
              </w:rPr>
              <w:t>0.93</w:t>
            </w:r>
          </w:p>
        </w:tc>
      </w:tr>
      <w:tr w:rsidR="009B65B1" w:rsidRPr="009B65B1" w14:paraId="25CBF97B"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F6B70C3" w14:textId="77777777" w:rsidR="009B65B1" w:rsidRPr="009B65B1" w:rsidRDefault="009B65B1" w:rsidP="009B65B1">
            <w:pPr>
              <w:jc w:val="center"/>
              <w:rPr>
                <w:rFonts w:eastAsia="Times New Roman"/>
                <w:sz w:val="22"/>
                <w:szCs w:val="22"/>
              </w:rPr>
            </w:pPr>
            <w:r w:rsidRPr="009B65B1">
              <w:rPr>
                <w:rFonts w:eastAsia="Times New Roman"/>
                <w:sz w:val="22"/>
                <w:szCs w:val="22"/>
              </w:rPr>
              <w:t>A14</w:t>
            </w:r>
          </w:p>
        </w:tc>
        <w:tc>
          <w:tcPr>
            <w:tcW w:w="6214" w:type="dxa"/>
            <w:tcBorders>
              <w:top w:val="nil"/>
              <w:left w:val="nil"/>
              <w:bottom w:val="single" w:sz="4" w:space="0" w:color="auto"/>
              <w:right w:val="single" w:sz="4" w:space="0" w:color="auto"/>
            </w:tcBorders>
            <w:shd w:val="clear" w:color="auto" w:fill="auto"/>
            <w:vAlign w:val="center"/>
            <w:hideMark/>
          </w:tcPr>
          <w:p w14:paraId="77D1AB4C" w14:textId="77777777" w:rsidR="009B65B1" w:rsidRPr="009B65B1" w:rsidRDefault="009B65B1" w:rsidP="009B65B1">
            <w:pPr>
              <w:rPr>
                <w:rFonts w:eastAsia="Times New Roman"/>
                <w:sz w:val="22"/>
                <w:szCs w:val="22"/>
              </w:rPr>
            </w:pPr>
            <w:r w:rsidRPr="009B65B1">
              <w:rPr>
                <w:rFonts w:eastAsia="Times New Roman"/>
                <w:sz w:val="22"/>
                <w:szCs w:val="22"/>
              </w:rPr>
              <w:t>Extraordinary items and discontinued operation</w:t>
            </w:r>
          </w:p>
        </w:tc>
        <w:tc>
          <w:tcPr>
            <w:tcW w:w="1319" w:type="dxa"/>
            <w:tcBorders>
              <w:top w:val="nil"/>
              <w:left w:val="nil"/>
              <w:bottom w:val="single" w:sz="4" w:space="0" w:color="auto"/>
              <w:right w:val="single" w:sz="4" w:space="0" w:color="auto"/>
            </w:tcBorders>
            <w:shd w:val="clear" w:color="auto" w:fill="auto"/>
            <w:vAlign w:val="center"/>
            <w:hideMark/>
          </w:tcPr>
          <w:p w14:paraId="41A5873C" w14:textId="77777777" w:rsidR="009B65B1" w:rsidRPr="009B65B1" w:rsidRDefault="009B65B1" w:rsidP="009B65B1">
            <w:pPr>
              <w:jc w:val="center"/>
              <w:rPr>
                <w:rFonts w:eastAsia="Times New Roman"/>
                <w:sz w:val="22"/>
                <w:szCs w:val="22"/>
              </w:rPr>
            </w:pPr>
            <w:r w:rsidRPr="009B65B1">
              <w:rPr>
                <w:rFonts w:eastAsia="Times New Roman"/>
                <w:sz w:val="22"/>
                <w:szCs w:val="22"/>
              </w:rPr>
              <w:t>5</w:t>
            </w:r>
          </w:p>
        </w:tc>
        <w:tc>
          <w:tcPr>
            <w:tcW w:w="1268" w:type="dxa"/>
            <w:tcBorders>
              <w:top w:val="nil"/>
              <w:left w:val="nil"/>
              <w:bottom w:val="single" w:sz="4" w:space="0" w:color="auto"/>
              <w:right w:val="single" w:sz="4" w:space="0" w:color="auto"/>
            </w:tcBorders>
            <w:shd w:val="clear" w:color="auto" w:fill="auto"/>
            <w:noWrap/>
            <w:vAlign w:val="center"/>
            <w:hideMark/>
          </w:tcPr>
          <w:p w14:paraId="0641CFC2" w14:textId="77777777" w:rsidR="009B65B1" w:rsidRPr="009B65B1" w:rsidRDefault="009B65B1" w:rsidP="009B65B1">
            <w:pPr>
              <w:jc w:val="center"/>
              <w:rPr>
                <w:rFonts w:eastAsia="Times New Roman"/>
                <w:sz w:val="22"/>
                <w:szCs w:val="22"/>
              </w:rPr>
            </w:pPr>
            <w:r w:rsidRPr="009B65B1">
              <w:rPr>
                <w:rFonts w:eastAsia="Times New Roman"/>
                <w:sz w:val="22"/>
                <w:szCs w:val="22"/>
              </w:rPr>
              <w:t>0.10</w:t>
            </w:r>
          </w:p>
        </w:tc>
      </w:tr>
      <w:tr w:rsidR="009B65B1" w:rsidRPr="009B65B1" w14:paraId="4AA8733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D2E9969" w14:textId="77777777" w:rsidR="009B65B1" w:rsidRPr="009B65B1" w:rsidRDefault="009B65B1" w:rsidP="009B65B1">
            <w:pPr>
              <w:jc w:val="center"/>
              <w:rPr>
                <w:rFonts w:eastAsia="Times New Roman"/>
                <w:sz w:val="22"/>
                <w:szCs w:val="22"/>
              </w:rPr>
            </w:pPr>
            <w:r w:rsidRPr="009B65B1">
              <w:rPr>
                <w:rFonts w:eastAsia="Times New Roman"/>
                <w:sz w:val="22"/>
                <w:szCs w:val="22"/>
              </w:rPr>
              <w:t>A15</w:t>
            </w:r>
          </w:p>
        </w:tc>
        <w:tc>
          <w:tcPr>
            <w:tcW w:w="6214" w:type="dxa"/>
            <w:tcBorders>
              <w:top w:val="nil"/>
              <w:left w:val="nil"/>
              <w:bottom w:val="single" w:sz="4" w:space="0" w:color="auto"/>
              <w:right w:val="single" w:sz="4" w:space="0" w:color="auto"/>
            </w:tcBorders>
            <w:shd w:val="clear" w:color="auto" w:fill="auto"/>
            <w:vAlign w:val="center"/>
            <w:hideMark/>
          </w:tcPr>
          <w:p w14:paraId="1FC00DB0" w14:textId="77777777" w:rsidR="009B65B1" w:rsidRPr="009B65B1" w:rsidRDefault="009B65B1" w:rsidP="009B65B1">
            <w:pPr>
              <w:rPr>
                <w:rFonts w:eastAsia="Times New Roman"/>
                <w:sz w:val="22"/>
                <w:szCs w:val="22"/>
              </w:rPr>
            </w:pPr>
            <w:r w:rsidRPr="009B65B1">
              <w:rPr>
                <w:rFonts w:eastAsia="Times New Roman"/>
                <w:sz w:val="22"/>
                <w:szCs w:val="22"/>
              </w:rPr>
              <w:t>Earnings</w:t>
            </w:r>
          </w:p>
        </w:tc>
        <w:tc>
          <w:tcPr>
            <w:tcW w:w="1319" w:type="dxa"/>
            <w:tcBorders>
              <w:top w:val="nil"/>
              <w:left w:val="nil"/>
              <w:bottom w:val="single" w:sz="4" w:space="0" w:color="auto"/>
              <w:right w:val="single" w:sz="4" w:space="0" w:color="auto"/>
            </w:tcBorders>
            <w:shd w:val="clear" w:color="auto" w:fill="auto"/>
            <w:vAlign w:val="center"/>
            <w:hideMark/>
          </w:tcPr>
          <w:p w14:paraId="25D9E9C9" w14:textId="77777777" w:rsidR="009B65B1" w:rsidRPr="009B65B1" w:rsidRDefault="009B65B1" w:rsidP="009B65B1">
            <w:pPr>
              <w:jc w:val="center"/>
              <w:rPr>
                <w:rFonts w:eastAsia="Times New Roman"/>
                <w:sz w:val="22"/>
                <w:szCs w:val="22"/>
              </w:rPr>
            </w:pPr>
            <w:r w:rsidRPr="009B65B1">
              <w:rPr>
                <w:rFonts w:eastAsia="Times New Roman"/>
                <w:sz w:val="22"/>
                <w:szCs w:val="22"/>
              </w:rPr>
              <w:t>28</w:t>
            </w:r>
          </w:p>
        </w:tc>
        <w:tc>
          <w:tcPr>
            <w:tcW w:w="1268" w:type="dxa"/>
            <w:tcBorders>
              <w:top w:val="nil"/>
              <w:left w:val="nil"/>
              <w:bottom w:val="single" w:sz="4" w:space="0" w:color="auto"/>
              <w:right w:val="single" w:sz="4" w:space="0" w:color="auto"/>
            </w:tcBorders>
            <w:shd w:val="clear" w:color="auto" w:fill="auto"/>
            <w:noWrap/>
            <w:vAlign w:val="center"/>
            <w:hideMark/>
          </w:tcPr>
          <w:p w14:paraId="33EA9D7C" w14:textId="77777777" w:rsidR="009B65B1" w:rsidRPr="009B65B1" w:rsidRDefault="009B65B1" w:rsidP="009B65B1">
            <w:pPr>
              <w:jc w:val="center"/>
              <w:rPr>
                <w:rFonts w:eastAsia="Times New Roman"/>
                <w:sz w:val="22"/>
                <w:szCs w:val="22"/>
              </w:rPr>
            </w:pPr>
            <w:r w:rsidRPr="009B65B1">
              <w:rPr>
                <w:rFonts w:eastAsia="Times New Roman"/>
                <w:sz w:val="22"/>
                <w:szCs w:val="22"/>
              </w:rPr>
              <w:t>0.55</w:t>
            </w:r>
          </w:p>
        </w:tc>
      </w:tr>
      <w:tr w:rsidR="009B65B1" w:rsidRPr="009B65B1" w14:paraId="49E37D75"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B59D928"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00EC9FE3" w14:textId="77777777" w:rsidR="009B65B1" w:rsidRPr="009B65B1" w:rsidRDefault="009B65B1" w:rsidP="009B65B1">
            <w:pPr>
              <w:rPr>
                <w:rFonts w:eastAsia="Times New Roman"/>
                <w:b/>
                <w:bCs/>
                <w:sz w:val="22"/>
                <w:szCs w:val="22"/>
              </w:rPr>
            </w:pPr>
            <w:r w:rsidRPr="009B65B1">
              <w:rPr>
                <w:rFonts w:eastAsia="Times New Roman"/>
                <w:b/>
                <w:bCs/>
                <w:sz w:val="22"/>
                <w:szCs w:val="22"/>
              </w:rPr>
              <w:t>Cash flow statement</w:t>
            </w:r>
          </w:p>
        </w:tc>
        <w:tc>
          <w:tcPr>
            <w:tcW w:w="1319" w:type="dxa"/>
            <w:tcBorders>
              <w:top w:val="nil"/>
              <w:left w:val="nil"/>
              <w:bottom w:val="single" w:sz="4" w:space="0" w:color="auto"/>
              <w:right w:val="single" w:sz="4" w:space="0" w:color="auto"/>
            </w:tcBorders>
            <w:shd w:val="clear" w:color="auto" w:fill="auto"/>
            <w:vAlign w:val="center"/>
            <w:hideMark/>
          </w:tcPr>
          <w:p w14:paraId="10BE7E77"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1268" w:type="dxa"/>
            <w:tcBorders>
              <w:top w:val="nil"/>
              <w:left w:val="nil"/>
              <w:bottom w:val="single" w:sz="4" w:space="0" w:color="auto"/>
              <w:right w:val="single" w:sz="4" w:space="0" w:color="auto"/>
            </w:tcBorders>
            <w:shd w:val="clear" w:color="auto" w:fill="auto"/>
            <w:noWrap/>
            <w:vAlign w:val="center"/>
            <w:hideMark/>
          </w:tcPr>
          <w:p w14:paraId="77065B24" w14:textId="77777777" w:rsidR="009B65B1" w:rsidRPr="009B65B1" w:rsidRDefault="009B65B1" w:rsidP="009B65B1">
            <w:pPr>
              <w:jc w:val="center"/>
              <w:rPr>
                <w:rFonts w:eastAsia="Times New Roman"/>
                <w:sz w:val="22"/>
                <w:szCs w:val="22"/>
              </w:rPr>
            </w:pPr>
            <w:r w:rsidRPr="009B65B1">
              <w:rPr>
                <w:rFonts w:eastAsia="Times New Roman"/>
                <w:sz w:val="22"/>
                <w:szCs w:val="22"/>
              </w:rPr>
              <w:t>0.00</w:t>
            </w:r>
          </w:p>
        </w:tc>
      </w:tr>
      <w:tr w:rsidR="009B65B1" w:rsidRPr="009B65B1" w14:paraId="4782EB6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750E006" w14:textId="77777777" w:rsidR="009B65B1" w:rsidRPr="009B65B1" w:rsidRDefault="009B65B1" w:rsidP="009B65B1">
            <w:pPr>
              <w:jc w:val="center"/>
              <w:rPr>
                <w:rFonts w:eastAsia="Times New Roman"/>
                <w:sz w:val="22"/>
                <w:szCs w:val="22"/>
              </w:rPr>
            </w:pPr>
            <w:r w:rsidRPr="009B65B1">
              <w:rPr>
                <w:rFonts w:eastAsia="Times New Roman"/>
                <w:sz w:val="22"/>
                <w:szCs w:val="22"/>
              </w:rPr>
              <w:t>A16</w:t>
            </w:r>
          </w:p>
        </w:tc>
        <w:tc>
          <w:tcPr>
            <w:tcW w:w="6214" w:type="dxa"/>
            <w:tcBorders>
              <w:top w:val="nil"/>
              <w:left w:val="nil"/>
              <w:bottom w:val="single" w:sz="4" w:space="0" w:color="auto"/>
              <w:right w:val="single" w:sz="4" w:space="0" w:color="auto"/>
            </w:tcBorders>
            <w:shd w:val="clear" w:color="auto" w:fill="auto"/>
            <w:vAlign w:val="center"/>
            <w:hideMark/>
          </w:tcPr>
          <w:p w14:paraId="34AF1CF3" w14:textId="77777777" w:rsidR="009B65B1" w:rsidRPr="009B65B1" w:rsidRDefault="009B65B1" w:rsidP="009B65B1">
            <w:pPr>
              <w:rPr>
                <w:rFonts w:eastAsia="Times New Roman"/>
                <w:sz w:val="22"/>
                <w:szCs w:val="22"/>
              </w:rPr>
            </w:pPr>
            <w:r w:rsidRPr="009B65B1">
              <w:rPr>
                <w:rFonts w:eastAsia="Times New Roman"/>
                <w:sz w:val="22"/>
                <w:szCs w:val="22"/>
              </w:rPr>
              <w:t>Cash flow from operations</w:t>
            </w:r>
          </w:p>
        </w:tc>
        <w:tc>
          <w:tcPr>
            <w:tcW w:w="1319" w:type="dxa"/>
            <w:tcBorders>
              <w:top w:val="nil"/>
              <w:left w:val="nil"/>
              <w:bottom w:val="single" w:sz="4" w:space="0" w:color="auto"/>
              <w:right w:val="single" w:sz="4" w:space="0" w:color="auto"/>
            </w:tcBorders>
            <w:shd w:val="clear" w:color="auto" w:fill="auto"/>
            <w:vAlign w:val="center"/>
            <w:hideMark/>
          </w:tcPr>
          <w:p w14:paraId="3CF656CB" w14:textId="77777777" w:rsidR="009B65B1" w:rsidRPr="009B65B1" w:rsidRDefault="009B65B1" w:rsidP="009B65B1">
            <w:pPr>
              <w:jc w:val="center"/>
              <w:rPr>
                <w:rFonts w:eastAsia="Times New Roman"/>
                <w:sz w:val="22"/>
                <w:szCs w:val="22"/>
              </w:rPr>
            </w:pPr>
            <w:r w:rsidRPr="009B65B1">
              <w:rPr>
                <w:rFonts w:eastAsia="Times New Roman"/>
                <w:sz w:val="22"/>
                <w:szCs w:val="22"/>
              </w:rPr>
              <w:t>4</w:t>
            </w:r>
          </w:p>
        </w:tc>
        <w:tc>
          <w:tcPr>
            <w:tcW w:w="1268" w:type="dxa"/>
            <w:tcBorders>
              <w:top w:val="nil"/>
              <w:left w:val="nil"/>
              <w:bottom w:val="single" w:sz="4" w:space="0" w:color="auto"/>
              <w:right w:val="single" w:sz="4" w:space="0" w:color="auto"/>
            </w:tcBorders>
            <w:shd w:val="clear" w:color="auto" w:fill="auto"/>
            <w:noWrap/>
            <w:vAlign w:val="center"/>
            <w:hideMark/>
          </w:tcPr>
          <w:p w14:paraId="516C6C48" w14:textId="77777777" w:rsidR="009B65B1" w:rsidRPr="009B65B1" w:rsidRDefault="009B65B1" w:rsidP="009B65B1">
            <w:pPr>
              <w:jc w:val="center"/>
              <w:rPr>
                <w:rFonts w:eastAsia="Times New Roman"/>
                <w:sz w:val="22"/>
                <w:szCs w:val="22"/>
              </w:rPr>
            </w:pPr>
            <w:r w:rsidRPr="009B65B1">
              <w:rPr>
                <w:rFonts w:eastAsia="Times New Roman"/>
                <w:sz w:val="22"/>
                <w:szCs w:val="22"/>
              </w:rPr>
              <w:t>0.08</w:t>
            </w:r>
          </w:p>
        </w:tc>
      </w:tr>
      <w:tr w:rsidR="009B65B1" w:rsidRPr="009B65B1" w14:paraId="290E51D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48CF7A8" w14:textId="77777777" w:rsidR="009B65B1" w:rsidRPr="009B65B1" w:rsidRDefault="009B65B1" w:rsidP="009B65B1">
            <w:pPr>
              <w:jc w:val="center"/>
              <w:rPr>
                <w:rFonts w:eastAsia="Times New Roman"/>
                <w:sz w:val="22"/>
                <w:szCs w:val="22"/>
              </w:rPr>
            </w:pPr>
            <w:r w:rsidRPr="009B65B1">
              <w:rPr>
                <w:rFonts w:eastAsia="Times New Roman"/>
                <w:sz w:val="22"/>
                <w:szCs w:val="22"/>
              </w:rPr>
              <w:t>A17</w:t>
            </w:r>
          </w:p>
        </w:tc>
        <w:tc>
          <w:tcPr>
            <w:tcW w:w="6214" w:type="dxa"/>
            <w:tcBorders>
              <w:top w:val="nil"/>
              <w:left w:val="nil"/>
              <w:bottom w:val="single" w:sz="4" w:space="0" w:color="auto"/>
              <w:right w:val="single" w:sz="4" w:space="0" w:color="auto"/>
            </w:tcBorders>
            <w:shd w:val="clear" w:color="auto" w:fill="auto"/>
            <w:vAlign w:val="center"/>
            <w:hideMark/>
          </w:tcPr>
          <w:p w14:paraId="2F058E79" w14:textId="77777777" w:rsidR="009B65B1" w:rsidRPr="009B65B1" w:rsidRDefault="009B65B1" w:rsidP="009B65B1">
            <w:pPr>
              <w:rPr>
                <w:rFonts w:eastAsia="Times New Roman"/>
                <w:sz w:val="22"/>
                <w:szCs w:val="22"/>
              </w:rPr>
            </w:pPr>
            <w:r w:rsidRPr="009B65B1">
              <w:rPr>
                <w:rFonts w:eastAsia="Times New Roman"/>
                <w:sz w:val="22"/>
                <w:szCs w:val="22"/>
              </w:rPr>
              <w:t>Cash flow from investing activities</w:t>
            </w:r>
          </w:p>
        </w:tc>
        <w:tc>
          <w:tcPr>
            <w:tcW w:w="1319" w:type="dxa"/>
            <w:tcBorders>
              <w:top w:val="nil"/>
              <w:left w:val="nil"/>
              <w:bottom w:val="single" w:sz="4" w:space="0" w:color="auto"/>
              <w:right w:val="single" w:sz="4" w:space="0" w:color="auto"/>
            </w:tcBorders>
            <w:shd w:val="clear" w:color="auto" w:fill="auto"/>
            <w:vAlign w:val="center"/>
            <w:hideMark/>
          </w:tcPr>
          <w:p w14:paraId="03377268"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14:paraId="012CA6F9" w14:textId="77777777" w:rsidR="009B65B1" w:rsidRPr="009B65B1" w:rsidRDefault="009B65B1" w:rsidP="009B65B1">
            <w:pPr>
              <w:jc w:val="center"/>
              <w:rPr>
                <w:rFonts w:eastAsia="Times New Roman"/>
                <w:sz w:val="22"/>
                <w:szCs w:val="22"/>
              </w:rPr>
            </w:pPr>
            <w:r w:rsidRPr="009B65B1">
              <w:rPr>
                <w:rFonts w:eastAsia="Times New Roman"/>
                <w:sz w:val="22"/>
                <w:szCs w:val="22"/>
              </w:rPr>
              <w:t>0.02</w:t>
            </w:r>
          </w:p>
        </w:tc>
      </w:tr>
      <w:tr w:rsidR="009B65B1" w:rsidRPr="009B65B1" w14:paraId="4A6CE2FB"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56746A0" w14:textId="77777777" w:rsidR="009B65B1" w:rsidRPr="009B65B1" w:rsidRDefault="009B65B1" w:rsidP="009B65B1">
            <w:pPr>
              <w:jc w:val="center"/>
              <w:rPr>
                <w:rFonts w:eastAsia="Times New Roman"/>
                <w:sz w:val="22"/>
                <w:szCs w:val="22"/>
              </w:rPr>
            </w:pPr>
            <w:r w:rsidRPr="009B65B1">
              <w:rPr>
                <w:rFonts w:eastAsia="Times New Roman"/>
                <w:sz w:val="22"/>
                <w:szCs w:val="22"/>
              </w:rPr>
              <w:t>A18</w:t>
            </w:r>
          </w:p>
        </w:tc>
        <w:tc>
          <w:tcPr>
            <w:tcW w:w="6214" w:type="dxa"/>
            <w:tcBorders>
              <w:top w:val="nil"/>
              <w:left w:val="nil"/>
              <w:bottom w:val="single" w:sz="4" w:space="0" w:color="auto"/>
              <w:right w:val="single" w:sz="4" w:space="0" w:color="auto"/>
            </w:tcBorders>
            <w:shd w:val="clear" w:color="auto" w:fill="auto"/>
            <w:vAlign w:val="center"/>
            <w:hideMark/>
          </w:tcPr>
          <w:p w14:paraId="060D296E" w14:textId="77777777" w:rsidR="009B65B1" w:rsidRPr="009B65B1" w:rsidRDefault="009B65B1" w:rsidP="009B65B1">
            <w:pPr>
              <w:rPr>
                <w:rFonts w:eastAsia="Times New Roman"/>
                <w:sz w:val="22"/>
                <w:szCs w:val="22"/>
              </w:rPr>
            </w:pPr>
            <w:r w:rsidRPr="009B65B1">
              <w:rPr>
                <w:rFonts w:eastAsia="Times New Roman"/>
                <w:sz w:val="22"/>
                <w:szCs w:val="22"/>
              </w:rPr>
              <w:t>Cash flow from financing activities</w:t>
            </w:r>
          </w:p>
        </w:tc>
        <w:tc>
          <w:tcPr>
            <w:tcW w:w="1319" w:type="dxa"/>
            <w:tcBorders>
              <w:top w:val="nil"/>
              <w:left w:val="nil"/>
              <w:bottom w:val="single" w:sz="4" w:space="0" w:color="auto"/>
              <w:right w:val="single" w:sz="4" w:space="0" w:color="auto"/>
            </w:tcBorders>
            <w:shd w:val="clear" w:color="auto" w:fill="auto"/>
            <w:vAlign w:val="center"/>
            <w:hideMark/>
          </w:tcPr>
          <w:p w14:paraId="41FB0CC2"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14:paraId="57253B9D" w14:textId="77777777" w:rsidR="009B65B1" w:rsidRPr="009B65B1" w:rsidRDefault="009B65B1" w:rsidP="009B65B1">
            <w:pPr>
              <w:jc w:val="center"/>
              <w:rPr>
                <w:rFonts w:eastAsia="Times New Roman"/>
                <w:sz w:val="22"/>
                <w:szCs w:val="22"/>
              </w:rPr>
            </w:pPr>
            <w:r w:rsidRPr="009B65B1">
              <w:rPr>
                <w:rFonts w:eastAsia="Times New Roman"/>
                <w:sz w:val="22"/>
                <w:szCs w:val="22"/>
              </w:rPr>
              <w:t>0.02</w:t>
            </w:r>
          </w:p>
        </w:tc>
      </w:tr>
      <w:tr w:rsidR="009B65B1" w:rsidRPr="009B65B1" w14:paraId="74E06C7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E4C9511" w14:textId="77777777" w:rsidR="009B65B1" w:rsidRPr="009B65B1" w:rsidRDefault="009B65B1" w:rsidP="009B65B1">
            <w:pPr>
              <w:jc w:val="center"/>
              <w:rPr>
                <w:rFonts w:eastAsia="Times New Roman"/>
                <w:sz w:val="22"/>
                <w:szCs w:val="22"/>
              </w:rPr>
            </w:pPr>
            <w:r w:rsidRPr="009B65B1">
              <w:rPr>
                <w:rFonts w:eastAsia="Times New Roman"/>
                <w:sz w:val="22"/>
                <w:szCs w:val="22"/>
              </w:rPr>
              <w:t>A19</w:t>
            </w:r>
          </w:p>
        </w:tc>
        <w:tc>
          <w:tcPr>
            <w:tcW w:w="6214" w:type="dxa"/>
            <w:tcBorders>
              <w:top w:val="nil"/>
              <w:left w:val="nil"/>
              <w:bottom w:val="single" w:sz="4" w:space="0" w:color="auto"/>
              <w:right w:val="single" w:sz="4" w:space="0" w:color="auto"/>
            </w:tcBorders>
            <w:shd w:val="clear" w:color="auto" w:fill="auto"/>
            <w:vAlign w:val="center"/>
            <w:hideMark/>
          </w:tcPr>
          <w:p w14:paraId="6AFF9DDE" w14:textId="77777777" w:rsidR="009B65B1" w:rsidRPr="009B65B1" w:rsidRDefault="009B65B1" w:rsidP="009B65B1">
            <w:pPr>
              <w:rPr>
                <w:rFonts w:eastAsia="Times New Roman"/>
                <w:b/>
                <w:bCs/>
                <w:sz w:val="22"/>
                <w:szCs w:val="22"/>
              </w:rPr>
            </w:pPr>
            <w:r w:rsidRPr="009B65B1">
              <w:rPr>
                <w:rFonts w:eastAsia="Times New Roman"/>
                <w:b/>
                <w:bCs/>
                <w:sz w:val="22"/>
                <w:szCs w:val="22"/>
              </w:rPr>
              <w:t>Financial items in general</w:t>
            </w:r>
          </w:p>
        </w:tc>
        <w:tc>
          <w:tcPr>
            <w:tcW w:w="1319" w:type="dxa"/>
            <w:tcBorders>
              <w:top w:val="nil"/>
              <w:left w:val="nil"/>
              <w:bottom w:val="single" w:sz="4" w:space="0" w:color="auto"/>
              <w:right w:val="single" w:sz="4" w:space="0" w:color="auto"/>
            </w:tcBorders>
            <w:shd w:val="clear" w:color="auto" w:fill="auto"/>
            <w:vAlign w:val="center"/>
            <w:hideMark/>
          </w:tcPr>
          <w:p w14:paraId="6B582EAE" w14:textId="77777777" w:rsidR="009B65B1" w:rsidRPr="009B65B1" w:rsidRDefault="009B65B1" w:rsidP="009B65B1">
            <w:pPr>
              <w:jc w:val="center"/>
              <w:rPr>
                <w:rFonts w:eastAsia="Times New Roman"/>
                <w:sz w:val="22"/>
                <w:szCs w:val="22"/>
              </w:rPr>
            </w:pPr>
            <w:r w:rsidRPr="009B65B1">
              <w:rPr>
                <w:rFonts w:eastAsia="Times New Roman"/>
                <w:sz w:val="22"/>
                <w:szCs w:val="22"/>
              </w:rPr>
              <w:t>60</w:t>
            </w:r>
          </w:p>
        </w:tc>
        <w:tc>
          <w:tcPr>
            <w:tcW w:w="1268" w:type="dxa"/>
            <w:tcBorders>
              <w:top w:val="nil"/>
              <w:left w:val="nil"/>
              <w:bottom w:val="single" w:sz="4" w:space="0" w:color="auto"/>
              <w:right w:val="single" w:sz="4" w:space="0" w:color="auto"/>
            </w:tcBorders>
            <w:shd w:val="clear" w:color="auto" w:fill="auto"/>
            <w:noWrap/>
            <w:vAlign w:val="center"/>
            <w:hideMark/>
          </w:tcPr>
          <w:p w14:paraId="3103ABBE" w14:textId="77777777" w:rsidR="009B65B1" w:rsidRPr="009B65B1" w:rsidRDefault="009B65B1" w:rsidP="009B65B1">
            <w:pPr>
              <w:jc w:val="center"/>
              <w:rPr>
                <w:rFonts w:eastAsia="Times New Roman"/>
                <w:sz w:val="22"/>
                <w:szCs w:val="22"/>
              </w:rPr>
            </w:pPr>
            <w:r w:rsidRPr="009B65B1">
              <w:rPr>
                <w:rFonts w:eastAsia="Times New Roman"/>
                <w:sz w:val="22"/>
                <w:szCs w:val="22"/>
              </w:rPr>
              <w:t>1.19</w:t>
            </w:r>
          </w:p>
        </w:tc>
      </w:tr>
      <w:tr w:rsidR="009B65B1" w:rsidRPr="009B65B1" w14:paraId="0FCF79BF" w14:textId="77777777" w:rsidTr="009B65B1">
        <w:trPr>
          <w:trHeight w:val="37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14:paraId="60AE0644" w14:textId="77777777" w:rsidR="009B65B1" w:rsidRPr="009B65B1" w:rsidRDefault="009B65B1" w:rsidP="009B65B1">
            <w:pP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0F33546B" w14:textId="77777777" w:rsidR="009B65B1" w:rsidRPr="009B65B1" w:rsidRDefault="009B65B1" w:rsidP="009B65B1">
            <w:pPr>
              <w:rPr>
                <w:rFonts w:eastAsia="Times New Roman"/>
                <w:b/>
                <w:bCs/>
                <w:sz w:val="22"/>
                <w:szCs w:val="22"/>
              </w:rPr>
            </w:pPr>
            <w:r w:rsidRPr="009B65B1">
              <w:rPr>
                <w:rFonts w:eastAsia="Times New Roman"/>
                <w:b/>
                <w:bCs/>
                <w:sz w:val="22"/>
                <w:szCs w:val="22"/>
              </w:rPr>
              <w:t>Panel B: Issues on accounting-related transactions/events</w:t>
            </w:r>
          </w:p>
        </w:tc>
        <w:tc>
          <w:tcPr>
            <w:tcW w:w="1319" w:type="dxa"/>
            <w:tcBorders>
              <w:top w:val="nil"/>
              <w:left w:val="nil"/>
              <w:bottom w:val="single" w:sz="4" w:space="0" w:color="auto"/>
              <w:right w:val="single" w:sz="4" w:space="0" w:color="auto"/>
            </w:tcBorders>
            <w:shd w:val="clear" w:color="auto" w:fill="auto"/>
            <w:vAlign w:val="center"/>
            <w:hideMark/>
          </w:tcPr>
          <w:p w14:paraId="3F3A4E0F"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1268" w:type="dxa"/>
            <w:tcBorders>
              <w:top w:val="nil"/>
              <w:left w:val="nil"/>
              <w:bottom w:val="single" w:sz="4" w:space="0" w:color="auto"/>
              <w:right w:val="single" w:sz="4" w:space="0" w:color="auto"/>
            </w:tcBorders>
            <w:shd w:val="clear" w:color="auto" w:fill="auto"/>
            <w:noWrap/>
            <w:vAlign w:val="center"/>
            <w:hideMark/>
          </w:tcPr>
          <w:p w14:paraId="3AD17056"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r>
      <w:tr w:rsidR="009B65B1" w:rsidRPr="009B65B1" w14:paraId="194A688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57E5A72" w14:textId="77777777" w:rsidR="009B65B1" w:rsidRPr="009B65B1" w:rsidRDefault="009B65B1" w:rsidP="009B65B1">
            <w:pPr>
              <w:jc w:val="center"/>
              <w:rPr>
                <w:rFonts w:eastAsia="Times New Roman"/>
                <w:sz w:val="22"/>
                <w:szCs w:val="22"/>
              </w:rPr>
            </w:pPr>
            <w:r w:rsidRPr="009B65B1">
              <w:rPr>
                <w:rFonts w:eastAsia="Times New Roman"/>
                <w:sz w:val="22"/>
                <w:szCs w:val="22"/>
              </w:rPr>
              <w:t>A20</w:t>
            </w:r>
          </w:p>
        </w:tc>
        <w:tc>
          <w:tcPr>
            <w:tcW w:w="6214" w:type="dxa"/>
            <w:tcBorders>
              <w:top w:val="nil"/>
              <w:left w:val="nil"/>
              <w:bottom w:val="single" w:sz="4" w:space="0" w:color="auto"/>
              <w:right w:val="single" w:sz="4" w:space="0" w:color="auto"/>
            </w:tcBorders>
            <w:shd w:val="clear" w:color="auto" w:fill="auto"/>
            <w:vAlign w:val="center"/>
            <w:hideMark/>
          </w:tcPr>
          <w:p w14:paraId="7B609AE2" w14:textId="77777777" w:rsidR="009B65B1" w:rsidRPr="009B65B1" w:rsidRDefault="009B65B1" w:rsidP="009B65B1">
            <w:pPr>
              <w:rPr>
                <w:rFonts w:eastAsia="Times New Roman"/>
                <w:sz w:val="22"/>
                <w:szCs w:val="22"/>
              </w:rPr>
            </w:pPr>
            <w:r w:rsidRPr="009B65B1">
              <w:rPr>
                <w:rFonts w:eastAsia="Times New Roman"/>
                <w:sz w:val="22"/>
                <w:szCs w:val="22"/>
              </w:rPr>
              <w:t>Asset acquisitions and dispositions</w:t>
            </w:r>
          </w:p>
        </w:tc>
        <w:tc>
          <w:tcPr>
            <w:tcW w:w="1319" w:type="dxa"/>
            <w:tcBorders>
              <w:top w:val="nil"/>
              <w:left w:val="nil"/>
              <w:bottom w:val="single" w:sz="4" w:space="0" w:color="auto"/>
              <w:right w:val="single" w:sz="4" w:space="0" w:color="auto"/>
            </w:tcBorders>
            <w:shd w:val="clear" w:color="auto" w:fill="auto"/>
            <w:vAlign w:val="center"/>
            <w:hideMark/>
          </w:tcPr>
          <w:p w14:paraId="4422B747" w14:textId="77777777" w:rsidR="009B65B1" w:rsidRPr="009B65B1" w:rsidRDefault="009B65B1" w:rsidP="009B65B1">
            <w:pPr>
              <w:jc w:val="center"/>
              <w:rPr>
                <w:rFonts w:eastAsia="Times New Roman"/>
                <w:sz w:val="22"/>
                <w:szCs w:val="22"/>
              </w:rPr>
            </w:pPr>
            <w:r w:rsidRPr="009B65B1">
              <w:rPr>
                <w:rFonts w:eastAsia="Times New Roman"/>
                <w:sz w:val="22"/>
                <w:szCs w:val="22"/>
              </w:rPr>
              <w:t>53</w:t>
            </w:r>
          </w:p>
        </w:tc>
        <w:tc>
          <w:tcPr>
            <w:tcW w:w="1268" w:type="dxa"/>
            <w:tcBorders>
              <w:top w:val="nil"/>
              <w:left w:val="nil"/>
              <w:bottom w:val="single" w:sz="4" w:space="0" w:color="auto"/>
              <w:right w:val="single" w:sz="4" w:space="0" w:color="auto"/>
            </w:tcBorders>
            <w:shd w:val="clear" w:color="auto" w:fill="auto"/>
            <w:noWrap/>
            <w:vAlign w:val="center"/>
            <w:hideMark/>
          </w:tcPr>
          <w:p w14:paraId="02DDFD48" w14:textId="77777777" w:rsidR="009B65B1" w:rsidRPr="009B65B1" w:rsidRDefault="009B65B1" w:rsidP="009B65B1">
            <w:pPr>
              <w:jc w:val="center"/>
              <w:rPr>
                <w:rFonts w:eastAsia="Times New Roman"/>
                <w:sz w:val="22"/>
                <w:szCs w:val="22"/>
              </w:rPr>
            </w:pPr>
            <w:r w:rsidRPr="009B65B1">
              <w:rPr>
                <w:rFonts w:eastAsia="Times New Roman"/>
                <w:sz w:val="22"/>
                <w:szCs w:val="22"/>
              </w:rPr>
              <w:t>1.05</w:t>
            </w:r>
          </w:p>
        </w:tc>
      </w:tr>
      <w:tr w:rsidR="009B65B1" w:rsidRPr="009B65B1" w14:paraId="5538A7F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698034B" w14:textId="77777777" w:rsidR="009B65B1" w:rsidRPr="009B65B1" w:rsidRDefault="009B65B1" w:rsidP="009B65B1">
            <w:pPr>
              <w:jc w:val="center"/>
              <w:rPr>
                <w:rFonts w:eastAsia="Times New Roman"/>
                <w:sz w:val="22"/>
                <w:szCs w:val="22"/>
              </w:rPr>
            </w:pPr>
            <w:r w:rsidRPr="009B65B1">
              <w:rPr>
                <w:rFonts w:eastAsia="Times New Roman"/>
                <w:sz w:val="22"/>
                <w:szCs w:val="22"/>
              </w:rPr>
              <w:t>A21</w:t>
            </w:r>
          </w:p>
        </w:tc>
        <w:tc>
          <w:tcPr>
            <w:tcW w:w="6214" w:type="dxa"/>
            <w:tcBorders>
              <w:top w:val="nil"/>
              <w:left w:val="nil"/>
              <w:bottom w:val="single" w:sz="4" w:space="0" w:color="auto"/>
              <w:right w:val="single" w:sz="4" w:space="0" w:color="auto"/>
            </w:tcBorders>
            <w:shd w:val="clear" w:color="auto" w:fill="auto"/>
            <w:vAlign w:val="center"/>
            <w:hideMark/>
          </w:tcPr>
          <w:p w14:paraId="20C32A57" w14:textId="77777777" w:rsidR="009B65B1" w:rsidRPr="009B65B1" w:rsidRDefault="009B65B1" w:rsidP="009B65B1">
            <w:pPr>
              <w:rPr>
                <w:rFonts w:eastAsia="Times New Roman"/>
                <w:sz w:val="22"/>
                <w:szCs w:val="22"/>
              </w:rPr>
            </w:pPr>
            <w:r w:rsidRPr="009B65B1">
              <w:rPr>
                <w:rFonts w:eastAsia="Times New Roman"/>
                <w:sz w:val="22"/>
                <w:szCs w:val="22"/>
              </w:rPr>
              <w:t>Other accounting-related transactions/events</w:t>
            </w:r>
          </w:p>
        </w:tc>
        <w:tc>
          <w:tcPr>
            <w:tcW w:w="1319" w:type="dxa"/>
            <w:tcBorders>
              <w:top w:val="nil"/>
              <w:left w:val="nil"/>
              <w:bottom w:val="single" w:sz="4" w:space="0" w:color="auto"/>
              <w:right w:val="single" w:sz="4" w:space="0" w:color="auto"/>
            </w:tcBorders>
            <w:shd w:val="clear" w:color="auto" w:fill="auto"/>
            <w:vAlign w:val="center"/>
            <w:hideMark/>
          </w:tcPr>
          <w:p w14:paraId="7A3C1A21" w14:textId="77777777" w:rsidR="009B65B1" w:rsidRPr="009B65B1" w:rsidRDefault="009B65B1" w:rsidP="009B65B1">
            <w:pPr>
              <w:jc w:val="center"/>
              <w:rPr>
                <w:rFonts w:eastAsia="Times New Roman"/>
                <w:sz w:val="22"/>
                <w:szCs w:val="22"/>
              </w:rPr>
            </w:pPr>
            <w:r w:rsidRPr="009B65B1">
              <w:rPr>
                <w:rFonts w:eastAsia="Times New Roman"/>
                <w:sz w:val="22"/>
                <w:szCs w:val="22"/>
              </w:rPr>
              <w:t>151</w:t>
            </w:r>
          </w:p>
        </w:tc>
        <w:tc>
          <w:tcPr>
            <w:tcW w:w="1268" w:type="dxa"/>
            <w:tcBorders>
              <w:top w:val="nil"/>
              <w:left w:val="nil"/>
              <w:bottom w:val="single" w:sz="4" w:space="0" w:color="auto"/>
              <w:right w:val="single" w:sz="4" w:space="0" w:color="auto"/>
            </w:tcBorders>
            <w:shd w:val="clear" w:color="auto" w:fill="auto"/>
            <w:noWrap/>
            <w:vAlign w:val="center"/>
            <w:hideMark/>
          </w:tcPr>
          <w:p w14:paraId="6EC34B9D" w14:textId="77777777" w:rsidR="009B65B1" w:rsidRPr="009B65B1" w:rsidRDefault="009B65B1" w:rsidP="009B65B1">
            <w:pPr>
              <w:jc w:val="center"/>
              <w:rPr>
                <w:rFonts w:eastAsia="Times New Roman"/>
                <w:sz w:val="22"/>
                <w:szCs w:val="22"/>
              </w:rPr>
            </w:pPr>
            <w:r w:rsidRPr="009B65B1">
              <w:rPr>
                <w:rFonts w:eastAsia="Times New Roman"/>
                <w:sz w:val="22"/>
                <w:szCs w:val="22"/>
              </w:rPr>
              <w:t>2.99</w:t>
            </w:r>
          </w:p>
        </w:tc>
      </w:tr>
      <w:tr w:rsidR="009B65B1" w:rsidRPr="009B65B1" w14:paraId="50C25C6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9909827"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3B29FFD0" w14:textId="77777777" w:rsidR="009B65B1" w:rsidRPr="009B65B1" w:rsidRDefault="009B65B1" w:rsidP="009B65B1">
            <w:pPr>
              <w:rPr>
                <w:rFonts w:eastAsia="Times New Roman"/>
                <w:b/>
                <w:bCs/>
                <w:sz w:val="22"/>
                <w:szCs w:val="22"/>
              </w:rPr>
            </w:pPr>
            <w:r w:rsidRPr="009B65B1">
              <w:rPr>
                <w:rFonts w:eastAsia="Times New Roman"/>
                <w:b/>
                <w:bCs/>
                <w:sz w:val="22"/>
                <w:szCs w:val="22"/>
              </w:rPr>
              <w:t>II. OTHER ACCOUNTING ISSUES</w:t>
            </w:r>
          </w:p>
        </w:tc>
        <w:tc>
          <w:tcPr>
            <w:tcW w:w="1319" w:type="dxa"/>
            <w:tcBorders>
              <w:top w:val="nil"/>
              <w:left w:val="nil"/>
              <w:bottom w:val="single" w:sz="4" w:space="0" w:color="auto"/>
              <w:right w:val="single" w:sz="4" w:space="0" w:color="auto"/>
            </w:tcBorders>
            <w:shd w:val="clear" w:color="auto" w:fill="auto"/>
            <w:vAlign w:val="center"/>
            <w:hideMark/>
          </w:tcPr>
          <w:p w14:paraId="55479AEA"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229</w:t>
            </w:r>
          </w:p>
        </w:tc>
        <w:tc>
          <w:tcPr>
            <w:tcW w:w="1268" w:type="dxa"/>
            <w:tcBorders>
              <w:top w:val="nil"/>
              <w:left w:val="nil"/>
              <w:bottom w:val="single" w:sz="4" w:space="0" w:color="auto"/>
              <w:right w:val="single" w:sz="4" w:space="0" w:color="auto"/>
            </w:tcBorders>
            <w:shd w:val="clear" w:color="auto" w:fill="auto"/>
            <w:vAlign w:val="center"/>
            <w:hideMark/>
          </w:tcPr>
          <w:p w14:paraId="370EE05F"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4.53</w:t>
            </w:r>
          </w:p>
        </w:tc>
      </w:tr>
      <w:tr w:rsidR="009B65B1" w:rsidRPr="009B65B1" w14:paraId="614330B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B60991D" w14:textId="77777777" w:rsidR="009B65B1" w:rsidRPr="009B65B1" w:rsidRDefault="009B65B1" w:rsidP="009B65B1">
            <w:pPr>
              <w:jc w:val="center"/>
              <w:rPr>
                <w:rFonts w:eastAsia="Times New Roman"/>
                <w:sz w:val="22"/>
                <w:szCs w:val="22"/>
              </w:rPr>
            </w:pPr>
            <w:r w:rsidRPr="009B65B1">
              <w:rPr>
                <w:rFonts w:eastAsia="Times New Roman"/>
                <w:sz w:val="22"/>
                <w:szCs w:val="22"/>
              </w:rPr>
              <w:t>B1</w:t>
            </w:r>
          </w:p>
        </w:tc>
        <w:tc>
          <w:tcPr>
            <w:tcW w:w="6214" w:type="dxa"/>
            <w:tcBorders>
              <w:top w:val="nil"/>
              <w:left w:val="nil"/>
              <w:bottom w:val="single" w:sz="4" w:space="0" w:color="auto"/>
              <w:right w:val="single" w:sz="4" w:space="0" w:color="auto"/>
            </w:tcBorders>
            <w:shd w:val="clear" w:color="auto" w:fill="auto"/>
            <w:vAlign w:val="center"/>
            <w:hideMark/>
          </w:tcPr>
          <w:p w14:paraId="53DECD5E" w14:textId="77777777" w:rsidR="009B65B1" w:rsidRPr="009B65B1" w:rsidRDefault="009B65B1" w:rsidP="009B65B1">
            <w:pPr>
              <w:rPr>
                <w:rFonts w:eastAsia="Times New Roman"/>
                <w:sz w:val="22"/>
                <w:szCs w:val="22"/>
              </w:rPr>
            </w:pPr>
            <w:r w:rsidRPr="009B65B1">
              <w:rPr>
                <w:rFonts w:eastAsia="Times New Roman"/>
                <w:sz w:val="22"/>
                <w:szCs w:val="22"/>
              </w:rPr>
              <w:t>Pro forma financial information</w:t>
            </w:r>
          </w:p>
        </w:tc>
        <w:tc>
          <w:tcPr>
            <w:tcW w:w="1319" w:type="dxa"/>
            <w:tcBorders>
              <w:top w:val="nil"/>
              <w:left w:val="nil"/>
              <w:bottom w:val="single" w:sz="4" w:space="0" w:color="auto"/>
              <w:right w:val="single" w:sz="4" w:space="0" w:color="auto"/>
            </w:tcBorders>
            <w:shd w:val="clear" w:color="auto" w:fill="auto"/>
            <w:vAlign w:val="center"/>
            <w:hideMark/>
          </w:tcPr>
          <w:p w14:paraId="25797534" w14:textId="77777777" w:rsidR="009B65B1" w:rsidRPr="009B65B1" w:rsidRDefault="009B65B1" w:rsidP="009B65B1">
            <w:pPr>
              <w:jc w:val="center"/>
              <w:rPr>
                <w:rFonts w:eastAsia="Times New Roman"/>
                <w:sz w:val="22"/>
                <w:szCs w:val="22"/>
              </w:rPr>
            </w:pPr>
            <w:r w:rsidRPr="009B65B1">
              <w:rPr>
                <w:rFonts w:eastAsia="Times New Roman"/>
                <w:sz w:val="22"/>
                <w:szCs w:val="22"/>
              </w:rPr>
              <w:t>119</w:t>
            </w:r>
          </w:p>
        </w:tc>
        <w:tc>
          <w:tcPr>
            <w:tcW w:w="1268" w:type="dxa"/>
            <w:tcBorders>
              <w:top w:val="nil"/>
              <w:left w:val="nil"/>
              <w:bottom w:val="single" w:sz="4" w:space="0" w:color="auto"/>
              <w:right w:val="single" w:sz="4" w:space="0" w:color="auto"/>
            </w:tcBorders>
            <w:shd w:val="clear" w:color="auto" w:fill="auto"/>
            <w:noWrap/>
            <w:vAlign w:val="center"/>
            <w:hideMark/>
          </w:tcPr>
          <w:p w14:paraId="3F920E81" w14:textId="77777777" w:rsidR="009B65B1" w:rsidRPr="009B65B1" w:rsidRDefault="009B65B1" w:rsidP="009B65B1">
            <w:pPr>
              <w:jc w:val="center"/>
              <w:rPr>
                <w:rFonts w:eastAsia="Times New Roman"/>
                <w:sz w:val="22"/>
                <w:szCs w:val="22"/>
              </w:rPr>
            </w:pPr>
            <w:r w:rsidRPr="009B65B1">
              <w:rPr>
                <w:rFonts w:eastAsia="Times New Roman"/>
                <w:sz w:val="22"/>
                <w:szCs w:val="22"/>
              </w:rPr>
              <w:t>2.36</w:t>
            </w:r>
          </w:p>
        </w:tc>
      </w:tr>
      <w:tr w:rsidR="009B65B1" w:rsidRPr="009B65B1" w14:paraId="32C6F7A0"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9B00197" w14:textId="77777777" w:rsidR="009B65B1" w:rsidRPr="009B65B1" w:rsidRDefault="009B65B1" w:rsidP="009B65B1">
            <w:pPr>
              <w:jc w:val="center"/>
              <w:rPr>
                <w:rFonts w:eastAsia="Times New Roman"/>
                <w:sz w:val="22"/>
                <w:szCs w:val="22"/>
              </w:rPr>
            </w:pPr>
            <w:r w:rsidRPr="009B65B1">
              <w:rPr>
                <w:rFonts w:eastAsia="Times New Roman"/>
                <w:sz w:val="22"/>
                <w:szCs w:val="22"/>
              </w:rPr>
              <w:t>B2</w:t>
            </w:r>
          </w:p>
        </w:tc>
        <w:tc>
          <w:tcPr>
            <w:tcW w:w="6214" w:type="dxa"/>
            <w:tcBorders>
              <w:top w:val="nil"/>
              <w:left w:val="nil"/>
              <w:bottom w:val="single" w:sz="4" w:space="0" w:color="auto"/>
              <w:right w:val="single" w:sz="4" w:space="0" w:color="auto"/>
            </w:tcBorders>
            <w:shd w:val="clear" w:color="auto" w:fill="auto"/>
            <w:vAlign w:val="center"/>
            <w:hideMark/>
          </w:tcPr>
          <w:p w14:paraId="2039F166" w14:textId="77777777" w:rsidR="009B65B1" w:rsidRPr="009B65B1" w:rsidRDefault="009B65B1" w:rsidP="009B65B1">
            <w:pPr>
              <w:rPr>
                <w:rFonts w:eastAsia="Times New Roman"/>
                <w:sz w:val="22"/>
                <w:szCs w:val="22"/>
              </w:rPr>
            </w:pPr>
            <w:r w:rsidRPr="009B65B1">
              <w:rPr>
                <w:rFonts w:eastAsia="Times New Roman"/>
                <w:sz w:val="22"/>
                <w:szCs w:val="22"/>
              </w:rPr>
              <w:t>Non-GAAP measure</w:t>
            </w:r>
          </w:p>
        </w:tc>
        <w:tc>
          <w:tcPr>
            <w:tcW w:w="1319" w:type="dxa"/>
            <w:tcBorders>
              <w:top w:val="nil"/>
              <w:left w:val="nil"/>
              <w:bottom w:val="single" w:sz="4" w:space="0" w:color="auto"/>
              <w:right w:val="single" w:sz="4" w:space="0" w:color="auto"/>
            </w:tcBorders>
            <w:shd w:val="clear" w:color="auto" w:fill="auto"/>
            <w:vAlign w:val="center"/>
            <w:hideMark/>
          </w:tcPr>
          <w:p w14:paraId="69EE8CFA" w14:textId="77777777" w:rsidR="009B65B1" w:rsidRPr="009B65B1" w:rsidRDefault="009B65B1" w:rsidP="009B65B1">
            <w:pPr>
              <w:jc w:val="center"/>
              <w:rPr>
                <w:rFonts w:eastAsia="Times New Roman"/>
                <w:sz w:val="22"/>
                <w:szCs w:val="22"/>
              </w:rPr>
            </w:pPr>
            <w:r w:rsidRPr="009B65B1">
              <w:rPr>
                <w:rFonts w:eastAsia="Times New Roman"/>
                <w:sz w:val="22"/>
                <w:szCs w:val="22"/>
              </w:rPr>
              <w:t>48</w:t>
            </w:r>
          </w:p>
        </w:tc>
        <w:tc>
          <w:tcPr>
            <w:tcW w:w="1268" w:type="dxa"/>
            <w:tcBorders>
              <w:top w:val="nil"/>
              <w:left w:val="nil"/>
              <w:bottom w:val="single" w:sz="4" w:space="0" w:color="auto"/>
              <w:right w:val="single" w:sz="4" w:space="0" w:color="auto"/>
            </w:tcBorders>
            <w:shd w:val="clear" w:color="auto" w:fill="auto"/>
            <w:noWrap/>
            <w:vAlign w:val="center"/>
            <w:hideMark/>
          </w:tcPr>
          <w:p w14:paraId="7FA33220" w14:textId="77777777" w:rsidR="009B65B1" w:rsidRPr="009B65B1" w:rsidRDefault="009B65B1" w:rsidP="009B65B1">
            <w:pPr>
              <w:jc w:val="center"/>
              <w:rPr>
                <w:rFonts w:eastAsia="Times New Roman"/>
                <w:sz w:val="22"/>
                <w:szCs w:val="22"/>
              </w:rPr>
            </w:pPr>
            <w:r w:rsidRPr="009B65B1">
              <w:rPr>
                <w:rFonts w:eastAsia="Times New Roman"/>
                <w:sz w:val="22"/>
                <w:szCs w:val="22"/>
              </w:rPr>
              <w:t>0.95</w:t>
            </w:r>
          </w:p>
        </w:tc>
      </w:tr>
      <w:tr w:rsidR="009B65B1" w:rsidRPr="009B65B1" w14:paraId="3667374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61694A9" w14:textId="77777777" w:rsidR="009B65B1" w:rsidRPr="009B65B1" w:rsidRDefault="009B65B1" w:rsidP="009B65B1">
            <w:pPr>
              <w:jc w:val="center"/>
              <w:rPr>
                <w:rFonts w:eastAsia="Times New Roman"/>
                <w:sz w:val="22"/>
                <w:szCs w:val="22"/>
              </w:rPr>
            </w:pPr>
            <w:r w:rsidRPr="009B65B1">
              <w:rPr>
                <w:rFonts w:eastAsia="Times New Roman"/>
                <w:sz w:val="22"/>
                <w:szCs w:val="22"/>
              </w:rPr>
              <w:t>B3</w:t>
            </w:r>
          </w:p>
        </w:tc>
        <w:tc>
          <w:tcPr>
            <w:tcW w:w="6214" w:type="dxa"/>
            <w:tcBorders>
              <w:top w:val="nil"/>
              <w:left w:val="nil"/>
              <w:bottom w:val="single" w:sz="4" w:space="0" w:color="auto"/>
              <w:right w:val="single" w:sz="4" w:space="0" w:color="auto"/>
            </w:tcBorders>
            <w:shd w:val="clear" w:color="auto" w:fill="auto"/>
            <w:vAlign w:val="center"/>
            <w:hideMark/>
          </w:tcPr>
          <w:p w14:paraId="7B51E192" w14:textId="77777777" w:rsidR="009B65B1" w:rsidRPr="009B65B1" w:rsidRDefault="009B65B1" w:rsidP="009B65B1">
            <w:pPr>
              <w:rPr>
                <w:rFonts w:eastAsia="Times New Roman"/>
                <w:sz w:val="22"/>
                <w:szCs w:val="22"/>
              </w:rPr>
            </w:pPr>
            <w:r w:rsidRPr="009B65B1">
              <w:rPr>
                <w:rFonts w:eastAsia="Times New Roman"/>
                <w:sz w:val="22"/>
                <w:szCs w:val="22"/>
              </w:rPr>
              <w:t>Audit issues</w:t>
            </w:r>
          </w:p>
        </w:tc>
        <w:tc>
          <w:tcPr>
            <w:tcW w:w="1319" w:type="dxa"/>
            <w:tcBorders>
              <w:top w:val="nil"/>
              <w:left w:val="nil"/>
              <w:bottom w:val="single" w:sz="4" w:space="0" w:color="auto"/>
              <w:right w:val="single" w:sz="4" w:space="0" w:color="auto"/>
            </w:tcBorders>
            <w:shd w:val="clear" w:color="auto" w:fill="auto"/>
            <w:vAlign w:val="center"/>
            <w:hideMark/>
          </w:tcPr>
          <w:p w14:paraId="0F479780" w14:textId="77777777" w:rsidR="009B65B1" w:rsidRPr="009B65B1" w:rsidRDefault="009B65B1" w:rsidP="009B65B1">
            <w:pPr>
              <w:jc w:val="center"/>
              <w:rPr>
                <w:rFonts w:eastAsia="Times New Roman"/>
                <w:sz w:val="22"/>
                <w:szCs w:val="22"/>
              </w:rPr>
            </w:pPr>
            <w:r w:rsidRPr="009B65B1">
              <w:rPr>
                <w:rFonts w:eastAsia="Times New Roman"/>
                <w:sz w:val="22"/>
                <w:szCs w:val="22"/>
              </w:rPr>
              <w:t>9</w:t>
            </w:r>
          </w:p>
        </w:tc>
        <w:tc>
          <w:tcPr>
            <w:tcW w:w="1268" w:type="dxa"/>
            <w:tcBorders>
              <w:top w:val="nil"/>
              <w:left w:val="nil"/>
              <w:bottom w:val="single" w:sz="4" w:space="0" w:color="auto"/>
              <w:right w:val="single" w:sz="4" w:space="0" w:color="auto"/>
            </w:tcBorders>
            <w:shd w:val="clear" w:color="auto" w:fill="auto"/>
            <w:noWrap/>
            <w:vAlign w:val="center"/>
            <w:hideMark/>
          </w:tcPr>
          <w:p w14:paraId="488BCDE9" w14:textId="77777777" w:rsidR="009B65B1" w:rsidRPr="009B65B1" w:rsidRDefault="009B65B1" w:rsidP="009B65B1">
            <w:pPr>
              <w:jc w:val="center"/>
              <w:rPr>
                <w:rFonts w:eastAsia="Times New Roman"/>
                <w:sz w:val="22"/>
                <w:szCs w:val="22"/>
              </w:rPr>
            </w:pPr>
            <w:r w:rsidRPr="009B65B1">
              <w:rPr>
                <w:rFonts w:eastAsia="Times New Roman"/>
                <w:sz w:val="22"/>
                <w:szCs w:val="22"/>
              </w:rPr>
              <w:t>0.18</w:t>
            </w:r>
          </w:p>
        </w:tc>
      </w:tr>
      <w:tr w:rsidR="009B65B1" w:rsidRPr="009B65B1" w14:paraId="59373F91"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0BFFA74" w14:textId="77777777" w:rsidR="009B65B1" w:rsidRPr="009B65B1" w:rsidRDefault="009B65B1" w:rsidP="009B65B1">
            <w:pPr>
              <w:jc w:val="center"/>
              <w:rPr>
                <w:rFonts w:eastAsia="Times New Roman"/>
                <w:sz w:val="22"/>
                <w:szCs w:val="22"/>
              </w:rPr>
            </w:pPr>
            <w:r w:rsidRPr="009B65B1">
              <w:rPr>
                <w:rFonts w:eastAsia="Times New Roman"/>
                <w:sz w:val="22"/>
                <w:szCs w:val="22"/>
              </w:rPr>
              <w:t>B4</w:t>
            </w:r>
          </w:p>
        </w:tc>
        <w:tc>
          <w:tcPr>
            <w:tcW w:w="6214" w:type="dxa"/>
            <w:tcBorders>
              <w:top w:val="nil"/>
              <w:left w:val="nil"/>
              <w:bottom w:val="single" w:sz="4" w:space="0" w:color="auto"/>
              <w:right w:val="single" w:sz="4" w:space="0" w:color="auto"/>
            </w:tcBorders>
            <w:shd w:val="clear" w:color="auto" w:fill="auto"/>
            <w:vAlign w:val="center"/>
            <w:hideMark/>
          </w:tcPr>
          <w:p w14:paraId="4FF80A4F" w14:textId="77777777" w:rsidR="009B65B1" w:rsidRPr="009B65B1" w:rsidRDefault="009B65B1" w:rsidP="009B65B1">
            <w:pPr>
              <w:rPr>
                <w:rFonts w:eastAsia="Times New Roman"/>
                <w:sz w:val="22"/>
                <w:szCs w:val="22"/>
              </w:rPr>
            </w:pPr>
            <w:r w:rsidRPr="009B65B1">
              <w:rPr>
                <w:rFonts w:eastAsia="Times New Roman"/>
                <w:sz w:val="22"/>
                <w:szCs w:val="22"/>
              </w:rPr>
              <w:t>Financial Statement Restatement</w:t>
            </w:r>
          </w:p>
        </w:tc>
        <w:tc>
          <w:tcPr>
            <w:tcW w:w="1319" w:type="dxa"/>
            <w:tcBorders>
              <w:top w:val="nil"/>
              <w:left w:val="nil"/>
              <w:bottom w:val="single" w:sz="4" w:space="0" w:color="auto"/>
              <w:right w:val="single" w:sz="4" w:space="0" w:color="auto"/>
            </w:tcBorders>
            <w:shd w:val="clear" w:color="auto" w:fill="auto"/>
            <w:vAlign w:val="center"/>
            <w:hideMark/>
          </w:tcPr>
          <w:p w14:paraId="79B04E30" w14:textId="77777777" w:rsidR="009B65B1" w:rsidRPr="009B65B1" w:rsidRDefault="009B65B1" w:rsidP="009B65B1">
            <w:pPr>
              <w:jc w:val="center"/>
              <w:rPr>
                <w:rFonts w:eastAsia="Times New Roman"/>
                <w:sz w:val="22"/>
                <w:szCs w:val="22"/>
              </w:rPr>
            </w:pPr>
            <w:r w:rsidRPr="009B65B1">
              <w:rPr>
                <w:rFonts w:eastAsia="Times New Roman"/>
                <w:sz w:val="22"/>
                <w:szCs w:val="22"/>
              </w:rPr>
              <w:t>8</w:t>
            </w:r>
          </w:p>
        </w:tc>
        <w:tc>
          <w:tcPr>
            <w:tcW w:w="1268" w:type="dxa"/>
            <w:tcBorders>
              <w:top w:val="nil"/>
              <w:left w:val="nil"/>
              <w:bottom w:val="single" w:sz="4" w:space="0" w:color="auto"/>
              <w:right w:val="single" w:sz="4" w:space="0" w:color="auto"/>
            </w:tcBorders>
            <w:shd w:val="clear" w:color="auto" w:fill="auto"/>
            <w:noWrap/>
            <w:vAlign w:val="center"/>
            <w:hideMark/>
          </w:tcPr>
          <w:p w14:paraId="7BB4914D" w14:textId="77777777" w:rsidR="009B65B1" w:rsidRPr="009B65B1" w:rsidRDefault="009B65B1" w:rsidP="009B65B1">
            <w:pPr>
              <w:jc w:val="center"/>
              <w:rPr>
                <w:rFonts w:eastAsia="Times New Roman"/>
                <w:sz w:val="22"/>
                <w:szCs w:val="22"/>
              </w:rPr>
            </w:pPr>
            <w:r w:rsidRPr="009B65B1">
              <w:rPr>
                <w:rFonts w:eastAsia="Times New Roman"/>
                <w:sz w:val="22"/>
                <w:szCs w:val="22"/>
              </w:rPr>
              <w:t>0.16</w:t>
            </w:r>
          </w:p>
        </w:tc>
      </w:tr>
      <w:tr w:rsidR="009B65B1" w:rsidRPr="009B65B1" w14:paraId="22F6126E"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78E7C9C" w14:textId="77777777" w:rsidR="009B65B1" w:rsidRPr="009B65B1" w:rsidRDefault="009B65B1" w:rsidP="009B65B1">
            <w:pPr>
              <w:jc w:val="center"/>
              <w:rPr>
                <w:rFonts w:eastAsia="Times New Roman"/>
                <w:sz w:val="22"/>
                <w:szCs w:val="22"/>
              </w:rPr>
            </w:pPr>
            <w:r w:rsidRPr="009B65B1">
              <w:rPr>
                <w:rFonts w:eastAsia="Times New Roman"/>
                <w:sz w:val="22"/>
                <w:szCs w:val="22"/>
              </w:rPr>
              <w:lastRenderedPageBreak/>
              <w:t>B5</w:t>
            </w:r>
          </w:p>
        </w:tc>
        <w:tc>
          <w:tcPr>
            <w:tcW w:w="6214" w:type="dxa"/>
            <w:tcBorders>
              <w:top w:val="nil"/>
              <w:left w:val="nil"/>
              <w:bottom w:val="single" w:sz="4" w:space="0" w:color="auto"/>
              <w:right w:val="single" w:sz="4" w:space="0" w:color="auto"/>
            </w:tcBorders>
            <w:shd w:val="clear" w:color="auto" w:fill="auto"/>
            <w:vAlign w:val="center"/>
            <w:hideMark/>
          </w:tcPr>
          <w:p w14:paraId="704F4BD4" w14:textId="77777777" w:rsidR="009B65B1" w:rsidRPr="009B65B1" w:rsidRDefault="009B65B1" w:rsidP="009B65B1">
            <w:pPr>
              <w:rPr>
                <w:rFonts w:eastAsia="Times New Roman"/>
                <w:sz w:val="22"/>
                <w:szCs w:val="22"/>
              </w:rPr>
            </w:pPr>
            <w:r w:rsidRPr="009B65B1">
              <w:rPr>
                <w:rFonts w:eastAsia="Times New Roman"/>
                <w:sz w:val="22"/>
                <w:szCs w:val="22"/>
              </w:rPr>
              <w:t>Internal controls</w:t>
            </w:r>
          </w:p>
        </w:tc>
        <w:tc>
          <w:tcPr>
            <w:tcW w:w="1319" w:type="dxa"/>
            <w:tcBorders>
              <w:top w:val="nil"/>
              <w:left w:val="nil"/>
              <w:bottom w:val="single" w:sz="4" w:space="0" w:color="auto"/>
              <w:right w:val="single" w:sz="4" w:space="0" w:color="auto"/>
            </w:tcBorders>
            <w:shd w:val="clear" w:color="auto" w:fill="auto"/>
            <w:vAlign w:val="center"/>
            <w:hideMark/>
          </w:tcPr>
          <w:p w14:paraId="2D1CF815" w14:textId="77777777" w:rsidR="009B65B1" w:rsidRPr="009B65B1" w:rsidRDefault="009B65B1" w:rsidP="009B65B1">
            <w:pPr>
              <w:jc w:val="center"/>
              <w:rPr>
                <w:rFonts w:eastAsia="Times New Roman"/>
                <w:sz w:val="22"/>
                <w:szCs w:val="22"/>
              </w:rPr>
            </w:pPr>
            <w:r w:rsidRPr="009B65B1">
              <w:rPr>
                <w:rFonts w:eastAsia="Times New Roman"/>
                <w:sz w:val="22"/>
                <w:szCs w:val="22"/>
              </w:rPr>
              <w:t>15</w:t>
            </w:r>
          </w:p>
        </w:tc>
        <w:tc>
          <w:tcPr>
            <w:tcW w:w="1268" w:type="dxa"/>
            <w:tcBorders>
              <w:top w:val="nil"/>
              <w:left w:val="nil"/>
              <w:bottom w:val="single" w:sz="4" w:space="0" w:color="auto"/>
              <w:right w:val="single" w:sz="4" w:space="0" w:color="auto"/>
            </w:tcBorders>
            <w:shd w:val="clear" w:color="auto" w:fill="auto"/>
            <w:noWrap/>
            <w:vAlign w:val="center"/>
            <w:hideMark/>
          </w:tcPr>
          <w:p w14:paraId="4B65FF0A" w14:textId="77777777" w:rsidR="009B65B1" w:rsidRPr="009B65B1" w:rsidRDefault="009B65B1" w:rsidP="009B65B1">
            <w:pPr>
              <w:jc w:val="center"/>
              <w:rPr>
                <w:rFonts w:eastAsia="Times New Roman"/>
                <w:sz w:val="22"/>
                <w:szCs w:val="22"/>
              </w:rPr>
            </w:pPr>
            <w:r w:rsidRPr="009B65B1">
              <w:rPr>
                <w:rFonts w:eastAsia="Times New Roman"/>
                <w:sz w:val="22"/>
                <w:szCs w:val="22"/>
              </w:rPr>
              <w:t>0.30</w:t>
            </w:r>
          </w:p>
        </w:tc>
      </w:tr>
      <w:tr w:rsidR="009B65B1" w:rsidRPr="009B65B1" w14:paraId="10C8209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52DB9BC" w14:textId="77777777" w:rsidR="009B65B1" w:rsidRPr="009B65B1" w:rsidRDefault="009B65B1" w:rsidP="009B65B1">
            <w:pPr>
              <w:jc w:val="center"/>
              <w:rPr>
                <w:rFonts w:eastAsia="Times New Roman"/>
                <w:sz w:val="22"/>
                <w:szCs w:val="22"/>
              </w:rPr>
            </w:pPr>
            <w:r w:rsidRPr="009B65B1">
              <w:rPr>
                <w:rFonts w:eastAsia="Times New Roman"/>
                <w:sz w:val="22"/>
                <w:szCs w:val="22"/>
              </w:rPr>
              <w:t>B6</w:t>
            </w:r>
          </w:p>
        </w:tc>
        <w:tc>
          <w:tcPr>
            <w:tcW w:w="6214" w:type="dxa"/>
            <w:tcBorders>
              <w:top w:val="nil"/>
              <w:left w:val="nil"/>
              <w:bottom w:val="single" w:sz="4" w:space="0" w:color="auto"/>
              <w:right w:val="single" w:sz="4" w:space="0" w:color="auto"/>
            </w:tcBorders>
            <w:shd w:val="clear" w:color="auto" w:fill="auto"/>
            <w:vAlign w:val="center"/>
            <w:hideMark/>
          </w:tcPr>
          <w:p w14:paraId="563B4ED7" w14:textId="77777777" w:rsidR="009B65B1" w:rsidRPr="009B65B1" w:rsidRDefault="009B65B1" w:rsidP="009B65B1">
            <w:pPr>
              <w:rPr>
                <w:rFonts w:eastAsia="Times New Roman"/>
                <w:sz w:val="22"/>
                <w:szCs w:val="22"/>
              </w:rPr>
            </w:pPr>
            <w:r w:rsidRPr="009B65B1">
              <w:rPr>
                <w:rFonts w:eastAsia="Times New Roman"/>
                <w:sz w:val="22"/>
                <w:szCs w:val="22"/>
              </w:rPr>
              <w:t>Claims, Commitments and Contingencies</w:t>
            </w:r>
          </w:p>
        </w:tc>
        <w:tc>
          <w:tcPr>
            <w:tcW w:w="1319" w:type="dxa"/>
            <w:tcBorders>
              <w:top w:val="nil"/>
              <w:left w:val="nil"/>
              <w:bottom w:val="single" w:sz="4" w:space="0" w:color="auto"/>
              <w:right w:val="single" w:sz="4" w:space="0" w:color="auto"/>
            </w:tcBorders>
            <w:shd w:val="clear" w:color="auto" w:fill="auto"/>
            <w:vAlign w:val="center"/>
            <w:hideMark/>
          </w:tcPr>
          <w:p w14:paraId="3C4C7D60" w14:textId="77777777" w:rsidR="009B65B1" w:rsidRPr="009B65B1" w:rsidRDefault="009B65B1" w:rsidP="009B65B1">
            <w:pPr>
              <w:jc w:val="center"/>
              <w:rPr>
                <w:rFonts w:eastAsia="Times New Roman"/>
                <w:sz w:val="22"/>
                <w:szCs w:val="22"/>
              </w:rPr>
            </w:pPr>
            <w:r w:rsidRPr="009B65B1">
              <w:rPr>
                <w:rFonts w:eastAsia="Times New Roman"/>
                <w:sz w:val="22"/>
                <w:szCs w:val="22"/>
              </w:rPr>
              <w:t>24</w:t>
            </w:r>
          </w:p>
        </w:tc>
        <w:tc>
          <w:tcPr>
            <w:tcW w:w="1268" w:type="dxa"/>
            <w:tcBorders>
              <w:top w:val="nil"/>
              <w:left w:val="nil"/>
              <w:bottom w:val="single" w:sz="4" w:space="0" w:color="auto"/>
              <w:right w:val="single" w:sz="4" w:space="0" w:color="auto"/>
            </w:tcBorders>
            <w:shd w:val="clear" w:color="auto" w:fill="auto"/>
            <w:noWrap/>
            <w:vAlign w:val="center"/>
            <w:hideMark/>
          </w:tcPr>
          <w:p w14:paraId="5D729B99" w14:textId="77777777" w:rsidR="009B65B1" w:rsidRPr="009B65B1" w:rsidRDefault="009B65B1" w:rsidP="009B65B1">
            <w:pPr>
              <w:jc w:val="center"/>
              <w:rPr>
                <w:rFonts w:eastAsia="Times New Roman"/>
                <w:sz w:val="22"/>
                <w:szCs w:val="22"/>
              </w:rPr>
            </w:pPr>
            <w:r w:rsidRPr="009B65B1">
              <w:rPr>
                <w:rFonts w:eastAsia="Times New Roman"/>
                <w:sz w:val="22"/>
                <w:szCs w:val="22"/>
              </w:rPr>
              <w:t>0.47</w:t>
            </w:r>
          </w:p>
        </w:tc>
      </w:tr>
      <w:tr w:rsidR="009B65B1" w:rsidRPr="009B65B1" w14:paraId="76CB9243"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897ED51" w14:textId="77777777" w:rsidR="009B65B1" w:rsidRPr="009B65B1" w:rsidRDefault="009B65B1" w:rsidP="009B65B1">
            <w:pPr>
              <w:jc w:val="center"/>
              <w:rPr>
                <w:rFonts w:eastAsia="Times New Roman"/>
                <w:sz w:val="22"/>
                <w:szCs w:val="22"/>
              </w:rPr>
            </w:pPr>
            <w:r w:rsidRPr="009B65B1">
              <w:rPr>
                <w:rFonts w:eastAsia="Times New Roman"/>
                <w:sz w:val="22"/>
                <w:szCs w:val="22"/>
              </w:rPr>
              <w:t>B7</w:t>
            </w:r>
          </w:p>
        </w:tc>
        <w:tc>
          <w:tcPr>
            <w:tcW w:w="6214" w:type="dxa"/>
            <w:tcBorders>
              <w:top w:val="nil"/>
              <w:left w:val="nil"/>
              <w:bottom w:val="single" w:sz="4" w:space="0" w:color="auto"/>
              <w:right w:val="single" w:sz="4" w:space="0" w:color="auto"/>
            </w:tcBorders>
            <w:shd w:val="clear" w:color="auto" w:fill="auto"/>
            <w:vAlign w:val="center"/>
            <w:hideMark/>
          </w:tcPr>
          <w:p w14:paraId="277824CD" w14:textId="77777777" w:rsidR="009B65B1" w:rsidRPr="009B65B1" w:rsidRDefault="009B65B1" w:rsidP="009B65B1">
            <w:pPr>
              <w:rPr>
                <w:rFonts w:eastAsia="Times New Roman"/>
                <w:sz w:val="22"/>
                <w:szCs w:val="22"/>
              </w:rPr>
            </w:pPr>
            <w:r w:rsidRPr="009B65B1">
              <w:rPr>
                <w:rFonts w:eastAsia="Times New Roman"/>
                <w:sz w:val="22"/>
                <w:szCs w:val="22"/>
              </w:rPr>
              <w:t>Off-Balance Sheet Arrangements</w:t>
            </w:r>
          </w:p>
        </w:tc>
        <w:tc>
          <w:tcPr>
            <w:tcW w:w="1319" w:type="dxa"/>
            <w:tcBorders>
              <w:top w:val="nil"/>
              <w:left w:val="nil"/>
              <w:bottom w:val="single" w:sz="4" w:space="0" w:color="auto"/>
              <w:right w:val="single" w:sz="4" w:space="0" w:color="auto"/>
            </w:tcBorders>
            <w:shd w:val="clear" w:color="auto" w:fill="auto"/>
            <w:vAlign w:val="center"/>
            <w:hideMark/>
          </w:tcPr>
          <w:p w14:paraId="4728A749" w14:textId="77777777" w:rsidR="009B65B1" w:rsidRPr="009B65B1" w:rsidRDefault="009B65B1" w:rsidP="009B65B1">
            <w:pPr>
              <w:jc w:val="center"/>
              <w:rPr>
                <w:rFonts w:eastAsia="Times New Roman"/>
                <w:sz w:val="22"/>
                <w:szCs w:val="22"/>
              </w:rPr>
            </w:pPr>
            <w:r w:rsidRPr="009B65B1">
              <w:rPr>
                <w:rFonts w:eastAsia="Times New Roman"/>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14:paraId="7DA67B0D" w14:textId="77777777" w:rsidR="009B65B1" w:rsidRPr="009B65B1" w:rsidRDefault="009B65B1" w:rsidP="009B65B1">
            <w:pPr>
              <w:jc w:val="center"/>
              <w:rPr>
                <w:rFonts w:eastAsia="Times New Roman"/>
                <w:sz w:val="22"/>
                <w:szCs w:val="22"/>
              </w:rPr>
            </w:pPr>
            <w:r w:rsidRPr="009B65B1">
              <w:rPr>
                <w:rFonts w:eastAsia="Times New Roman"/>
                <w:sz w:val="22"/>
                <w:szCs w:val="22"/>
              </w:rPr>
              <w:t>0.06</w:t>
            </w:r>
          </w:p>
        </w:tc>
      </w:tr>
      <w:tr w:rsidR="009B65B1" w:rsidRPr="009B65B1" w14:paraId="0238B2F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AB70DF2" w14:textId="77777777" w:rsidR="009B65B1" w:rsidRPr="009B65B1" w:rsidRDefault="009B65B1" w:rsidP="009B65B1">
            <w:pPr>
              <w:jc w:val="center"/>
              <w:rPr>
                <w:rFonts w:eastAsia="Times New Roman"/>
                <w:sz w:val="22"/>
                <w:szCs w:val="22"/>
              </w:rPr>
            </w:pPr>
            <w:r w:rsidRPr="009B65B1">
              <w:rPr>
                <w:rFonts w:eastAsia="Times New Roman"/>
                <w:sz w:val="22"/>
                <w:szCs w:val="22"/>
              </w:rPr>
              <w:t>B8</w:t>
            </w:r>
          </w:p>
        </w:tc>
        <w:tc>
          <w:tcPr>
            <w:tcW w:w="6214" w:type="dxa"/>
            <w:tcBorders>
              <w:top w:val="nil"/>
              <w:left w:val="nil"/>
              <w:bottom w:val="single" w:sz="4" w:space="0" w:color="auto"/>
              <w:right w:val="single" w:sz="4" w:space="0" w:color="auto"/>
            </w:tcBorders>
            <w:shd w:val="clear" w:color="auto" w:fill="auto"/>
            <w:vAlign w:val="center"/>
            <w:hideMark/>
          </w:tcPr>
          <w:p w14:paraId="5B9EF59F" w14:textId="77777777" w:rsidR="009B65B1" w:rsidRPr="009B65B1" w:rsidRDefault="009B65B1" w:rsidP="009B65B1">
            <w:pPr>
              <w:rPr>
                <w:rFonts w:eastAsia="Times New Roman"/>
                <w:sz w:val="22"/>
                <w:szCs w:val="22"/>
              </w:rPr>
            </w:pPr>
            <w:r w:rsidRPr="009B65B1">
              <w:rPr>
                <w:rFonts w:eastAsia="Times New Roman"/>
                <w:sz w:val="22"/>
                <w:szCs w:val="22"/>
              </w:rPr>
              <w:t>New Accounting Pronouncements</w:t>
            </w:r>
          </w:p>
        </w:tc>
        <w:tc>
          <w:tcPr>
            <w:tcW w:w="1319" w:type="dxa"/>
            <w:tcBorders>
              <w:top w:val="nil"/>
              <w:left w:val="nil"/>
              <w:bottom w:val="single" w:sz="4" w:space="0" w:color="auto"/>
              <w:right w:val="single" w:sz="4" w:space="0" w:color="auto"/>
            </w:tcBorders>
            <w:shd w:val="clear" w:color="auto" w:fill="auto"/>
            <w:vAlign w:val="center"/>
            <w:hideMark/>
          </w:tcPr>
          <w:p w14:paraId="7C41C693" w14:textId="77777777" w:rsidR="009B65B1" w:rsidRPr="009B65B1" w:rsidRDefault="009B65B1" w:rsidP="009B65B1">
            <w:pPr>
              <w:jc w:val="center"/>
              <w:rPr>
                <w:rFonts w:eastAsia="Times New Roman"/>
                <w:sz w:val="22"/>
                <w:szCs w:val="22"/>
              </w:rPr>
            </w:pPr>
            <w:r w:rsidRPr="009B65B1">
              <w:rPr>
                <w:rFonts w:eastAsia="Times New Roman"/>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14:paraId="026BF23D" w14:textId="77777777" w:rsidR="009B65B1" w:rsidRPr="009B65B1" w:rsidRDefault="009B65B1" w:rsidP="009B65B1">
            <w:pPr>
              <w:jc w:val="center"/>
              <w:rPr>
                <w:rFonts w:eastAsia="Times New Roman"/>
                <w:sz w:val="22"/>
                <w:szCs w:val="22"/>
              </w:rPr>
            </w:pPr>
            <w:r w:rsidRPr="009B65B1">
              <w:rPr>
                <w:rFonts w:eastAsia="Times New Roman"/>
                <w:sz w:val="22"/>
                <w:szCs w:val="22"/>
              </w:rPr>
              <w:t>0.06</w:t>
            </w:r>
          </w:p>
        </w:tc>
      </w:tr>
      <w:tr w:rsidR="009B65B1" w:rsidRPr="009B65B1" w14:paraId="233BE8A1"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435F53C" w14:textId="77777777" w:rsidR="009B65B1" w:rsidRPr="009B65B1" w:rsidRDefault="009B65B1" w:rsidP="009B65B1">
            <w:pPr>
              <w:jc w:val="right"/>
              <w:rPr>
                <w:rFonts w:eastAsia="Times New Roman"/>
                <w:b/>
                <w:bCs/>
                <w:sz w:val="22"/>
                <w:szCs w:val="22"/>
              </w:rPr>
            </w:pPr>
            <w:r w:rsidRPr="009B65B1">
              <w:rPr>
                <w:rFonts w:eastAsia="Times New Roman"/>
                <w:b/>
                <w:bCs/>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350DF149" w14:textId="77777777" w:rsidR="009B65B1" w:rsidRPr="009B65B1" w:rsidRDefault="009B65B1" w:rsidP="009B65B1">
            <w:pPr>
              <w:rPr>
                <w:rFonts w:eastAsia="Times New Roman"/>
                <w:b/>
                <w:bCs/>
                <w:sz w:val="22"/>
                <w:szCs w:val="22"/>
              </w:rPr>
            </w:pPr>
            <w:r w:rsidRPr="009B65B1">
              <w:rPr>
                <w:rFonts w:eastAsia="Times New Roman"/>
                <w:b/>
                <w:bCs/>
                <w:sz w:val="22"/>
                <w:szCs w:val="22"/>
              </w:rPr>
              <w:t>III. OFFERING ISSUES</w:t>
            </w:r>
          </w:p>
        </w:tc>
        <w:tc>
          <w:tcPr>
            <w:tcW w:w="1319" w:type="dxa"/>
            <w:tcBorders>
              <w:top w:val="nil"/>
              <w:left w:val="nil"/>
              <w:bottom w:val="single" w:sz="4" w:space="0" w:color="auto"/>
              <w:right w:val="single" w:sz="4" w:space="0" w:color="auto"/>
            </w:tcBorders>
            <w:shd w:val="clear" w:color="auto" w:fill="auto"/>
            <w:vAlign w:val="center"/>
            <w:hideMark/>
          </w:tcPr>
          <w:p w14:paraId="72EE3E54"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583</w:t>
            </w:r>
          </w:p>
        </w:tc>
        <w:tc>
          <w:tcPr>
            <w:tcW w:w="1268" w:type="dxa"/>
            <w:tcBorders>
              <w:top w:val="nil"/>
              <w:left w:val="nil"/>
              <w:bottom w:val="single" w:sz="4" w:space="0" w:color="auto"/>
              <w:right w:val="single" w:sz="4" w:space="0" w:color="auto"/>
            </w:tcBorders>
            <w:shd w:val="clear" w:color="auto" w:fill="auto"/>
            <w:vAlign w:val="center"/>
            <w:hideMark/>
          </w:tcPr>
          <w:p w14:paraId="38DA214A"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11.54</w:t>
            </w:r>
          </w:p>
        </w:tc>
      </w:tr>
      <w:tr w:rsidR="009B65B1" w:rsidRPr="009B65B1" w14:paraId="4FFF1FA3"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C582CAC" w14:textId="77777777" w:rsidR="009B65B1" w:rsidRPr="009B65B1" w:rsidRDefault="009B65B1" w:rsidP="009B65B1">
            <w:pPr>
              <w:jc w:val="center"/>
              <w:rPr>
                <w:rFonts w:eastAsia="Times New Roman"/>
                <w:sz w:val="22"/>
                <w:szCs w:val="22"/>
              </w:rPr>
            </w:pPr>
            <w:r w:rsidRPr="009B65B1">
              <w:rPr>
                <w:rFonts w:eastAsia="Times New Roman"/>
                <w:sz w:val="22"/>
                <w:szCs w:val="22"/>
              </w:rPr>
              <w:t>C1</w:t>
            </w:r>
          </w:p>
        </w:tc>
        <w:tc>
          <w:tcPr>
            <w:tcW w:w="6214" w:type="dxa"/>
            <w:tcBorders>
              <w:top w:val="nil"/>
              <w:left w:val="nil"/>
              <w:bottom w:val="single" w:sz="4" w:space="0" w:color="auto"/>
              <w:right w:val="single" w:sz="4" w:space="0" w:color="auto"/>
            </w:tcBorders>
            <w:shd w:val="clear" w:color="auto" w:fill="auto"/>
            <w:vAlign w:val="center"/>
            <w:hideMark/>
          </w:tcPr>
          <w:p w14:paraId="6DB6A78F" w14:textId="77777777" w:rsidR="009B65B1" w:rsidRPr="009B65B1" w:rsidRDefault="009B65B1" w:rsidP="009B65B1">
            <w:pPr>
              <w:rPr>
                <w:rFonts w:eastAsia="Times New Roman"/>
                <w:b/>
                <w:bCs/>
                <w:sz w:val="22"/>
                <w:szCs w:val="22"/>
              </w:rPr>
            </w:pPr>
            <w:r w:rsidRPr="009B65B1">
              <w:rPr>
                <w:rFonts w:eastAsia="Times New Roman"/>
                <w:b/>
                <w:bCs/>
                <w:sz w:val="22"/>
                <w:szCs w:val="22"/>
              </w:rPr>
              <w:t>Characteristics of stocks</w:t>
            </w:r>
          </w:p>
        </w:tc>
        <w:tc>
          <w:tcPr>
            <w:tcW w:w="1319" w:type="dxa"/>
            <w:tcBorders>
              <w:top w:val="nil"/>
              <w:left w:val="nil"/>
              <w:bottom w:val="single" w:sz="4" w:space="0" w:color="auto"/>
              <w:right w:val="single" w:sz="4" w:space="0" w:color="auto"/>
            </w:tcBorders>
            <w:shd w:val="clear" w:color="auto" w:fill="auto"/>
            <w:vAlign w:val="center"/>
            <w:hideMark/>
          </w:tcPr>
          <w:p w14:paraId="13471A6E" w14:textId="77777777" w:rsidR="009B65B1" w:rsidRPr="009B65B1" w:rsidRDefault="009B65B1" w:rsidP="009B65B1">
            <w:pPr>
              <w:jc w:val="center"/>
              <w:rPr>
                <w:rFonts w:eastAsia="Times New Roman"/>
                <w:sz w:val="22"/>
                <w:szCs w:val="22"/>
              </w:rPr>
            </w:pPr>
            <w:r w:rsidRPr="009B65B1">
              <w:rPr>
                <w:rFonts w:eastAsia="Times New Roman"/>
                <w:sz w:val="22"/>
                <w:szCs w:val="22"/>
              </w:rPr>
              <w:t>35</w:t>
            </w:r>
          </w:p>
        </w:tc>
        <w:tc>
          <w:tcPr>
            <w:tcW w:w="1268" w:type="dxa"/>
            <w:tcBorders>
              <w:top w:val="nil"/>
              <w:left w:val="nil"/>
              <w:bottom w:val="single" w:sz="4" w:space="0" w:color="auto"/>
              <w:right w:val="single" w:sz="4" w:space="0" w:color="auto"/>
            </w:tcBorders>
            <w:shd w:val="clear" w:color="auto" w:fill="auto"/>
            <w:noWrap/>
            <w:vAlign w:val="center"/>
            <w:hideMark/>
          </w:tcPr>
          <w:p w14:paraId="29CD9CA5" w14:textId="77777777" w:rsidR="009B65B1" w:rsidRPr="009B65B1" w:rsidRDefault="009B65B1" w:rsidP="009B65B1">
            <w:pPr>
              <w:jc w:val="center"/>
              <w:rPr>
                <w:rFonts w:eastAsia="Times New Roman"/>
                <w:sz w:val="22"/>
                <w:szCs w:val="22"/>
              </w:rPr>
            </w:pPr>
            <w:r w:rsidRPr="009B65B1">
              <w:rPr>
                <w:rFonts w:eastAsia="Times New Roman"/>
                <w:sz w:val="22"/>
                <w:szCs w:val="22"/>
              </w:rPr>
              <w:t>0.69</w:t>
            </w:r>
          </w:p>
        </w:tc>
      </w:tr>
      <w:tr w:rsidR="009B65B1" w:rsidRPr="009B65B1" w14:paraId="2E12C24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96D84D0" w14:textId="77777777" w:rsidR="009B65B1" w:rsidRPr="009B65B1" w:rsidRDefault="009B65B1" w:rsidP="009B65B1">
            <w:pPr>
              <w:jc w:val="center"/>
              <w:rPr>
                <w:rFonts w:eastAsia="Times New Roman"/>
                <w:sz w:val="22"/>
                <w:szCs w:val="22"/>
              </w:rPr>
            </w:pPr>
            <w:r w:rsidRPr="009B65B1">
              <w:rPr>
                <w:rFonts w:eastAsia="Times New Roman"/>
                <w:sz w:val="22"/>
                <w:szCs w:val="22"/>
              </w:rPr>
              <w:t>C2</w:t>
            </w:r>
          </w:p>
        </w:tc>
        <w:tc>
          <w:tcPr>
            <w:tcW w:w="6214" w:type="dxa"/>
            <w:tcBorders>
              <w:top w:val="nil"/>
              <w:left w:val="nil"/>
              <w:bottom w:val="single" w:sz="4" w:space="0" w:color="auto"/>
              <w:right w:val="single" w:sz="4" w:space="0" w:color="auto"/>
            </w:tcBorders>
            <w:shd w:val="clear" w:color="auto" w:fill="auto"/>
            <w:vAlign w:val="center"/>
            <w:hideMark/>
          </w:tcPr>
          <w:p w14:paraId="498CD5CF" w14:textId="77777777" w:rsidR="009B65B1" w:rsidRPr="009B65B1" w:rsidRDefault="009B65B1" w:rsidP="009B65B1">
            <w:pPr>
              <w:rPr>
                <w:rFonts w:eastAsia="Times New Roman"/>
                <w:b/>
                <w:bCs/>
                <w:sz w:val="22"/>
                <w:szCs w:val="22"/>
              </w:rPr>
            </w:pPr>
            <w:r w:rsidRPr="009B65B1">
              <w:rPr>
                <w:rFonts w:eastAsia="Times New Roman"/>
                <w:b/>
                <w:bCs/>
                <w:sz w:val="22"/>
                <w:szCs w:val="22"/>
              </w:rPr>
              <w:t>Timing of offering</w:t>
            </w:r>
          </w:p>
        </w:tc>
        <w:tc>
          <w:tcPr>
            <w:tcW w:w="1319" w:type="dxa"/>
            <w:tcBorders>
              <w:top w:val="nil"/>
              <w:left w:val="nil"/>
              <w:bottom w:val="single" w:sz="4" w:space="0" w:color="auto"/>
              <w:right w:val="single" w:sz="4" w:space="0" w:color="auto"/>
            </w:tcBorders>
            <w:shd w:val="clear" w:color="auto" w:fill="auto"/>
            <w:vAlign w:val="center"/>
            <w:hideMark/>
          </w:tcPr>
          <w:p w14:paraId="3AF35385"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14:paraId="23D7EFAF" w14:textId="77777777" w:rsidR="009B65B1" w:rsidRPr="009B65B1" w:rsidRDefault="009B65B1" w:rsidP="009B65B1">
            <w:pPr>
              <w:jc w:val="center"/>
              <w:rPr>
                <w:rFonts w:eastAsia="Times New Roman"/>
                <w:sz w:val="22"/>
                <w:szCs w:val="22"/>
              </w:rPr>
            </w:pPr>
            <w:r w:rsidRPr="009B65B1">
              <w:rPr>
                <w:rFonts w:eastAsia="Times New Roman"/>
                <w:sz w:val="22"/>
                <w:szCs w:val="22"/>
              </w:rPr>
              <w:t>0.02</w:t>
            </w:r>
          </w:p>
        </w:tc>
      </w:tr>
      <w:tr w:rsidR="009B65B1" w:rsidRPr="009B65B1" w14:paraId="1B93243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0B4C084" w14:textId="77777777" w:rsidR="009B65B1" w:rsidRPr="009B65B1" w:rsidRDefault="009B65B1" w:rsidP="009B65B1">
            <w:pPr>
              <w:jc w:val="center"/>
              <w:rPr>
                <w:rFonts w:eastAsia="Times New Roman"/>
                <w:sz w:val="22"/>
                <w:szCs w:val="22"/>
              </w:rPr>
            </w:pPr>
            <w:r w:rsidRPr="009B65B1">
              <w:rPr>
                <w:rFonts w:eastAsia="Times New Roman"/>
                <w:sz w:val="22"/>
                <w:szCs w:val="22"/>
              </w:rPr>
              <w:t>C3</w:t>
            </w:r>
          </w:p>
        </w:tc>
        <w:tc>
          <w:tcPr>
            <w:tcW w:w="6214" w:type="dxa"/>
            <w:tcBorders>
              <w:top w:val="nil"/>
              <w:left w:val="nil"/>
              <w:bottom w:val="single" w:sz="4" w:space="0" w:color="auto"/>
              <w:right w:val="single" w:sz="4" w:space="0" w:color="auto"/>
            </w:tcBorders>
            <w:shd w:val="clear" w:color="auto" w:fill="auto"/>
            <w:vAlign w:val="center"/>
            <w:hideMark/>
          </w:tcPr>
          <w:p w14:paraId="514A58CD" w14:textId="77777777" w:rsidR="009B65B1" w:rsidRPr="009B65B1" w:rsidRDefault="009B65B1" w:rsidP="009B65B1">
            <w:pPr>
              <w:rPr>
                <w:rFonts w:eastAsia="Times New Roman"/>
                <w:b/>
                <w:bCs/>
                <w:sz w:val="22"/>
                <w:szCs w:val="22"/>
              </w:rPr>
            </w:pPr>
            <w:r w:rsidRPr="009B65B1">
              <w:rPr>
                <w:rFonts w:eastAsia="Times New Roman"/>
                <w:b/>
                <w:bCs/>
                <w:sz w:val="22"/>
                <w:szCs w:val="22"/>
              </w:rPr>
              <w:t>Dividends</w:t>
            </w:r>
          </w:p>
        </w:tc>
        <w:tc>
          <w:tcPr>
            <w:tcW w:w="1319" w:type="dxa"/>
            <w:tcBorders>
              <w:top w:val="nil"/>
              <w:left w:val="nil"/>
              <w:bottom w:val="single" w:sz="4" w:space="0" w:color="auto"/>
              <w:right w:val="single" w:sz="4" w:space="0" w:color="auto"/>
            </w:tcBorders>
            <w:shd w:val="clear" w:color="auto" w:fill="auto"/>
            <w:vAlign w:val="center"/>
            <w:hideMark/>
          </w:tcPr>
          <w:p w14:paraId="2C3D89F0" w14:textId="77777777" w:rsidR="009B65B1" w:rsidRPr="009B65B1" w:rsidRDefault="009B65B1" w:rsidP="009B65B1">
            <w:pPr>
              <w:jc w:val="center"/>
              <w:rPr>
                <w:rFonts w:eastAsia="Times New Roman"/>
                <w:sz w:val="22"/>
                <w:szCs w:val="22"/>
              </w:rPr>
            </w:pPr>
            <w:r w:rsidRPr="009B65B1">
              <w:rPr>
                <w:rFonts w:eastAsia="Times New Roman"/>
                <w:sz w:val="22"/>
                <w:szCs w:val="22"/>
              </w:rPr>
              <w:t>9</w:t>
            </w:r>
          </w:p>
        </w:tc>
        <w:tc>
          <w:tcPr>
            <w:tcW w:w="1268" w:type="dxa"/>
            <w:tcBorders>
              <w:top w:val="nil"/>
              <w:left w:val="nil"/>
              <w:bottom w:val="single" w:sz="4" w:space="0" w:color="auto"/>
              <w:right w:val="single" w:sz="4" w:space="0" w:color="auto"/>
            </w:tcBorders>
            <w:shd w:val="clear" w:color="auto" w:fill="auto"/>
            <w:noWrap/>
            <w:vAlign w:val="center"/>
            <w:hideMark/>
          </w:tcPr>
          <w:p w14:paraId="4FE19161" w14:textId="77777777" w:rsidR="009B65B1" w:rsidRPr="009B65B1" w:rsidRDefault="009B65B1" w:rsidP="009B65B1">
            <w:pPr>
              <w:jc w:val="center"/>
              <w:rPr>
                <w:rFonts w:eastAsia="Times New Roman"/>
                <w:sz w:val="22"/>
                <w:szCs w:val="22"/>
              </w:rPr>
            </w:pPr>
            <w:r w:rsidRPr="009B65B1">
              <w:rPr>
                <w:rFonts w:eastAsia="Times New Roman"/>
                <w:sz w:val="22"/>
                <w:szCs w:val="22"/>
              </w:rPr>
              <w:t>0.18</w:t>
            </w:r>
          </w:p>
        </w:tc>
      </w:tr>
      <w:tr w:rsidR="009B65B1" w:rsidRPr="009B65B1" w14:paraId="55E9A94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6E1DE25" w14:textId="77777777" w:rsidR="009B65B1" w:rsidRPr="009B65B1" w:rsidRDefault="009B65B1" w:rsidP="009B65B1">
            <w:pPr>
              <w:jc w:val="center"/>
              <w:rPr>
                <w:rFonts w:eastAsia="Times New Roman"/>
                <w:sz w:val="22"/>
                <w:szCs w:val="22"/>
              </w:rPr>
            </w:pPr>
            <w:r w:rsidRPr="009B65B1">
              <w:rPr>
                <w:rFonts w:eastAsia="Times New Roman"/>
                <w:sz w:val="22"/>
                <w:szCs w:val="22"/>
              </w:rPr>
              <w:t>C4</w:t>
            </w:r>
          </w:p>
        </w:tc>
        <w:tc>
          <w:tcPr>
            <w:tcW w:w="6214" w:type="dxa"/>
            <w:tcBorders>
              <w:top w:val="nil"/>
              <w:left w:val="nil"/>
              <w:bottom w:val="single" w:sz="4" w:space="0" w:color="auto"/>
              <w:right w:val="single" w:sz="4" w:space="0" w:color="auto"/>
            </w:tcBorders>
            <w:shd w:val="clear" w:color="auto" w:fill="auto"/>
            <w:vAlign w:val="center"/>
            <w:hideMark/>
          </w:tcPr>
          <w:p w14:paraId="5214352A" w14:textId="77777777" w:rsidR="009B65B1" w:rsidRPr="009B65B1" w:rsidRDefault="009B65B1" w:rsidP="009B65B1">
            <w:pPr>
              <w:rPr>
                <w:rFonts w:eastAsia="Times New Roman"/>
                <w:b/>
                <w:bCs/>
                <w:sz w:val="22"/>
                <w:szCs w:val="22"/>
              </w:rPr>
            </w:pPr>
            <w:r w:rsidRPr="009B65B1">
              <w:rPr>
                <w:rFonts w:eastAsia="Times New Roman"/>
                <w:b/>
                <w:bCs/>
                <w:sz w:val="22"/>
                <w:szCs w:val="22"/>
              </w:rPr>
              <w:t>Proceed</w:t>
            </w:r>
          </w:p>
        </w:tc>
        <w:tc>
          <w:tcPr>
            <w:tcW w:w="1319" w:type="dxa"/>
            <w:tcBorders>
              <w:top w:val="nil"/>
              <w:left w:val="nil"/>
              <w:bottom w:val="single" w:sz="4" w:space="0" w:color="auto"/>
              <w:right w:val="single" w:sz="4" w:space="0" w:color="auto"/>
            </w:tcBorders>
            <w:shd w:val="clear" w:color="auto" w:fill="auto"/>
            <w:vAlign w:val="center"/>
            <w:hideMark/>
          </w:tcPr>
          <w:p w14:paraId="6C4872AF" w14:textId="77777777" w:rsidR="009B65B1" w:rsidRPr="009B65B1" w:rsidRDefault="009B65B1" w:rsidP="009B65B1">
            <w:pPr>
              <w:jc w:val="center"/>
              <w:rPr>
                <w:rFonts w:eastAsia="Times New Roman"/>
                <w:sz w:val="22"/>
                <w:szCs w:val="22"/>
              </w:rPr>
            </w:pPr>
            <w:r w:rsidRPr="009B65B1">
              <w:rPr>
                <w:rFonts w:eastAsia="Times New Roman"/>
                <w:sz w:val="22"/>
                <w:szCs w:val="22"/>
              </w:rPr>
              <w:t>75</w:t>
            </w:r>
          </w:p>
        </w:tc>
        <w:tc>
          <w:tcPr>
            <w:tcW w:w="1268" w:type="dxa"/>
            <w:tcBorders>
              <w:top w:val="nil"/>
              <w:left w:val="nil"/>
              <w:bottom w:val="single" w:sz="4" w:space="0" w:color="auto"/>
              <w:right w:val="single" w:sz="4" w:space="0" w:color="auto"/>
            </w:tcBorders>
            <w:shd w:val="clear" w:color="auto" w:fill="auto"/>
            <w:noWrap/>
            <w:vAlign w:val="center"/>
            <w:hideMark/>
          </w:tcPr>
          <w:p w14:paraId="32648907" w14:textId="77777777" w:rsidR="009B65B1" w:rsidRPr="009B65B1" w:rsidRDefault="009B65B1" w:rsidP="009B65B1">
            <w:pPr>
              <w:jc w:val="center"/>
              <w:rPr>
                <w:rFonts w:eastAsia="Times New Roman"/>
                <w:sz w:val="22"/>
                <w:szCs w:val="22"/>
              </w:rPr>
            </w:pPr>
            <w:r w:rsidRPr="009B65B1">
              <w:rPr>
                <w:rFonts w:eastAsia="Times New Roman"/>
                <w:sz w:val="22"/>
                <w:szCs w:val="22"/>
              </w:rPr>
              <w:t>1.48</w:t>
            </w:r>
          </w:p>
        </w:tc>
      </w:tr>
      <w:tr w:rsidR="009B65B1" w:rsidRPr="009B65B1" w14:paraId="760425C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01023E6" w14:textId="77777777" w:rsidR="009B65B1" w:rsidRPr="009B65B1" w:rsidRDefault="009B65B1" w:rsidP="009B65B1">
            <w:pPr>
              <w:jc w:val="center"/>
              <w:rPr>
                <w:rFonts w:eastAsia="Times New Roman"/>
                <w:sz w:val="22"/>
                <w:szCs w:val="22"/>
              </w:rPr>
            </w:pPr>
            <w:r w:rsidRPr="009B65B1">
              <w:rPr>
                <w:rFonts w:eastAsia="Times New Roman"/>
                <w:sz w:val="22"/>
                <w:szCs w:val="22"/>
              </w:rPr>
              <w:t>C5</w:t>
            </w:r>
          </w:p>
        </w:tc>
        <w:tc>
          <w:tcPr>
            <w:tcW w:w="6214" w:type="dxa"/>
            <w:tcBorders>
              <w:top w:val="nil"/>
              <w:left w:val="nil"/>
              <w:bottom w:val="single" w:sz="4" w:space="0" w:color="auto"/>
              <w:right w:val="single" w:sz="4" w:space="0" w:color="auto"/>
            </w:tcBorders>
            <w:shd w:val="clear" w:color="auto" w:fill="auto"/>
            <w:vAlign w:val="center"/>
            <w:hideMark/>
          </w:tcPr>
          <w:p w14:paraId="063DE1E2" w14:textId="0CF966EE" w:rsidR="009B65B1" w:rsidRPr="009B65B1" w:rsidRDefault="009B65B1" w:rsidP="009B65B1">
            <w:pPr>
              <w:rPr>
                <w:rFonts w:eastAsia="Times New Roman"/>
                <w:b/>
                <w:bCs/>
                <w:sz w:val="22"/>
                <w:szCs w:val="22"/>
              </w:rPr>
            </w:pPr>
            <w:r w:rsidRPr="009B65B1">
              <w:rPr>
                <w:rFonts w:eastAsia="Times New Roman"/>
                <w:b/>
                <w:bCs/>
                <w:sz w:val="22"/>
                <w:szCs w:val="22"/>
              </w:rPr>
              <w:t xml:space="preserve">Actions effecting </w:t>
            </w:r>
            <w:r w:rsidR="002869D0" w:rsidRPr="009B65B1">
              <w:rPr>
                <w:rFonts w:eastAsia="Times New Roman"/>
                <w:b/>
                <w:bCs/>
                <w:sz w:val="22"/>
                <w:szCs w:val="22"/>
              </w:rPr>
              <w:t>stock’s</w:t>
            </w:r>
            <w:r w:rsidRPr="009B65B1">
              <w:rPr>
                <w:rFonts w:eastAsia="Times New Roman"/>
                <w:b/>
                <w:bCs/>
                <w:sz w:val="22"/>
                <w:szCs w:val="22"/>
              </w:rPr>
              <w:t xml:space="preserve"> value</w:t>
            </w:r>
          </w:p>
        </w:tc>
        <w:tc>
          <w:tcPr>
            <w:tcW w:w="1319" w:type="dxa"/>
            <w:tcBorders>
              <w:top w:val="nil"/>
              <w:left w:val="nil"/>
              <w:bottom w:val="single" w:sz="4" w:space="0" w:color="auto"/>
              <w:right w:val="single" w:sz="4" w:space="0" w:color="auto"/>
            </w:tcBorders>
            <w:shd w:val="clear" w:color="auto" w:fill="auto"/>
            <w:vAlign w:val="center"/>
            <w:hideMark/>
          </w:tcPr>
          <w:p w14:paraId="0F0F5ED7" w14:textId="77777777" w:rsidR="009B65B1" w:rsidRPr="009B65B1" w:rsidRDefault="009B65B1" w:rsidP="009B65B1">
            <w:pPr>
              <w:jc w:val="center"/>
              <w:rPr>
                <w:rFonts w:eastAsia="Times New Roman"/>
                <w:sz w:val="22"/>
                <w:szCs w:val="22"/>
              </w:rPr>
            </w:pPr>
            <w:r w:rsidRPr="009B65B1">
              <w:rPr>
                <w:rFonts w:eastAsia="Times New Roman"/>
                <w:sz w:val="22"/>
                <w:szCs w:val="22"/>
              </w:rPr>
              <w:t>15</w:t>
            </w:r>
          </w:p>
        </w:tc>
        <w:tc>
          <w:tcPr>
            <w:tcW w:w="1268" w:type="dxa"/>
            <w:tcBorders>
              <w:top w:val="nil"/>
              <w:left w:val="nil"/>
              <w:bottom w:val="single" w:sz="4" w:space="0" w:color="auto"/>
              <w:right w:val="single" w:sz="4" w:space="0" w:color="auto"/>
            </w:tcBorders>
            <w:shd w:val="clear" w:color="auto" w:fill="auto"/>
            <w:noWrap/>
            <w:vAlign w:val="center"/>
            <w:hideMark/>
          </w:tcPr>
          <w:p w14:paraId="5BB62707" w14:textId="77777777" w:rsidR="009B65B1" w:rsidRPr="009B65B1" w:rsidRDefault="009B65B1" w:rsidP="009B65B1">
            <w:pPr>
              <w:jc w:val="center"/>
              <w:rPr>
                <w:rFonts w:eastAsia="Times New Roman"/>
                <w:sz w:val="22"/>
                <w:szCs w:val="22"/>
              </w:rPr>
            </w:pPr>
            <w:r w:rsidRPr="009B65B1">
              <w:rPr>
                <w:rFonts w:eastAsia="Times New Roman"/>
                <w:sz w:val="22"/>
                <w:szCs w:val="22"/>
              </w:rPr>
              <w:t>0.30</w:t>
            </w:r>
          </w:p>
        </w:tc>
      </w:tr>
      <w:tr w:rsidR="009B65B1" w:rsidRPr="009B65B1" w14:paraId="4EE4C65F"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82A430C" w14:textId="77777777" w:rsidR="009B65B1" w:rsidRPr="009B65B1" w:rsidRDefault="009B65B1" w:rsidP="009B65B1">
            <w:pPr>
              <w:jc w:val="right"/>
              <w:rPr>
                <w:rFonts w:eastAsia="Times New Roman"/>
                <w:b/>
                <w:bCs/>
                <w:sz w:val="22"/>
                <w:szCs w:val="22"/>
              </w:rPr>
            </w:pPr>
            <w:r w:rsidRPr="009B65B1">
              <w:rPr>
                <w:rFonts w:eastAsia="Times New Roman"/>
                <w:b/>
                <w:bCs/>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285AF1A9" w14:textId="77777777" w:rsidR="009B65B1" w:rsidRPr="009B65B1" w:rsidRDefault="009B65B1" w:rsidP="009B65B1">
            <w:pPr>
              <w:rPr>
                <w:rFonts w:eastAsia="Times New Roman"/>
                <w:b/>
                <w:bCs/>
                <w:sz w:val="22"/>
                <w:szCs w:val="22"/>
              </w:rPr>
            </w:pPr>
            <w:r w:rsidRPr="009B65B1">
              <w:rPr>
                <w:rFonts w:eastAsia="Times New Roman"/>
                <w:b/>
                <w:bCs/>
                <w:sz w:val="22"/>
                <w:szCs w:val="22"/>
              </w:rPr>
              <w:t>Parties of offering</w:t>
            </w:r>
          </w:p>
        </w:tc>
        <w:tc>
          <w:tcPr>
            <w:tcW w:w="1319" w:type="dxa"/>
            <w:tcBorders>
              <w:top w:val="nil"/>
              <w:left w:val="nil"/>
              <w:bottom w:val="single" w:sz="4" w:space="0" w:color="auto"/>
              <w:right w:val="single" w:sz="4" w:space="0" w:color="auto"/>
            </w:tcBorders>
            <w:shd w:val="clear" w:color="auto" w:fill="auto"/>
            <w:vAlign w:val="center"/>
            <w:hideMark/>
          </w:tcPr>
          <w:p w14:paraId="43F5B31E"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1268" w:type="dxa"/>
            <w:tcBorders>
              <w:top w:val="nil"/>
              <w:left w:val="nil"/>
              <w:bottom w:val="single" w:sz="4" w:space="0" w:color="auto"/>
              <w:right w:val="single" w:sz="4" w:space="0" w:color="auto"/>
            </w:tcBorders>
            <w:shd w:val="clear" w:color="auto" w:fill="auto"/>
            <w:noWrap/>
            <w:vAlign w:val="center"/>
            <w:hideMark/>
          </w:tcPr>
          <w:p w14:paraId="43E54DC1"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r>
      <w:tr w:rsidR="009B65B1" w:rsidRPr="009B65B1" w14:paraId="20BFCCA3"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99AFB83" w14:textId="77777777" w:rsidR="009B65B1" w:rsidRPr="009B65B1" w:rsidRDefault="009B65B1" w:rsidP="009B65B1">
            <w:pPr>
              <w:jc w:val="center"/>
              <w:rPr>
                <w:rFonts w:eastAsia="Times New Roman"/>
                <w:sz w:val="22"/>
                <w:szCs w:val="22"/>
              </w:rPr>
            </w:pPr>
            <w:r w:rsidRPr="009B65B1">
              <w:rPr>
                <w:rFonts w:eastAsia="Times New Roman"/>
                <w:sz w:val="22"/>
                <w:szCs w:val="22"/>
              </w:rPr>
              <w:t>C6</w:t>
            </w:r>
          </w:p>
        </w:tc>
        <w:tc>
          <w:tcPr>
            <w:tcW w:w="6214" w:type="dxa"/>
            <w:tcBorders>
              <w:top w:val="nil"/>
              <w:left w:val="nil"/>
              <w:bottom w:val="single" w:sz="4" w:space="0" w:color="auto"/>
              <w:right w:val="single" w:sz="4" w:space="0" w:color="auto"/>
            </w:tcBorders>
            <w:shd w:val="clear" w:color="auto" w:fill="auto"/>
            <w:vAlign w:val="center"/>
            <w:hideMark/>
          </w:tcPr>
          <w:p w14:paraId="09AF91A2" w14:textId="77777777" w:rsidR="009B65B1" w:rsidRPr="009B65B1" w:rsidRDefault="009B65B1" w:rsidP="009B65B1">
            <w:pPr>
              <w:rPr>
                <w:rFonts w:eastAsia="Times New Roman"/>
                <w:sz w:val="22"/>
                <w:szCs w:val="22"/>
              </w:rPr>
            </w:pPr>
            <w:r w:rsidRPr="009B65B1">
              <w:rPr>
                <w:rFonts w:eastAsia="Times New Roman"/>
                <w:sz w:val="22"/>
                <w:szCs w:val="22"/>
              </w:rPr>
              <w:t>Stockholders</w:t>
            </w:r>
          </w:p>
        </w:tc>
        <w:tc>
          <w:tcPr>
            <w:tcW w:w="1319" w:type="dxa"/>
            <w:tcBorders>
              <w:top w:val="nil"/>
              <w:left w:val="nil"/>
              <w:bottom w:val="single" w:sz="4" w:space="0" w:color="auto"/>
              <w:right w:val="single" w:sz="4" w:space="0" w:color="auto"/>
            </w:tcBorders>
            <w:shd w:val="clear" w:color="auto" w:fill="auto"/>
            <w:vAlign w:val="center"/>
            <w:hideMark/>
          </w:tcPr>
          <w:p w14:paraId="2F729A71" w14:textId="77777777" w:rsidR="009B65B1" w:rsidRPr="009B65B1" w:rsidRDefault="009B65B1" w:rsidP="009B65B1">
            <w:pPr>
              <w:jc w:val="center"/>
              <w:rPr>
                <w:rFonts w:eastAsia="Times New Roman"/>
                <w:sz w:val="22"/>
                <w:szCs w:val="22"/>
              </w:rPr>
            </w:pPr>
            <w:r w:rsidRPr="009B65B1">
              <w:rPr>
                <w:rFonts w:eastAsia="Times New Roman"/>
                <w:sz w:val="22"/>
                <w:szCs w:val="22"/>
              </w:rPr>
              <w:t>54</w:t>
            </w:r>
          </w:p>
        </w:tc>
        <w:tc>
          <w:tcPr>
            <w:tcW w:w="1268" w:type="dxa"/>
            <w:tcBorders>
              <w:top w:val="nil"/>
              <w:left w:val="nil"/>
              <w:bottom w:val="single" w:sz="4" w:space="0" w:color="auto"/>
              <w:right w:val="single" w:sz="4" w:space="0" w:color="auto"/>
            </w:tcBorders>
            <w:shd w:val="clear" w:color="auto" w:fill="auto"/>
            <w:noWrap/>
            <w:vAlign w:val="center"/>
            <w:hideMark/>
          </w:tcPr>
          <w:p w14:paraId="5A9BA96E" w14:textId="77777777" w:rsidR="009B65B1" w:rsidRPr="009B65B1" w:rsidRDefault="009B65B1" w:rsidP="009B65B1">
            <w:pPr>
              <w:jc w:val="center"/>
              <w:rPr>
                <w:rFonts w:eastAsia="Times New Roman"/>
                <w:sz w:val="22"/>
                <w:szCs w:val="22"/>
              </w:rPr>
            </w:pPr>
            <w:r w:rsidRPr="009B65B1">
              <w:rPr>
                <w:rFonts w:eastAsia="Times New Roman"/>
                <w:sz w:val="22"/>
                <w:szCs w:val="22"/>
              </w:rPr>
              <w:t>1.07</w:t>
            </w:r>
          </w:p>
        </w:tc>
      </w:tr>
      <w:tr w:rsidR="009B65B1" w:rsidRPr="009B65B1" w14:paraId="3DBBEE49"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91A3D5D" w14:textId="77777777" w:rsidR="009B65B1" w:rsidRPr="009B65B1" w:rsidRDefault="009B65B1" w:rsidP="009B65B1">
            <w:pPr>
              <w:jc w:val="center"/>
              <w:rPr>
                <w:rFonts w:eastAsia="Times New Roman"/>
                <w:sz w:val="22"/>
                <w:szCs w:val="22"/>
              </w:rPr>
            </w:pPr>
            <w:r w:rsidRPr="009B65B1">
              <w:rPr>
                <w:rFonts w:eastAsia="Times New Roman"/>
                <w:sz w:val="22"/>
                <w:szCs w:val="22"/>
              </w:rPr>
              <w:t>C7</w:t>
            </w:r>
          </w:p>
        </w:tc>
        <w:tc>
          <w:tcPr>
            <w:tcW w:w="6214" w:type="dxa"/>
            <w:tcBorders>
              <w:top w:val="nil"/>
              <w:left w:val="nil"/>
              <w:bottom w:val="single" w:sz="4" w:space="0" w:color="auto"/>
              <w:right w:val="single" w:sz="4" w:space="0" w:color="auto"/>
            </w:tcBorders>
            <w:shd w:val="clear" w:color="auto" w:fill="auto"/>
            <w:vAlign w:val="center"/>
            <w:hideMark/>
          </w:tcPr>
          <w:p w14:paraId="7EB102CE" w14:textId="77777777" w:rsidR="009B65B1" w:rsidRPr="009B65B1" w:rsidRDefault="009B65B1" w:rsidP="009B65B1">
            <w:pPr>
              <w:rPr>
                <w:rFonts w:eastAsia="Times New Roman"/>
                <w:sz w:val="22"/>
                <w:szCs w:val="22"/>
              </w:rPr>
            </w:pPr>
            <w:r w:rsidRPr="009B65B1">
              <w:rPr>
                <w:rFonts w:eastAsia="Times New Roman"/>
                <w:sz w:val="22"/>
                <w:szCs w:val="22"/>
              </w:rPr>
              <w:t>Underwriters</w:t>
            </w:r>
          </w:p>
        </w:tc>
        <w:tc>
          <w:tcPr>
            <w:tcW w:w="1319" w:type="dxa"/>
            <w:tcBorders>
              <w:top w:val="nil"/>
              <w:left w:val="nil"/>
              <w:bottom w:val="single" w:sz="4" w:space="0" w:color="auto"/>
              <w:right w:val="single" w:sz="4" w:space="0" w:color="auto"/>
            </w:tcBorders>
            <w:shd w:val="clear" w:color="auto" w:fill="auto"/>
            <w:vAlign w:val="center"/>
            <w:hideMark/>
          </w:tcPr>
          <w:p w14:paraId="67C599EF" w14:textId="77777777" w:rsidR="009B65B1" w:rsidRPr="009B65B1" w:rsidRDefault="009B65B1" w:rsidP="009B65B1">
            <w:pPr>
              <w:jc w:val="center"/>
              <w:rPr>
                <w:rFonts w:eastAsia="Times New Roman"/>
                <w:sz w:val="22"/>
                <w:szCs w:val="22"/>
              </w:rPr>
            </w:pPr>
            <w:r w:rsidRPr="009B65B1">
              <w:rPr>
                <w:rFonts w:eastAsia="Times New Roman"/>
                <w:sz w:val="22"/>
                <w:szCs w:val="22"/>
              </w:rPr>
              <w:t>69</w:t>
            </w:r>
          </w:p>
        </w:tc>
        <w:tc>
          <w:tcPr>
            <w:tcW w:w="1268" w:type="dxa"/>
            <w:tcBorders>
              <w:top w:val="nil"/>
              <w:left w:val="nil"/>
              <w:bottom w:val="single" w:sz="4" w:space="0" w:color="auto"/>
              <w:right w:val="single" w:sz="4" w:space="0" w:color="auto"/>
            </w:tcBorders>
            <w:shd w:val="clear" w:color="auto" w:fill="auto"/>
            <w:noWrap/>
            <w:vAlign w:val="center"/>
            <w:hideMark/>
          </w:tcPr>
          <w:p w14:paraId="22AF64D4" w14:textId="77777777" w:rsidR="009B65B1" w:rsidRPr="009B65B1" w:rsidRDefault="009B65B1" w:rsidP="009B65B1">
            <w:pPr>
              <w:jc w:val="center"/>
              <w:rPr>
                <w:rFonts w:eastAsia="Times New Roman"/>
                <w:sz w:val="22"/>
                <w:szCs w:val="22"/>
              </w:rPr>
            </w:pPr>
            <w:r w:rsidRPr="009B65B1">
              <w:rPr>
                <w:rFonts w:eastAsia="Times New Roman"/>
                <w:sz w:val="22"/>
                <w:szCs w:val="22"/>
              </w:rPr>
              <w:t>1.37</w:t>
            </w:r>
          </w:p>
        </w:tc>
      </w:tr>
      <w:tr w:rsidR="009B65B1" w:rsidRPr="009B65B1" w14:paraId="7630AC7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DB1351E" w14:textId="77777777" w:rsidR="009B65B1" w:rsidRPr="009B65B1" w:rsidRDefault="009B65B1" w:rsidP="009B65B1">
            <w:pPr>
              <w:jc w:val="center"/>
              <w:rPr>
                <w:rFonts w:eastAsia="Times New Roman"/>
                <w:sz w:val="22"/>
                <w:szCs w:val="22"/>
              </w:rPr>
            </w:pPr>
            <w:r w:rsidRPr="009B65B1">
              <w:rPr>
                <w:rFonts w:eastAsia="Times New Roman"/>
                <w:sz w:val="22"/>
                <w:szCs w:val="22"/>
              </w:rPr>
              <w:t>C8</w:t>
            </w:r>
          </w:p>
        </w:tc>
        <w:tc>
          <w:tcPr>
            <w:tcW w:w="6214" w:type="dxa"/>
            <w:tcBorders>
              <w:top w:val="nil"/>
              <w:left w:val="nil"/>
              <w:bottom w:val="single" w:sz="4" w:space="0" w:color="auto"/>
              <w:right w:val="single" w:sz="4" w:space="0" w:color="auto"/>
            </w:tcBorders>
            <w:shd w:val="clear" w:color="auto" w:fill="auto"/>
            <w:vAlign w:val="center"/>
            <w:hideMark/>
          </w:tcPr>
          <w:p w14:paraId="424FAE7E" w14:textId="77777777" w:rsidR="009B65B1" w:rsidRPr="009B65B1" w:rsidRDefault="009B65B1" w:rsidP="009B65B1">
            <w:pPr>
              <w:rPr>
                <w:rFonts w:eastAsia="Times New Roman"/>
                <w:sz w:val="22"/>
                <w:szCs w:val="22"/>
              </w:rPr>
            </w:pPr>
            <w:r w:rsidRPr="009B65B1">
              <w:rPr>
                <w:rFonts w:eastAsia="Times New Roman"/>
                <w:sz w:val="22"/>
                <w:szCs w:val="22"/>
              </w:rPr>
              <w:t>Other parties (offering)</w:t>
            </w:r>
          </w:p>
        </w:tc>
        <w:tc>
          <w:tcPr>
            <w:tcW w:w="1319" w:type="dxa"/>
            <w:tcBorders>
              <w:top w:val="nil"/>
              <w:left w:val="nil"/>
              <w:bottom w:val="single" w:sz="4" w:space="0" w:color="auto"/>
              <w:right w:val="single" w:sz="4" w:space="0" w:color="auto"/>
            </w:tcBorders>
            <w:shd w:val="clear" w:color="auto" w:fill="auto"/>
            <w:vAlign w:val="center"/>
            <w:hideMark/>
          </w:tcPr>
          <w:p w14:paraId="05E5F583" w14:textId="77777777" w:rsidR="009B65B1" w:rsidRPr="009B65B1" w:rsidRDefault="009B65B1" w:rsidP="009B65B1">
            <w:pPr>
              <w:jc w:val="center"/>
              <w:rPr>
                <w:rFonts w:eastAsia="Times New Roman"/>
                <w:sz w:val="22"/>
                <w:szCs w:val="22"/>
              </w:rPr>
            </w:pPr>
            <w:r w:rsidRPr="009B65B1">
              <w:rPr>
                <w:rFonts w:eastAsia="Times New Roman"/>
                <w:sz w:val="22"/>
                <w:szCs w:val="22"/>
              </w:rPr>
              <w:t>11</w:t>
            </w:r>
          </w:p>
        </w:tc>
        <w:tc>
          <w:tcPr>
            <w:tcW w:w="1268" w:type="dxa"/>
            <w:tcBorders>
              <w:top w:val="nil"/>
              <w:left w:val="nil"/>
              <w:bottom w:val="single" w:sz="4" w:space="0" w:color="auto"/>
              <w:right w:val="single" w:sz="4" w:space="0" w:color="auto"/>
            </w:tcBorders>
            <w:shd w:val="clear" w:color="auto" w:fill="auto"/>
            <w:noWrap/>
            <w:vAlign w:val="center"/>
            <w:hideMark/>
          </w:tcPr>
          <w:p w14:paraId="62085EFB" w14:textId="77777777" w:rsidR="009B65B1" w:rsidRPr="009B65B1" w:rsidRDefault="009B65B1" w:rsidP="009B65B1">
            <w:pPr>
              <w:jc w:val="center"/>
              <w:rPr>
                <w:rFonts w:eastAsia="Times New Roman"/>
                <w:sz w:val="22"/>
                <w:szCs w:val="22"/>
              </w:rPr>
            </w:pPr>
            <w:r w:rsidRPr="009B65B1">
              <w:rPr>
                <w:rFonts w:eastAsia="Times New Roman"/>
                <w:sz w:val="22"/>
                <w:szCs w:val="22"/>
              </w:rPr>
              <w:t>0.22</w:t>
            </w:r>
          </w:p>
        </w:tc>
      </w:tr>
      <w:tr w:rsidR="009B65B1" w:rsidRPr="009B65B1" w14:paraId="7E0B925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454E636" w14:textId="77777777" w:rsidR="009B65B1" w:rsidRPr="009B65B1" w:rsidRDefault="009B65B1" w:rsidP="009B65B1">
            <w:pPr>
              <w:jc w:val="center"/>
              <w:rPr>
                <w:rFonts w:eastAsia="Times New Roman"/>
                <w:sz w:val="22"/>
                <w:szCs w:val="22"/>
              </w:rPr>
            </w:pPr>
            <w:r w:rsidRPr="009B65B1">
              <w:rPr>
                <w:rFonts w:eastAsia="Times New Roman"/>
                <w:sz w:val="22"/>
                <w:szCs w:val="22"/>
              </w:rPr>
              <w:t>C9</w:t>
            </w:r>
          </w:p>
        </w:tc>
        <w:tc>
          <w:tcPr>
            <w:tcW w:w="6214" w:type="dxa"/>
            <w:tcBorders>
              <w:top w:val="nil"/>
              <w:left w:val="nil"/>
              <w:bottom w:val="single" w:sz="4" w:space="0" w:color="auto"/>
              <w:right w:val="single" w:sz="4" w:space="0" w:color="auto"/>
            </w:tcBorders>
            <w:shd w:val="clear" w:color="auto" w:fill="auto"/>
            <w:vAlign w:val="center"/>
            <w:hideMark/>
          </w:tcPr>
          <w:p w14:paraId="08107A11" w14:textId="77777777" w:rsidR="009B65B1" w:rsidRPr="009B65B1" w:rsidRDefault="009B65B1" w:rsidP="009B65B1">
            <w:pPr>
              <w:rPr>
                <w:rFonts w:eastAsia="Times New Roman"/>
                <w:b/>
                <w:bCs/>
                <w:sz w:val="22"/>
                <w:szCs w:val="22"/>
              </w:rPr>
            </w:pPr>
            <w:r w:rsidRPr="009B65B1">
              <w:rPr>
                <w:rFonts w:eastAsia="Times New Roman"/>
                <w:b/>
                <w:bCs/>
                <w:sz w:val="22"/>
                <w:szCs w:val="22"/>
              </w:rPr>
              <w:t>Effect of offering</w:t>
            </w:r>
          </w:p>
        </w:tc>
        <w:tc>
          <w:tcPr>
            <w:tcW w:w="1319" w:type="dxa"/>
            <w:tcBorders>
              <w:top w:val="nil"/>
              <w:left w:val="nil"/>
              <w:bottom w:val="single" w:sz="4" w:space="0" w:color="auto"/>
              <w:right w:val="single" w:sz="4" w:space="0" w:color="auto"/>
            </w:tcBorders>
            <w:shd w:val="clear" w:color="auto" w:fill="auto"/>
            <w:vAlign w:val="center"/>
            <w:hideMark/>
          </w:tcPr>
          <w:p w14:paraId="7B27867C" w14:textId="77777777" w:rsidR="009B65B1" w:rsidRPr="009B65B1" w:rsidRDefault="009B65B1" w:rsidP="009B65B1">
            <w:pPr>
              <w:jc w:val="center"/>
              <w:rPr>
                <w:rFonts w:eastAsia="Times New Roman"/>
                <w:sz w:val="22"/>
                <w:szCs w:val="22"/>
              </w:rPr>
            </w:pPr>
            <w:r w:rsidRPr="009B65B1">
              <w:rPr>
                <w:rFonts w:eastAsia="Times New Roman"/>
                <w:sz w:val="22"/>
                <w:szCs w:val="22"/>
              </w:rPr>
              <w:t>18</w:t>
            </w:r>
          </w:p>
        </w:tc>
        <w:tc>
          <w:tcPr>
            <w:tcW w:w="1268" w:type="dxa"/>
            <w:tcBorders>
              <w:top w:val="nil"/>
              <w:left w:val="nil"/>
              <w:bottom w:val="single" w:sz="4" w:space="0" w:color="auto"/>
              <w:right w:val="single" w:sz="4" w:space="0" w:color="auto"/>
            </w:tcBorders>
            <w:shd w:val="clear" w:color="auto" w:fill="auto"/>
            <w:noWrap/>
            <w:vAlign w:val="center"/>
            <w:hideMark/>
          </w:tcPr>
          <w:p w14:paraId="365F389C" w14:textId="77777777" w:rsidR="009B65B1" w:rsidRPr="009B65B1" w:rsidRDefault="009B65B1" w:rsidP="009B65B1">
            <w:pPr>
              <w:jc w:val="center"/>
              <w:rPr>
                <w:rFonts w:eastAsia="Times New Roman"/>
                <w:sz w:val="22"/>
                <w:szCs w:val="22"/>
              </w:rPr>
            </w:pPr>
            <w:r w:rsidRPr="009B65B1">
              <w:rPr>
                <w:rFonts w:eastAsia="Times New Roman"/>
                <w:sz w:val="22"/>
                <w:szCs w:val="22"/>
              </w:rPr>
              <w:t>0.36</w:t>
            </w:r>
          </w:p>
        </w:tc>
      </w:tr>
      <w:tr w:rsidR="009B65B1" w:rsidRPr="009B65B1" w14:paraId="54E8467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CFABD86" w14:textId="77777777" w:rsidR="009B65B1" w:rsidRPr="009B65B1" w:rsidRDefault="009B65B1" w:rsidP="009B65B1">
            <w:pPr>
              <w:jc w:val="center"/>
              <w:rPr>
                <w:rFonts w:eastAsia="Times New Roman"/>
                <w:sz w:val="22"/>
                <w:szCs w:val="22"/>
              </w:rPr>
            </w:pPr>
            <w:r w:rsidRPr="009B65B1">
              <w:rPr>
                <w:rFonts w:eastAsia="Times New Roman"/>
                <w:sz w:val="22"/>
                <w:szCs w:val="22"/>
              </w:rPr>
              <w:t>C10</w:t>
            </w:r>
          </w:p>
        </w:tc>
        <w:tc>
          <w:tcPr>
            <w:tcW w:w="6214" w:type="dxa"/>
            <w:tcBorders>
              <w:top w:val="nil"/>
              <w:left w:val="nil"/>
              <w:bottom w:val="single" w:sz="4" w:space="0" w:color="auto"/>
              <w:right w:val="single" w:sz="4" w:space="0" w:color="auto"/>
            </w:tcBorders>
            <w:shd w:val="clear" w:color="auto" w:fill="auto"/>
            <w:vAlign w:val="center"/>
            <w:hideMark/>
          </w:tcPr>
          <w:p w14:paraId="5A4578F2" w14:textId="77777777" w:rsidR="009B65B1" w:rsidRPr="009B65B1" w:rsidRDefault="009B65B1" w:rsidP="009B65B1">
            <w:pPr>
              <w:rPr>
                <w:rFonts w:eastAsia="Times New Roman"/>
                <w:b/>
                <w:bCs/>
                <w:sz w:val="22"/>
                <w:szCs w:val="22"/>
              </w:rPr>
            </w:pPr>
            <w:r w:rsidRPr="009B65B1">
              <w:rPr>
                <w:rFonts w:eastAsia="Times New Roman"/>
                <w:b/>
                <w:bCs/>
                <w:sz w:val="22"/>
                <w:szCs w:val="22"/>
              </w:rPr>
              <w:t>Offering-related transactions/actions</w:t>
            </w:r>
          </w:p>
        </w:tc>
        <w:tc>
          <w:tcPr>
            <w:tcW w:w="1319" w:type="dxa"/>
            <w:tcBorders>
              <w:top w:val="nil"/>
              <w:left w:val="nil"/>
              <w:bottom w:val="single" w:sz="4" w:space="0" w:color="auto"/>
              <w:right w:val="single" w:sz="4" w:space="0" w:color="auto"/>
            </w:tcBorders>
            <w:shd w:val="clear" w:color="auto" w:fill="auto"/>
            <w:vAlign w:val="center"/>
            <w:hideMark/>
          </w:tcPr>
          <w:p w14:paraId="363DCFC1" w14:textId="77777777" w:rsidR="009B65B1" w:rsidRPr="009B65B1" w:rsidRDefault="009B65B1" w:rsidP="009B65B1">
            <w:pPr>
              <w:jc w:val="center"/>
              <w:rPr>
                <w:rFonts w:eastAsia="Times New Roman"/>
                <w:sz w:val="22"/>
                <w:szCs w:val="22"/>
              </w:rPr>
            </w:pPr>
            <w:r w:rsidRPr="009B65B1">
              <w:rPr>
                <w:rFonts w:eastAsia="Times New Roman"/>
                <w:sz w:val="22"/>
                <w:szCs w:val="22"/>
              </w:rPr>
              <w:t>20</w:t>
            </w:r>
          </w:p>
        </w:tc>
        <w:tc>
          <w:tcPr>
            <w:tcW w:w="1268" w:type="dxa"/>
            <w:tcBorders>
              <w:top w:val="nil"/>
              <w:left w:val="nil"/>
              <w:bottom w:val="single" w:sz="4" w:space="0" w:color="auto"/>
              <w:right w:val="single" w:sz="4" w:space="0" w:color="auto"/>
            </w:tcBorders>
            <w:shd w:val="clear" w:color="auto" w:fill="auto"/>
            <w:noWrap/>
            <w:vAlign w:val="center"/>
            <w:hideMark/>
          </w:tcPr>
          <w:p w14:paraId="7C57F1E8" w14:textId="77777777" w:rsidR="009B65B1" w:rsidRPr="009B65B1" w:rsidRDefault="009B65B1" w:rsidP="009B65B1">
            <w:pPr>
              <w:jc w:val="center"/>
              <w:rPr>
                <w:rFonts w:eastAsia="Times New Roman"/>
                <w:sz w:val="22"/>
                <w:szCs w:val="22"/>
              </w:rPr>
            </w:pPr>
            <w:r w:rsidRPr="009B65B1">
              <w:rPr>
                <w:rFonts w:eastAsia="Times New Roman"/>
                <w:sz w:val="22"/>
                <w:szCs w:val="22"/>
              </w:rPr>
              <w:t>0.40</w:t>
            </w:r>
          </w:p>
        </w:tc>
      </w:tr>
      <w:tr w:rsidR="009B65B1" w:rsidRPr="009B65B1" w14:paraId="3C62DD5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DE446BA" w14:textId="77777777" w:rsidR="009B65B1" w:rsidRPr="009B65B1" w:rsidRDefault="009B65B1" w:rsidP="009B65B1">
            <w:pPr>
              <w:jc w:val="center"/>
              <w:rPr>
                <w:rFonts w:eastAsia="Times New Roman"/>
                <w:sz w:val="22"/>
                <w:szCs w:val="22"/>
              </w:rPr>
            </w:pPr>
            <w:r w:rsidRPr="009B65B1">
              <w:rPr>
                <w:rFonts w:eastAsia="Times New Roman"/>
                <w:sz w:val="22"/>
                <w:szCs w:val="22"/>
              </w:rPr>
              <w:t>C11</w:t>
            </w:r>
          </w:p>
        </w:tc>
        <w:tc>
          <w:tcPr>
            <w:tcW w:w="6214" w:type="dxa"/>
            <w:tcBorders>
              <w:top w:val="nil"/>
              <w:left w:val="nil"/>
              <w:bottom w:val="single" w:sz="4" w:space="0" w:color="auto"/>
              <w:right w:val="single" w:sz="4" w:space="0" w:color="auto"/>
            </w:tcBorders>
            <w:shd w:val="clear" w:color="auto" w:fill="auto"/>
            <w:vAlign w:val="center"/>
            <w:hideMark/>
          </w:tcPr>
          <w:p w14:paraId="697A454E" w14:textId="77777777" w:rsidR="009B65B1" w:rsidRPr="009B65B1" w:rsidRDefault="009B65B1" w:rsidP="009B65B1">
            <w:pPr>
              <w:rPr>
                <w:rFonts w:eastAsia="Times New Roman"/>
                <w:b/>
                <w:bCs/>
                <w:sz w:val="22"/>
                <w:szCs w:val="22"/>
              </w:rPr>
            </w:pPr>
            <w:r w:rsidRPr="009B65B1">
              <w:rPr>
                <w:rFonts w:eastAsia="Times New Roman"/>
                <w:b/>
                <w:bCs/>
                <w:sz w:val="22"/>
                <w:szCs w:val="22"/>
              </w:rPr>
              <w:t>Risk factors (offering)</w:t>
            </w:r>
          </w:p>
        </w:tc>
        <w:tc>
          <w:tcPr>
            <w:tcW w:w="1319" w:type="dxa"/>
            <w:tcBorders>
              <w:top w:val="nil"/>
              <w:left w:val="nil"/>
              <w:bottom w:val="single" w:sz="4" w:space="0" w:color="auto"/>
              <w:right w:val="single" w:sz="4" w:space="0" w:color="auto"/>
            </w:tcBorders>
            <w:shd w:val="clear" w:color="auto" w:fill="auto"/>
            <w:vAlign w:val="center"/>
            <w:hideMark/>
          </w:tcPr>
          <w:p w14:paraId="12C1A55E" w14:textId="77777777" w:rsidR="009B65B1" w:rsidRPr="009B65B1" w:rsidRDefault="009B65B1" w:rsidP="009B65B1">
            <w:pPr>
              <w:jc w:val="center"/>
              <w:rPr>
                <w:rFonts w:eastAsia="Times New Roman"/>
                <w:sz w:val="22"/>
                <w:szCs w:val="22"/>
              </w:rPr>
            </w:pPr>
            <w:r w:rsidRPr="009B65B1">
              <w:rPr>
                <w:rFonts w:eastAsia="Times New Roman"/>
                <w:sz w:val="22"/>
                <w:szCs w:val="22"/>
              </w:rPr>
              <w:t>25</w:t>
            </w:r>
          </w:p>
        </w:tc>
        <w:tc>
          <w:tcPr>
            <w:tcW w:w="1268" w:type="dxa"/>
            <w:tcBorders>
              <w:top w:val="nil"/>
              <w:left w:val="nil"/>
              <w:bottom w:val="single" w:sz="4" w:space="0" w:color="auto"/>
              <w:right w:val="single" w:sz="4" w:space="0" w:color="auto"/>
            </w:tcBorders>
            <w:shd w:val="clear" w:color="auto" w:fill="auto"/>
            <w:noWrap/>
            <w:vAlign w:val="center"/>
            <w:hideMark/>
          </w:tcPr>
          <w:p w14:paraId="29F1CD6F" w14:textId="77777777" w:rsidR="009B65B1" w:rsidRPr="009B65B1" w:rsidRDefault="009B65B1" w:rsidP="009B65B1">
            <w:pPr>
              <w:jc w:val="center"/>
              <w:rPr>
                <w:rFonts w:eastAsia="Times New Roman"/>
                <w:sz w:val="22"/>
                <w:szCs w:val="22"/>
              </w:rPr>
            </w:pPr>
            <w:r w:rsidRPr="009B65B1">
              <w:rPr>
                <w:rFonts w:eastAsia="Times New Roman"/>
                <w:sz w:val="22"/>
                <w:szCs w:val="22"/>
              </w:rPr>
              <w:t>0.49</w:t>
            </w:r>
          </w:p>
        </w:tc>
      </w:tr>
      <w:tr w:rsidR="009B65B1" w:rsidRPr="009B65B1" w14:paraId="4E88A8A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7D2070E" w14:textId="77777777" w:rsidR="009B65B1" w:rsidRPr="009B65B1" w:rsidRDefault="009B65B1" w:rsidP="009B65B1">
            <w:pPr>
              <w:jc w:val="center"/>
              <w:rPr>
                <w:rFonts w:eastAsia="Times New Roman"/>
                <w:sz w:val="22"/>
                <w:szCs w:val="22"/>
              </w:rPr>
            </w:pPr>
            <w:r w:rsidRPr="009B65B1">
              <w:rPr>
                <w:rFonts w:eastAsia="Times New Roman"/>
                <w:sz w:val="22"/>
                <w:szCs w:val="22"/>
              </w:rPr>
              <w:t>C12</w:t>
            </w:r>
          </w:p>
        </w:tc>
        <w:tc>
          <w:tcPr>
            <w:tcW w:w="6214" w:type="dxa"/>
            <w:tcBorders>
              <w:top w:val="nil"/>
              <w:left w:val="nil"/>
              <w:bottom w:val="single" w:sz="4" w:space="0" w:color="auto"/>
              <w:right w:val="single" w:sz="4" w:space="0" w:color="auto"/>
            </w:tcBorders>
            <w:shd w:val="clear" w:color="auto" w:fill="auto"/>
            <w:vAlign w:val="center"/>
            <w:hideMark/>
          </w:tcPr>
          <w:p w14:paraId="0F65839F" w14:textId="77777777" w:rsidR="009B65B1" w:rsidRPr="009B65B1" w:rsidRDefault="009B65B1" w:rsidP="009B65B1">
            <w:pPr>
              <w:rPr>
                <w:rFonts w:eastAsia="Times New Roman"/>
                <w:b/>
                <w:bCs/>
                <w:sz w:val="22"/>
                <w:szCs w:val="22"/>
              </w:rPr>
            </w:pPr>
            <w:r w:rsidRPr="009B65B1">
              <w:rPr>
                <w:rFonts w:eastAsia="Times New Roman"/>
                <w:b/>
                <w:bCs/>
                <w:sz w:val="22"/>
                <w:szCs w:val="22"/>
              </w:rPr>
              <w:t>Offering-related regulation</w:t>
            </w:r>
          </w:p>
        </w:tc>
        <w:tc>
          <w:tcPr>
            <w:tcW w:w="1319" w:type="dxa"/>
            <w:tcBorders>
              <w:top w:val="nil"/>
              <w:left w:val="nil"/>
              <w:bottom w:val="single" w:sz="4" w:space="0" w:color="auto"/>
              <w:right w:val="single" w:sz="4" w:space="0" w:color="auto"/>
            </w:tcBorders>
            <w:shd w:val="clear" w:color="auto" w:fill="auto"/>
            <w:vAlign w:val="center"/>
            <w:hideMark/>
          </w:tcPr>
          <w:p w14:paraId="447734F1" w14:textId="77777777" w:rsidR="009B65B1" w:rsidRPr="009B65B1" w:rsidRDefault="009B65B1" w:rsidP="009B65B1">
            <w:pPr>
              <w:jc w:val="center"/>
              <w:rPr>
                <w:rFonts w:eastAsia="Times New Roman"/>
                <w:sz w:val="22"/>
                <w:szCs w:val="22"/>
              </w:rPr>
            </w:pPr>
            <w:r w:rsidRPr="009B65B1">
              <w:rPr>
                <w:rFonts w:eastAsia="Times New Roman"/>
                <w:sz w:val="22"/>
                <w:szCs w:val="22"/>
              </w:rPr>
              <w:t>11</w:t>
            </w:r>
          </w:p>
        </w:tc>
        <w:tc>
          <w:tcPr>
            <w:tcW w:w="1268" w:type="dxa"/>
            <w:tcBorders>
              <w:top w:val="nil"/>
              <w:left w:val="nil"/>
              <w:bottom w:val="single" w:sz="4" w:space="0" w:color="auto"/>
              <w:right w:val="single" w:sz="4" w:space="0" w:color="auto"/>
            </w:tcBorders>
            <w:shd w:val="clear" w:color="auto" w:fill="auto"/>
            <w:noWrap/>
            <w:vAlign w:val="center"/>
            <w:hideMark/>
          </w:tcPr>
          <w:p w14:paraId="2C36D4A6" w14:textId="77777777" w:rsidR="009B65B1" w:rsidRPr="009B65B1" w:rsidRDefault="009B65B1" w:rsidP="009B65B1">
            <w:pPr>
              <w:jc w:val="center"/>
              <w:rPr>
                <w:rFonts w:eastAsia="Times New Roman"/>
                <w:sz w:val="22"/>
                <w:szCs w:val="22"/>
              </w:rPr>
            </w:pPr>
            <w:r w:rsidRPr="009B65B1">
              <w:rPr>
                <w:rFonts w:eastAsia="Times New Roman"/>
                <w:sz w:val="22"/>
                <w:szCs w:val="22"/>
              </w:rPr>
              <w:t>0.22</w:t>
            </w:r>
          </w:p>
        </w:tc>
      </w:tr>
      <w:tr w:rsidR="009B65B1" w:rsidRPr="009B65B1" w14:paraId="51A4FB0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BBA683A" w14:textId="77777777" w:rsidR="009B65B1" w:rsidRPr="009B65B1" w:rsidRDefault="009B65B1" w:rsidP="009B65B1">
            <w:pPr>
              <w:jc w:val="center"/>
              <w:rPr>
                <w:rFonts w:eastAsia="Times New Roman"/>
                <w:sz w:val="22"/>
                <w:szCs w:val="22"/>
              </w:rPr>
            </w:pPr>
            <w:r w:rsidRPr="009B65B1">
              <w:rPr>
                <w:rFonts w:eastAsia="Times New Roman"/>
                <w:sz w:val="22"/>
                <w:szCs w:val="22"/>
              </w:rPr>
              <w:t>C13</w:t>
            </w:r>
          </w:p>
        </w:tc>
        <w:tc>
          <w:tcPr>
            <w:tcW w:w="6214" w:type="dxa"/>
            <w:tcBorders>
              <w:top w:val="nil"/>
              <w:left w:val="nil"/>
              <w:bottom w:val="single" w:sz="4" w:space="0" w:color="auto"/>
              <w:right w:val="single" w:sz="4" w:space="0" w:color="auto"/>
            </w:tcBorders>
            <w:shd w:val="clear" w:color="auto" w:fill="auto"/>
            <w:vAlign w:val="center"/>
            <w:hideMark/>
          </w:tcPr>
          <w:p w14:paraId="693D724D" w14:textId="77777777" w:rsidR="009B65B1" w:rsidRPr="009B65B1" w:rsidRDefault="009B65B1" w:rsidP="009B65B1">
            <w:pPr>
              <w:rPr>
                <w:rFonts w:eastAsia="Times New Roman"/>
                <w:b/>
                <w:bCs/>
                <w:sz w:val="22"/>
                <w:szCs w:val="22"/>
              </w:rPr>
            </w:pPr>
            <w:r w:rsidRPr="009B65B1">
              <w:rPr>
                <w:rFonts w:eastAsia="Times New Roman"/>
                <w:b/>
                <w:bCs/>
                <w:sz w:val="22"/>
                <w:szCs w:val="22"/>
              </w:rPr>
              <w:t>Offering fee</w:t>
            </w:r>
          </w:p>
        </w:tc>
        <w:tc>
          <w:tcPr>
            <w:tcW w:w="1319" w:type="dxa"/>
            <w:tcBorders>
              <w:top w:val="nil"/>
              <w:left w:val="nil"/>
              <w:bottom w:val="single" w:sz="4" w:space="0" w:color="auto"/>
              <w:right w:val="single" w:sz="4" w:space="0" w:color="auto"/>
            </w:tcBorders>
            <w:shd w:val="clear" w:color="auto" w:fill="auto"/>
            <w:vAlign w:val="center"/>
            <w:hideMark/>
          </w:tcPr>
          <w:p w14:paraId="7556F047" w14:textId="77777777" w:rsidR="009B65B1" w:rsidRPr="009B65B1" w:rsidRDefault="009B65B1" w:rsidP="009B65B1">
            <w:pPr>
              <w:jc w:val="center"/>
              <w:rPr>
                <w:rFonts w:eastAsia="Times New Roman"/>
                <w:sz w:val="22"/>
                <w:szCs w:val="22"/>
              </w:rPr>
            </w:pPr>
            <w:r w:rsidRPr="009B65B1">
              <w:rPr>
                <w:rFonts w:eastAsia="Times New Roman"/>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14:paraId="234CBABF" w14:textId="77777777" w:rsidR="009B65B1" w:rsidRPr="009B65B1" w:rsidRDefault="009B65B1" w:rsidP="009B65B1">
            <w:pPr>
              <w:jc w:val="center"/>
              <w:rPr>
                <w:rFonts w:eastAsia="Times New Roman"/>
                <w:sz w:val="22"/>
                <w:szCs w:val="22"/>
              </w:rPr>
            </w:pPr>
            <w:r w:rsidRPr="009B65B1">
              <w:rPr>
                <w:rFonts w:eastAsia="Times New Roman"/>
                <w:sz w:val="22"/>
                <w:szCs w:val="22"/>
              </w:rPr>
              <w:t>0.06</w:t>
            </w:r>
          </w:p>
        </w:tc>
      </w:tr>
      <w:tr w:rsidR="009B65B1" w:rsidRPr="009B65B1" w14:paraId="6C897DE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13F9DAD" w14:textId="77777777" w:rsidR="009B65B1" w:rsidRPr="009B65B1" w:rsidRDefault="009B65B1" w:rsidP="009B65B1">
            <w:pPr>
              <w:jc w:val="center"/>
              <w:rPr>
                <w:rFonts w:eastAsia="Times New Roman"/>
                <w:sz w:val="22"/>
                <w:szCs w:val="22"/>
              </w:rPr>
            </w:pPr>
            <w:r w:rsidRPr="009B65B1">
              <w:rPr>
                <w:rFonts w:eastAsia="Times New Roman"/>
                <w:sz w:val="22"/>
                <w:szCs w:val="22"/>
              </w:rPr>
              <w:t>C14</w:t>
            </w:r>
          </w:p>
        </w:tc>
        <w:tc>
          <w:tcPr>
            <w:tcW w:w="6214" w:type="dxa"/>
            <w:tcBorders>
              <w:top w:val="nil"/>
              <w:left w:val="nil"/>
              <w:bottom w:val="single" w:sz="4" w:space="0" w:color="auto"/>
              <w:right w:val="single" w:sz="4" w:space="0" w:color="auto"/>
            </w:tcBorders>
            <w:shd w:val="clear" w:color="auto" w:fill="auto"/>
            <w:vAlign w:val="center"/>
            <w:hideMark/>
          </w:tcPr>
          <w:p w14:paraId="4090D708" w14:textId="77777777" w:rsidR="009B65B1" w:rsidRPr="009B65B1" w:rsidRDefault="009B65B1" w:rsidP="009B65B1">
            <w:pPr>
              <w:rPr>
                <w:rFonts w:eastAsia="Times New Roman"/>
                <w:b/>
                <w:bCs/>
                <w:sz w:val="22"/>
                <w:szCs w:val="22"/>
              </w:rPr>
            </w:pPr>
            <w:r w:rsidRPr="009B65B1">
              <w:rPr>
                <w:rFonts w:eastAsia="Times New Roman"/>
                <w:b/>
                <w:bCs/>
                <w:sz w:val="22"/>
                <w:szCs w:val="22"/>
              </w:rPr>
              <w:t>Exhibits</w:t>
            </w:r>
          </w:p>
        </w:tc>
        <w:tc>
          <w:tcPr>
            <w:tcW w:w="1319" w:type="dxa"/>
            <w:tcBorders>
              <w:top w:val="nil"/>
              <w:left w:val="nil"/>
              <w:bottom w:val="single" w:sz="4" w:space="0" w:color="auto"/>
              <w:right w:val="single" w:sz="4" w:space="0" w:color="auto"/>
            </w:tcBorders>
            <w:shd w:val="clear" w:color="auto" w:fill="auto"/>
            <w:vAlign w:val="center"/>
            <w:hideMark/>
          </w:tcPr>
          <w:p w14:paraId="0F9617F0" w14:textId="77777777" w:rsidR="009B65B1" w:rsidRPr="009B65B1" w:rsidRDefault="009B65B1" w:rsidP="009B65B1">
            <w:pPr>
              <w:jc w:val="center"/>
              <w:rPr>
                <w:rFonts w:eastAsia="Times New Roman"/>
                <w:sz w:val="22"/>
                <w:szCs w:val="22"/>
              </w:rPr>
            </w:pPr>
            <w:r w:rsidRPr="009B65B1">
              <w:rPr>
                <w:rFonts w:eastAsia="Times New Roman"/>
                <w:sz w:val="22"/>
                <w:szCs w:val="22"/>
              </w:rPr>
              <w:t>143</w:t>
            </w:r>
          </w:p>
        </w:tc>
        <w:tc>
          <w:tcPr>
            <w:tcW w:w="1268" w:type="dxa"/>
            <w:tcBorders>
              <w:top w:val="nil"/>
              <w:left w:val="nil"/>
              <w:bottom w:val="single" w:sz="4" w:space="0" w:color="auto"/>
              <w:right w:val="single" w:sz="4" w:space="0" w:color="auto"/>
            </w:tcBorders>
            <w:shd w:val="clear" w:color="auto" w:fill="auto"/>
            <w:noWrap/>
            <w:vAlign w:val="center"/>
            <w:hideMark/>
          </w:tcPr>
          <w:p w14:paraId="0C21175A" w14:textId="77777777" w:rsidR="009B65B1" w:rsidRPr="009B65B1" w:rsidRDefault="009B65B1" w:rsidP="009B65B1">
            <w:pPr>
              <w:jc w:val="center"/>
              <w:rPr>
                <w:rFonts w:eastAsia="Times New Roman"/>
                <w:sz w:val="22"/>
                <w:szCs w:val="22"/>
              </w:rPr>
            </w:pPr>
            <w:r w:rsidRPr="009B65B1">
              <w:rPr>
                <w:rFonts w:eastAsia="Times New Roman"/>
                <w:sz w:val="22"/>
                <w:szCs w:val="22"/>
              </w:rPr>
              <w:t>2.83</w:t>
            </w:r>
          </w:p>
        </w:tc>
      </w:tr>
      <w:tr w:rsidR="009B65B1" w:rsidRPr="009B65B1" w14:paraId="01AC946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1B01F8B" w14:textId="77777777" w:rsidR="009B65B1" w:rsidRPr="009B65B1" w:rsidRDefault="009B65B1" w:rsidP="009B65B1">
            <w:pPr>
              <w:jc w:val="center"/>
              <w:rPr>
                <w:rFonts w:eastAsia="Times New Roman"/>
                <w:sz w:val="22"/>
                <w:szCs w:val="22"/>
              </w:rPr>
            </w:pPr>
            <w:r w:rsidRPr="009B65B1">
              <w:rPr>
                <w:rFonts w:eastAsia="Times New Roman"/>
                <w:sz w:val="22"/>
                <w:szCs w:val="22"/>
              </w:rPr>
              <w:t>C15</w:t>
            </w:r>
          </w:p>
        </w:tc>
        <w:tc>
          <w:tcPr>
            <w:tcW w:w="6214" w:type="dxa"/>
            <w:tcBorders>
              <w:top w:val="nil"/>
              <w:left w:val="nil"/>
              <w:bottom w:val="single" w:sz="4" w:space="0" w:color="auto"/>
              <w:right w:val="single" w:sz="4" w:space="0" w:color="auto"/>
            </w:tcBorders>
            <w:shd w:val="clear" w:color="auto" w:fill="auto"/>
            <w:vAlign w:val="center"/>
            <w:hideMark/>
          </w:tcPr>
          <w:p w14:paraId="0CB717DA" w14:textId="77777777" w:rsidR="009B65B1" w:rsidRPr="009B65B1" w:rsidRDefault="009B65B1" w:rsidP="009B65B1">
            <w:pPr>
              <w:rPr>
                <w:rFonts w:eastAsia="Times New Roman"/>
                <w:b/>
                <w:bCs/>
                <w:sz w:val="22"/>
                <w:szCs w:val="22"/>
              </w:rPr>
            </w:pPr>
            <w:r w:rsidRPr="009B65B1">
              <w:rPr>
                <w:rFonts w:eastAsia="Times New Roman"/>
                <w:b/>
                <w:bCs/>
                <w:sz w:val="22"/>
                <w:szCs w:val="22"/>
              </w:rPr>
              <w:t>Undertakings</w:t>
            </w:r>
          </w:p>
        </w:tc>
        <w:tc>
          <w:tcPr>
            <w:tcW w:w="1319" w:type="dxa"/>
            <w:tcBorders>
              <w:top w:val="nil"/>
              <w:left w:val="nil"/>
              <w:bottom w:val="single" w:sz="4" w:space="0" w:color="auto"/>
              <w:right w:val="single" w:sz="4" w:space="0" w:color="auto"/>
            </w:tcBorders>
            <w:shd w:val="clear" w:color="auto" w:fill="auto"/>
            <w:vAlign w:val="center"/>
            <w:hideMark/>
          </w:tcPr>
          <w:p w14:paraId="671ABF83" w14:textId="77777777" w:rsidR="009B65B1" w:rsidRPr="009B65B1" w:rsidRDefault="009B65B1" w:rsidP="009B65B1">
            <w:pPr>
              <w:jc w:val="center"/>
              <w:rPr>
                <w:rFonts w:eastAsia="Times New Roman"/>
                <w:sz w:val="22"/>
                <w:szCs w:val="22"/>
              </w:rPr>
            </w:pPr>
            <w:r w:rsidRPr="009B65B1">
              <w:rPr>
                <w:rFonts w:eastAsia="Times New Roman"/>
                <w:sz w:val="22"/>
                <w:szCs w:val="22"/>
              </w:rPr>
              <w:t>2</w:t>
            </w:r>
          </w:p>
        </w:tc>
        <w:tc>
          <w:tcPr>
            <w:tcW w:w="1268" w:type="dxa"/>
            <w:tcBorders>
              <w:top w:val="nil"/>
              <w:left w:val="nil"/>
              <w:bottom w:val="single" w:sz="4" w:space="0" w:color="auto"/>
              <w:right w:val="single" w:sz="4" w:space="0" w:color="auto"/>
            </w:tcBorders>
            <w:shd w:val="clear" w:color="auto" w:fill="auto"/>
            <w:noWrap/>
            <w:vAlign w:val="center"/>
            <w:hideMark/>
          </w:tcPr>
          <w:p w14:paraId="08320313" w14:textId="77777777" w:rsidR="009B65B1" w:rsidRPr="009B65B1" w:rsidRDefault="009B65B1" w:rsidP="009B65B1">
            <w:pPr>
              <w:jc w:val="center"/>
              <w:rPr>
                <w:rFonts w:eastAsia="Times New Roman"/>
                <w:sz w:val="22"/>
                <w:szCs w:val="22"/>
              </w:rPr>
            </w:pPr>
            <w:r w:rsidRPr="009B65B1">
              <w:rPr>
                <w:rFonts w:eastAsia="Times New Roman"/>
                <w:sz w:val="22"/>
                <w:szCs w:val="22"/>
              </w:rPr>
              <w:t>0.04</w:t>
            </w:r>
          </w:p>
        </w:tc>
      </w:tr>
      <w:tr w:rsidR="009B65B1" w:rsidRPr="009B65B1" w14:paraId="0DA528F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4C5ABC6" w14:textId="77777777" w:rsidR="009B65B1" w:rsidRPr="009B65B1" w:rsidRDefault="009B65B1" w:rsidP="009B65B1">
            <w:pPr>
              <w:jc w:val="center"/>
              <w:rPr>
                <w:rFonts w:eastAsia="Times New Roman"/>
                <w:sz w:val="22"/>
                <w:szCs w:val="22"/>
              </w:rPr>
            </w:pPr>
            <w:r w:rsidRPr="009B65B1">
              <w:rPr>
                <w:rFonts w:eastAsia="Times New Roman"/>
                <w:sz w:val="22"/>
                <w:szCs w:val="22"/>
              </w:rPr>
              <w:t>C16</w:t>
            </w:r>
          </w:p>
        </w:tc>
        <w:tc>
          <w:tcPr>
            <w:tcW w:w="6214" w:type="dxa"/>
            <w:tcBorders>
              <w:top w:val="nil"/>
              <w:left w:val="nil"/>
              <w:bottom w:val="single" w:sz="4" w:space="0" w:color="auto"/>
              <w:right w:val="single" w:sz="4" w:space="0" w:color="auto"/>
            </w:tcBorders>
            <w:shd w:val="clear" w:color="auto" w:fill="auto"/>
            <w:vAlign w:val="center"/>
            <w:hideMark/>
          </w:tcPr>
          <w:p w14:paraId="3E5BB6E7" w14:textId="77777777" w:rsidR="009B65B1" w:rsidRPr="009B65B1" w:rsidRDefault="009B65B1" w:rsidP="009B65B1">
            <w:pPr>
              <w:rPr>
                <w:rFonts w:eastAsia="Times New Roman"/>
                <w:b/>
                <w:bCs/>
                <w:sz w:val="22"/>
                <w:szCs w:val="22"/>
              </w:rPr>
            </w:pPr>
            <w:r w:rsidRPr="009B65B1">
              <w:rPr>
                <w:rFonts w:eastAsia="Times New Roman"/>
                <w:b/>
                <w:bCs/>
                <w:sz w:val="22"/>
                <w:szCs w:val="22"/>
              </w:rPr>
              <w:t>Illustration</w:t>
            </w:r>
          </w:p>
        </w:tc>
        <w:tc>
          <w:tcPr>
            <w:tcW w:w="1319" w:type="dxa"/>
            <w:tcBorders>
              <w:top w:val="nil"/>
              <w:left w:val="nil"/>
              <w:bottom w:val="single" w:sz="4" w:space="0" w:color="auto"/>
              <w:right w:val="single" w:sz="4" w:space="0" w:color="auto"/>
            </w:tcBorders>
            <w:shd w:val="clear" w:color="auto" w:fill="auto"/>
            <w:vAlign w:val="center"/>
            <w:hideMark/>
          </w:tcPr>
          <w:p w14:paraId="5F84A2F1" w14:textId="77777777" w:rsidR="009B65B1" w:rsidRPr="009B65B1" w:rsidRDefault="009B65B1" w:rsidP="009B65B1">
            <w:pPr>
              <w:jc w:val="center"/>
              <w:rPr>
                <w:rFonts w:eastAsia="Times New Roman"/>
                <w:sz w:val="22"/>
                <w:szCs w:val="22"/>
              </w:rPr>
            </w:pPr>
            <w:r w:rsidRPr="009B65B1">
              <w:rPr>
                <w:rFonts w:eastAsia="Times New Roman"/>
                <w:sz w:val="22"/>
                <w:szCs w:val="22"/>
              </w:rPr>
              <w:t>60</w:t>
            </w:r>
          </w:p>
        </w:tc>
        <w:tc>
          <w:tcPr>
            <w:tcW w:w="1268" w:type="dxa"/>
            <w:tcBorders>
              <w:top w:val="nil"/>
              <w:left w:val="nil"/>
              <w:bottom w:val="single" w:sz="4" w:space="0" w:color="auto"/>
              <w:right w:val="single" w:sz="4" w:space="0" w:color="auto"/>
            </w:tcBorders>
            <w:shd w:val="clear" w:color="auto" w:fill="auto"/>
            <w:noWrap/>
            <w:vAlign w:val="center"/>
            <w:hideMark/>
          </w:tcPr>
          <w:p w14:paraId="7E6BEE62" w14:textId="77777777" w:rsidR="009B65B1" w:rsidRPr="009B65B1" w:rsidRDefault="009B65B1" w:rsidP="009B65B1">
            <w:pPr>
              <w:jc w:val="center"/>
              <w:rPr>
                <w:rFonts w:eastAsia="Times New Roman"/>
                <w:sz w:val="22"/>
                <w:szCs w:val="22"/>
              </w:rPr>
            </w:pPr>
            <w:r w:rsidRPr="009B65B1">
              <w:rPr>
                <w:rFonts w:eastAsia="Times New Roman"/>
                <w:sz w:val="22"/>
                <w:szCs w:val="22"/>
              </w:rPr>
              <w:t>1.19</w:t>
            </w:r>
          </w:p>
        </w:tc>
      </w:tr>
      <w:tr w:rsidR="009B65B1" w:rsidRPr="009B65B1" w14:paraId="2E6F0E2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420DC27" w14:textId="77777777" w:rsidR="009B65B1" w:rsidRPr="009B65B1" w:rsidRDefault="009B65B1" w:rsidP="009B65B1">
            <w:pPr>
              <w:jc w:val="center"/>
              <w:rPr>
                <w:rFonts w:eastAsia="Times New Roman"/>
                <w:sz w:val="22"/>
                <w:szCs w:val="22"/>
              </w:rPr>
            </w:pPr>
            <w:r w:rsidRPr="009B65B1">
              <w:rPr>
                <w:rFonts w:eastAsia="Times New Roman"/>
                <w:sz w:val="22"/>
                <w:szCs w:val="22"/>
              </w:rPr>
              <w:t>C17</w:t>
            </w:r>
          </w:p>
        </w:tc>
        <w:tc>
          <w:tcPr>
            <w:tcW w:w="6214" w:type="dxa"/>
            <w:tcBorders>
              <w:top w:val="nil"/>
              <w:left w:val="nil"/>
              <w:bottom w:val="single" w:sz="4" w:space="0" w:color="auto"/>
              <w:right w:val="single" w:sz="4" w:space="0" w:color="auto"/>
            </w:tcBorders>
            <w:shd w:val="clear" w:color="auto" w:fill="auto"/>
            <w:vAlign w:val="center"/>
            <w:hideMark/>
          </w:tcPr>
          <w:p w14:paraId="4BAA90E5" w14:textId="77777777" w:rsidR="009B65B1" w:rsidRPr="009B65B1" w:rsidRDefault="009B65B1" w:rsidP="009B65B1">
            <w:pPr>
              <w:rPr>
                <w:rFonts w:eastAsia="Times New Roman"/>
                <w:b/>
                <w:bCs/>
                <w:sz w:val="22"/>
                <w:szCs w:val="22"/>
              </w:rPr>
            </w:pPr>
            <w:r w:rsidRPr="009B65B1">
              <w:rPr>
                <w:rFonts w:eastAsia="Times New Roman"/>
                <w:b/>
                <w:bCs/>
                <w:sz w:val="22"/>
                <w:szCs w:val="22"/>
              </w:rPr>
              <w:t>Offering-related document</w:t>
            </w:r>
          </w:p>
        </w:tc>
        <w:tc>
          <w:tcPr>
            <w:tcW w:w="1319" w:type="dxa"/>
            <w:tcBorders>
              <w:top w:val="nil"/>
              <w:left w:val="nil"/>
              <w:bottom w:val="single" w:sz="4" w:space="0" w:color="auto"/>
              <w:right w:val="single" w:sz="4" w:space="0" w:color="auto"/>
            </w:tcBorders>
            <w:shd w:val="clear" w:color="auto" w:fill="auto"/>
            <w:vAlign w:val="center"/>
            <w:hideMark/>
          </w:tcPr>
          <w:p w14:paraId="69857B07" w14:textId="77777777" w:rsidR="009B65B1" w:rsidRPr="009B65B1" w:rsidRDefault="009B65B1" w:rsidP="009B65B1">
            <w:pPr>
              <w:jc w:val="center"/>
              <w:rPr>
                <w:rFonts w:eastAsia="Times New Roman"/>
                <w:sz w:val="22"/>
                <w:szCs w:val="22"/>
              </w:rPr>
            </w:pPr>
            <w:r w:rsidRPr="009B65B1">
              <w:rPr>
                <w:rFonts w:eastAsia="Times New Roman"/>
                <w:sz w:val="22"/>
                <w:szCs w:val="22"/>
              </w:rPr>
              <w:t>10</w:t>
            </w:r>
          </w:p>
        </w:tc>
        <w:tc>
          <w:tcPr>
            <w:tcW w:w="1268" w:type="dxa"/>
            <w:tcBorders>
              <w:top w:val="nil"/>
              <w:left w:val="nil"/>
              <w:bottom w:val="single" w:sz="4" w:space="0" w:color="auto"/>
              <w:right w:val="single" w:sz="4" w:space="0" w:color="auto"/>
            </w:tcBorders>
            <w:shd w:val="clear" w:color="auto" w:fill="auto"/>
            <w:noWrap/>
            <w:vAlign w:val="center"/>
            <w:hideMark/>
          </w:tcPr>
          <w:p w14:paraId="40CDB394" w14:textId="77777777" w:rsidR="009B65B1" w:rsidRPr="009B65B1" w:rsidRDefault="009B65B1" w:rsidP="009B65B1">
            <w:pPr>
              <w:jc w:val="center"/>
              <w:rPr>
                <w:rFonts w:eastAsia="Times New Roman"/>
                <w:sz w:val="22"/>
                <w:szCs w:val="22"/>
              </w:rPr>
            </w:pPr>
            <w:r w:rsidRPr="009B65B1">
              <w:rPr>
                <w:rFonts w:eastAsia="Times New Roman"/>
                <w:sz w:val="22"/>
                <w:szCs w:val="22"/>
              </w:rPr>
              <w:t>0.20</w:t>
            </w:r>
          </w:p>
        </w:tc>
      </w:tr>
      <w:tr w:rsidR="009B65B1" w:rsidRPr="009B65B1" w14:paraId="6D2126F3"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57EE2C1" w14:textId="77777777" w:rsidR="009B65B1" w:rsidRPr="009B65B1" w:rsidRDefault="009B65B1" w:rsidP="009B65B1">
            <w:pPr>
              <w:jc w:val="center"/>
              <w:rPr>
                <w:rFonts w:eastAsia="Times New Roman"/>
                <w:sz w:val="22"/>
                <w:szCs w:val="22"/>
              </w:rPr>
            </w:pPr>
            <w:r w:rsidRPr="009B65B1">
              <w:rPr>
                <w:rFonts w:eastAsia="Times New Roman"/>
                <w:sz w:val="22"/>
                <w:szCs w:val="22"/>
              </w:rPr>
              <w:t>C18</w:t>
            </w:r>
          </w:p>
        </w:tc>
        <w:tc>
          <w:tcPr>
            <w:tcW w:w="6214" w:type="dxa"/>
            <w:tcBorders>
              <w:top w:val="nil"/>
              <w:left w:val="nil"/>
              <w:bottom w:val="single" w:sz="4" w:space="0" w:color="auto"/>
              <w:right w:val="single" w:sz="4" w:space="0" w:color="auto"/>
            </w:tcBorders>
            <w:shd w:val="clear" w:color="auto" w:fill="auto"/>
            <w:vAlign w:val="center"/>
            <w:hideMark/>
          </w:tcPr>
          <w:p w14:paraId="1FCDF83B" w14:textId="77777777" w:rsidR="009B65B1" w:rsidRPr="009B65B1" w:rsidRDefault="009B65B1" w:rsidP="009B65B1">
            <w:pPr>
              <w:rPr>
                <w:rFonts w:eastAsia="Times New Roman"/>
                <w:b/>
                <w:bCs/>
                <w:sz w:val="22"/>
                <w:szCs w:val="22"/>
              </w:rPr>
            </w:pPr>
            <w:r w:rsidRPr="009B65B1">
              <w:rPr>
                <w:rFonts w:eastAsia="Times New Roman"/>
                <w:b/>
                <w:bCs/>
                <w:sz w:val="22"/>
                <w:szCs w:val="22"/>
              </w:rPr>
              <w:t>Consent letter</w:t>
            </w:r>
          </w:p>
        </w:tc>
        <w:tc>
          <w:tcPr>
            <w:tcW w:w="1319" w:type="dxa"/>
            <w:tcBorders>
              <w:top w:val="nil"/>
              <w:left w:val="nil"/>
              <w:bottom w:val="single" w:sz="4" w:space="0" w:color="auto"/>
              <w:right w:val="single" w:sz="4" w:space="0" w:color="auto"/>
            </w:tcBorders>
            <w:shd w:val="clear" w:color="auto" w:fill="auto"/>
            <w:vAlign w:val="center"/>
            <w:hideMark/>
          </w:tcPr>
          <w:p w14:paraId="3BB8BB7D" w14:textId="77777777" w:rsidR="009B65B1" w:rsidRPr="009B65B1" w:rsidRDefault="009B65B1" w:rsidP="009B65B1">
            <w:pPr>
              <w:jc w:val="center"/>
              <w:rPr>
                <w:rFonts w:eastAsia="Times New Roman"/>
                <w:sz w:val="22"/>
                <w:szCs w:val="22"/>
              </w:rPr>
            </w:pPr>
            <w:r w:rsidRPr="009B65B1">
              <w:rPr>
                <w:rFonts w:eastAsia="Times New Roman"/>
                <w:sz w:val="22"/>
                <w:szCs w:val="22"/>
              </w:rPr>
              <w:t>15</w:t>
            </w:r>
          </w:p>
        </w:tc>
        <w:tc>
          <w:tcPr>
            <w:tcW w:w="1268" w:type="dxa"/>
            <w:tcBorders>
              <w:top w:val="nil"/>
              <w:left w:val="nil"/>
              <w:bottom w:val="single" w:sz="4" w:space="0" w:color="auto"/>
              <w:right w:val="single" w:sz="4" w:space="0" w:color="auto"/>
            </w:tcBorders>
            <w:shd w:val="clear" w:color="auto" w:fill="auto"/>
            <w:noWrap/>
            <w:vAlign w:val="center"/>
            <w:hideMark/>
          </w:tcPr>
          <w:p w14:paraId="38FD6BE6" w14:textId="77777777" w:rsidR="009B65B1" w:rsidRPr="009B65B1" w:rsidRDefault="009B65B1" w:rsidP="009B65B1">
            <w:pPr>
              <w:jc w:val="center"/>
              <w:rPr>
                <w:rFonts w:eastAsia="Times New Roman"/>
                <w:sz w:val="22"/>
                <w:szCs w:val="22"/>
              </w:rPr>
            </w:pPr>
            <w:r w:rsidRPr="009B65B1">
              <w:rPr>
                <w:rFonts w:eastAsia="Times New Roman"/>
                <w:sz w:val="22"/>
                <w:szCs w:val="22"/>
              </w:rPr>
              <w:t>0.30</w:t>
            </w:r>
          </w:p>
        </w:tc>
      </w:tr>
      <w:tr w:rsidR="009B65B1" w:rsidRPr="009B65B1" w14:paraId="2BF1004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BE034A9" w14:textId="77777777" w:rsidR="009B65B1" w:rsidRPr="009B65B1" w:rsidRDefault="009B65B1" w:rsidP="009B65B1">
            <w:pPr>
              <w:jc w:val="center"/>
              <w:rPr>
                <w:rFonts w:eastAsia="Times New Roman"/>
                <w:sz w:val="22"/>
                <w:szCs w:val="22"/>
              </w:rPr>
            </w:pPr>
            <w:r w:rsidRPr="009B65B1">
              <w:rPr>
                <w:rFonts w:eastAsia="Times New Roman"/>
                <w:sz w:val="22"/>
                <w:szCs w:val="22"/>
              </w:rPr>
              <w:t>C19</w:t>
            </w:r>
          </w:p>
        </w:tc>
        <w:tc>
          <w:tcPr>
            <w:tcW w:w="6214" w:type="dxa"/>
            <w:tcBorders>
              <w:top w:val="nil"/>
              <w:left w:val="nil"/>
              <w:bottom w:val="single" w:sz="4" w:space="0" w:color="auto"/>
              <w:right w:val="single" w:sz="4" w:space="0" w:color="auto"/>
            </w:tcBorders>
            <w:shd w:val="clear" w:color="auto" w:fill="auto"/>
            <w:vAlign w:val="center"/>
            <w:hideMark/>
          </w:tcPr>
          <w:p w14:paraId="5350FEF3" w14:textId="77777777" w:rsidR="009B65B1" w:rsidRPr="009B65B1" w:rsidRDefault="009B65B1" w:rsidP="009B65B1">
            <w:pPr>
              <w:rPr>
                <w:rFonts w:eastAsia="Times New Roman"/>
                <w:b/>
                <w:bCs/>
                <w:sz w:val="22"/>
                <w:szCs w:val="22"/>
              </w:rPr>
            </w:pPr>
            <w:r w:rsidRPr="009B65B1">
              <w:rPr>
                <w:rFonts w:eastAsia="Times New Roman"/>
                <w:b/>
                <w:bCs/>
                <w:sz w:val="22"/>
                <w:szCs w:val="22"/>
              </w:rPr>
              <w:t>Why filing</w:t>
            </w:r>
          </w:p>
        </w:tc>
        <w:tc>
          <w:tcPr>
            <w:tcW w:w="1319" w:type="dxa"/>
            <w:tcBorders>
              <w:top w:val="nil"/>
              <w:left w:val="nil"/>
              <w:bottom w:val="single" w:sz="4" w:space="0" w:color="auto"/>
              <w:right w:val="single" w:sz="4" w:space="0" w:color="auto"/>
            </w:tcBorders>
            <w:shd w:val="clear" w:color="auto" w:fill="auto"/>
            <w:vAlign w:val="center"/>
            <w:hideMark/>
          </w:tcPr>
          <w:p w14:paraId="65519C06" w14:textId="77777777" w:rsidR="009B65B1" w:rsidRPr="009B65B1" w:rsidRDefault="009B65B1" w:rsidP="009B65B1">
            <w:pPr>
              <w:jc w:val="center"/>
              <w:rPr>
                <w:rFonts w:eastAsia="Times New Roman"/>
                <w:sz w:val="22"/>
                <w:szCs w:val="22"/>
              </w:rPr>
            </w:pPr>
            <w:r w:rsidRPr="009B65B1">
              <w:rPr>
                <w:rFonts w:eastAsia="Times New Roman"/>
                <w:sz w:val="22"/>
                <w:szCs w:val="22"/>
              </w:rPr>
              <w:t>7</w:t>
            </w:r>
          </w:p>
        </w:tc>
        <w:tc>
          <w:tcPr>
            <w:tcW w:w="1268" w:type="dxa"/>
            <w:tcBorders>
              <w:top w:val="nil"/>
              <w:left w:val="nil"/>
              <w:bottom w:val="single" w:sz="4" w:space="0" w:color="auto"/>
              <w:right w:val="single" w:sz="4" w:space="0" w:color="auto"/>
            </w:tcBorders>
            <w:shd w:val="clear" w:color="auto" w:fill="auto"/>
            <w:noWrap/>
            <w:vAlign w:val="center"/>
            <w:hideMark/>
          </w:tcPr>
          <w:p w14:paraId="06DB73AA" w14:textId="77777777" w:rsidR="009B65B1" w:rsidRPr="009B65B1" w:rsidRDefault="009B65B1" w:rsidP="009B65B1">
            <w:pPr>
              <w:jc w:val="center"/>
              <w:rPr>
                <w:rFonts w:eastAsia="Times New Roman"/>
                <w:sz w:val="22"/>
                <w:szCs w:val="22"/>
              </w:rPr>
            </w:pPr>
            <w:r w:rsidRPr="009B65B1">
              <w:rPr>
                <w:rFonts w:eastAsia="Times New Roman"/>
                <w:sz w:val="22"/>
                <w:szCs w:val="22"/>
              </w:rPr>
              <w:t>0.14</w:t>
            </w:r>
          </w:p>
        </w:tc>
      </w:tr>
      <w:tr w:rsidR="009B65B1" w:rsidRPr="009B65B1" w14:paraId="43E5145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7A53EA5" w14:textId="77777777" w:rsidR="009B65B1" w:rsidRPr="009B65B1" w:rsidRDefault="009B65B1" w:rsidP="009B65B1">
            <w:pPr>
              <w:jc w:val="right"/>
              <w:rPr>
                <w:rFonts w:eastAsia="Times New Roman"/>
                <w:b/>
                <w:bCs/>
                <w:sz w:val="22"/>
                <w:szCs w:val="22"/>
              </w:rPr>
            </w:pPr>
            <w:r w:rsidRPr="009B65B1">
              <w:rPr>
                <w:rFonts w:eastAsia="Times New Roman"/>
                <w:b/>
                <w:bCs/>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79613460" w14:textId="77777777" w:rsidR="009B65B1" w:rsidRPr="009B65B1" w:rsidRDefault="009B65B1" w:rsidP="009B65B1">
            <w:pPr>
              <w:rPr>
                <w:rFonts w:eastAsia="Times New Roman"/>
                <w:b/>
                <w:bCs/>
                <w:sz w:val="22"/>
                <w:szCs w:val="22"/>
              </w:rPr>
            </w:pPr>
            <w:r w:rsidRPr="009B65B1">
              <w:rPr>
                <w:rFonts w:eastAsia="Times New Roman"/>
                <w:b/>
                <w:bCs/>
                <w:sz w:val="22"/>
                <w:szCs w:val="22"/>
              </w:rPr>
              <w:t>IV. BUSINESS ISSUES</w:t>
            </w:r>
          </w:p>
        </w:tc>
        <w:tc>
          <w:tcPr>
            <w:tcW w:w="1319" w:type="dxa"/>
            <w:tcBorders>
              <w:top w:val="nil"/>
              <w:left w:val="nil"/>
              <w:bottom w:val="single" w:sz="4" w:space="0" w:color="auto"/>
              <w:right w:val="single" w:sz="4" w:space="0" w:color="auto"/>
            </w:tcBorders>
            <w:shd w:val="clear" w:color="auto" w:fill="auto"/>
            <w:vAlign w:val="center"/>
            <w:hideMark/>
          </w:tcPr>
          <w:p w14:paraId="2123516B"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1562</w:t>
            </w:r>
          </w:p>
        </w:tc>
        <w:tc>
          <w:tcPr>
            <w:tcW w:w="1268" w:type="dxa"/>
            <w:tcBorders>
              <w:top w:val="nil"/>
              <w:left w:val="nil"/>
              <w:bottom w:val="single" w:sz="4" w:space="0" w:color="auto"/>
              <w:right w:val="single" w:sz="4" w:space="0" w:color="auto"/>
            </w:tcBorders>
            <w:shd w:val="clear" w:color="auto" w:fill="auto"/>
            <w:vAlign w:val="center"/>
            <w:hideMark/>
          </w:tcPr>
          <w:p w14:paraId="62F74A2A"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30.91</w:t>
            </w:r>
          </w:p>
        </w:tc>
      </w:tr>
      <w:tr w:rsidR="009B65B1" w:rsidRPr="009B65B1" w14:paraId="244C259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64AE4DD" w14:textId="77777777" w:rsidR="009B65B1" w:rsidRPr="009B65B1" w:rsidRDefault="009B65B1" w:rsidP="009B65B1">
            <w:pPr>
              <w:jc w:val="center"/>
              <w:rPr>
                <w:rFonts w:eastAsia="Times New Roman"/>
                <w:sz w:val="22"/>
                <w:szCs w:val="22"/>
              </w:rPr>
            </w:pPr>
            <w:r w:rsidRPr="009B65B1">
              <w:rPr>
                <w:rFonts w:eastAsia="Times New Roman"/>
                <w:sz w:val="22"/>
                <w:szCs w:val="22"/>
              </w:rPr>
              <w:t>D1</w:t>
            </w:r>
          </w:p>
        </w:tc>
        <w:tc>
          <w:tcPr>
            <w:tcW w:w="6214" w:type="dxa"/>
            <w:tcBorders>
              <w:top w:val="nil"/>
              <w:left w:val="nil"/>
              <w:bottom w:val="single" w:sz="4" w:space="0" w:color="auto"/>
              <w:right w:val="single" w:sz="4" w:space="0" w:color="auto"/>
            </w:tcBorders>
            <w:shd w:val="clear" w:color="auto" w:fill="auto"/>
            <w:vAlign w:val="center"/>
            <w:hideMark/>
          </w:tcPr>
          <w:p w14:paraId="423ACB26" w14:textId="77777777" w:rsidR="009B65B1" w:rsidRPr="009B65B1" w:rsidRDefault="009B65B1" w:rsidP="009B65B1">
            <w:pPr>
              <w:rPr>
                <w:rFonts w:eastAsia="Times New Roman"/>
                <w:sz w:val="22"/>
                <w:szCs w:val="22"/>
              </w:rPr>
            </w:pPr>
            <w:r w:rsidRPr="009B65B1">
              <w:rPr>
                <w:rFonts w:eastAsia="Times New Roman"/>
                <w:sz w:val="22"/>
                <w:szCs w:val="22"/>
              </w:rPr>
              <w:t>Products/Services</w:t>
            </w:r>
          </w:p>
        </w:tc>
        <w:tc>
          <w:tcPr>
            <w:tcW w:w="1319" w:type="dxa"/>
            <w:tcBorders>
              <w:top w:val="nil"/>
              <w:left w:val="nil"/>
              <w:bottom w:val="single" w:sz="4" w:space="0" w:color="auto"/>
              <w:right w:val="single" w:sz="4" w:space="0" w:color="auto"/>
            </w:tcBorders>
            <w:shd w:val="clear" w:color="auto" w:fill="auto"/>
            <w:vAlign w:val="center"/>
            <w:hideMark/>
          </w:tcPr>
          <w:p w14:paraId="64905AFA" w14:textId="77777777" w:rsidR="009B65B1" w:rsidRPr="009B65B1" w:rsidRDefault="009B65B1" w:rsidP="009B65B1">
            <w:pPr>
              <w:jc w:val="center"/>
              <w:rPr>
                <w:rFonts w:eastAsia="Times New Roman"/>
                <w:sz w:val="22"/>
                <w:szCs w:val="22"/>
              </w:rPr>
            </w:pPr>
            <w:r w:rsidRPr="009B65B1">
              <w:rPr>
                <w:rFonts w:eastAsia="Times New Roman"/>
                <w:sz w:val="22"/>
                <w:szCs w:val="22"/>
              </w:rPr>
              <w:t>93</w:t>
            </w:r>
          </w:p>
        </w:tc>
        <w:tc>
          <w:tcPr>
            <w:tcW w:w="1268" w:type="dxa"/>
            <w:tcBorders>
              <w:top w:val="nil"/>
              <w:left w:val="nil"/>
              <w:bottom w:val="single" w:sz="4" w:space="0" w:color="auto"/>
              <w:right w:val="single" w:sz="4" w:space="0" w:color="auto"/>
            </w:tcBorders>
            <w:shd w:val="clear" w:color="auto" w:fill="auto"/>
            <w:noWrap/>
            <w:vAlign w:val="center"/>
            <w:hideMark/>
          </w:tcPr>
          <w:p w14:paraId="10FF116C" w14:textId="77777777" w:rsidR="009B65B1" w:rsidRPr="009B65B1" w:rsidRDefault="009B65B1" w:rsidP="009B65B1">
            <w:pPr>
              <w:jc w:val="center"/>
              <w:rPr>
                <w:rFonts w:eastAsia="Times New Roman"/>
                <w:sz w:val="22"/>
                <w:szCs w:val="22"/>
              </w:rPr>
            </w:pPr>
            <w:r w:rsidRPr="009B65B1">
              <w:rPr>
                <w:rFonts w:eastAsia="Times New Roman"/>
                <w:sz w:val="22"/>
                <w:szCs w:val="22"/>
              </w:rPr>
              <w:t>1.84</w:t>
            </w:r>
          </w:p>
        </w:tc>
      </w:tr>
      <w:tr w:rsidR="009B65B1" w:rsidRPr="009B65B1" w14:paraId="4BA8792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84AE507" w14:textId="77777777" w:rsidR="009B65B1" w:rsidRPr="009B65B1" w:rsidRDefault="009B65B1" w:rsidP="009B65B1">
            <w:pPr>
              <w:jc w:val="center"/>
              <w:rPr>
                <w:rFonts w:eastAsia="Times New Roman"/>
                <w:sz w:val="22"/>
                <w:szCs w:val="22"/>
              </w:rPr>
            </w:pPr>
            <w:r w:rsidRPr="009B65B1">
              <w:rPr>
                <w:rFonts w:eastAsia="Times New Roman"/>
                <w:sz w:val="22"/>
                <w:szCs w:val="22"/>
              </w:rPr>
              <w:t>D2</w:t>
            </w:r>
          </w:p>
        </w:tc>
        <w:tc>
          <w:tcPr>
            <w:tcW w:w="6214" w:type="dxa"/>
            <w:tcBorders>
              <w:top w:val="nil"/>
              <w:left w:val="nil"/>
              <w:bottom w:val="single" w:sz="4" w:space="0" w:color="auto"/>
              <w:right w:val="single" w:sz="4" w:space="0" w:color="auto"/>
            </w:tcBorders>
            <w:shd w:val="clear" w:color="auto" w:fill="auto"/>
            <w:vAlign w:val="center"/>
            <w:hideMark/>
          </w:tcPr>
          <w:p w14:paraId="0C4108D9" w14:textId="77777777" w:rsidR="009B65B1" w:rsidRPr="009B65B1" w:rsidRDefault="009B65B1" w:rsidP="009B65B1">
            <w:pPr>
              <w:rPr>
                <w:rFonts w:eastAsia="Times New Roman"/>
                <w:sz w:val="22"/>
                <w:szCs w:val="22"/>
              </w:rPr>
            </w:pPr>
            <w:r w:rsidRPr="009B65B1">
              <w:rPr>
                <w:rFonts w:eastAsia="Times New Roman"/>
                <w:sz w:val="22"/>
                <w:szCs w:val="22"/>
              </w:rPr>
              <w:t>Customers/Market</w:t>
            </w:r>
          </w:p>
        </w:tc>
        <w:tc>
          <w:tcPr>
            <w:tcW w:w="1319" w:type="dxa"/>
            <w:tcBorders>
              <w:top w:val="nil"/>
              <w:left w:val="nil"/>
              <w:bottom w:val="single" w:sz="4" w:space="0" w:color="auto"/>
              <w:right w:val="single" w:sz="4" w:space="0" w:color="auto"/>
            </w:tcBorders>
            <w:shd w:val="clear" w:color="auto" w:fill="auto"/>
            <w:vAlign w:val="center"/>
            <w:hideMark/>
          </w:tcPr>
          <w:p w14:paraId="35FD355D" w14:textId="77777777" w:rsidR="009B65B1" w:rsidRPr="009B65B1" w:rsidRDefault="009B65B1" w:rsidP="009B65B1">
            <w:pPr>
              <w:jc w:val="center"/>
              <w:rPr>
                <w:rFonts w:eastAsia="Times New Roman"/>
                <w:sz w:val="22"/>
                <w:szCs w:val="22"/>
              </w:rPr>
            </w:pPr>
            <w:r w:rsidRPr="009B65B1">
              <w:rPr>
                <w:rFonts w:eastAsia="Times New Roman"/>
                <w:sz w:val="22"/>
                <w:szCs w:val="22"/>
              </w:rPr>
              <w:t>102</w:t>
            </w:r>
          </w:p>
        </w:tc>
        <w:tc>
          <w:tcPr>
            <w:tcW w:w="1268" w:type="dxa"/>
            <w:tcBorders>
              <w:top w:val="nil"/>
              <w:left w:val="nil"/>
              <w:bottom w:val="single" w:sz="4" w:space="0" w:color="auto"/>
              <w:right w:val="single" w:sz="4" w:space="0" w:color="auto"/>
            </w:tcBorders>
            <w:shd w:val="clear" w:color="auto" w:fill="auto"/>
            <w:noWrap/>
            <w:vAlign w:val="center"/>
            <w:hideMark/>
          </w:tcPr>
          <w:p w14:paraId="4DF50408" w14:textId="77777777" w:rsidR="009B65B1" w:rsidRPr="009B65B1" w:rsidRDefault="009B65B1" w:rsidP="009B65B1">
            <w:pPr>
              <w:jc w:val="center"/>
              <w:rPr>
                <w:rFonts w:eastAsia="Times New Roman"/>
                <w:sz w:val="22"/>
                <w:szCs w:val="22"/>
              </w:rPr>
            </w:pPr>
            <w:r w:rsidRPr="009B65B1">
              <w:rPr>
                <w:rFonts w:eastAsia="Times New Roman"/>
                <w:sz w:val="22"/>
                <w:szCs w:val="22"/>
              </w:rPr>
              <w:t>2.02</w:t>
            </w:r>
          </w:p>
        </w:tc>
      </w:tr>
      <w:tr w:rsidR="009B65B1" w:rsidRPr="009B65B1" w14:paraId="1763E42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93D9E20" w14:textId="77777777" w:rsidR="009B65B1" w:rsidRPr="009B65B1" w:rsidRDefault="009B65B1" w:rsidP="009B65B1">
            <w:pPr>
              <w:jc w:val="center"/>
              <w:rPr>
                <w:rFonts w:eastAsia="Times New Roman"/>
                <w:sz w:val="22"/>
                <w:szCs w:val="22"/>
              </w:rPr>
            </w:pPr>
            <w:r w:rsidRPr="009B65B1">
              <w:rPr>
                <w:rFonts w:eastAsia="Times New Roman"/>
                <w:sz w:val="22"/>
                <w:szCs w:val="22"/>
              </w:rPr>
              <w:t>D3</w:t>
            </w:r>
          </w:p>
        </w:tc>
        <w:tc>
          <w:tcPr>
            <w:tcW w:w="6214" w:type="dxa"/>
            <w:tcBorders>
              <w:top w:val="nil"/>
              <w:left w:val="nil"/>
              <w:bottom w:val="single" w:sz="4" w:space="0" w:color="auto"/>
              <w:right w:val="single" w:sz="4" w:space="0" w:color="auto"/>
            </w:tcBorders>
            <w:shd w:val="clear" w:color="auto" w:fill="auto"/>
            <w:vAlign w:val="center"/>
            <w:hideMark/>
          </w:tcPr>
          <w:p w14:paraId="6BE7DEE1" w14:textId="77777777" w:rsidR="009B65B1" w:rsidRPr="009B65B1" w:rsidRDefault="009B65B1" w:rsidP="009B65B1">
            <w:pPr>
              <w:rPr>
                <w:rFonts w:eastAsia="Times New Roman"/>
                <w:sz w:val="22"/>
                <w:szCs w:val="22"/>
              </w:rPr>
            </w:pPr>
            <w:r w:rsidRPr="009B65B1">
              <w:rPr>
                <w:rFonts w:eastAsia="Times New Roman"/>
                <w:sz w:val="22"/>
                <w:szCs w:val="22"/>
              </w:rPr>
              <w:t>Suppliers</w:t>
            </w:r>
          </w:p>
        </w:tc>
        <w:tc>
          <w:tcPr>
            <w:tcW w:w="1319" w:type="dxa"/>
            <w:tcBorders>
              <w:top w:val="nil"/>
              <w:left w:val="nil"/>
              <w:bottom w:val="single" w:sz="4" w:space="0" w:color="auto"/>
              <w:right w:val="single" w:sz="4" w:space="0" w:color="auto"/>
            </w:tcBorders>
            <w:shd w:val="clear" w:color="auto" w:fill="auto"/>
            <w:vAlign w:val="center"/>
            <w:hideMark/>
          </w:tcPr>
          <w:p w14:paraId="395E52DA" w14:textId="77777777" w:rsidR="009B65B1" w:rsidRPr="009B65B1" w:rsidRDefault="009B65B1" w:rsidP="009B65B1">
            <w:pPr>
              <w:jc w:val="center"/>
              <w:rPr>
                <w:rFonts w:eastAsia="Times New Roman"/>
                <w:sz w:val="22"/>
                <w:szCs w:val="22"/>
              </w:rPr>
            </w:pPr>
            <w:r w:rsidRPr="009B65B1">
              <w:rPr>
                <w:rFonts w:eastAsia="Times New Roman"/>
                <w:sz w:val="22"/>
                <w:szCs w:val="22"/>
              </w:rPr>
              <w:t>13</w:t>
            </w:r>
          </w:p>
        </w:tc>
        <w:tc>
          <w:tcPr>
            <w:tcW w:w="1268" w:type="dxa"/>
            <w:tcBorders>
              <w:top w:val="nil"/>
              <w:left w:val="nil"/>
              <w:bottom w:val="single" w:sz="4" w:space="0" w:color="auto"/>
              <w:right w:val="single" w:sz="4" w:space="0" w:color="auto"/>
            </w:tcBorders>
            <w:shd w:val="clear" w:color="auto" w:fill="auto"/>
            <w:noWrap/>
            <w:vAlign w:val="center"/>
            <w:hideMark/>
          </w:tcPr>
          <w:p w14:paraId="729D4B6F" w14:textId="77777777" w:rsidR="009B65B1" w:rsidRPr="009B65B1" w:rsidRDefault="009B65B1" w:rsidP="009B65B1">
            <w:pPr>
              <w:jc w:val="center"/>
              <w:rPr>
                <w:rFonts w:eastAsia="Times New Roman"/>
                <w:sz w:val="22"/>
                <w:szCs w:val="22"/>
              </w:rPr>
            </w:pPr>
            <w:r w:rsidRPr="009B65B1">
              <w:rPr>
                <w:rFonts w:eastAsia="Times New Roman"/>
                <w:sz w:val="22"/>
                <w:szCs w:val="22"/>
              </w:rPr>
              <w:t>0.26</w:t>
            </w:r>
          </w:p>
        </w:tc>
      </w:tr>
      <w:tr w:rsidR="009B65B1" w:rsidRPr="009B65B1" w14:paraId="3F016B1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E346556" w14:textId="77777777" w:rsidR="009B65B1" w:rsidRPr="009B65B1" w:rsidRDefault="009B65B1" w:rsidP="009B65B1">
            <w:pPr>
              <w:jc w:val="center"/>
              <w:rPr>
                <w:rFonts w:eastAsia="Times New Roman"/>
                <w:sz w:val="22"/>
                <w:szCs w:val="22"/>
              </w:rPr>
            </w:pPr>
            <w:r w:rsidRPr="009B65B1">
              <w:rPr>
                <w:rFonts w:eastAsia="Times New Roman"/>
                <w:sz w:val="22"/>
                <w:szCs w:val="22"/>
              </w:rPr>
              <w:t>D4</w:t>
            </w:r>
          </w:p>
        </w:tc>
        <w:tc>
          <w:tcPr>
            <w:tcW w:w="6214" w:type="dxa"/>
            <w:tcBorders>
              <w:top w:val="nil"/>
              <w:left w:val="nil"/>
              <w:bottom w:val="single" w:sz="4" w:space="0" w:color="auto"/>
              <w:right w:val="single" w:sz="4" w:space="0" w:color="auto"/>
            </w:tcBorders>
            <w:shd w:val="clear" w:color="auto" w:fill="auto"/>
            <w:vAlign w:val="center"/>
            <w:hideMark/>
          </w:tcPr>
          <w:p w14:paraId="6B2084C8" w14:textId="77777777" w:rsidR="009B65B1" w:rsidRPr="009B65B1" w:rsidRDefault="009B65B1" w:rsidP="009B65B1">
            <w:pPr>
              <w:rPr>
                <w:rFonts w:eastAsia="Times New Roman"/>
                <w:sz w:val="22"/>
                <w:szCs w:val="22"/>
              </w:rPr>
            </w:pPr>
            <w:r w:rsidRPr="009B65B1">
              <w:rPr>
                <w:rFonts w:eastAsia="Times New Roman"/>
                <w:sz w:val="22"/>
                <w:szCs w:val="22"/>
              </w:rPr>
              <w:t>Holding company</w:t>
            </w:r>
          </w:p>
        </w:tc>
        <w:tc>
          <w:tcPr>
            <w:tcW w:w="1319" w:type="dxa"/>
            <w:tcBorders>
              <w:top w:val="nil"/>
              <w:left w:val="nil"/>
              <w:bottom w:val="single" w:sz="4" w:space="0" w:color="auto"/>
              <w:right w:val="single" w:sz="4" w:space="0" w:color="auto"/>
            </w:tcBorders>
            <w:shd w:val="clear" w:color="auto" w:fill="auto"/>
            <w:vAlign w:val="center"/>
            <w:hideMark/>
          </w:tcPr>
          <w:p w14:paraId="5992E643"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14:paraId="7398910C" w14:textId="77777777" w:rsidR="009B65B1" w:rsidRPr="009B65B1" w:rsidRDefault="009B65B1" w:rsidP="009B65B1">
            <w:pPr>
              <w:jc w:val="center"/>
              <w:rPr>
                <w:rFonts w:eastAsia="Times New Roman"/>
                <w:sz w:val="22"/>
                <w:szCs w:val="22"/>
              </w:rPr>
            </w:pPr>
            <w:r w:rsidRPr="009B65B1">
              <w:rPr>
                <w:rFonts w:eastAsia="Times New Roman"/>
                <w:sz w:val="22"/>
                <w:szCs w:val="22"/>
              </w:rPr>
              <w:t>0.02</w:t>
            </w:r>
          </w:p>
        </w:tc>
      </w:tr>
      <w:tr w:rsidR="009B65B1" w:rsidRPr="009B65B1" w14:paraId="6F087D1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4769418" w14:textId="77777777" w:rsidR="009B65B1" w:rsidRPr="009B65B1" w:rsidRDefault="009B65B1" w:rsidP="009B65B1">
            <w:pPr>
              <w:jc w:val="center"/>
              <w:rPr>
                <w:rFonts w:eastAsia="Times New Roman"/>
                <w:sz w:val="22"/>
                <w:szCs w:val="22"/>
              </w:rPr>
            </w:pPr>
            <w:r w:rsidRPr="009B65B1">
              <w:rPr>
                <w:rFonts w:eastAsia="Times New Roman"/>
                <w:sz w:val="22"/>
                <w:szCs w:val="22"/>
              </w:rPr>
              <w:t>D5</w:t>
            </w:r>
          </w:p>
        </w:tc>
        <w:tc>
          <w:tcPr>
            <w:tcW w:w="6214" w:type="dxa"/>
            <w:tcBorders>
              <w:top w:val="nil"/>
              <w:left w:val="nil"/>
              <w:bottom w:val="single" w:sz="4" w:space="0" w:color="auto"/>
              <w:right w:val="single" w:sz="4" w:space="0" w:color="auto"/>
            </w:tcBorders>
            <w:shd w:val="clear" w:color="auto" w:fill="auto"/>
            <w:vAlign w:val="center"/>
            <w:hideMark/>
          </w:tcPr>
          <w:p w14:paraId="441C39C8" w14:textId="77777777" w:rsidR="009B65B1" w:rsidRPr="009B65B1" w:rsidRDefault="009B65B1" w:rsidP="009B65B1">
            <w:pPr>
              <w:rPr>
                <w:rFonts w:eastAsia="Times New Roman"/>
                <w:sz w:val="22"/>
                <w:szCs w:val="22"/>
              </w:rPr>
            </w:pPr>
            <w:r w:rsidRPr="009B65B1">
              <w:rPr>
                <w:rFonts w:eastAsia="Times New Roman"/>
                <w:sz w:val="22"/>
                <w:szCs w:val="22"/>
              </w:rPr>
              <w:t>Other parties (business)</w:t>
            </w:r>
          </w:p>
        </w:tc>
        <w:tc>
          <w:tcPr>
            <w:tcW w:w="1319" w:type="dxa"/>
            <w:tcBorders>
              <w:top w:val="nil"/>
              <w:left w:val="nil"/>
              <w:bottom w:val="single" w:sz="4" w:space="0" w:color="auto"/>
              <w:right w:val="single" w:sz="4" w:space="0" w:color="auto"/>
            </w:tcBorders>
            <w:shd w:val="clear" w:color="auto" w:fill="auto"/>
            <w:vAlign w:val="center"/>
            <w:hideMark/>
          </w:tcPr>
          <w:p w14:paraId="09E17810" w14:textId="77777777" w:rsidR="009B65B1" w:rsidRPr="009B65B1" w:rsidRDefault="009B65B1" w:rsidP="009B65B1">
            <w:pPr>
              <w:jc w:val="center"/>
              <w:rPr>
                <w:rFonts w:eastAsia="Times New Roman"/>
                <w:sz w:val="22"/>
                <w:szCs w:val="22"/>
              </w:rPr>
            </w:pPr>
            <w:r w:rsidRPr="009B65B1">
              <w:rPr>
                <w:rFonts w:eastAsia="Times New Roman"/>
                <w:sz w:val="22"/>
                <w:szCs w:val="22"/>
              </w:rPr>
              <w:t>29</w:t>
            </w:r>
          </w:p>
        </w:tc>
        <w:tc>
          <w:tcPr>
            <w:tcW w:w="1268" w:type="dxa"/>
            <w:tcBorders>
              <w:top w:val="nil"/>
              <w:left w:val="nil"/>
              <w:bottom w:val="single" w:sz="4" w:space="0" w:color="auto"/>
              <w:right w:val="single" w:sz="4" w:space="0" w:color="auto"/>
            </w:tcBorders>
            <w:shd w:val="clear" w:color="auto" w:fill="auto"/>
            <w:noWrap/>
            <w:vAlign w:val="center"/>
            <w:hideMark/>
          </w:tcPr>
          <w:p w14:paraId="29C7BF74" w14:textId="77777777" w:rsidR="009B65B1" w:rsidRPr="009B65B1" w:rsidRDefault="009B65B1" w:rsidP="009B65B1">
            <w:pPr>
              <w:jc w:val="center"/>
              <w:rPr>
                <w:rFonts w:eastAsia="Times New Roman"/>
                <w:sz w:val="22"/>
                <w:szCs w:val="22"/>
              </w:rPr>
            </w:pPr>
            <w:r w:rsidRPr="009B65B1">
              <w:rPr>
                <w:rFonts w:eastAsia="Times New Roman"/>
                <w:sz w:val="22"/>
                <w:szCs w:val="22"/>
              </w:rPr>
              <w:t>0.57</w:t>
            </w:r>
          </w:p>
        </w:tc>
      </w:tr>
      <w:tr w:rsidR="009B65B1" w:rsidRPr="009B65B1" w14:paraId="78BBF611"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3B48F50" w14:textId="77777777" w:rsidR="009B65B1" w:rsidRPr="009B65B1" w:rsidRDefault="009B65B1" w:rsidP="009B65B1">
            <w:pPr>
              <w:jc w:val="center"/>
              <w:rPr>
                <w:rFonts w:eastAsia="Times New Roman"/>
                <w:sz w:val="22"/>
                <w:szCs w:val="22"/>
              </w:rPr>
            </w:pPr>
            <w:r w:rsidRPr="009B65B1">
              <w:rPr>
                <w:rFonts w:eastAsia="Times New Roman"/>
                <w:sz w:val="22"/>
                <w:szCs w:val="22"/>
              </w:rPr>
              <w:t>D6</w:t>
            </w:r>
          </w:p>
        </w:tc>
        <w:tc>
          <w:tcPr>
            <w:tcW w:w="6214" w:type="dxa"/>
            <w:tcBorders>
              <w:top w:val="nil"/>
              <w:left w:val="nil"/>
              <w:bottom w:val="single" w:sz="4" w:space="0" w:color="auto"/>
              <w:right w:val="single" w:sz="4" w:space="0" w:color="auto"/>
            </w:tcBorders>
            <w:shd w:val="clear" w:color="auto" w:fill="auto"/>
            <w:vAlign w:val="center"/>
            <w:hideMark/>
          </w:tcPr>
          <w:p w14:paraId="30EAB885" w14:textId="77777777" w:rsidR="009B65B1" w:rsidRPr="009B65B1" w:rsidRDefault="009B65B1" w:rsidP="009B65B1">
            <w:pPr>
              <w:rPr>
                <w:rFonts w:eastAsia="Times New Roman"/>
                <w:sz w:val="22"/>
                <w:szCs w:val="22"/>
              </w:rPr>
            </w:pPr>
            <w:r w:rsidRPr="009B65B1">
              <w:rPr>
                <w:rFonts w:eastAsia="Times New Roman"/>
                <w:sz w:val="22"/>
                <w:szCs w:val="22"/>
              </w:rPr>
              <w:t>R&amp;D</w:t>
            </w:r>
          </w:p>
        </w:tc>
        <w:tc>
          <w:tcPr>
            <w:tcW w:w="1319" w:type="dxa"/>
            <w:tcBorders>
              <w:top w:val="nil"/>
              <w:left w:val="nil"/>
              <w:bottom w:val="single" w:sz="4" w:space="0" w:color="auto"/>
              <w:right w:val="single" w:sz="4" w:space="0" w:color="auto"/>
            </w:tcBorders>
            <w:shd w:val="clear" w:color="auto" w:fill="auto"/>
            <w:vAlign w:val="center"/>
            <w:hideMark/>
          </w:tcPr>
          <w:p w14:paraId="37B59298" w14:textId="77777777" w:rsidR="009B65B1" w:rsidRPr="009B65B1" w:rsidRDefault="009B65B1" w:rsidP="009B65B1">
            <w:pPr>
              <w:jc w:val="center"/>
              <w:rPr>
                <w:rFonts w:eastAsia="Times New Roman"/>
                <w:sz w:val="22"/>
                <w:szCs w:val="22"/>
              </w:rPr>
            </w:pPr>
            <w:r w:rsidRPr="009B65B1">
              <w:rPr>
                <w:rFonts w:eastAsia="Times New Roman"/>
                <w:sz w:val="22"/>
                <w:szCs w:val="22"/>
              </w:rPr>
              <w:t>102</w:t>
            </w:r>
          </w:p>
        </w:tc>
        <w:tc>
          <w:tcPr>
            <w:tcW w:w="1268" w:type="dxa"/>
            <w:tcBorders>
              <w:top w:val="nil"/>
              <w:left w:val="nil"/>
              <w:bottom w:val="single" w:sz="4" w:space="0" w:color="auto"/>
              <w:right w:val="single" w:sz="4" w:space="0" w:color="auto"/>
            </w:tcBorders>
            <w:shd w:val="clear" w:color="auto" w:fill="auto"/>
            <w:noWrap/>
            <w:vAlign w:val="center"/>
            <w:hideMark/>
          </w:tcPr>
          <w:p w14:paraId="4BC5A79C" w14:textId="77777777" w:rsidR="009B65B1" w:rsidRPr="009B65B1" w:rsidRDefault="009B65B1" w:rsidP="009B65B1">
            <w:pPr>
              <w:jc w:val="center"/>
              <w:rPr>
                <w:rFonts w:eastAsia="Times New Roman"/>
                <w:sz w:val="22"/>
                <w:szCs w:val="22"/>
              </w:rPr>
            </w:pPr>
            <w:r w:rsidRPr="009B65B1">
              <w:rPr>
                <w:rFonts w:eastAsia="Times New Roman"/>
                <w:sz w:val="22"/>
                <w:szCs w:val="22"/>
              </w:rPr>
              <w:t>2.02</w:t>
            </w:r>
          </w:p>
        </w:tc>
      </w:tr>
      <w:tr w:rsidR="009B65B1" w:rsidRPr="009B65B1" w14:paraId="6579B5CE"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DDBE7AE" w14:textId="77777777" w:rsidR="009B65B1" w:rsidRPr="009B65B1" w:rsidRDefault="009B65B1" w:rsidP="009B65B1">
            <w:pPr>
              <w:jc w:val="center"/>
              <w:rPr>
                <w:rFonts w:eastAsia="Times New Roman"/>
                <w:sz w:val="22"/>
                <w:szCs w:val="22"/>
              </w:rPr>
            </w:pPr>
            <w:r w:rsidRPr="009B65B1">
              <w:rPr>
                <w:rFonts w:eastAsia="Times New Roman"/>
                <w:sz w:val="22"/>
                <w:szCs w:val="22"/>
              </w:rPr>
              <w:t>D7</w:t>
            </w:r>
          </w:p>
        </w:tc>
        <w:tc>
          <w:tcPr>
            <w:tcW w:w="6214" w:type="dxa"/>
            <w:tcBorders>
              <w:top w:val="nil"/>
              <w:left w:val="nil"/>
              <w:bottom w:val="single" w:sz="4" w:space="0" w:color="auto"/>
              <w:right w:val="single" w:sz="4" w:space="0" w:color="auto"/>
            </w:tcBorders>
            <w:shd w:val="clear" w:color="auto" w:fill="auto"/>
            <w:vAlign w:val="center"/>
            <w:hideMark/>
          </w:tcPr>
          <w:p w14:paraId="5853E1A4" w14:textId="77777777" w:rsidR="009B65B1" w:rsidRPr="009B65B1" w:rsidRDefault="009B65B1" w:rsidP="009B65B1">
            <w:pPr>
              <w:rPr>
                <w:rFonts w:eastAsia="Times New Roman"/>
                <w:sz w:val="22"/>
                <w:szCs w:val="22"/>
              </w:rPr>
            </w:pPr>
            <w:r w:rsidRPr="009B65B1">
              <w:rPr>
                <w:rFonts w:eastAsia="Times New Roman"/>
                <w:sz w:val="22"/>
                <w:szCs w:val="22"/>
              </w:rPr>
              <w:t>Competition</w:t>
            </w:r>
          </w:p>
        </w:tc>
        <w:tc>
          <w:tcPr>
            <w:tcW w:w="1319" w:type="dxa"/>
            <w:tcBorders>
              <w:top w:val="nil"/>
              <w:left w:val="nil"/>
              <w:bottom w:val="single" w:sz="4" w:space="0" w:color="auto"/>
              <w:right w:val="single" w:sz="4" w:space="0" w:color="auto"/>
            </w:tcBorders>
            <w:shd w:val="clear" w:color="auto" w:fill="auto"/>
            <w:vAlign w:val="center"/>
            <w:hideMark/>
          </w:tcPr>
          <w:p w14:paraId="25042BD8" w14:textId="77777777" w:rsidR="009B65B1" w:rsidRPr="009B65B1" w:rsidRDefault="009B65B1" w:rsidP="009B65B1">
            <w:pPr>
              <w:jc w:val="center"/>
              <w:rPr>
                <w:rFonts w:eastAsia="Times New Roman"/>
                <w:sz w:val="22"/>
                <w:szCs w:val="22"/>
              </w:rPr>
            </w:pPr>
            <w:r w:rsidRPr="009B65B1">
              <w:rPr>
                <w:rFonts w:eastAsia="Times New Roman"/>
                <w:sz w:val="22"/>
                <w:szCs w:val="22"/>
              </w:rPr>
              <w:t>65</w:t>
            </w:r>
          </w:p>
        </w:tc>
        <w:tc>
          <w:tcPr>
            <w:tcW w:w="1268" w:type="dxa"/>
            <w:tcBorders>
              <w:top w:val="nil"/>
              <w:left w:val="nil"/>
              <w:bottom w:val="single" w:sz="4" w:space="0" w:color="auto"/>
              <w:right w:val="single" w:sz="4" w:space="0" w:color="auto"/>
            </w:tcBorders>
            <w:shd w:val="clear" w:color="auto" w:fill="auto"/>
            <w:noWrap/>
            <w:vAlign w:val="center"/>
            <w:hideMark/>
          </w:tcPr>
          <w:p w14:paraId="2C12BA16" w14:textId="77777777" w:rsidR="009B65B1" w:rsidRPr="009B65B1" w:rsidRDefault="009B65B1" w:rsidP="009B65B1">
            <w:pPr>
              <w:jc w:val="center"/>
              <w:rPr>
                <w:rFonts w:eastAsia="Times New Roman"/>
                <w:sz w:val="22"/>
                <w:szCs w:val="22"/>
              </w:rPr>
            </w:pPr>
            <w:r w:rsidRPr="009B65B1">
              <w:rPr>
                <w:rFonts w:eastAsia="Times New Roman"/>
                <w:sz w:val="22"/>
                <w:szCs w:val="22"/>
              </w:rPr>
              <w:t>1.29</w:t>
            </w:r>
          </w:p>
        </w:tc>
      </w:tr>
      <w:tr w:rsidR="009B65B1" w:rsidRPr="009B65B1" w14:paraId="170882B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9409B8C" w14:textId="77777777" w:rsidR="009B65B1" w:rsidRPr="009B65B1" w:rsidRDefault="009B65B1" w:rsidP="009B65B1">
            <w:pPr>
              <w:jc w:val="center"/>
              <w:rPr>
                <w:rFonts w:eastAsia="Times New Roman"/>
                <w:sz w:val="22"/>
                <w:szCs w:val="22"/>
              </w:rPr>
            </w:pPr>
            <w:r w:rsidRPr="009B65B1">
              <w:rPr>
                <w:rFonts w:eastAsia="Times New Roman"/>
                <w:sz w:val="22"/>
                <w:szCs w:val="22"/>
              </w:rPr>
              <w:t>D8</w:t>
            </w:r>
          </w:p>
        </w:tc>
        <w:tc>
          <w:tcPr>
            <w:tcW w:w="6214" w:type="dxa"/>
            <w:tcBorders>
              <w:top w:val="nil"/>
              <w:left w:val="nil"/>
              <w:bottom w:val="single" w:sz="4" w:space="0" w:color="auto"/>
              <w:right w:val="single" w:sz="4" w:space="0" w:color="auto"/>
            </w:tcBorders>
            <w:shd w:val="clear" w:color="auto" w:fill="auto"/>
            <w:vAlign w:val="center"/>
            <w:hideMark/>
          </w:tcPr>
          <w:p w14:paraId="0E9BF911" w14:textId="77777777" w:rsidR="009B65B1" w:rsidRPr="009B65B1" w:rsidRDefault="009B65B1" w:rsidP="009B65B1">
            <w:pPr>
              <w:rPr>
                <w:rFonts w:eastAsia="Times New Roman"/>
                <w:sz w:val="22"/>
                <w:szCs w:val="22"/>
              </w:rPr>
            </w:pPr>
            <w:r w:rsidRPr="009B65B1">
              <w:rPr>
                <w:rFonts w:eastAsia="Times New Roman"/>
                <w:sz w:val="22"/>
                <w:szCs w:val="22"/>
              </w:rPr>
              <w:t>Industry</w:t>
            </w:r>
          </w:p>
        </w:tc>
        <w:tc>
          <w:tcPr>
            <w:tcW w:w="1319" w:type="dxa"/>
            <w:tcBorders>
              <w:top w:val="nil"/>
              <w:left w:val="nil"/>
              <w:bottom w:val="single" w:sz="4" w:space="0" w:color="auto"/>
              <w:right w:val="single" w:sz="4" w:space="0" w:color="auto"/>
            </w:tcBorders>
            <w:shd w:val="clear" w:color="auto" w:fill="auto"/>
            <w:vAlign w:val="center"/>
            <w:hideMark/>
          </w:tcPr>
          <w:p w14:paraId="10AEC54A" w14:textId="77777777" w:rsidR="009B65B1" w:rsidRPr="009B65B1" w:rsidRDefault="009B65B1" w:rsidP="009B65B1">
            <w:pPr>
              <w:jc w:val="center"/>
              <w:rPr>
                <w:rFonts w:eastAsia="Times New Roman"/>
                <w:sz w:val="22"/>
                <w:szCs w:val="22"/>
              </w:rPr>
            </w:pPr>
            <w:r w:rsidRPr="009B65B1">
              <w:rPr>
                <w:rFonts w:eastAsia="Times New Roman"/>
                <w:sz w:val="22"/>
                <w:szCs w:val="22"/>
              </w:rPr>
              <w:t>39</w:t>
            </w:r>
          </w:p>
        </w:tc>
        <w:tc>
          <w:tcPr>
            <w:tcW w:w="1268" w:type="dxa"/>
            <w:tcBorders>
              <w:top w:val="nil"/>
              <w:left w:val="nil"/>
              <w:bottom w:val="single" w:sz="4" w:space="0" w:color="auto"/>
              <w:right w:val="single" w:sz="4" w:space="0" w:color="auto"/>
            </w:tcBorders>
            <w:shd w:val="clear" w:color="auto" w:fill="auto"/>
            <w:noWrap/>
            <w:vAlign w:val="center"/>
            <w:hideMark/>
          </w:tcPr>
          <w:p w14:paraId="1BD35FA2" w14:textId="77777777" w:rsidR="009B65B1" w:rsidRPr="009B65B1" w:rsidRDefault="009B65B1" w:rsidP="009B65B1">
            <w:pPr>
              <w:jc w:val="center"/>
              <w:rPr>
                <w:rFonts w:eastAsia="Times New Roman"/>
                <w:sz w:val="22"/>
                <w:szCs w:val="22"/>
              </w:rPr>
            </w:pPr>
            <w:r w:rsidRPr="009B65B1">
              <w:rPr>
                <w:rFonts w:eastAsia="Times New Roman"/>
                <w:sz w:val="22"/>
                <w:szCs w:val="22"/>
              </w:rPr>
              <w:t>0.77</w:t>
            </w:r>
          </w:p>
        </w:tc>
      </w:tr>
      <w:tr w:rsidR="009B65B1" w:rsidRPr="009B65B1" w14:paraId="4C1C7D09"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C8BC7E0" w14:textId="77777777" w:rsidR="009B65B1" w:rsidRPr="009B65B1" w:rsidRDefault="009B65B1" w:rsidP="009B65B1">
            <w:pPr>
              <w:jc w:val="center"/>
              <w:rPr>
                <w:rFonts w:eastAsia="Times New Roman"/>
                <w:sz w:val="22"/>
                <w:szCs w:val="22"/>
              </w:rPr>
            </w:pPr>
            <w:r w:rsidRPr="009B65B1">
              <w:rPr>
                <w:rFonts w:eastAsia="Times New Roman"/>
                <w:sz w:val="22"/>
                <w:szCs w:val="22"/>
              </w:rPr>
              <w:t>D9</w:t>
            </w:r>
          </w:p>
        </w:tc>
        <w:tc>
          <w:tcPr>
            <w:tcW w:w="6214" w:type="dxa"/>
            <w:tcBorders>
              <w:top w:val="nil"/>
              <w:left w:val="nil"/>
              <w:bottom w:val="single" w:sz="4" w:space="0" w:color="auto"/>
              <w:right w:val="single" w:sz="4" w:space="0" w:color="auto"/>
            </w:tcBorders>
            <w:shd w:val="clear" w:color="auto" w:fill="auto"/>
            <w:vAlign w:val="center"/>
            <w:hideMark/>
          </w:tcPr>
          <w:p w14:paraId="597FBFF4" w14:textId="77777777" w:rsidR="009B65B1" w:rsidRPr="009B65B1" w:rsidRDefault="009B65B1" w:rsidP="009B65B1">
            <w:pPr>
              <w:rPr>
                <w:rFonts w:eastAsia="Times New Roman"/>
                <w:sz w:val="22"/>
                <w:szCs w:val="22"/>
              </w:rPr>
            </w:pPr>
            <w:r w:rsidRPr="009B65B1">
              <w:rPr>
                <w:rFonts w:eastAsia="Times New Roman"/>
                <w:sz w:val="22"/>
                <w:szCs w:val="22"/>
              </w:rPr>
              <w:t>M&amp;A</w:t>
            </w:r>
          </w:p>
        </w:tc>
        <w:tc>
          <w:tcPr>
            <w:tcW w:w="1319" w:type="dxa"/>
            <w:tcBorders>
              <w:top w:val="nil"/>
              <w:left w:val="nil"/>
              <w:bottom w:val="single" w:sz="4" w:space="0" w:color="auto"/>
              <w:right w:val="single" w:sz="4" w:space="0" w:color="auto"/>
            </w:tcBorders>
            <w:shd w:val="clear" w:color="auto" w:fill="auto"/>
            <w:vAlign w:val="center"/>
            <w:hideMark/>
          </w:tcPr>
          <w:p w14:paraId="14F3DCD8" w14:textId="77777777" w:rsidR="009B65B1" w:rsidRPr="009B65B1" w:rsidRDefault="009B65B1" w:rsidP="009B65B1">
            <w:pPr>
              <w:jc w:val="center"/>
              <w:rPr>
                <w:rFonts w:eastAsia="Times New Roman"/>
                <w:sz w:val="22"/>
                <w:szCs w:val="22"/>
              </w:rPr>
            </w:pPr>
            <w:r w:rsidRPr="009B65B1">
              <w:rPr>
                <w:rFonts w:eastAsia="Times New Roman"/>
                <w:sz w:val="22"/>
                <w:szCs w:val="22"/>
              </w:rPr>
              <w:t>26</w:t>
            </w:r>
          </w:p>
        </w:tc>
        <w:tc>
          <w:tcPr>
            <w:tcW w:w="1268" w:type="dxa"/>
            <w:tcBorders>
              <w:top w:val="nil"/>
              <w:left w:val="nil"/>
              <w:bottom w:val="single" w:sz="4" w:space="0" w:color="auto"/>
              <w:right w:val="single" w:sz="4" w:space="0" w:color="auto"/>
            </w:tcBorders>
            <w:shd w:val="clear" w:color="auto" w:fill="auto"/>
            <w:noWrap/>
            <w:vAlign w:val="center"/>
            <w:hideMark/>
          </w:tcPr>
          <w:p w14:paraId="6A6BFED7" w14:textId="77777777" w:rsidR="009B65B1" w:rsidRPr="009B65B1" w:rsidRDefault="009B65B1" w:rsidP="009B65B1">
            <w:pPr>
              <w:jc w:val="center"/>
              <w:rPr>
                <w:rFonts w:eastAsia="Times New Roman"/>
                <w:sz w:val="22"/>
                <w:szCs w:val="22"/>
              </w:rPr>
            </w:pPr>
            <w:r w:rsidRPr="009B65B1">
              <w:rPr>
                <w:rFonts w:eastAsia="Times New Roman"/>
                <w:sz w:val="22"/>
                <w:szCs w:val="22"/>
              </w:rPr>
              <w:t>0.51</w:t>
            </w:r>
          </w:p>
        </w:tc>
      </w:tr>
      <w:tr w:rsidR="009B65B1" w:rsidRPr="009B65B1" w14:paraId="5A6676BB"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BF59091" w14:textId="77777777" w:rsidR="009B65B1" w:rsidRPr="009B65B1" w:rsidRDefault="009B65B1" w:rsidP="009B65B1">
            <w:pPr>
              <w:jc w:val="center"/>
              <w:rPr>
                <w:rFonts w:eastAsia="Times New Roman"/>
                <w:sz w:val="22"/>
                <w:szCs w:val="22"/>
              </w:rPr>
            </w:pPr>
            <w:r w:rsidRPr="009B65B1">
              <w:rPr>
                <w:rFonts w:eastAsia="Times New Roman"/>
                <w:sz w:val="22"/>
                <w:szCs w:val="22"/>
              </w:rPr>
              <w:t>D10</w:t>
            </w:r>
          </w:p>
        </w:tc>
        <w:tc>
          <w:tcPr>
            <w:tcW w:w="6214" w:type="dxa"/>
            <w:tcBorders>
              <w:top w:val="nil"/>
              <w:left w:val="nil"/>
              <w:bottom w:val="single" w:sz="4" w:space="0" w:color="auto"/>
              <w:right w:val="single" w:sz="4" w:space="0" w:color="auto"/>
            </w:tcBorders>
            <w:shd w:val="clear" w:color="auto" w:fill="auto"/>
            <w:vAlign w:val="center"/>
            <w:hideMark/>
          </w:tcPr>
          <w:p w14:paraId="16B803C3" w14:textId="77777777" w:rsidR="009B65B1" w:rsidRPr="009B65B1" w:rsidRDefault="009B65B1" w:rsidP="009B65B1">
            <w:pPr>
              <w:rPr>
                <w:rFonts w:eastAsia="Times New Roman"/>
                <w:sz w:val="22"/>
                <w:szCs w:val="22"/>
              </w:rPr>
            </w:pPr>
            <w:r w:rsidRPr="009B65B1">
              <w:rPr>
                <w:rFonts w:eastAsia="Times New Roman"/>
                <w:sz w:val="22"/>
                <w:szCs w:val="22"/>
              </w:rPr>
              <w:t>Financing activities</w:t>
            </w:r>
          </w:p>
        </w:tc>
        <w:tc>
          <w:tcPr>
            <w:tcW w:w="1319" w:type="dxa"/>
            <w:tcBorders>
              <w:top w:val="nil"/>
              <w:left w:val="nil"/>
              <w:bottom w:val="single" w:sz="4" w:space="0" w:color="auto"/>
              <w:right w:val="single" w:sz="4" w:space="0" w:color="auto"/>
            </w:tcBorders>
            <w:shd w:val="clear" w:color="auto" w:fill="auto"/>
            <w:vAlign w:val="center"/>
            <w:hideMark/>
          </w:tcPr>
          <w:p w14:paraId="2C7517B3" w14:textId="77777777" w:rsidR="009B65B1" w:rsidRPr="009B65B1" w:rsidRDefault="009B65B1" w:rsidP="009B65B1">
            <w:pPr>
              <w:jc w:val="center"/>
              <w:rPr>
                <w:rFonts w:eastAsia="Times New Roman"/>
                <w:sz w:val="22"/>
                <w:szCs w:val="22"/>
              </w:rPr>
            </w:pPr>
            <w:r w:rsidRPr="009B65B1">
              <w:rPr>
                <w:rFonts w:eastAsia="Times New Roman"/>
                <w:sz w:val="22"/>
                <w:szCs w:val="22"/>
              </w:rPr>
              <w:t>103</w:t>
            </w:r>
          </w:p>
        </w:tc>
        <w:tc>
          <w:tcPr>
            <w:tcW w:w="1268" w:type="dxa"/>
            <w:tcBorders>
              <w:top w:val="nil"/>
              <w:left w:val="nil"/>
              <w:bottom w:val="single" w:sz="4" w:space="0" w:color="auto"/>
              <w:right w:val="single" w:sz="4" w:space="0" w:color="auto"/>
            </w:tcBorders>
            <w:shd w:val="clear" w:color="auto" w:fill="auto"/>
            <w:noWrap/>
            <w:vAlign w:val="center"/>
            <w:hideMark/>
          </w:tcPr>
          <w:p w14:paraId="231AE8EC" w14:textId="77777777" w:rsidR="009B65B1" w:rsidRPr="009B65B1" w:rsidRDefault="009B65B1" w:rsidP="009B65B1">
            <w:pPr>
              <w:jc w:val="center"/>
              <w:rPr>
                <w:rFonts w:eastAsia="Times New Roman"/>
                <w:sz w:val="22"/>
                <w:szCs w:val="22"/>
              </w:rPr>
            </w:pPr>
            <w:r w:rsidRPr="009B65B1">
              <w:rPr>
                <w:rFonts w:eastAsia="Times New Roman"/>
                <w:sz w:val="22"/>
                <w:szCs w:val="22"/>
              </w:rPr>
              <w:t>2.04</w:t>
            </w:r>
          </w:p>
        </w:tc>
      </w:tr>
      <w:tr w:rsidR="009B65B1" w:rsidRPr="009B65B1" w14:paraId="7DB72D2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7E5CB56" w14:textId="77777777" w:rsidR="009B65B1" w:rsidRPr="009B65B1" w:rsidRDefault="009B65B1" w:rsidP="009B65B1">
            <w:pPr>
              <w:jc w:val="center"/>
              <w:rPr>
                <w:rFonts w:eastAsia="Times New Roman"/>
                <w:sz w:val="22"/>
                <w:szCs w:val="22"/>
              </w:rPr>
            </w:pPr>
            <w:r w:rsidRPr="009B65B1">
              <w:rPr>
                <w:rFonts w:eastAsia="Times New Roman"/>
                <w:sz w:val="22"/>
                <w:szCs w:val="22"/>
              </w:rPr>
              <w:t>D11</w:t>
            </w:r>
          </w:p>
        </w:tc>
        <w:tc>
          <w:tcPr>
            <w:tcW w:w="6214" w:type="dxa"/>
            <w:tcBorders>
              <w:top w:val="nil"/>
              <w:left w:val="nil"/>
              <w:bottom w:val="single" w:sz="4" w:space="0" w:color="auto"/>
              <w:right w:val="single" w:sz="4" w:space="0" w:color="auto"/>
            </w:tcBorders>
            <w:shd w:val="clear" w:color="auto" w:fill="auto"/>
            <w:vAlign w:val="center"/>
            <w:hideMark/>
          </w:tcPr>
          <w:p w14:paraId="35B66F32" w14:textId="77777777" w:rsidR="009B65B1" w:rsidRPr="009B65B1" w:rsidRDefault="009B65B1" w:rsidP="009B65B1">
            <w:pPr>
              <w:rPr>
                <w:rFonts w:eastAsia="Times New Roman"/>
                <w:sz w:val="22"/>
                <w:szCs w:val="22"/>
              </w:rPr>
            </w:pPr>
            <w:r w:rsidRPr="009B65B1">
              <w:rPr>
                <w:rFonts w:eastAsia="Times New Roman"/>
                <w:sz w:val="22"/>
                <w:szCs w:val="22"/>
              </w:rPr>
              <w:t>Investment activities</w:t>
            </w:r>
          </w:p>
        </w:tc>
        <w:tc>
          <w:tcPr>
            <w:tcW w:w="1319" w:type="dxa"/>
            <w:tcBorders>
              <w:top w:val="nil"/>
              <w:left w:val="nil"/>
              <w:bottom w:val="single" w:sz="4" w:space="0" w:color="auto"/>
              <w:right w:val="single" w:sz="4" w:space="0" w:color="auto"/>
            </w:tcBorders>
            <w:shd w:val="clear" w:color="auto" w:fill="auto"/>
            <w:vAlign w:val="center"/>
            <w:hideMark/>
          </w:tcPr>
          <w:p w14:paraId="32D4998C" w14:textId="77777777" w:rsidR="009B65B1" w:rsidRPr="009B65B1" w:rsidRDefault="009B65B1" w:rsidP="009B65B1">
            <w:pPr>
              <w:jc w:val="center"/>
              <w:rPr>
                <w:rFonts w:eastAsia="Times New Roman"/>
                <w:sz w:val="22"/>
                <w:szCs w:val="22"/>
              </w:rPr>
            </w:pPr>
            <w:r w:rsidRPr="009B65B1">
              <w:rPr>
                <w:rFonts w:eastAsia="Times New Roman"/>
                <w:sz w:val="22"/>
                <w:szCs w:val="22"/>
              </w:rPr>
              <w:t>17</w:t>
            </w:r>
          </w:p>
        </w:tc>
        <w:tc>
          <w:tcPr>
            <w:tcW w:w="1268" w:type="dxa"/>
            <w:tcBorders>
              <w:top w:val="nil"/>
              <w:left w:val="nil"/>
              <w:bottom w:val="single" w:sz="4" w:space="0" w:color="auto"/>
              <w:right w:val="single" w:sz="4" w:space="0" w:color="auto"/>
            </w:tcBorders>
            <w:shd w:val="clear" w:color="auto" w:fill="auto"/>
            <w:noWrap/>
            <w:vAlign w:val="center"/>
            <w:hideMark/>
          </w:tcPr>
          <w:p w14:paraId="2113552C" w14:textId="77777777" w:rsidR="009B65B1" w:rsidRPr="009B65B1" w:rsidRDefault="009B65B1" w:rsidP="009B65B1">
            <w:pPr>
              <w:jc w:val="center"/>
              <w:rPr>
                <w:rFonts w:eastAsia="Times New Roman"/>
                <w:sz w:val="22"/>
                <w:szCs w:val="22"/>
              </w:rPr>
            </w:pPr>
            <w:r w:rsidRPr="009B65B1">
              <w:rPr>
                <w:rFonts w:eastAsia="Times New Roman"/>
                <w:sz w:val="22"/>
                <w:szCs w:val="22"/>
              </w:rPr>
              <w:t>0.34</w:t>
            </w:r>
          </w:p>
        </w:tc>
      </w:tr>
      <w:tr w:rsidR="009B65B1" w:rsidRPr="009B65B1" w14:paraId="6FF5DA7F"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74B5B5F" w14:textId="77777777" w:rsidR="009B65B1" w:rsidRPr="009B65B1" w:rsidRDefault="009B65B1" w:rsidP="009B65B1">
            <w:pPr>
              <w:jc w:val="center"/>
              <w:rPr>
                <w:rFonts w:eastAsia="Times New Roman"/>
                <w:sz w:val="22"/>
                <w:szCs w:val="22"/>
              </w:rPr>
            </w:pPr>
            <w:r w:rsidRPr="009B65B1">
              <w:rPr>
                <w:rFonts w:eastAsia="Times New Roman"/>
                <w:sz w:val="22"/>
                <w:szCs w:val="22"/>
              </w:rPr>
              <w:t>D12</w:t>
            </w:r>
          </w:p>
        </w:tc>
        <w:tc>
          <w:tcPr>
            <w:tcW w:w="6214" w:type="dxa"/>
            <w:tcBorders>
              <w:top w:val="nil"/>
              <w:left w:val="nil"/>
              <w:bottom w:val="single" w:sz="4" w:space="0" w:color="auto"/>
              <w:right w:val="single" w:sz="4" w:space="0" w:color="auto"/>
            </w:tcBorders>
            <w:shd w:val="clear" w:color="auto" w:fill="auto"/>
            <w:vAlign w:val="center"/>
            <w:hideMark/>
          </w:tcPr>
          <w:p w14:paraId="20FD4C9E" w14:textId="77777777" w:rsidR="009B65B1" w:rsidRPr="009B65B1" w:rsidRDefault="009B65B1" w:rsidP="009B65B1">
            <w:pPr>
              <w:rPr>
                <w:rFonts w:eastAsia="Times New Roman"/>
                <w:sz w:val="22"/>
                <w:szCs w:val="22"/>
              </w:rPr>
            </w:pPr>
            <w:r w:rsidRPr="009B65B1">
              <w:rPr>
                <w:rFonts w:eastAsia="Times New Roman"/>
                <w:sz w:val="22"/>
                <w:szCs w:val="22"/>
              </w:rPr>
              <w:t>Operating activities</w:t>
            </w:r>
          </w:p>
        </w:tc>
        <w:tc>
          <w:tcPr>
            <w:tcW w:w="1319" w:type="dxa"/>
            <w:tcBorders>
              <w:top w:val="nil"/>
              <w:left w:val="nil"/>
              <w:bottom w:val="single" w:sz="4" w:space="0" w:color="auto"/>
              <w:right w:val="single" w:sz="4" w:space="0" w:color="auto"/>
            </w:tcBorders>
            <w:shd w:val="clear" w:color="auto" w:fill="auto"/>
            <w:vAlign w:val="center"/>
            <w:hideMark/>
          </w:tcPr>
          <w:p w14:paraId="3070FBAD" w14:textId="77777777" w:rsidR="009B65B1" w:rsidRPr="009B65B1" w:rsidRDefault="009B65B1" w:rsidP="009B65B1">
            <w:pPr>
              <w:jc w:val="center"/>
              <w:rPr>
                <w:rFonts w:eastAsia="Times New Roman"/>
                <w:sz w:val="22"/>
                <w:szCs w:val="22"/>
              </w:rPr>
            </w:pPr>
            <w:r w:rsidRPr="009B65B1">
              <w:rPr>
                <w:rFonts w:eastAsia="Times New Roman"/>
                <w:sz w:val="22"/>
                <w:szCs w:val="22"/>
              </w:rPr>
              <w:t>52</w:t>
            </w:r>
          </w:p>
        </w:tc>
        <w:tc>
          <w:tcPr>
            <w:tcW w:w="1268" w:type="dxa"/>
            <w:tcBorders>
              <w:top w:val="nil"/>
              <w:left w:val="nil"/>
              <w:bottom w:val="single" w:sz="4" w:space="0" w:color="auto"/>
              <w:right w:val="single" w:sz="4" w:space="0" w:color="auto"/>
            </w:tcBorders>
            <w:shd w:val="clear" w:color="auto" w:fill="auto"/>
            <w:noWrap/>
            <w:vAlign w:val="center"/>
            <w:hideMark/>
          </w:tcPr>
          <w:p w14:paraId="7973F11D" w14:textId="77777777" w:rsidR="009B65B1" w:rsidRPr="009B65B1" w:rsidRDefault="009B65B1" w:rsidP="009B65B1">
            <w:pPr>
              <w:jc w:val="center"/>
              <w:rPr>
                <w:rFonts w:eastAsia="Times New Roman"/>
                <w:sz w:val="22"/>
                <w:szCs w:val="22"/>
              </w:rPr>
            </w:pPr>
            <w:r w:rsidRPr="009B65B1">
              <w:rPr>
                <w:rFonts w:eastAsia="Times New Roman"/>
                <w:sz w:val="22"/>
                <w:szCs w:val="22"/>
              </w:rPr>
              <w:t>1.03</w:t>
            </w:r>
          </w:p>
        </w:tc>
      </w:tr>
      <w:tr w:rsidR="009B65B1" w:rsidRPr="009B65B1" w14:paraId="5A306495"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5CC28CE" w14:textId="77777777" w:rsidR="009B65B1" w:rsidRPr="009B65B1" w:rsidRDefault="009B65B1" w:rsidP="009B65B1">
            <w:pPr>
              <w:jc w:val="center"/>
              <w:rPr>
                <w:rFonts w:eastAsia="Times New Roman"/>
                <w:sz w:val="22"/>
                <w:szCs w:val="22"/>
              </w:rPr>
            </w:pPr>
            <w:r w:rsidRPr="009B65B1">
              <w:rPr>
                <w:rFonts w:eastAsia="Times New Roman"/>
                <w:sz w:val="22"/>
                <w:szCs w:val="22"/>
              </w:rPr>
              <w:t>D13</w:t>
            </w:r>
          </w:p>
        </w:tc>
        <w:tc>
          <w:tcPr>
            <w:tcW w:w="6214" w:type="dxa"/>
            <w:tcBorders>
              <w:top w:val="nil"/>
              <w:left w:val="nil"/>
              <w:bottom w:val="single" w:sz="4" w:space="0" w:color="auto"/>
              <w:right w:val="single" w:sz="4" w:space="0" w:color="auto"/>
            </w:tcBorders>
            <w:shd w:val="clear" w:color="auto" w:fill="auto"/>
            <w:vAlign w:val="center"/>
            <w:hideMark/>
          </w:tcPr>
          <w:p w14:paraId="44464B9D" w14:textId="77777777" w:rsidR="009B65B1" w:rsidRPr="009B65B1" w:rsidRDefault="009B65B1" w:rsidP="009B65B1">
            <w:pPr>
              <w:rPr>
                <w:rFonts w:eastAsia="Times New Roman"/>
                <w:sz w:val="22"/>
                <w:szCs w:val="22"/>
              </w:rPr>
            </w:pPr>
            <w:r w:rsidRPr="009B65B1">
              <w:rPr>
                <w:rFonts w:eastAsia="Times New Roman"/>
                <w:sz w:val="22"/>
                <w:szCs w:val="22"/>
              </w:rPr>
              <w:t>Material Agreements</w:t>
            </w:r>
          </w:p>
        </w:tc>
        <w:tc>
          <w:tcPr>
            <w:tcW w:w="1319" w:type="dxa"/>
            <w:tcBorders>
              <w:top w:val="nil"/>
              <w:left w:val="nil"/>
              <w:bottom w:val="single" w:sz="4" w:space="0" w:color="auto"/>
              <w:right w:val="single" w:sz="4" w:space="0" w:color="auto"/>
            </w:tcBorders>
            <w:shd w:val="clear" w:color="auto" w:fill="auto"/>
            <w:vAlign w:val="center"/>
            <w:hideMark/>
          </w:tcPr>
          <w:p w14:paraId="57CFABA3" w14:textId="77777777" w:rsidR="009B65B1" w:rsidRPr="009B65B1" w:rsidRDefault="009B65B1" w:rsidP="009B65B1">
            <w:pPr>
              <w:jc w:val="center"/>
              <w:rPr>
                <w:rFonts w:eastAsia="Times New Roman"/>
                <w:sz w:val="22"/>
                <w:szCs w:val="22"/>
              </w:rPr>
            </w:pPr>
            <w:r w:rsidRPr="009B65B1">
              <w:rPr>
                <w:rFonts w:eastAsia="Times New Roman"/>
                <w:sz w:val="22"/>
                <w:szCs w:val="22"/>
              </w:rPr>
              <w:t>156</w:t>
            </w:r>
          </w:p>
        </w:tc>
        <w:tc>
          <w:tcPr>
            <w:tcW w:w="1268" w:type="dxa"/>
            <w:tcBorders>
              <w:top w:val="nil"/>
              <w:left w:val="nil"/>
              <w:bottom w:val="single" w:sz="4" w:space="0" w:color="auto"/>
              <w:right w:val="single" w:sz="4" w:space="0" w:color="auto"/>
            </w:tcBorders>
            <w:shd w:val="clear" w:color="auto" w:fill="auto"/>
            <w:noWrap/>
            <w:vAlign w:val="center"/>
            <w:hideMark/>
          </w:tcPr>
          <w:p w14:paraId="54F871BE" w14:textId="77777777" w:rsidR="009B65B1" w:rsidRPr="009B65B1" w:rsidRDefault="009B65B1" w:rsidP="009B65B1">
            <w:pPr>
              <w:jc w:val="center"/>
              <w:rPr>
                <w:rFonts w:eastAsia="Times New Roman"/>
                <w:sz w:val="22"/>
                <w:szCs w:val="22"/>
              </w:rPr>
            </w:pPr>
            <w:r w:rsidRPr="009B65B1">
              <w:rPr>
                <w:rFonts w:eastAsia="Times New Roman"/>
                <w:sz w:val="22"/>
                <w:szCs w:val="22"/>
              </w:rPr>
              <w:t>3.09</w:t>
            </w:r>
          </w:p>
        </w:tc>
      </w:tr>
      <w:tr w:rsidR="009B65B1" w:rsidRPr="009B65B1" w14:paraId="78EB77B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D8F8AD0" w14:textId="77777777" w:rsidR="009B65B1" w:rsidRPr="009B65B1" w:rsidRDefault="009B65B1" w:rsidP="009B65B1">
            <w:pPr>
              <w:jc w:val="center"/>
              <w:rPr>
                <w:rFonts w:eastAsia="Times New Roman"/>
                <w:sz w:val="22"/>
                <w:szCs w:val="22"/>
              </w:rPr>
            </w:pPr>
            <w:r w:rsidRPr="009B65B1">
              <w:rPr>
                <w:rFonts w:eastAsia="Times New Roman"/>
                <w:sz w:val="22"/>
                <w:szCs w:val="22"/>
              </w:rPr>
              <w:t>D14</w:t>
            </w:r>
          </w:p>
        </w:tc>
        <w:tc>
          <w:tcPr>
            <w:tcW w:w="6214" w:type="dxa"/>
            <w:tcBorders>
              <w:top w:val="nil"/>
              <w:left w:val="nil"/>
              <w:bottom w:val="single" w:sz="4" w:space="0" w:color="auto"/>
              <w:right w:val="single" w:sz="4" w:space="0" w:color="auto"/>
            </w:tcBorders>
            <w:shd w:val="clear" w:color="auto" w:fill="auto"/>
            <w:vAlign w:val="center"/>
            <w:hideMark/>
          </w:tcPr>
          <w:p w14:paraId="56CD0981" w14:textId="77777777" w:rsidR="009B65B1" w:rsidRPr="009B65B1" w:rsidRDefault="009B65B1" w:rsidP="009B65B1">
            <w:pPr>
              <w:rPr>
                <w:rFonts w:eastAsia="Times New Roman"/>
                <w:sz w:val="22"/>
                <w:szCs w:val="22"/>
              </w:rPr>
            </w:pPr>
            <w:r w:rsidRPr="009B65B1">
              <w:rPr>
                <w:rFonts w:eastAsia="Times New Roman"/>
                <w:sz w:val="22"/>
                <w:szCs w:val="22"/>
              </w:rPr>
              <w:t>Intellectual property</w:t>
            </w:r>
          </w:p>
        </w:tc>
        <w:tc>
          <w:tcPr>
            <w:tcW w:w="1319" w:type="dxa"/>
            <w:tcBorders>
              <w:top w:val="nil"/>
              <w:left w:val="nil"/>
              <w:bottom w:val="single" w:sz="4" w:space="0" w:color="auto"/>
              <w:right w:val="single" w:sz="4" w:space="0" w:color="auto"/>
            </w:tcBorders>
            <w:shd w:val="clear" w:color="auto" w:fill="auto"/>
            <w:vAlign w:val="center"/>
            <w:hideMark/>
          </w:tcPr>
          <w:p w14:paraId="12F27FB2" w14:textId="77777777" w:rsidR="009B65B1" w:rsidRPr="009B65B1" w:rsidRDefault="009B65B1" w:rsidP="009B65B1">
            <w:pPr>
              <w:jc w:val="center"/>
              <w:rPr>
                <w:rFonts w:eastAsia="Times New Roman"/>
                <w:sz w:val="22"/>
                <w:szCs w:val="22"/>
              </w:rPr>
            </w:pPr>
            <w:r w:rsidRPr="009B65B1">
              <w:rPr>
                <w:rFonts w:eastAsia="Times New Roman"/>
                <w:sz w:val="22"/>
                <w:szCs w:val="22"/>
              </w:rPr>
              <w:t>51</w:t>
            </w:r>
          </w:p>
        </w:tc>
        <w:tc>
          <w:tcPr>
            <w:tcW w:w="1268" w:type="dxa"/>
            <w:tcBorders>
              <w:top w:val="nil"/>
              <w:left w:val="nil"/>
              <w:bottom w:val="single" w:sz="4" w:space="0" w:color="auto"/>
              <w:right w:val="single" w:sz="4" w:space="0" w:color="auto"/>
            </w:tcBorders>
            <w:shd w:val="clear" w:color="auto" w:fill="auto"/>
            <w:noWrap/>
            <w:vAlign w:val="center"/>
            <w:hideMark/>
          </w:tcPr>
          <w:p w14:paraId="7C197D5E" w14:textId="77777777" w:rsidR="009B65B1" w:rsidRPr="009B65B1" w:rsidRDefault="009B65B1" w:rsidP="009B65B1">
            <w:pPr>
              <w:jc w:val="center"/>
              <w:rPr>
                <w:rFonts w:eastAsia="Times New Roman"/>
                <w:sz w:val="22"/>
                <w:szCs w:val="22"/>
              </w:rPr>
            </w:pPr>
            <w:r w:rsidRPr="009B65B1">
              <w:rPr>
                <w:rFonts w:eastAsia="Times New Roman"/>
                <w:sz w:val="22"/>
                <w:szCs w:val="22"/>
              </w:rPr>
              <w:t>1.01</w:t>
            </w:r>
          </w:p>
        </w:tc>
      </w:tr>
      <w:tr w:rsidR="009B65B1" w:rsidRPr="009B65B1" w14:paraId="498ABC4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C5C3EA1" w14:textId="77777777" w:rsidR="009B65B1" w:rsidRPr="009B65B1" w:rsidRDefault="009B65B1" w:rsidP="009B65B1">
            <w:pPr>
              <w:jc w:val="center"/>
              <w:rPr>
                <w:rFonts w:eastAsia="Times New Roman"/>
                <w:sz w:val="22"/>
                <w:szCs w:val="22"/>
              </w:rPr>
            </w:pPr>
            <w:r w:rsidRPr="009B65B1">
              <w:rPr>
                <w:rFonts w:eastAsia="Times New Roman"/>
                <w:sz w:val="22"/>
                <w:szCs w:val="22"/>
              </w:rPr>
              <w:t>D15</w:t>
            </w:r>
          </w:p>
        </w:tc>
        <w:tc>
          <w:tcPr>
            <w:tcW w:w="6214" w:type="dxa"/>
            <w:tcBorders>
              <w:top w:val="nil"/>
              <w:left w:val="nil"/>
              <w:bottom w:val="single" w:sz="4" w:space="0" w:color="auto"/>
              <w:right w:val="single" w:sz="4" w:space="0" w:color="auto"/>
            </w:tcBorders>
            <w:shd w:val="clear" w:color="auto" w:fill="auto"/>
            <w:vAlign w:val="center"/>
            <w:hideMark/>
          </w:tcPr>
          <w:p w14:paraId="79DBABA2" w14:textId="77777777" w:rsidR="009B65B1" w:rsidRPr="009B65B1" w:rsidRDefault="009B65B1" w:rsidP="009B65B1">
            <w:pPr>
              <w:rPr>
                <w:rFonts w:eastAsia="Times New Roman"/>
                <w:sz w:val="22"/>
                <w:szCs w:val="22"/>
              </w:rPr>
            </w:pPr>
            <w:r w:rsidRPr="009B65B1">
              <w:rPr>
                <w:rFonts w:eastAsia="Times New Roman"/>
                <w:sz w:val="22"/>
                <w:szCs w:val="22"/>
              </w:rPr>
              <w:t>Technology</w:t>
            </w:r>
          </w:p>
        </w:tc>
        <w:tc>
          <w:tcPr>
            <w:tcW w:w="1319" w:type="dxa"/>
            <w:tcBorders>
              <w:top w:val="nil"/>
              <w:left w:val="nil"/>
              <w:bottom w:val="single" w:sz="4" w:space="0" w:color="auto"/>
              <w:right w:val="single" w:sz="4" w:space="0" w:color="auto"/>
            </w:tcBorders>
            <w:shd w:val="clear" w:color="auto" w:fill="auto"/>
            <w:vAlign w:val="center"/>
            <w:hideMark/>
          </w:tcPr>
          <w:p w14:paraId="7B545D82" w14:textId="77777777" w:rsidR="009B65B1" w:rsidRPr="009B65B1" w:rsidRDefault="009B65B1" w:rsidP="009B65B1">
            <w:pPr>
              <w:jc w:val="center"/>
              <w:rPr>
                <w:rFonts w:eastAsia="Times New Roman"/>
                <w:sz w:val="22"/>
                <w:szCs w:val="22"/>
              </w:rPr>
            </w:pPr>
            <w:r w:rsidRPr="009B65B1">
              <w:rPr>
                <w:rFonts w:eastAsia="Times New Roman"/>
                <w:sz w:val="22"/>
                <w:szCs w:val="22"/>
              </w:rPr>
              <w:t>19</w:t>
            </w:r>
          </w:p>
        </w:tc>
        <w:tc>
          <w:tcPr>
            <w:tcW w:w="1268" w:type="dxa"/>
            <w:tcBorders>
              <w:top w:val="nil"/>
              <w:left w:val="nil"/>
              <w:bottom w:val="single" w:sz="4" w:space="0" w:color="auto"/>
              <w:right w:val="single" w:sz="4" w:space="0" w:color="auto"/>
            </w:tcBorders>
            <w:shd w:val="clear" w:color="auto" w:fill="auto"/>
            <w:noWrap/>
            <w:vAlign w:val="center"/>
            <w:hideMark/>
          </w:tcPr>
          <w:p w14:paraId="6E944793" w14:textId="77777777" w:rsidR="009B65B1" w:rsidRPr="009B65B1" w:rsidRDefault="009B65B1" w:rsidP="009B65B1">
            <w:pPr>
              <w:jc w:val="center"/>
              <w:rPr>
                <w:rFonts w:eastAsia="Times New Roman"/>
                <w:sz w:val="22"/>
                <w:szCs w:val="22"/>
              </w:rPr>
            </w:pPr>
            <w:r w:rsidRPr="009B65B1">
              <w:rPr>
                <w:rFonts w:eastAsia="Times New Roman"/>
                <w:sz w:val="22"/>
                <w:szCs w:val="22"/>
              </w:rPr>
              <w:t>0.38</w:t>
            </w:r>
          </w:p>
        </w:tc>
      </w:tr>
      <w:tr w:rsidR="009B65B1" w:rsidRPr="009B65B1" w14:paraId="257BB7C1"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A65BC98" w14:textId="77777777" w:rsidR="009B65B1" w:rsidRPr="009B65B1" w:rsidRDefault="009B65B1" w:rsidP="009B65B1">
            <w:pPr>
              <w:jc w:val="center"/>
              <w:rPr>
                <w:rFonts w:eastAsia="Times New Roman"/>
                <w:sz w:val="22"/>
                <w:szCs w:val="22"/>
              </w:rPr>
            </w:pPr>
            <w:r w:rsidRPr="009B65B1">
              <w:rPr>
                <w:rFonts w:eastAsia="Times New Roman"/>
                <w:sz w:val="22"/>
                <w:szCs w:val="22"/>
              </w:rPr>
              <w:t>D16</w:t>
            </w:r>
          </w:p>
        </w:tc>
        <w:tc>
          <w:tcPr>
            <w:tcW w:w="6214" w:type="dxa"/>
            <w:tcBorders>
              <w:top w:val="nil"/>
              <w:left w:val="nil"/>
              <w:bottom w:val="single" w:sz="4" w:space="0" w:color="auto"/>
              <w:right w:val="single" w:sz="4" w:space="0" w:color="auto"/>
            </w:tcBorders>
            <w:shd w:val="clear" w:color="auto" w:fill="auto"/>
            <w:vAlign w:val="center"/>
            <w:hideMark/>
          </w:tcPr>
          <w:p w14:paraId="5C00F406" w14:textId="77777777" w:rsidR="009B65B1" w:rsidRPr="009B65B1" w:rsidRDefault="009B65B1" w:rsidP="009B65B1">
            <w:pPr>
              <w:rPr>
                <w:rFonts w:eastAsia="Times New Roman"/>
                <w:sz w:val="22"/>
                <w:szCs w:val="22"/>
              </w:rPr>
            </w:pPr>
            <w:r w:rsidRPr="009B65B1">
              <w:rPr>
                <w:rFonts w:eastAsia="Times New Roman"/>
                <w:sz w:val="22"/>
                <w:szCs w:val="22"/>
              </w:rPr>
              <w:t>Segments</w:t>
            </w:r>
          </w:p>
        </w:tc>
        <w:tc>
          <w:tcPr>
            <w:tcW w:w="1319" w:type="dxa"/>
            <w:tcBorders>
              <w:top w:val="nil"/>
              <w:left w:val="nil"/>
              <w:bottom w:val="single" w:sz="4" w:space="0" w:color="auto"/>
              <w:right w:val="single" w:sz="4" w:space="0" w:color="auto"/>
            </w:tcBorders>
            <w:shd w:val="clear" w:color="auto" w:fill="auto"/>
            <w:vAlign w:val="center"/>
            <w:hideMark/>
          </w:tcPr>
          <w:p w14:paraId="2B9E7E18" w14:textId="77777777" w:rsidR="009B65B1" w:rsidRPr="009B65B1" w:rsidRDefault="009B65B1" w:rsidP="009B65B1">
            <w:pPr>
              <w:jc w:val="center"/>
              <w:rPr>
                <w:rFonts w:eastAsia="Times New Roman"/>
                <w:sz w:val="22"/>
                <w:szCs w:val="22"/>
              </w:rPr>
            </w:pPr>
            <w:r w:rsidRPr="009B65B1">
              <w:rPr>
                <w:rFonts w:eastAsia="Times New Roman"/>
                <w:sz w:val="22"/>
                <w:szCs w:val="22"/>
              </w:rPr>
              <w:t>30</w:t>
            </w:r>
          </w:p>
        </w:tc>
        <w:tc>
          <w:tcPr>
            <w:tcW w:w="1268" w:type="dxa"/>
            <w:tcBorders>
              <w:top w:val="nil"/>
              <w:left w:val="nil"/>
              <w:bottom w:val="single" w:sz="4" w:space="0" w:color="auto"/>
              <w:right w:val="single" w:sz="4" w:space="0" w:color="auto"/>
            </w:tcBorders>
            <w:shd w:val="clear" w:color="auto" w:fill="auto"/>
            <w:noWrap/>
            <w:vAlign w:val="center"/>
            <w:hideMark/>
          </w:tcPr>
          <w:p w14:paraId="7A58387B" w14:textId="77777777" w:rsidR="009B65B1" w:rsidRPr="009B65B1" w:rsidRDefault="009B65B1" w:rsidP="009B65B1">
            <w:pPr>
              <w:jc w:val="center"/>
              <w:rPr>
                <w:rFonts w:eastAsia="Times New Roman"/>
                <w:sz w:val="22"/>
                <w:szCs w:val="22"/>
              </w:rPr>
            </w:pPr>
            <w:r w:rsidRPr="009B65B1">
              <w:rPr>
                <w:rFonts w:eastAsia="Times New Roman"/>
                <w:sz w:val="22"/>
                <w:szCs w:val="22"/>
              </w:rPr>
              <w:t>0.59</w:t>
            </w:r>
          </w:p>
        </w:tc>
      </w:tr>
      <w:tr w:rsidR="009B65B1" w:rsidRPr="009B65B1" w14:paraId="2E3EB54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6451E57" w14:textId="77777777" w:rsidR="009B65B1" w:rsidRPr="009B65B1" w:rsidRDefault="009B65B1" w:rsidP="009B65B1">
            <w:pPr>
              <w:jc w:val="center"/>
              <w:rPr>
                <w:rFonts w:eastAsia="Times New Roman"/>
                <w:sz w:val="22"/>
                <w:szCs w:val="22"/>
              </w:rPr>
            </w:pPr>
            <w:r w:rsidRPr="009B65B1">
              <w:rPr>
                <w:rFonts w:eastAsia="Times New Roman"/>
                <w:sz w:val="22"/>
                <w:szCs w:val="22"/>
              </w:rPr>
              <w:t>D19</w:t>
            </w:r>
          </w:p>
        </w:tc>
        <w:tc>
          <w:tcPr>
            <w:tcW w:w="6214" w:type="dxa"/>
            <w:tcBorders>
              <w:top w:val="nil"/>
              <w:left w:val="nil"/>
              <w:bottom w:val="single" w:sz="4" w:space="0" w:color="auto"/>
              <w:right w:val="single" w:sz="4" w:space="0" w:color="auto"/>
            </w:tcBorders>
            <w:shd w:val="clear" w:color="auto" w:fill="auto"/>
            <w:vAlign w:val="center"/>
            <w:hideMark/>
          </w:tcPr>
          <w:p w14:paraId="74A99E0F" w14:textId="77777777" w:rsidR="009B65B1" w:rsidRPr="009B65B1" w:rsidRDefault="009B65B1" w:rsidP="009B65B1">
            <w:pPr>
              <w:rPr>
                <w:rFonts w:eastAsia="Times New Roman"/>
                <w:sz w:val="22"/>
                <w:szCs w:val="22"/>
              </w:rPr>
            </w:pPr>
            <w:r w:rsidRPr="009B65B1">
              <w:rPr>
                <w:rFonts w:eastAsia="Times New Roman"/>
                <w:sz w:val="22"/>
                <w:szCs w:val="22"/>
              </w:rPr>
              <w:t>Risk factors (business)</w:t>
            </w:r>
          </w:p>
        </w:tc>
        <w:tc>
          <w:tcPr>
            <w:tcW w:w="1319" w:type="dxa"/>
            <w:tcBorders>
              <w:top w:val="nil"/>
              <w:left w:val="nil"/>
              <w:bottom w:val="single" w:sz="4" w:space="0" w:color="auto"/>
              <w:right w:val="single" w:sz="4" w:space="0" w:color="auto"/>
            </w:tcBorders>
            <w:shd w:val="clear" w:color="auto" w:fill="auto"/>
            <w:vAlign w:val="center"/>
            <w:hideMark/>
          </w:tcPr>
          <w:p w14:paraId="2A2196F8" w14:textId="77777777" w:rsidR="009B65B1" w:rsidRPr="009B65B1" w:rsidRDefault="009B65B1" w:rsidP="009B65B1">
            <w:pPr>
              <w:jc w:val="center"/>
              <w:rPr>
                <w:rFonts w:eastAsia="Times New Roman"/>
                <w:sz w:val="22"/>
                <w:szCs w:val="22"/>
              </w:rPr>
            </w:pPr>
            <w:r w:rsidRPr="009B65B1">
              <w:rPr>
                <w:rFonts w:eastAsia="Times New Roman"/>
                <w:sz w:val="22"/>
                <w:szCs w:val="22"/>
              </w:rPr>
              <w:t>248</w:t>
            </w:r>
          </w:p>
        </w:tc>
        <w:tc>
          <w:tcPr>
            <w:tcW w:w="1268" w:type="dxa"/>
            <w:tcBorders>
              <w:top w:val="nil"/>
              <w:left w:val="nil"/>
              <w:bottom w:val="single" w:sz="4" w:space="0" w:color="auto"/>
              <w:right w:val="single" w:sz="4" w:space="0" w:color="auto"/>
            </w:tcBorders>
            <w:shd w:val="clear" w:color="auto" w:fill="auto"/>
            <w:noWrap/>
            <w:vAlign w:val="center"/>
            <w:hideMark/>
          </w:tcPr>
          <w:p w14:paraId="65A962C3" w14:textId="77777777" w:rsidR="009B65B1" w:rsidRPr="009B65B1" w:rsidRDefault="009B65B1" w:rsidP="009B65B1">
            <w:pPr>
              <w:jc w:val="center"/>
              <w:rPr>
                <w:rFonts w:eastAsia="Times New Roman"/>
                <w:sz w:val="22"/>
                <w:szCs w:val="22"/>
              </w:rPr>
            </w:pPr>
            <w:r w:rsidRPr="009B65B1">
              <w:rPr>
                <w:rFonts w:eastAsia="Times New Roman"/>
                <w:sz w:val="22"/>
                <w:szCs w:val="22"/>
              </w:rPr>
              <w:t>4.91</w:t>
            </w:r>
          </w:p>
        </w:tc>
      </w:tr>
      <w:tr w:rsidR="009B65B1" w:rsidRPr="009B65B1" w14:paraId="4665A855"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6BDF203" w14:textId="77777777" w:rsidR="009B65B1" w:rsidRPr="009B65B1" w:rsidRDefault="009B65B1" w:rsidP="009B65B1">
            <w:pPr>
              <w:jc w:val="center"/>
              <w:rPr>
                <w:rFonts w:eastAsia="Times New Roman"/>
                <w:sz w:val="22"/>
                <w:szCs w:val="22"/>
              </w:rPr>
            </w:pPr>
            <w:r w:rsidRPr="009B65B1">
              <w:rPr>
                <w:rFonts w:eastAsia="Times New Roman"/>
                <w:sz w:val="22"/>
                <w:szCs w:val="22"/>
              </w:rPr>
              <w:t>D20</w:t>
            </w:r>
          </w:p>
        </w:tc>
        <w:tc>
          <w:tcPr>
            <w:tcW w:w="6214" w:type="dxa"/>
            <w:tcBorders>
              <w:top w:val="nil"/>
              <w:left w:val="nil"/>
              <w:bottom w:val="single" w:sz="4" w:space="0" w:color="auto"/>
              <w:right w:val="single" w:sz="4" w:space="0" w:color="auto"/>
            </w:tcBorders>
            <w:shd w:val="clear" w:color="auto" w:fill="auto"/>
            <w:vAlign w:val="center"/>
            <w:hideMark/>
          </w:tcPr>
          <w:p w14:paraId="2FFA28EB" w14:textId="77777777" w:rsidR="009B65B1" w:rsidRPr="009B65B1" w:rsidRDefault="009B65B1" w:rsidP="009B65B1">
            <w:pPr>
              <w:rPr>
                <w:rFonts w:eastAsia="Times New Roman"/>
                <w:sz w:val="22"/>
                <w:szCs w:val="22"/>
              </w:rPr>
            </w:pPr>
            <w:r w:rsidRPr="009B65B1">
              <w:rPr>
                <w:rFonts w:eastAsia="Times New Roman"/>
                <w:sz w:val="22"/>
                <w:szCs w:val="22"/>
              </w:rPr>
              <w:t>Results of operation</w:t>
            </w:r>
          </w:p>
        </w:tc>
        <w:tc>
          <w:tcPr>
            <w:tcW w:w="1319" w:type="dxa"/>
            <w:tcBorders>
              <w:top w:val="nil"/>
              <w:left w:val="nil"/>
              <w:bottom w:val="single" w:sz="4" w:space="0" w:color="auto"/>
              <w:right w:val="single" w:sz="4" w:space="0" w:color="auto"/>
            </w:tcBorders>
            <w:shd w:val="clear" w:color="auto" w:fill="auto"/>
            <w:vAlign w:val="center"/>
            <w:hideMark/>
          </w:tcPr>
          <w:p w14:paraId="2B009251" w14:textId="77777777" w:rsidR="009B65B1" w:rsidRPr="009B65B1" w:rsidRDefault="009B65B1" w:rsidP="009B65B1">
            <w:pPr>
              <w:jc w:val="center"/>
              <w:rPr>
                <w:rFonts w:eastAsia="Times New Roman"/>
                <w:sz w:val="22"/>
                <w:szCs w:val="22"/>
              </w:rPr>
            </w:pPr>
            <w:r w:rsidRPr="009B65B1">
              <w:rPr>
                <w:rFonts w:eastAsia="Times New Roman"/>
                <w:sz w:val="22"/>
                <w:szCs w:val="22"/>
              </w:rPr>
              <w:t>276</w:t>
            </w:r>
          </w:p>
        </w:tc>
        <w:tc>
          <w:tcPr>
            <w:tcW w:w="1268" w:type="dxa"/>
            <w:tcBorders>
              <w:top w:val="nil"/>
              <w:left w:val="nil"/>
              <w:bottom w:val="single" w:sz="4" w:space="0" w:color="auto"/>
              <w:right w:val="single" w:sz="4" w:space="0" w:color="auto"/>
            </w:tcBorders>
            <w:shd w:val="clear" w:color="auto" w:fill="auto"/>
            <w:noWrap/>
            <w:vAlign w:val="center"/>
            <w:hideMark/>
          </w:tcPr>
          <w:p w14:paraId="4FFA0A30" w14:textId="77777777" w:rsidR="009B65B1" w:rsidRPr="009B65B1" w:rsidRDefault="009B65B1" w:rsidP="009B65B1">
            <w:pPr>
              <w:jc w:val="center"/>
              <w:rPr>
                <w:rFonts w:eastAsia="Times New Roman"/>
                <w:sz w:val="22"/>
                <w:szCs w:val="22"/>
              </w:rPr>
            </w:pPr>
            <w:r w:rsidRPr="009B65B1">
              <w:rPr>
                <w:rFonts w:eastAsia="Times New Roman"/>
                <w:sz w:val="22"/>
                <w:szCs w:val="22"/>
              </w:rPr>
              <w:t>5.46</w:t>
            </w:r>
          </w:p>
        </w:tc>
      </w:tr>
      <w:tr w:rsidR="009B65B1" w:rsidRPr="009B65B1" w14:paraId="57A243F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4F79700" w14:textId="77777777" w:rsidR="009B65B1" w:rsidRPr="009B65B1" w:rsidRDefault="009B65B1" w:rsidP="009B65B1">
            <w:pPr>
              <w:jc w:val="center"/>
              <w:rPr>
                <w:rFonts w:eastAsia="Times New Roman"/>
                <w:sz w:val="22"/>
                <w:szCs w:val="22"/>
              </w:rPr>
            </w:pPr>
            <w:r w:rsidRPr="009B65B1">
              <w:rPr>
                <w:rFonts w:eastAsia="Times New Roman"/>
                <w:sz w:val="22"/>
                <w:szCs w:val="22"/>
              </w:rPr>
              <w:t>D21</w:t>
            </w:r>
          </w:p>
        </w:tc>
        <w:tc>
          <w:tcPr>
            <w:tcW w:w="6214" w:type="dxa"/>
            <w:tcBorders>
              <w:top w:val="nil"/>
              <w:left w:val="nil"/>
              <w:bottom w:val="single" w:sz="4" w:space="0" w:color="auto"/>
              <w:right w:val="single" w:sz="4" w:space="0" w:color="auto"/>
            </w:tcBorders>
            <w:shd w:val="clear" w:color="auto" w:fill="auto"/>
            <w:vAlign w:val="center"/>
            <w:hideMark/>
          </w:tcPr>
          <w:p w14:paraId="6968B7D5" w14:textId="77777777" w:rsidR="009B65B1" w:rsidRPr="009B65B1" w:rsidRDefault="009B65B1" w:rsidP="009B65B1">
            <w:pPr>
              <w:rPr>
                <w:rFonts w:eastAsia="Times New Roman"/>
                <w:sz w:val="22"/>
                <w:szCs w:val="22"/>
              </w:rPr>
            </w:pPr>
            <w:r w:rsidRPr="009B65B1">
              <w:rPr>
                <w:rFonts w:eastAsia="Times New Roman"/>
                <w:sz w:val="22"/>
                <w:szCs w:val="22"/>
              </w:rPr>
              <w:t>External reports</w:t>
            </w:r>
          </w:p>
        </w:tc>
        <w:tc>
          <w:tcPr>
            <w:tcW w:w="1319" w:type="dxa"/>
            <w:tcBorders>
              <w:top w:val="nil"/>
              <w:left w:val="nil"/>
              <w:bottom w:val="single" w:sz="4" w:space="0" w:color="auto"/>
              <w:right w:val="single" w:sz="4" w:space="0" w:color="auto"/>
            </w:tcBorders>
            <w:shd w:val="clear" w:color="auto" w:fill="auto"/>
            <w:vAlign w:val="center"/>
            <w:hideMark/>
          </w:tcPr>
          <w:p w14:paraId="7161689A" w14:textId="77777777" w:rsidR="009B65B1" w:rsidRPr="009B65B1" w:rsidRDefault="009B65B1" w:rsidP="009B65B1">
            <w:pPr>
              <w:jc w:val="center"/>
              <w:rPr>
                <w:rFonts w:eastAsia="Times New Roman"/>
                <w:sz w:val="22"/>
                <w:szCs w:val="22"/>
              </w:rPr>
            </w:pPr>
            <w:r w:rsidRPr="009B65B1">
              <w:rPr>
                <w:rFonts w:eastAsia="Times New Roman"/>
                <w:sz w:val="22"/>
                <w:szCs w:val="22"/>
              </w:rPr>
              <w:t>63</w:t>
            </w:r>
          </w:p>
        </w:tc>
        <w:tc>
          <w:tcPr>
            <w:tcW w:w="1268" w:type="dxa"/>
            <w:tcBorders>
              <w:top w:val="nil"/>
              <w:left w:val="nil"/>
              <w:bottom w:val="single" w:sz="4" w:space="0" w:color="auto"/>
              <w:right w:val="single" w:sz="4" w:space="0" w:color="auto"/>
            </w:tcBorders>
            <w:shd w:val="clear" w:color="auto" w:fill="auto"/>
            <w:noWrap/>
            <w:vAlign w:val="center"/>
            <w:hideMark/>
          </w:tcPr>
          <w:p w14:paraId="40F6D04F" w14:textId="77777777" w:rsidR="009B65B1" w:rsidRPr="009B65B1" w:rsidRDefault="009B65B1" w:rsidP="009B65B1">
            <w:pPr>
              <w:jc w:val="center"/>
              <w:rPr>
                <w:rFonts w:eastAsia="Times New Roman"/>
                <w:sz w:val="22"/>
                <w:szCs w:val="22"/>
              </w:rPr>
            </w:pPr>
            <w:r w:rsidRPr="009B65B1">
              <w:rPr>
                <w:rFonts w:eastAsia="Times New Roman"/>
                <w:sz w:val="22"/>
                <w:szCs w:val="22"/>
              </w:rPr>
              <w:t>1.25</w:t>
            </w:r>
          </w:p>
        </w:tc>
      </w:tr>
      <w:tr w:rsidR="009B65B1" w:rsidRPr="009B65B1" w14:paraId="1023127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716F9DC" w14:textId="77777777" w:rsidR="009B65B1" w:rsidRPr="009B65B1" w:rsidRDefault="009B65B1" w:rsidP="009B65B1">
            <w:pPr>
              <w:jc w:val="center"/>
              <w:rPr>
                <w:rFonts w:eastAsia="Times New Roman"/>
                <w:sz w:val="22"/>
                <w:szCs w:val="22"/>
              </w:rPr>
            </w:pPr>
            <w:r w:rsidRPr="009B65B1">
              <w:rPr>
                <w:rFonts w:eastAsia="Times New Roman"/>
                <w:sz w:val="22"/>
                <w:szCs w:val="22"/>
              </w:rPr>
              <w:lastRenderedPageBreak/>
              <w:t>D22</w:t>
            </w:r>
          </w:p>
        </w:tc>
        <w:tc>
          <w:tcPr>
            <w:tcW w:w="6214" w:type="dxa"/>
            <w:tcBorders>
              <w:top w:val="nil"/>
              <w:left w:val="nil"/>
              <w:bottom w:val="single" w:sz="4" w:space="0" w:color="auto"/>
              <w:right w:val="single" w:sz="4" w:space="0" w:color="auto"/>
            </w:tcBorders>
            <w:shd w:val="clear" w:color="auto" w:fill="auto"/>
            <w:vAlign w:val="center"/>
            <w:hideMark/>
          </w:tcPr>
          <w:p w14:paraId="177C2233" w14:textId="77777777" w:rsidR="009B65B1" w:rsidRPr="009B65B1" w:rsidRDefault="009B65B1" w:rsidP="009B65B1">
            <w:pPr>
              <w:rPr>
                <w:rFonts w:eastAsia="Times New Roman"/>
                <w:sz w:val="22"/>
                <w:szCs w:val="22"/>
              </w:rPr>
            </w:pPr>
            <w:r w:rsidRPr="009B65B1">
              <w:rPr>
                <w:rFonts w:eastAsia="Times New Roman"/>
                <w:sz w:val="22"/>
                <w:szCs w:val="22"/>
              </w:rPr>
              <w:t>Business-related regulation</w:t>
            </w:r>
          </w:p>
        </w:tc>
        <w:tc>
          <w:tcPr>
            <w:tcW w:w="1319" w:type="dxa"/>
            <w:tcBorders>
              <w:top w:val="nil"/>
              <w:left w:val="nil"/>
              <w:bottom w:val="single" w:sz="4" w:space="0" w:color="auto"/>
              <w:right w:val="single" w:sz="4" w:space="0" w:color="auto"/>
            </w:tcBorders>
            <w:shd w:val="clear" w:color="auto" w:fill="auto"/>
            <w:vAlign w:val="center"/>
            <w:hideMark/>
          </w:tcPr>
          <w:p w14:paraId="1038B7A0" w14:textId="77777777" w:rsidR="009B65B1" w:rsidRPr="009B65B1" w:rsidRDefault="009B65B1" w:rsidP="009B65B1">
            <w:pPr>
              <w:jc w:val="center"/>
              <w:rPr>
                <w:rFonts w:eastAsia="Times New Roman"/>
                <w:sz w:val="22"/>
                <w:szCs w:val="22"/>
              </w:rPr>
            </w:pPr>
            <w:r w:rsidRPr="009B65B1">
              <w:rPr>
                <w:rFonts w:eastAsia="Times New Roman"/>
                <w:sz w:val="22"/>
                <w:szCs w:val="22"/>
              </w:rPr>
              <w:t>12</w:t>
            </w:r>
          </w:p>
        </w:tc>
        <w:tc>
          <w:tcPr>
            <w:tcW w:w="1268" w:type="dxa"/>
            <w:tcBorders>
              <w:top w:val="nil"/>
              <w:left w:val="nil"/>
              <w:bottom w:val="single" w:sz="4" w:space="0" w:color="auto"/>
              <w:right w:val="single" w:sz="4" w:space="0" w:color="auto"/>
            </w:tcBorders>
            <w:shd w:val="clear" w:color="auto" w:fill="auto"/>
            <w:noWrap/>
            <w:vAlign w:val="center"/>
            <w:hideMark/>
          </w:tcPr>
          <w:p w14:paraId="6AE93855" w14:textId="77777777" w:rsidR="009B65B1" w:rsidRPr="009B65B1" w:rsidRDefault="009B65B1" w:rsidP="009B65B1">
            <w:pPr>
              <w:jc w:val="center"/>
              <w:rPr>
                <w:rFonts w:eastAsia="Times New Roman"/>
                <w:sz w:val="22"/>
                <w:szCs w:val="22"/>
              </w:rPr>
            </w:pPr>
            <w:r w:rsidRPr="009B65B1">
              <w:rPr>
                <w:rFonts w:eastAsia="Times New Roman"/>
                <w:sz w:val="22"/>
                <w:szCs w:val="22"/>
              </w:rPr>
              <w:t>0.24</w:t>
            </w:r>
          </w:p>
        </w:tc>
      </w:tr>
      <w:tr w:rsidR="009B65B1" w:rsidRPr="009B65B1" w14:paraId="549F9FA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C87FCD4" w14:textId="77777777" w:rsidR="009B65B1" w:rsidRPr="009B65B1" w:rsidRDefault="009B65B1" w:rsidP="009B65B1">
            <w:pPr>
              <w:jc w:val="center"/>
              <w:rPr>
                <w:rFonts w:eastAsia="Times New Roman"/>
                <w:sz w:val="22"/>
                <w:szCs w:val="22"/>
              </w:rPr>
            </w:pPr>
            <w:r w:rsidRPr="009B65B1">
              <w:rPr>
                <w:rFonts w:eastAsia="Times New Roman"/>
                <w:sz w:val="22"/>
                <w:szCs w:val="22"/>
              </w:rPr>
              <w:t>D23</w:t>
            </w:r>
          </w:p>
        </w:tc>
        <w:tc>
          <w:tcPr>
            <w:tcW w:w="6214" w:type="dxa"/>
            <w:tcBorders>
              <w:top w:val="nil"/>
              <w:left w:val="nil"/>
              <w:bottom w:val="single" w:sz="4" w:space="0" w:color="auto"/>
              <w:right w:val="single" w:sz="4" w:space="0" w:color="auto"/>
            </w:tcBorders>
            <w:shd w:val="clear" w:color="auto" w:fill="auto"/>
            <w:vAlign w:val="center"/>
            <w:hideMark/>
          </w:tcPr>
          <w:p w14:paraId="77FB2130" w14:textId="77777777" w:rsidR="009B65B1" w:rsidRPr="009B65B1" w:rsidRDefault="009B65B1" w:rsidP="009B65B1">
            <w:pPr>
              <w:rPr>
                <w:rFonts w:eastAsia="Times New Roman"/>
                <w:sz w:val="22"/>
                <w:szCs w:val="22"/>
              </w:rPr>
            </w:pPr>
            <w:r w:rsidRPr="009B65B1">
              <w:rPr>
                <w:rFonts w:eastAsia="Times New Roman"/>
                <w:sz w:val="22"/>
                <w:szCs w:val="22"/>
              </w:rPr>
              <w:t>Status</w:t>
            </w:r>
          </w:p>
        </w:tc>
        <w:tc>
          <w:tcPr>
            <w:tcW w:w="1319" w:type="dxa"/>
            <w:tcBorders>
              <w:top w:val="nil"/>
              <w:left w:val="nil"/>
              <w:bottom w:val="single" w:sz="4" w:space="0" w:color="auto"/>
              <w:right w:val="single" w:sz="4" w:space="0" w:color="auto"/>
            </w:tcBorders>
            <w:shd w:val="clear" w:color="auto" w:fill="auto"/>
            <w:vAlign w:val="center"/>
            <w:hideMark/>
          </w:tcPr>
          <w:p w14:paraId="783515E9" w14:textId="77777777" w:rsidR="009B65B1" w:rsidRPr="009B65B1" w:rsidRDefault="009B65B1" w:rsidP="009B65B1">
            <w:pPr>
              <w:jc w:val="center"/>
              <w:rPr>
                <w:rFonts w:eastAsia="Times New Roman"/>
                <w:sz w:val="22"/>
                <w:szCs w:val="22"/>
              </w:rPr>
            </w:pPr>
            <w:r w:rsidRPr="009B65B1">
              <w:rPr>
                <w:rFonts w:eastAsia="Times New Roman"/>
                <w:sz w:val="22"/>
                <w:szCs w:val="22"/>
              </w:rPr>
              <w:t>21</w:t>
            </w:r>
          </w:p>
        </w:tc>
        <w:tc>
          <w:tcPr>
            <w:tcW w:w="1268" w:type="dxa"/>
            <w:tcBorders>
              <w:top w:val="nil"/>
              <w:left w:val="nil"/>
              <w:bottom w:val="single" w:sz="4" w:space="0" w:color="auto"/>
              <w:right w:val="single" w:sz="4" w:space="0" w:color="auto"/>
            </w:tcBorders>
            <w:shd w:val="clear" w:color="auto" w:fill="auto"/>
            <w:noWrap/>
            <w:vAlign w:val="center"/>
            <w:hideMark/>
          </w:tcPr>
          <w:p w14:paraId="27968601" w14:textId="77777777" w:rsidR="009B65B1" w:rsidRPr="009B65B1" w:rsidRDefault="009B65B1" w:rsidP="009B65B1">
            <w:pPr>
              <w:jc w:val="center"/>
              <w:rPr>
                <w:rFonts w:eastAsia="Times New Roman"/>
                <w:sz w:val="22"/>
                <w:szCs w:val="22"/>
              </w:rPr>
            </w:pPr>
            <w:r w:rsidRPr="009B65B1">
              <w:rPr>
                <w:rFonts w:eastAsia="Times New Roman"/>
                <w:sz w:val="22"/>
                <w:szCs w:val="22"/>
              </w:rPr>
              <w:t>0.42</w:t>
            </w:r>
          </w:p>
        </w:tc>
      </w:tr>
      <w:tr w:rsidR="009B65B1" w:rsidRPr="009B65B1" w14:paraId="36F7B74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ABD2BA8" w14:textId="77777777" w:rsidR="009B65B1" w:rsidRPr="009B65B1" w:rsidRDefault="009B65B1" w:rsidP="009B65B1">
            <w:pPr>
              <w:jc w:val="center"/>
              <w:rPr>
                <w:rFonts w:eastAsia="Times New Roman"/>
                <w:sz w:val="22"/>
                <w:szCs w:val="22"/>
              </w:rPr>
            </w:pPr>
            <w:r w:rsidRPr="009B65B1">
              <w:rPr>
                <w:rFonts w:eastAsia="Times New Roman"/>
                <w:sz w:val="22"/>
                <w:szCs w:val="22"/>
              </w:rPr>
              <w:t>D24</w:t>
            </w:r>
          </w:p>
        </w:tc>
        <w:tc>
          <w:tcPr>
            <w:tcW w:w="6214" w:type="dxa"/>
            <w:tcBorders>
              <w:top w:val="nil"/>
              <w:left w:val="nil"/>
              <w:bottom w:val="single" w:sz="4" w:space="0" w:color="auto"/>
              <w:right w:val="single" w:sz="4" w:space="0" w:color="auto"/>
            </w:tcBorders>
            <w:shd w:val="clear" w:color="auto" w:fill="auto"/>
            <w:vAlign w:val="center"/>
            <w:hideMark/>
          </w:tcPr>
          <w:p w14:paraId="164078EB" w14:textId="77777777" w:rsidR="009B65B1" w:rsidRPr="009B65B1" w:rsidRDefault="009B65B1" w:rsidP="009B65B1">
            <w:pPr>
              <w:rPr>
                <w:rFonts w:eastAsia="Times New Roman"/>
                <w:sz w:val="22"/>
                <w:szCs w:val="22"/>
              </w:rPr>
            </w:pPr>
            <w:r w:rsidRPr="009B65B1">
              <w:rPr>
                <w:rFonts w:eastAsia="Times New Roman"/>
                <w:sz w:val="22"/>
                <w:szCs w:val="22"/>
              </w:rPr>
              <w:t>Going concern</w:t>
            </w:r>
          </w:p>
        </w:tc>
        <w:tc>
          <w:tcPr>
            <w:tcW w:w="1319" w:type="dxa"/>
            <w:tcBorders>
              <w:top w:val="nil"/>
              <w:left w:val="nil"/>
              <w:bottom w:val="single" w:sz="4" w:space="0" w:color="auto"/>
              <w:right w:val="single" w:sz="4" w:space="0" w:color="auto"/>
            </w:tcBorders>
            <w:shd w:val="clear" w:color="auto" w:fill="auto"/>
            <w:vAlign w:val="center"/>
            <w:hideMark/>
          </w:tcPr>
          <w:p w14:paraId="426B7B47" w14:textId="77777777" w:rsidR="009B65B1" w:rsidRPr="009B65B1" w:rsidRDefault="009B65B1" w:rsidP="009B65B1">
            <w:pPr>
              <w:jc w:val="center"/>
              <w:rPr>
                <w:rFonts w:eastAsia="Times New Roman"/>
                <w:sz w:val="22"/>
                <w:szCs w:val="22"/>
              </w:rPr>
            </w:pPr>
            <w:r w:rsidRPr="009B65B1">
              <w:rPr>
                <w:rFonts w:eastAsia="Times New Roman"/>
                <w:sz w:val="22"/>
                <w:szCs w:val="22"/>
              </w:rPr>
              <w:t>4</w:t>
            </w:r>
          </w:p>
        </w:tc>
        <w:tc>
          <w:tcPr>
            <w:tcW w:w="1268" w:type="dxa"/>
            <w:tcBorders>
              <w:top w:val="nil"/>
              <w:left w:val="nil"/>
              <w:bottom w:val="single" w:sz="4" w:space="0" w:color="auto"/>
              <w:right w:val="single" w:sz="4" w:space="0" w:color="auto"/>
            </w:tcBorders>
            <w:shd w:val="clear" w:color="auto" w:fill="auto"/>
            <w:noWrap/>
            <w:vAlign w:val="center"/>
            <w:hideMark/>
          </w:tcPr>
          <w:p w14:paraId="30653D91" w14:textId="77777777" w:rsidR="009B65B1" w:rsidRPr="009B65B1" w:rsidRDefault="009B65B1" w:rsidP="009B65B1">
            <w:pPr>
              <w:jc w:val="center"/>
              <w:rPr>
                <w:rFonts w:eastAsia="Times New Roman"/>
                <w:sz w:val="22"/>
                <w:szCs w:val="22"/>
              </w:rPr>
            </w:pPr>
            <w:r w:rsidRPr="009B65B1">
              <w:rPr>
                <w:rFonts w:eastAsia="Times New Roman"/>
                <w:sz w:val="22"/>
                <w:szCs w:val="22"/>
              </w:rPr>
              <w:t>0.08</w:t>
            </w:r>
          </w:p>
        </w:tc>
      </w:tr>
      <w:tr w:rsidR="009B65B1" w:rsidRPr="009B65B1" w14:paraId="0A73A6F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83FAD5C" w14:textId="77777777" w:rsidR="009B65B1" w:rsidRPr="009B65B1" w:rsidRDefault="009B65B1" w:rsidP="009B65B1">
            <w:pPr>
              <w:jc w:val="center"/>
              <w:rPr>
                <w:rFonts w:eastAsia="Times New Roman"/>
                <w:sz w:val="22"/>
                <w:szCs w:val="22"/>
              </w:rPr>
            </w:pPr>
            <w:r w:rsidRPr="009B65B1">
              <w:rPr>
                <w:rFonts w:eastAsia="Times New Roman"/>
                <w:sz w:val="22"/>
                <w:szCs w:val="22"/>
              </w:rPr>
              <w:t>D25</w:t>
            </w:r>
          </w:p>
        </w:tc>
        <w:tc>
          <w:tcPr>
            <w:tcW w:w="6214" w:type="dxa"/>
            <w:tcBorders>
              <w:top w:val="nil"/>
              <w:left w:val="nil"/>
              <w:bottom w:val="single" w:sz="4" w:space="0" w:color="auto"/>
              <w:right w:val="single" w:sz="4" w:space="0" w:color="auto"/>
            </w:tcBorders>
            <w:shd w:val="clear" w:color="auto" w:fill="auto"/>
            <w:vAlign w:val="center"/>
            <w:hideMark/>
          </w:tcPr>
          <w:p w14:paraId="1DEA7898" w14:textId="77777777" w:rsidR="009B65B1" w:rsidRPr="009B65B1" w:rsidRDefault="009B65B1" w:rsidP="009B65B1">
            <w:pPr>
              <w:rPr>
                <w:rFonts w:eastAsia="Times New Roman"/>
                <w:sz w:val="22"/>
                <w:szCs w:val="22"/>
              </w:rPr>
            </w:pPr>
            <w:r w:rsidRPr="009B65B1">
              <w:rPr>
                <w:rFonts w:eastAsia="Times New Roman"/>
                <w:sz w:val="22"/>
                <w:szCs w:val="22"/>
              </w:rPr>
              <w:t>Properties and Facilities</w:t>
            </w:r>
          </w:p>
        </w:tc>
        <w:tc>
          <w:tcPr>
            <w:tcW w:w="1319" w:type="dxa"/>
            <w:tcBorders>
              <w:top w:val="nil"/>
              <w:left w:val="nil"/>
              <w:bottom w:val="single" w:sz="4" w:space="0" w:color="auto"/>
              <w:right w:val="single" w:sz="4" w:space="0" w:color="auto"/>
            </w:tcBorders>
            <w:shd w:val="clear" w:color="auto" w:fill="auto"/>
            <w:vAlign w:val="center"/>
            <w:hideMark/>
          </w:tcPr>
          <w:p w14:paraId="47210E59" w14:textId="77777777" w:rsidR="009B65B1" w:rsidRPr="009B65B1" w:rsidRDefault="009B65B1" w:rsidP="009B65B1">
            <w:pPr>
              <w:jc w:val="center"/>
              <w:rPr>
                <w:rFonts w:eastAsia="Times New Roman"/>
                <w:sz w:val="22"/>
                <w:szCs w:val="22"/>
              </w:rPr>
            </w:pPr>
            <w:r w:rsidRPr="009B65B1">
              <w:rPr>
                <w:rFonts w:eastAsia="Times New Roman"/>
                <w:sz w:val="22"/>
                <w:szCs w:val="22"/>
              </w:rPr>
              <w:t>40</w:t>
            </w:r>
          </w:p>
        </w:tc>
        <w:tc>
          <w:tcPr>
            <w:tcW w:w="1268" w:type="dxa"/>
            <w:tcBorders>
              <w:top w:val="nil"/>
              <w:left w:val="nil"/>
              <w:bottom w:val="single" w:sz="4" w:space="0" w:color="auto"/>
              <w:right w:val="single" w:sz="4" w:space="0" w:color="auto"/>
            </w:tcBorders>
            <w:shd w:val="clear" w:color="auto" w:fill="auto"/>
            <w:noWrap/>
            <w:vAlign w:val="center"/>
            <w:hideMark/>
          </w:tcPr>
          <w:p w14:paraId="5A304FD6" w14:textId="77777777" w:rsidR="009B65B1" w:rsidRPr="009B65B1" w:rsidRDefault="009B65B1" w:rsidP="009B65B1">
            <w:pPr>
              <w:jc w:val="center"/>
              <w:rPr>
                <w:rFonts w:eastAsia="Times New Roman"/>
                <w:sz w:val="22"/>
                <w:szCs w:val="22"/>
              </w:rPr>
            </w:pPr>
            <w:r w:rsidRPr="009B65B1">
              <w:rPr>
                <w:rFonts w:eastAsia="Times New Roman"/>
                <w:sz w:val="22"/>
                <w:szCs w:val="22"/>
              </w:rPr>
              <w:t>0.79</w:t>
            </w:r>
          </w:p>
        </w:tc>
      </w:tr>
      <w:tr w:rsidR="009B65B1" w:rsidRPr="009B65B1" w14:paraId="3DDE767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1D97D52" w14:textId="77777777" w:rsidR="009B65B1" w:rsidRPr="009B65B1" w:rsidRDefault="009B65B1" w:rsidP="009B65B1">
            <w:pPr>
              <w:jc w:val="center"/>
              <w:rPr>
                <w:rFonts w:eastAsia="Times New Roman"/>
                <w:sz w:val="22"/>
                <w:szCs w:val="22"/>
              </w:rPr>
            </w:pPr>
            <w:r w:rsidRPr="009B65B1">
              <w:rPr>
                <w:rFonts w:eastAsia="Times New Roman"/>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5FA9649D" w14:textId="77777777" w:rsidR="009B65B1" w:rsidRPr="009B65B1" w:rsidRDefault="009B65B1" w:rsidP="009B65B1">
            <w:pPr>
              <w:rPr>
                <w:rFonts w:eastAsia="Times New Roman"/>
                <w:b/>
                <w:bCs/>
                <w:sz w:val="22"/>
                <w:szCs w:val="22"/>
              </w:rPr>
            </w:pPr>
            <w:r w:rsidRPr="009B65B1">
              <w:rPr>
                <w:rFonts w:eastAsia="Times New Roman"/>
                <w:b/>
                <w:bCs/>
                <w:sz w:val="22"/>
                <w:szCs w:val="22"/>
              </w:rPr>
              <w:t xml:space="preserve">V. CORPORATE GOVERNANCE ISSUES </w:t>
            </w:r>
          </w:p>
        </w:tc>
        <w:tc>
          <w:tcPr>
            <w:tcW w:w="1319" w:type="dxa"/>
            <w:tcBorders>
              <w:top w:val="nil"/>
              <w:left w:val="nil"/>
              <w:bottom w:val="single" w:sz="4" w:space="0" w:color="auto"/>
              <w:right w:val="single" w:sz="4" w:space="0" w:color="auto"/>
            </w:tcBorders>
            <w:shd w:val="clear" w:color="auto" w:fill="auto"/>
            <w:vAlign w:val="center"/>
            <w:hideMark/>
          </w:tcPr>
          <w:p w14:paraId="0085D339"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337</w:t>
            </w:r>
          </w:p>
        </w:tc>
        <w:tc>
          <w:tcPr>
            <w:tcW w:w="1268" w:type="dxa"/>
            <w:tcBorders>
              <w:top w:val="nil"/>
              <w:left w:val="nil"/>
              <w:bottom w:val="single" w:sz="4" w:space="0" w:color="auto"/>
              <w:right w:val="single" w:sz="4" w:space="0" w:color="auto"/>
            </w:tcBorders>
            <w:shd w:val="clear" w:color="auto" w:fill="auto"/>
            <w:vAlign w:val="center"/>
            <w:hideMark/>
          </w:tcPr>
          <w:p w14:paraId="2904F2AC"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6.67</w:t>
            </w:r>
          </w:p>
        </w:tc>
      </w:tr>
      <w:tr w:rsidR="009B65B1" w:rsidRPr="009B65B1" w14:paraId="729D00E1"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A73B19A" w14:textId="77777777" w:rsidR="009B65B1" w:rsidRPr="009B65B1" w:rsidRDefault="009B65B1" w:rsidP="009B65B1">
            <w:pPr>
              <w:jc w:val="center"/>
              <w:rPr>
                <w:rFonts w:eastAsia="Times New Roman"/>
                <w:sz w:val="22"/>
                <w:szCs w:val="22"/>
              </w:rPr>
            </w:pPr>
            <w:r w:rsidRPr="009B65B1">
              <w:rPr>
                <w:rFonts w:eastAsia="Times New Roman"/>
                <w:sz w:val="22"/>
                <w:szCs w:val="22"/>
              </w:rPr>
              <w:t>E1</w:t>
            </w:r>
          </w:p>
        </w:tc>
        <w:tc>
          <w:tcPr>
            <w:tcW w:w="6214" w:type="dxa"/>
            <w:tcBorders>
              <w:top w:val="nil"/>
              <w:left w:val="nil"/>
              <w:bottom w:val="single" w:sz="4" w:space="0" w:color="auto"/>
              <w:right w:val="single" w:sz="4" w:space="0" w:color="auto"/>
            </w:tcBorders>
            <w:shd w:val="clear" w:color="auto" w:fill="auto"/>
            <w:vAlign w:val="center"/>
            <w:hideMark/>
          </w:tcPr>
          <w:p w14:paraId="63710E33" w14:textId="77777777" w:rsidR="009B65B1" w:rsidRPr="009B65B1" w:rsidRDefault="009B65B1" w:rsidP="009B65B1">
            <w:pPr>
              <w:rPr>
                <w:rFonts w:eastAsia="Times New Roman"/>
                <w:sz w:val="22"/>
                <w:szCs w:val="22"/>
              </w:rPr>
            </w:pPr>
            <w:r w:rsidRPr="009B65B1">
              <w:rPr>
                <w:rFonts w:eastAsia="Times New Roman"/>
                <w:sz w:val="22"/>
                <w:szCs w:val="22"/>
              </w:rPr>
              <w:t>Managers</w:t>
            </w:r>
          </w:p>
        </w:tc>
        <w:tc>
          <w:tcPr>
            <w:tcW w:w="1319" w:type="dxa"/>
            <w:tcBorders>
              <w:top w:val="nil"/>
              <w:left w:val="nil"/>
              <w:bottom w:val="single" w:sz="4" w:space="0" w:color="auto"/>
              <w:right w:val="single" w:sz="4" w:space="0" w:color="auto"/>
            </w:tcBorders>
            <w:shd w:val="clear" w:color="auto" w:fill="auto"/>
            <w:vAlign w:val="center"/>
            <w:hideMark/>
          </w:tcPr>
          <w:p w14:paraId="033AAFA5" w14:textId="77777777" w:rsidR="009B65B1" w:rsidRPr="009B65B1" w:rsidRDefault="009B65B1" w:rsidP="009B65B1">
            <w:pPr>
              <w:jc w:val="center"/>
              <w:rPr>
                <w:rFonts w:eastAsia="Times New Roman"/>
                <w:sz w:val="22"/>
                <w:szCs w:val="22"/>
              </w:rPr>
            </w:pPr>
            <w:r w:rsidRPr="009B65B1">
              <w:rPr>
                <w:rFonts w:eastAsia="Times New Roman"/>
                <w:sz w:val="22"/>
                <w:szCs w:val="22"/>
              </w:rPr>
              <w:t>64</w:t>
            </w:r>
          </w:p>
        </w:tc>
        <w:tc>
          <w:tcPr>
            <w:tcW w:w="1268" w:type="dxa"/>
            <w:tcBorders>
              <w:top w:val="nil"/>
              <w:left w:val="nil"/>
              <w:bottom w:val="single" w:sz="4" w:space="0" w:color="auto"/>
              <w:right w:val="single" w:sz="4" w:space="0" w:color="auto"/>
            </w:tcBorders>
            <w:shd w:val="clear" w:color="auto" w:fill="auto"/>
            <w:noWrap/>
            <w:vAlign w:val="center"/>
            <w:hideMark/>
          </w:tcPr>
          <w:p w14:paraId="7D70FCBE" w14:textId="77777777" w:rsidR="009B65B1" w:rsidRPr="009B65B1" w:rsidRDefault="009B65B1" w:rsidP="009B65B1">
            <w:pPr>
              <w:jc w:val="center"/>
              <w:rPr>
                <w:rFonts w:eastAsia="Times New Roman"/>
                <w:sz w:val="22"/>
                <w:szCs w:val="22"/>
              </w:rPr>
            </w:pPr>
            <w:r w:rsidRPr="009B65B1">
              <w:rPr>
                <w:rFonts w:eastAsia="Times New Roman"/>
                <w:sz w:val="22"/>
                <w:szCs w:val="22"/>
              </w:rPr>
              <w:t>1.27</w:t>
            </w:r>
          </w:p>
        </w:tc>
      </w:tr>
      <w:tr w:rsidR="009B65B1" w:rsidRPr="009B65B1" w14:paraId="1EFFD19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C37B240" w14:textId="77777777" w:rsidR="009B65B1" w:rsidRPr="009B65B1" w:rsidRDefault="009B65B1" w:rsidP="009B65B1">
            <w:pPr>
              <w:jc w:val="center"/>
              <w:rPr>
                <w:rFonts w:eastAsia="Times New Roman"/>
                <w:sz w:val="22"/>
                <w:szCs w:val="22"/>
              </w:rPr>
            </w:pPr>
            <w:r w:rsidRPr="009B65B1">
              <w:rPr>
                <w:rFonts w:eastAsia="Times New Roman"/>
                <w:sz w:val="22"/>
                <w:szCs w:val="22"/>
              </w:rPr>
              <w:t>E2</w:t>
            </w:r>
          </w:p>
        </w:tc>
        <w:tc>
          <w:tcPr>
            <w:tcW w:w="6214" w:type="dxa"/>
            <w:tcBorders>
              <w:top w:val="nil"/>
              <w:left w:val="nil"/>
              <w:bottom w:val="single" w:sz="4" w:space="0" w:color="auto"/>
              <w:right w:val="single" w:sz="4" w:space="0" w:color="auto"/>
            </w:tcBorders>
            <w:shd w:val="clear" w:color="auto" w:fill="auto"/>
            <w:vAlign w:val="center"/>
            <w:hideMark/>
          </w:tcPr>
          <w:p w14:paraId="4FBDF420" w14:textId="77777777" w:rsidR="009B65B1" w:rsidRPr="009B65B1" w:rsidRDefault="009B65B1" w:rsidP="009B65B1">
            <w:pPr>
              <w:rPr>
                <w:rFonts w:eastAsia="Times New Roman"/>
                <w:sz w:val="22"/>
                <w:szCs w:val="22"/>
              </w:rPr>
            </w:pPr>
            <w:r w:rsidRPr="009B65B1">
              <w:rPr>
                <w:rFonts w:eastAsia="Times New Roman"/>
                <w:sz w:val="22"/>
                <w:szCs w:val="22"/>
              </w:rPr>
              <w:t>Related parties' transactions</w:t>
            </w:r>
          </w:p>
        </w:tc>
        <w:tc>
          <w:tcPr>
            <w:tcW w:w="1319" w:type="dxa"/>
            <w:tcBorders>
              <w:top w:val="nil"/>
              <w:left w:val="nil"/>
              <w:bottom w:val="single" w:sz="4" w:space="0" w:color="auto"/>
              <w:right w:val="single" w:sz="4" w:space="0" w:color="auto"/>
            </w:tcBorders>
            <w:shd w:val="clear" w:color="auto" w:fill="auto"/>
            <w:vAlign w:val="center"/>
            <w:hideMark/>
          </w:tcPr>
          <w:p w14:paraId="454B5647" w14:textId="77777777" w:rsidR="009B65B1" w:rsidRPr="009B65B1" w:rsidRDefault="009B65B1" w:rsidP="009B65B1">
            <w:pPr>
              <w:jc w:val="center"/>
              <w:rPr>
                <w:rFonts w:eastAsia="Times New Roman"/>
                <w:sz w:val="22"/>
                <w:szCs w:val="22"/>
              </w:rPr>
            </w:pPr>
            <w:r w:rsidRPr="009B65B1">
              <w:rPr>
                <w:rFonts w:eastAsia="Times New Roman"/>
                <w:sz w:val="22"/>
                <w:szCs w:val="22"/>
              </w:rPr>
              <w:t>57</w:t>
            </w:r>
          </w:p>
        </w:tc>
        <w:tc>
          <w:tcPr>
            <w:tcW w:w="1268" w:type="dxa"/>
            <w:tcBorders>
              <w:top w:val="nil"/>
              <w:left w:val="nil"/>
              <w:bottom w:val="single" w:sz="4" w:space="0" w:color="auto"/>
              <w:right w:val="single" w:sz="4" w:space="0" w:color="auto"/>
            </w:tcBorders>
            <w:shd w:val="clear" w:color="auto" w:fill="auto"/>
            <w:noWrap/>
            <w:vAlign w:val="center"/>
            <w:hideMark/>
          </w:tcPr>
          <w:p w14:paraId="7639B5C9" w14:textId="77777777" w:rsidR="009B65B1" w:rsidRPr="009B65B1" w:rsidRDefault="009B65B1" w:rsidP="009B65B1">
            <w:pPr>
              <w:jc w:val="center"/>
              <w:rPr>
                <w:rFonts w:eastAsia="Times New Roman"/>
                <w:sz w:val="22"/>
                <w:szCs w:val="22"/>
              </w:rPr>
            </w:pPr>
            <w:r w:rsidRPr="009B65B1">
              <w:rPr>
                <w:rFonts w:eastAsia="Times New Roman"/>
                <w:sz w:val="22"/>
                <w:szCs w:val="22"/>
              </w:rPr>
              <w:t>1.13</w:t>
            </w:r>
          </w:p>
        </w:tc>
      </w:tr>
      <w:tr w:rsidR="009B65B1" w:rsidRPr="009B65B1" w14:paraId="32C44EE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7193599" w14:textId="77777777" w:rsidR="009B65B1" w:rsidRPr="009B65B1" w:rsidRDefault="009B65B1" w:rsidP="009B65B1">
            <w:pPr>
              <w:jc w:val="center"/>
              <w:rPr>
                <w:rFonts w:eastAsia="Times New Roman"/>
                <w:sz w:val="22"/>
                <w:szCs w:val="22"/>
              </w:rPr>
            </w:pPr>
            <w:r w:rsidRPr="009B65B1">
              <w:rPr>
                <w:rFonts w:eastAsia="Times New Roman"/>
                <w:sz w:val="22"/>
                <w:szCs w:val="22"/>
              </w:rPr>
              <w:t>E3</w:t>
            </w:r>
          </w:p>
        </w:tc>
        <w:tc>
          <w:tcPr>
            <w:tcW w:w="6214" w:type="dxa"/>
            <w:tcBorders>
              <w:top w:val="nil"/>
              <w:left w:val="nil"/>
              <w:bottom w:val="single" w:sz="4" w:space="0" w:color="auto"/>
              <w:right w:val="single" w:sz="4" w:space="0" w:color="auto"/>
            </w:tcBorders>
            <w:shd w:val="clear" w:color="auto" w:fill="auto"/>
            <w:vAlign w:val="center"/>
            <w:hideMark/>
          </w:tcPr>
          <w:p w14:paraId="7D2A05F2" w14:textId="77777777" w:rsidR="009B65B1" w:rsidRPr="009B65B1" w:rsidRDefault="009B65B1" w:rsidP="009B65B1">
            <w:pPr>
              <w:rPr>
                <w:rFonts w:eastAsia="Times New Roman"/>
                <w:sz w:val="22"/>
                <w:szCs w:val="22"/>
              </w:rPr>
            </w:pPr>
            <w:r w:rsidRPr="009B65B1">
              <w:rPr>
                <w:rFonts w:eastAsia="Times New Roman"/>
                <w:sz w:val="22"/>
                <w:szCs w:val="22"/>
              </w:rPr>
              <w:t>Ownership structure</w:t>
            </w:r>
          </w:p>
        </w:tc>
        <w:tc>
          <w:tcPr>
            <w:tcW w:w="1319" w:type="dxa"/>
            <w:tcBorders>
              <w:top w:val="nil"/>
              <w:left w:val="nil"/>
              <w:bottom w:val="single" w:sz="4" w:space="0" w:color="auto"/>
              <w:right w:val="single" w:sz="4" w:space="0" w:color="auto"/>
            </w:tcBorders>
            <w:shd w:val="clear" w:color="auto" w:fill="auto"/>
            <w:vAlign w:val="center"/>
            <w:hideMark/>
          </w:tcPr>
          <w:p w14:paraId="50330D2C" w14:textId="77777777" w:rsidR="009B65B1" w:rsidRPr="009B65B1" w:rsidRDefault="009B65B1" w:rsidP="009B65B1">
            <w:pPr>
              <w:jc w:val="center"/>
              <w:rPr>
                <w:rFonts w:eastAsia="Times New Roman"/>
                <w:sz w:val="22"/>
                <w:szCs w:val="22"/>
              </w:rPr>
            </w:pPr>
            <w:r w:rsidRPr="009B65B1">
              <w:rPr>
                <w:rFonts w:eastAsia="Times New Roman"/>
                <w:sz w:val="22"/>
                <w:szCs w:val="22"/>
              </w:rPr>
              <w:t>42</w:t>
            </w:r>
          </w:p>
        </w:tc>
        <w:tc>
          <w:tcPr>
            <w:tcW w:w="1268" w:type="dxa"/>
            <w:tcBorders>
              <w:top w:val="nil"/>
              <w:left w:val="nil"/>
              <w:bottom w:val="single" w:sz="4" w:space="0" w:color="auto"/>
              <w:right w:val="single" w:sz="4" w:space="0" w:color="auto"/>
            </w:tcBorders>
            <w:shd w:val="clear" w:color="auto" w:fill="auto"/>
            <w:noWrap/>
            <w:vAlign w:val="center"/>
            <w:hideMark/>
          </w:tcPr>
          <w:p w14:paraId="518D3F5A" w14:textId="77777777" w:rsidR="009B65B1" w:rsidRPr="009B65B1" w:rsidRDefault="009B65B1" w:rsidP="009B65B1">
            <w:pPr>
              <w:jc w:val="center"/>
              <w:rPr>
                <w:rFonts w:eastAsia="Times New Roman"/>
                <w:sz w:val="22"/>
                <w:szCs w:val="22"/>
              </w:rPr>
            </w:pPr>
            <w:r w:rsidRPr="009B65B1">
              <w:rPr>
                <w:rFonts w:eastAsia="Times New Roman"/>
                <w:sz w:val="22"/>
                <w:szCs w:val="22"/>
              </w:rPr>
              <w:t>0.83</w:t>
            </w:r>
          </w:p>
        </w:tc>
      </w:tr>
      <w:tr w:rsidR="009B65B1" w:rsidRPr="009B65B1" w14:paraId="753F310A"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0134996" w14:textId="77777777" w:rsidR="009B65B1" w:rsidRPr="009B65B1" w:rsidRDefault="009B65B1" w:rsidP="009B65B1">
            <w:pPr>
              <w:jc w:val="center"/>
              <w:rPr>
                <w:rFonts w:eastAsia="Times New Roman"/>
                <w:sz w:val="22"/>
                <w:szCs w:val="22"/>
              </w:rPr>
            </w:pPr>
            <w:r w:rsidRPr="009B65B1">
              <w:rPr>
                <w:rFonts w:eastAsia="Times New Roman"/>
                <w:sz w:val="22"/>
                <w:szCs w:val="22"/>
              </w:rPr>
              <w:t>E4</w:t>
            </w:r>
          </w:p>
        </w:tc>
        <w:tc>
          <w:tcPr>
            <w:tcW w:w="6214" w:type="dxa"/>
            <w:tcBorders>
              <w:top w:val="nil"/>
              <w:left w:val="nil"/>
              <w:bottom w:val="single" w:sz="4" w:space="0" w:color="auto"/>
              <w:right w:val="single" w:sz="4" w:space="0" w:color="auto"/>
            </w:tcBorders>
            <w:shd w:val="clear" w:color="auto" w:fill="auto"/>
            <w:vAlign w:val="center"/>
            <w:hideMark/>
          </w:tcPr>
          <w:p w14:paraId="6EFAC147" w14:textId="77777777" w:rsidR="009B65B1" w:rsidRPr="009B65B1" w:rsidRDefault="009B65B1" w:rsidP="009B65B1">
            <w:pPr>
              <w:rPr>
                <w:rFonts w:eastAsia="Times New Roman"/>
                <w:sz w:val="22"/>
                <w:szCs w:val="22"/>
              </w:rPr>
            </w:pPr>
            <w:r w:rsidRPr="009B65B1">
              <w:rPr>
                <w:rFonts w:eastAsia="Times New Roman"/>
                <w:sz w:val="22"/>
                <w:szCs w:val="22"/>
              </w:rPr>
              <w:t>Compensation</w:t>
            </w:r>
          </w:p>
        </w:tc>
        <w:tc>
          <w:tcPr>
            <w:tcW w:w="1319" w:type="dxa"/>
            <w:tcBorders>
              <w:top w:val="nil"/>
              <w:left w:val="nil"/>
              <w:bottom w:val="single" w:sz="4" w:space="0" w:color="auto"/>
              <w:right w:val="single" w:sz="4" w:space="0" w:color="auto"/>
            </w:tcBorders>
            <w:shd w:val="clear" w:color="auto" w:fill="auto"/>
            <w:vAlign w:val="center"/>
            <w:hideMark/>
          </w:tcPr>
          <w:p w14:paraId="24D5AD11" w14:textId="77777777" w:rsidR="009B65B1" w:rsidRPr="009B65B1" w:rsidRDefault="009B65B1" w:rsidP="009B65B1">
            <w:pPr>
              <w:jc w:val="center"/>
              <w:rPr>
                <w:rFonts w:eastAsia="Times New Roman"/>
                <w:sz w:val="22"/>
                <w:szCs w:val="22"/>
              </w:rPr>
            </w:pPr>
            <w:r w:rsidRPr="009B65B1">
              <w:rPr>
                <w:rFonts w:eastAsia="Times New Roman"/>
                <w:sz w:val="22"/>
                <w:szCs w:val="22"/>
              </w:rPr>
              <w:t>154</w:t>
            </w:r>
          </w:p>
        </w:tc>
        <w:tc>
          <w:tcPr>
            <w:tcW w:w="1268" w:type="dxa"/>
            <w:tcBorders>
              <w:top w:val="nil"/>
              <w:left w:val="nil"/>
              <w:bottom w:val="single" w:sz="4" w:space="0" w:color="auto"/>
              <w:right w:val="single" w:sz="4" w:space="0" w:color="auto"/>
            </w:tcBorders>
            <w:shd w:val="clear" w:color="auto" w:fill="auto"/>
            <w:noWrap/>
            <w:vAlign w:val="center"/>
            <w:hideMark/>
          </w:tcPr>
          <w:p w14:paraId="345D2AC9" w14:textId="77777777" w:rsidR="009B65B1" w:rsidRPr="009B65B1" w:rsidRDefault="009B65B1" w:rsidP="009B65B1">
            <w:pPr>
              <w:jc w:val="center"/>
              <w:rPr>
                <w:rFonts w:eastAsia="Times New Roman"/>
                <w:sz w:val="22"/>
                <w:szCs w:val="22"/>
              </w:rPr>
            </w:pPr>
            <w:r w:rsidRPr="009B65B1">
              <w:rPr>
                <w:rFonts w:eastAsia="Times New Roman"/>
                <w:sz w:val="22"/>
                <w:szCs w:val="22"/>
              </w:rPr>
              <w:t>3.05</w:t>
            </w:r>
          </w:p>
        </w:tc>
      </w:tr>
      <w:tr w:rsidR="009B65B1" w:rsidRPr="009B65B1" w14:paraId="2C9F1623"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4494C8A" w14:textId="77777777" w:rsidR="009B65B1" w:rsidRPr="009B65B1" w:rsidRDefault="009B65B1" w:rsidP="009B65B1">
            <w:pPr>
              <w:jc w:val="center"/>
              <w:rPr>
                <w:rFonts w:eastAsia="Times New Roman"/>
                <w:sz w:val="22"/>
                <w:szCs w:val="22"/>
              </w:rPr>
            </w:pPr>
            <w:r w:rsidRPr="009B65B1">
              <w:rPr>
                <w:rFonts w:eastAsia="Times New Roman"/>
                <w:sz w:val="22"/>
                <w:szCs w:val="22"/>
              </w:rPr>
              <w:t>E5</w:t>
            </w:r>
          </w:p>
        </w:tc>
        <w:tc>
          <w:tcPr>
            <w:tcW w:w="6214" w:type="dxa"/>
            <w:tcBorders>
              <w:top w:val="nil"/>
              <w:left w:val="nil"/>
              <w:bottom w:val="single" w:sz="4" w:space="0" w:color="auto"/>
              <w:right w:val="single" w:sz="4" w:space="0" w:color="auto"/>
            </w:tcBorders>
            <w:shd w:val="clear" w:color="auto" w:fill="auto"/>
            <w:vAlign w:val="center"/>
            <w:hideMark/>
          </w:tcPr>
          <w:p w14:paraId="5B0A0001" w14:textId="77715E41" w:rsidR="009B65B1" w:rsidRPr="009B65B1" w:rsidRDefault="009B65B1" w:rsidP="009B65B1">
            <w:pPr>
              <w:rPr>
                <w:rFonts w:eastAsia="Times New Roman"/>
                <w:sz w:val="22"/>
                <w:szCs w:val="22"/>
              </w:rPr>
            </w:pPr>
            <w:r w:rsidRPr="009B65B1">
              <w:rPr>
                <w:rFonts w:eastAsia="Times New Roman"/>
                <w:sz w:val="22"/>
                <w:szCs w:val="22"/>
              </w:rPr>
              <w:t xml:space="preserve">Organizational </w:t>
            </w:r>
            <w:r w:rsidR="002869D0" w:rsidRPr="009B65B1">
              <w:rPr>
                <w:rFonts w:eastAsia="Times New Roman"/>
                <w:sz w:val="22"/>
                <w:szCs w:val="22"/>
              </w:rPr>
              <w:t>structure</w:t>
            </w:r>
          </w:p>
        </w:tc>
        <w:tc>
          <w:tcPr>
            <w:tcW w:w="1319" w:type="dxa"/>
            <w:tcBorders>
              <w:top w:val="nil"/>
              <w:left w:val="nil"/>
              <w:bottom w:val="single" w:sz="4" w:space="0" w:color="auto"/>
              <w:right w:val="single" w:sz="4" w:space="0" w:color="auto"/>
            </w:tcBorders>
            <w:shd w:val="clear" w:color="auto" w:fill="auto"/>
            <w:vAlign w:val="center"/>
            <w:hideMark/>
          </w:tcPr>
          <w:p w14:paraId="29AF1735"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1268" w:type="dxa"/>
            <w:tcBorders>
              <w:top w:val="nil"/>
              <w:left w:val="nil"/>
              <w:bottom w:val="single" w:sz="4" w:space="0" w:color="auto"/>
              <w:right w:val="single" w:sz="4" w:space="0" w:color="auto"/>
            </w:tcBorders>
            <w:shd w:val="clear" w:color="auto" w:fill="auto"/>
            <w:noWrap/>
            <w:vAlign w:val="center"/>
            <w:hideMark/>
          </w:tcPr>
          <w:p w14:paraId="3D1A14DC" w14:textId="77777777" w:rsidR="009B65B1" w:rsidRPr="009B65B1" w:rsidRDefault="009B65B1" w:rsidP="009B65B1">
            <w:pPr>
              <w:jc w:val="center"/>
              <w:rPr>
                <w:rFonts w:eastAsia="Times New Roman"/>
                <w:sz w:val="22"/>
                <w:szCs w:val="22"/>
              </w:rPr>
            </w:pPr>
            <w:r w:rsidRPr="009B65B1">
              <w:rPr>
                <w:rFonts w:eastAsia="Times New Roman"/>
                <w:sz w:val="22"/>
                <w:szCs w:val="22"/>
              </w:rPr>
              <w:t>0.02</w:t>
            </w:r>
          </w:p>
        </w:tc>
      </w:tr>
      <w:tr w:rsidR="009B65B1" w:rsidRPr="009B65B1" w14:paraId="14B470D9"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E210ADD" w14:textId="77777777" w:rsidR="009B65B1" w:rsidRPr="009B65B1" w:rsidRDefault="009B65B1" w:rsidP="009B65B1">
            <w:pPr>
              <w:jc w:val="center"/>
              <w:rPr>
                <w:rFonts w:eastAsia="Times New Roman"/>
                <w:sz w:val="22"/>
                <w:szCs w:val="22"/>
              </w:rPr>
            </w:pPr>
            <w:r w:rsidRPr="009B65B1">
              <w:rPr>
                <w:rFonts w:eastAsia="Times New Roman"/>
                <w:sz w:val="22"/>
                <w:szCs w:val="22"/>
              </w:rPr>
              <w:t>E6</w:t>
            </w:r>
          </w:p>
        </w:tc>
        <w:tc>
          <w:tcPr>
            <w:tcW w:w="6214" w:type="dxa"/>
            <w:tcBorders>
              <w:top w:val="nil"/>
              <w:left w:val="nil"/>
              <w:bottom w:val="single" w:sz="4" w:space="0" w:color="auto"/>
              <w:right w:val="single" w:sz="4" w:space="0" w:color="auto"/>
            </w:tcBorders>
            <w:shd w:val="clear" w:color="auto" w:fill="auto"/>
            <w:vAlign w:val="center"/>
            <w:hideMark/>
          </w:tcPr>
          <w:p w14:paraId="04AAAB70" w14:textId="77777777" w:rsidR="009B65B1" w:rsidRPr="009B65B1" w:rsidRDefault="009B65B1" w:rsidP="009B65B1">
            <w:pPr>
              <w:rPr>
                <w:rFonts w:eastAsia="Times New Roman"/>
                <w:sz w:val="22"/>
                <w:szCs w:val="22"/>
              </w:rPr>
            </w:pPr>
            <w:r w:rsidRPr="009B65B1">
              <w:rPr>
                <w:rFonts w:eastAsia="Times New Roman"/>
                <w:sz w:val="22"/>
                <w:szCs w:val="22"/>
              </w:rPr>
              <w:t>Anti-Takeover Provisions</w:t>
            </w:r>
          </w:p>
        </w:tc>
        <w:tc>
          <w:tcPr>
            <w:tcW w:w="1319" w:type="dxa"/>
            <w:tcBorders>
              <w:top w:val="nil"/>
              <w:left w:val="nil"/>
              <w:bottom w:val="single" w:sz="4" w:space="0" w:color="auto"/>
              <w:right w:val="single" w:sz="4" w:space="0" w:color="auto"/>
            </w:tcBorders>
            <w:shd w:val="clear" w:color="auto" w:fill="auto"/>
            <w:vAlign w:val="center"/>
            <w:hideMark/>
          </w:tcPr>
          <w:p w14:paraId="227F9193" w14:textId="77777777" w:rsidR="009B65B1" w:rsidRPr="009B65B1" w:rsidRDefault="009B65B1" w:rsidP="009B65B1">
            <w:pPr>
              <w:jc w:val="center"/>
              <w:rPr>
                <w:rFonts w:eastAsia="Times New Roman"/>
                <w:sz w:val="22"/>
                <w:szCs w:val="22"/>
              </w:rPr>
            </w:pPr>
            <w:r w:rsidRPr="009B65B1">
              <w:rPr>
                <w:rFonts w:eastAsia="Times New Roman"/>
                <w:sz w:val="22"/>
                <w:szCs w:val="22"/>
              </w:rPr>
              <w:t>2</w:t>
            </w:r>
          </w:p>
        </w:tc>
        <w:tc>
          <w:tcPr>
            <w:tcW w:w="1268" w:type="dxa"/>
            <w:tcBorders>
              <w:top w:val="nil"/>
              <w:left w:val="nil"/>
              <w:bottom w:val="single" w:sz="4" w:space="0" w:color="auto"/>
              <w:right w:val="single" w:sz="4" w:space="0" w:color="auto"/>
            </w:tcBorders>
            <w:shd w:val="clear" w:color="auto" w:fill="auto"/>
            <w:noWrap/>
            <w:vAlign w:val="center"/>
            <w:hideMark/>
          </w:tcPr>
          <w:p w14:paraId="13007C7D" w14:textId="77777777" w:rsidR="009B65B1" w:rsidRPr="009B65B1" w:rsidRDefault="009B65B1" w:rsidP="009B65B1">
            <w:pPr>
              <w:jc w:val="center"/>
              <w:rPr>
                <w:rFonts w:eastAsia="Times New Roman"/>
                <w:sz w:val="22"/>
                <w:szCs w:val="22"/>
              </w:rPr>
            </w:pPr>
            <w:r w:rsidRPr="009B65B1">
              <w:rPr>
                <w:rFonts w:eastAsia="Times New Roman"/>
                <w:sz w:val="22"/>
                <w:szCs w:val="22"/>
              </w:rPr>
              <w:t>0.04</w:t>
            </w:r>
          </w:p>
        </w:tc>
      </w:tr>
      <w:tr w:rsidR="009B65B1" w:rsidRPr="009B65B1" w14:paraId="567367C5"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959F977" w14:textId="77777777" w:rsidR="009B65B1" w:rsidRPr="009B65B1" w:rsidRDefault="009B65B1" w:rsidP="009B65B1">
            <w:pPr>
              <w:jc w:val="center"/>
              <w:rPr>
                <w:rFonts w:eastAsia="Times New Roman"/>
                <w:sz w:val="22"/>
                <w:szCs w:val="22"/>
              </w:rPr>
            </w:pPr>
            <w:r w:rsidRPr="009B65B1">
              <w:rPr>
                <w:rFonts w:eastAsia="Times New Roman"/>
                <w:sz w:val="22"/>
                <w:szCs w:val="22"/>
              </w:rPr>
              <w:t>E7</w:t>
            </w:r>
          </w:p>
        </w:tc>
        <w:tc>
          <w:tcPr>
            <w:tcW w:w="6214" w:type="dxa"/>
            <w:tcBorders>
              <w:top w:val="nil"/>
              <w:left w:val="nil"/>
              <w:bottom w:val="single" w:sz="4" w:space="0" w:color="auto"/>
              <w:right w:val="single" w:sz="4" w:space="0" w:color="auto"/>
            </w:tcBorders>
            <w:shd w:val="clear" w:color="auto" w:fill="auto"/>
            <w:vAlign w:val="center"/>
            <w:hideMark/>
          </w:tcPr>
          <w:p w14:paraId="3BC432C2" w14:textId="77777777" w:rsidR="009B65B1" w:rsidRPr="009B65B1" w:rsidRDefault="009B65B1" w:rsidP="009B65B1">
            <w:pPr>
              <w:rPr>
                <w:rFonts w:eastAsia="Times New Roman"/>
                <w:sz w:val="22"/>
                <w:szCs w:val="22"/>
              </w:rPr>
            </w:pPr>
            <w:r w:rsidRPr="009B65B1">
              <w:rPr>
                <w:rFonts w:eastAsia="Times New Roman"/>
                <w:sz w:val="22"/>
                <w:szCs w:val="22"/>
              </w:rPr>
              <w:t>Signatures</w:t>
            </w:r>
          </w:p>
        </w:tc>
        <w:tc>
          <w:tcPr>
            <w:tcW w:w="1319" w:type="dxa"/>
            <w:tcBorders>
              <w:top w:val="nil"/>
              <w:left w:val="nil"/>
              <w:bottom w:val="single" w:sz="4" w:space="0" w:color="auto"/>
              <w:right w:val="single" w:sz="4" w:space="0" w:color="auto"/>
            </w:tcBorders>
            <w:shd w:val="clear" w:color="auto" w:fill="auto"/>
            <w:vAlign w:val="center"/>
            <w:hideMark/>
          </w:tcPr>
          <w:p w14:paraId="70DBFEDC" w14:textId="77777777" w:rsidR="009B65B1" w:rsidRPr="009B65B1" w:rsidRDefault="009B65B1" w:rsidP="009B65B1">
            <w:pPr>
              <w:jc w:val="center"/>
              <w:rPr>
                <w:rFonts w:eastAsia="Times New Roman"/>
                <w:sz w:val="22"/>
                <w:szCs w:val="22"/>
              </w:rPr>
            </w:pPr>
            <w:r w:rsidRPr="009B65B1">
              <w:rPr>
                <w:rFonts w:eastAsia="Times New Roman"/>
                <w:sz w:val="22"/>
                <w:szCs w:val="22"/>
              </w:rPr>
              <w:t>3</w:t>
            </w:r>
          </w:p>
        </w:tc>
        <w:tc>
          <w:tcPr>
            <w:tcW w:w="1268" w:type="dxa"/>
            <w:tcBorders>
              <w:top w:val="nil"/>
              <w:left w:val="nil"/>
              <w:bottom w:val="single" w:sz="4" w:space="0" w:color="auto"/>
              <w:right w:val="single" w:sz="4" w:space="0" w:color="auto"/>
            </w:tcBorders>
            <w:shd w:val="clear" w:color="auto" w:fill="auto"/>
            <w:noWrap/>
            <w:vAlign w:val="center"/>
            <w:hideMark/>
          </w:tcPr>
          <w:p w14:paraId="42CD3B94" w14:textId="77777777" w:rsidR="009B65B1" w:rsidRPr="009B65B1" w:rsidRDefault="009B65B1" w:rsidP="009B65B1">
            <w:pPr>
              <w:jc w:val="center"/>
              <w:rPr>
                <w:rFonts w:eastAsia="Times New Roman"/>
                <w:sz w:val="22"/>
                <w:szCs w:val="22"/>
              </w:rPr>
            </w:pPr>
            <w:r w:rsidRPr="009B65B1">
              <w:rPr>
                <w:rFonts w:eastAsia="Times New Roman"/>
                <w:sz w:val="22"/>
                <w:szCs w:val="22"/>
              </w:rPr>
              <w:t>0.06</w:t>
            </w:r>
          </w:p>
        </w:tc>
      </w:tr>
      <w:tr w:rsidR="009B65B1" w:rsidRPr="009B65B1" w14:paraId="2A9CD70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460C397" w14:textId="77777777" w:rsidR="009B65B1" w:rsidRPr="009B65B1" w:rsidRDefault="009B65B1" w:rsidP="009B65B1">
            <w:pPr>
              <w:jc w:val="center"/>
              <w:rPr>
                <w:rFonts w:eastAsia="Times New Roman"/>
                <w:sz w:val="22"/>
                <w:szCs w:val="22"/>
              </w:rPr>
            </w:pPr>
            <w:r w:rsidRPr="009B65B1">
              <w:rPr>
                <w:rFonts w:eastAsia="Times New Roman"/>
                <w:sz w:val="22"/>
                <w:szCs w:val="22"/>
              </w:rPr>
              <w:t>E8</w:t>
            </w:r>
          </w:p>
        </w:tc>
        <w:tc>
          <w:tcPr>
            <w:tcW w:w="6214" w:type="dxa"/>
            <w:tcBorders>
              <w:top w:val="nil"/>
              <w:left w:val="nil"/>
              <w:bottom w:val="single" w:sz="4" w:space="0" w:color="auto"/>
              <w:right w:val="single" w:sz="4" w:space="0" w:color="auto"/>
            </w:tcBorders>
            <w:shd w:val="clear" w:color="auto" w:fill="auto"/>
            <w:vAlign w:val="center"/>
            <w:hideMark/>
          </w:tcPr>
          <w:p w14:paraId="2F3C3539" w14:textId="77777777" w:rsidR="009B65B1" w:rsidRPr="009B65B1" w:rsidRDefault="009B65B1" w:rsidP="009B65B1">
            <w:pPr>
              <w:rPr>
                <w:rFonts w:eastAsia="Times New Roman"/>
                <w:sz w:val="22"/>
                <w:szCs w:val="22"/>
              </w:rPr>
            </w:pPr>
            <w:r w:rsidRPr="009B65B1">
              <w:rPr>
                <w:rFonts w:eastAsia="Times New Roman"/>
                <w:sz w:val="22"/>
                <w:szCs w:val="22"/>
              </w:rPr>
              <w:t>Employee</w:t>
            </w:r>
          </w:p>
        </w:tc>
        <w:tc>
          <w:tcPr>
            <w:tcW w:w="1319" w:type="dxa"/>
            <w:tcBorders>
              <w:top w:val="nil"/>
              <w:left w:val="nil"/>
              <w:bottom w:val="single" w:sz="4" w:space="0" w:color="auto"/>
              <w:right w:val="single" w:sz="4" w:space="0" w:color="auto"/>
            </w:tcBorders>
            <w:shd w:val="clear" w:color="auto" w:fill="auto"/>
            <w:vAlign w:val="center"/>
            <w:hideMark/>
          </w:tcPr>
          <w:p w14:paraId="33D29C7B" w14:textId="77777777" w:rsidR="009B65B1" w:rsidRPr="009B65B1" w:rsidRDefault="009B65B1" w:rsidP="009B65B1">
            <w:pPr>
              <w:jc w:val="center"/>
              <w:rPr>
                <w:rFonts w:eastAsia="Times New Roman"/>
                <w:sz w:val="22"/>
                <w:szCs w:val="22"/>
              </w:rPr>
            </w:pPr>
            <w:r w:rsidRPr="009B65B1">
              <w:rPr>
                <w:rFonts w:eastAsia="Times New Roman"/>
                <w:sz w:val="22"/>
                <w:szCs w:val="22"/>
              </w:rPr>
              <w:t>14</w:t>
            </w:r>
          </w:p>
        </w:tc>
        <w:tc>
          <w:tcPr>
            <w:tcW w:w="1268" w:type="dxa"/>
            <w:tcBorders>
              <w:top w:val="nil"/>
              <w:left w:val="nil"/>
              <w:bottom w:val="single" w:sz="4" w:space="0" w:color="auto"/>
              <w:right w:val="single" w:sz="4" w:space="0" w:color="auto"/>
            </w:tcBorders>
            <w:shd w:val="clear" w:color="auto" w:fill="auto"/>
            <w:noWrap/>
            <w:vAlign w:val="center"/>
            <w:hideMark/>
          </w:tcPr>
          <w:p w14:paraId="31C9ED2E" w14:textId="77777777" w:rsidR="009B65B1" w:rsidRPr="009B65B1" w:rsidRDefault="009B65B1" w:rsidP="009B65B1">
            <w:pPr>
              <w:jc w:val="center"/>
              <w:rPr>
                <w:rFonts w:eastAsia="Times New Roman"/>
                <w:sz w:val="22"/>
                <w:szCs w:val="22"/>
              </w:rPr>
            </w:pPr>
            <w:r w:rsidRPr="009B65B1">
              <w:rPr>
                <w:rFonts w:eastAsia="Times New Roman"/>
                <w:sz w:val="22"/>
                <w:szCs w:val="22"/>
              </w:rPr>
              <w:t>0.28</w:t>
            </w:r>
          </w:p>
        </w:tc>
      </w:tr>
      <w:tr w:rsidR="009B65B1" w:rsidRPr="009B65B1" w14:paraId="52E53A3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DF1EECC" w14:textId="77777777" w:rsidR="009B65B1" w:rsidRPr="009B65B1" w:rsidRDefault="009B65B1" w:rsidP="009B65B1">
            <w:pPr>
              <w:jc w:val="right"/>
              <w:rPr>
                <w:rFonts w:eastAsia="Times New Roman"/>
                <w:b/>
                <w:bCs/>
                <w:sz w:val="22"/>
                <w:szCs w:val="22"/>
              </w:rPr>
            </w:pPr>
            <w:r w:rsidRPr="009B65B1">
              <w:rPr>
                <w:rFonts w:eastAsia="Times New Roman"/>
                <w:b/>
                <w:bCs/>
                <w:sz w:val="22"/>
                <w:szCs w:val="22"/>
              </w:rPr>
              <w:t> </w:t>
            </w:r>
          </w:p>
        </w:tc>
        <w:tc>
          <w:tcPr>
            <w:tcW w:w="6214" w:type="dxa"/>
            <w:tcBorders>
              <w:top w:val="nil"/>
              <w:left w:val="nil"/>
              <w:bottom w:val="single" w:sz="4" w:space="0" w:color="auto"/>
              <w:right w:val="single" w:sz="4" w:space="0" w:color="auto"/>
            </w:tcBorders>
            <w:shd w:val="clear" w:color="auto" w:fill="auto"/>
            <w:vAlign w:val="center"/>
            <w:hideMark/>
          </w:tcPr>
          <w:p w14:paraId="2562FE59" w14:textId="77777777" w:rsidR="009B65B1" w:rsidRPr="009B65B1" w:rsidRDefault="009B65B1" w:rsidP="009B65B1">
            <w:pPr>
              <w:rPr>
                <w:rFonts w:eastAsia="Times New Roman"/>
                <w:b/>
                <w:bCs/>
                <w:sz w:val="22"/>
                <w:szCs w:val="22"/>
              </w:rPr>
            </w:pPr>
            <w:r w:rsidRPr="009B65B1">
              <w:rPr>
                <w:rFonts w:eastAsia="Times New Roman"/>
                <w:b/>
                <w:bCs/>
                <w:sz w:val="22"/>
                <w:szCs w:val="22"/>
              </w:rPr>
              <w:t>VI. DISCLOSURE ISSUES</w:t>
            </w:r>
          </w:p>
        </w:tc>
        <w:tc>
          <w:tcPr>
            <w:tcW w:w="1319" w:type="dxa"/>
            <w:tcBorders>
              <w:top w:val="nil"/>
              <w:left w:val="nil"/>
              <w:bottom w:val="single" w:sz="4" w:space="0" w:color="auto"/>
              <w:right w:val="single" w:sz="4" w:space="0" w:color="auto"/>
            </w:tcBorders>
            <w:shd w:val="clear" w:color="auto" w:fill="auto"/>
            <w:vAlign w:val="center"/>
            <w:hideMark/>
          </w:tcPr>
          <w:p w14:paraId="61C467EF"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1381</w:t>
            </w:r>
          </w:p>
        </w:tc>
        <w:tc>
          <w:tcPr>
            <w:tcW w:w="1268" w:type="dxa"/>
            <w:tcBorders>
              <w:top w:val="nil"/>
              <w:left w:val="nil"/>
              <w:bottom w:val="single" w:sz="4" w:space="0" w:color="auto"/>
              <w:right w:val="single" w:sz="4" w:space="0" w:color="auto"/>
            </w:tcBorders>
            <w:shd w:val="clear" w:color="auto" w:fill="auto"/>
            <w:vAlign w:val="center"/>
            <w:hideMark/>
          </w:tcPr>
          <w:p w14:paraId="46D4203A"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27.33</w:t>
            </w:r>
          </w:p>
        </w:tc>
      </w:tr>
      <w:tr w:rsidR="009B65B1" w:rsidRPr="009B65B1" w14:paraId="6BE31BA0"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EF663EF" w14:textId="77777777" w:rsidR="009B65B1" w:rsidRPr="009B65B1" w:rsidRDefault="009B65B1" w:rsidP="009B65B1">
            <w:pPr>
              <w:jc w:val="center"/>
              <w:rPr>
                <w:rFonts w:eastAsia="Times New Roman"/>
                <w:sz w:val="22"/>
                <w:szCs w:val="22"/>
              </w:rPr>
            </w:pPr>
            <w:r w:rsidRPr="009B65B1">
              <w:rPr>
                <w:rFonts w:eastAsia="Times New Roman"/>
                <w:sz w:val="22"/>
                <w:szCs w:val="22"/>
              </w:rPr>
              <w:t>F1</w:t>
            </w:r>
          </w:p>
        </w:tc>
        <w:tc>
          <w:tcPr>
            <w:tcW w:w="6214" w:type="dxa"/>
            <w:tcBorders>
              <w:top w:val="nil"/>
              <w:left w:val="nil"/>
              <w:bottom w:val="single" w:sz="4" w:space="0" w:color="auto"/>
              <w:right w:val="single" w:sz="4" w:space="0" w:color="auto"/>
            </w:tcBorders>
            <w:shd w:val="clear" w:color="auto" w:fill="auto"/>
            <w:vAlign w:val="center"/>
            <w:hideMark/>
          </w:tcPr>
          <w:p w14:paraId="0D64A484" w14:textId="77777777" w:rsidR="009B65B1" w:rsidRPr="009B65B1" w:rsidRDefault="009B65B1" w:rsidP="009B65B1">
            <w:pPr>
              <w:rPr>
                <w:rFonts w:eastAsia="Times New Roman"/>
                <w:sz w:val="22"/>
                <w:szCs w:val="22"/>
              </w:rPr>
            </w:pPr>
            <w:r w:rsidRPr="009B65B1">
              <w:rPr>
                <w:rFonts w:eastAsia="Times New Roman"/>
                <w:sz w:val="22"/>
                <w:szCs w:val="22"/>
              </w:rPr>
              <w:t>Technical information</w:t>
            </w:r>
          </w:p>
        </w:tc>
        <w:tc>
          <w:tcPr>
            <w:tcW w:w="1319" w:type="dxa"/>
            <w:tcBorders>
              <w:top w:val="nil"/>
              <w:left w:val="nil"/>
              <w:bottom w:val="single" w:sz="4" w:space="0" w:color="auto"/>
              <w:right w:val="single" w:sz="4" w:space="0" w:color="auto"/>
            </w:tcBorders>
            <w:shd w:val="clear" w:color="auto" w:fill="auto"/>
            <w:vAlign w:val="center"/>
            <w:hideMark/>
          </w:tcPr>
          <w:p w14:paraId="69080383" w14:textId="77777777" w:rsidR="009B65B1" w:rsidRPr="009B65B1" w:rsidRDefault="009B65B1" w:rsidP="009B65B1">
            <w:pPr>
              <w:jc w:val="center"/>
              <w:rPr>
                <w:rFonts w:eastAsia="Times New Roman"/>
                <w:sz w:val="22"/>
                <w:szCs w:val="22"/>
              </w:rPr>
            </w:pPr>
            <w:r w:rsidRPr="009B65B1">
              <w:rPr>
                <w:rFonts w:eastAsia="Times New Roman"/>
                <w:sz w:val="22"/>
                <w:szCs w:val="22"/>
              </w:rPr>
              <w:t>28</w:t>
            </w:r>
          </w:p>
        </w:tc>
        <w:tc>
          <w:tcPr>
            <w:tcW w:w="1268" w:type="dxa"/>
            <w:tcBorders>
              <w:top w:val="nil"/>
              <w:left w:val="nil"/>
              <w:bottom w:val="single" w:sz="4" w:space="0" w:color="auto"/>
              <w:right w:val="single" w:sz="4" w:space="0" w:color="auto"/>
            </w:tcBorders>
            <w:shd w:val="clear" w:color="auto" w:fill="auto"/>
            <w:noWrap/>
            <w:vAlign w:val="center"/>
            <w:hideMark/>
          </w:tcPr>
          <w:p w14:paraId="737BB531" w14:textId="77777777" w:rsidR="009B65B1" w:rsidRPr="009B65B1" w:rsidRDefault="009B65B1" w:rsidP="009B65B1">
            <w:pPr>
              <w:jc w:val="center"/>
              <w:rPr>
                <w:rFonts w:eastAsia="Times New Roman"/>
                <w:sz w:val="22"/>
                <w:szCs w:val="22"/>
              </w:rPr>
            </w:pPr>
            <w:r w:rsidRPr="009B65B1">
              <w:rPr>
                <w:rFonts w:eastAsia="Times New Roman"/>
                <w:sz w:val="22"/>
                <w:szCs w:val="22"/>
              </w:rPr>
              <w:t>0.55</w:t>
            </w:r>
          </w:p>
        </w:tc>
      </w:tr>
      <w:tr w:rsidR="009B65B1" w:rsidRPr="009B65B1" w14:paraId="3EA353C4"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2A7A8AA" w14:textId="77777777" w:rsidR="009B65B1" w:rsidRPr="009B65B1" w:rsidRDefault="009B65B1" w:rsidP="009B65B1">
            <w:pPr>
              <w:jc w:val="center"/>
              <w:rPr>
                <w:rFonts w:eastAsia="Times New Roman"/>
                <w:sz w:val="22"/>
                <w:szCs w:val="22"/>
              </w:rPr>
            </w:pPr>
            <w:r w:rsidRPr="009B65B1">
              <w:rPr>
                <w:rFonts w:eastAsia="Times New Roman"/>
                <w:sz w:val="22"/>
                <w:szCs w:val="22"/>
              </w:rPr>
              <w:t>F2</w:t>
            </w:r>
          </w:p>
        </w:tc>
        <w:tc>
          <w:tcPr>
            <w:tcW w:w="6214" w:type="dxa"/>
            <w:tcBorders>
              <w:top w:val="nil"/>
              <w:left w:val="nil"/>
              <w:bottom w:val="single" w:sz="4" w:space="0" w:color="auto"/>
              <w:right w:val="single" w:sz="4" w:space="0" w:color="auto"/>
            </w:tcBorders>
            <w:shd w:val="clear" w:color="auto" w:fill="auto"/>
            <w:vAlign w:val="center"/>
            <w:hideMark/>
          </w:tcPr>
          <w:p w14:paraId="74FE25A5" w14:textId="77777777" w:rsidR="009B65B1" w:rsidRPr="009B65B1" w:rsidRDefault="009B65B1" w:rsidP="009B65B1">
            <w:pPr>
              <w:rPr>
                <w:rFonts w:eastAsia="Times New Roman"/>
                <w:sz w:val="22"/>
                <w:szCs w:val="22"/>
              </w:rPr>
            </w:pPr>
            <w:r w:rsidRPr="009B65B1">
              <w:rPr>
                <w:rFonts w:eastAsia="Times New Roman"/>
                <w:sz w:val="22"/>
                <w:szCs w:val="22"/>
              </w:rPr>
              <w:t>Abstract word</w:t>
            </w:r>
          </w:p>
        </w:tc>
        <w:tc>
          <w:tcPr>
            <w:tcW w:w="1319" w:type="dxa"/>
            <w:tcBorders>
              <w:top w:val="nil"/>
              <w:left w:val="nil"/>
              <w:bottom w:val="single" w:sz="4" w:space="0" w:color="auto"/>
              <w:right w:val="single" w:sz="4" w:space="0" w:color="auto"/>
            </w:tcBorders>
            <w:shd w:val="clear" w:color="auto" w:fill="auto"/>
            <w:vAlign w:val="center"/>
            <w:hideMark/>
          </w:tcPr>
          <w:p w14:paraId="54F72B5F" w14:textId="77777777" w:rsidR="009B65B1" w:rsidRPr="009B65B1" w:rsidRDefault="009B65B1" w:rsidP="009B65B1">
            <w:pPr>
              <w:jc w:val="center"/>
              <w:rPr>
                <w:rFonts w:eastAsia="Times New Roman"/>
                <w:sz w:val="22"/>
                <w:szCs w:val="22"/>
              </w:rPr>
            </w:pPr>
            <w:r w:rsidRPr="009B65B1">
              <w:rPr>
                <w:rFonts w:eastAsia="Times New Roman"/>
                <w:sz w:val="22"/>
                <w:szCs w:val="22"/>
              </w:rPr>
              <w:t>68</w:t>
            </w:r>
          </w:p>
        </w:tc>
        <w:tc>
          <w:tcPr>
            <w:tcW w:w="1268" w:type="dxa"/>
            <w:tcBorders>
              <w:top w:val="nil"/>
              <w:left w:val="nil"/>
              <w:bottom w:val="single" w:sz="4" w:space="0" w:color="auto"/>
              <w:right w:val="single" w:sz="4" w:space="0" w:color="auto"/>
            </w:tcBorders>
            <w:shd w:val="clear" w:color="auto" w:fill="auto"/>
            <w:noWrap/>
            <w:vAlign w:val="center"/>
            <w:hideMark/>
          </w:tcPr>
          <w:p w14:paraId="2947B2CE" w14:textId="77777777" w:rsidR="009B65B1" w:rsidRPr="009B65B1" w:rsidRDefault="009B65B1" w:rsidP="009B65B1">
            <w:pPr>
              <w:jc w:val="center"/>
              <w:rPr>
                <w:rFonts w:eastAsia="Times New Roman"/>
                <w:sz w:val="22"/>
                <w:szCs w:val="22"/>
              </w:rPr>
            </w:pPr>
            <w:r w:rsidRPr="009B65B1">
              <w:rPr>
                <w:rFonts w:eastAsia="Times New Roman"/>
                <w:sz w:val="22"/>
                <w:szCs w:val="22"/>
              </w:rPr>
              <w:t>1.35</w:t>
            </w:r>
          </w:p>
        </w:tc>
      </w:tr>
      <w:tr w:rsidR="009B65B1" w:rsidRPr="009B65B1" w14:paraId="0E3038A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AD15242" w14:textId="77777777" w:rsidR="009B65B1" w:rsidRPr="009B65B1" w:rsidRDefault="009B65B1" w:rsidP="009B65B1">
            <w:pPr>
              <w:jc w:val="center"/>
              <w:rPr>
                <w:rFonts w:eastAsia="Times New Roman"/>
                <w:sz w:val="22"/>
                <w:szCs w:val="22"/>
              </w:rPr>
            </w:pPr>
            <w:r w:rsidRPr="009B65B1">
              <w:rPr>
                <w:rFonts w:eastAsia="Times New Roman"/>
                <w:sz w:val="22"/>
                <w:szCs w:val="22"/>
              </w:rPr>
              <w:t>F3</w:t>
            </w:r>
          </w:p>
        </w:tc>
        <w:tc>
          <w:tcPr>
            <w:tcW w:w="6214" w:type="dxa"/>
            <w:tcBorders>
              <w:top w:val="nil"/>
              <w:left w:val="nil"/>
              <w:bottom w:val="single" w:sz="4" w:space="0" w:color="auto"/>
              <w:right w:val="single" w:sz="4" w:space="0" w:color="auto"/>
            </w:tcBorders>
            <w:shd w:val="clear" w:color="auto" w:fill="auto"/>
            <w:vAlign w:val="center"/>
            <w:hideMark/>
          </w:tcPr>
          <w:p w14:paraId="6B4D6F76" w14:textId="77777777" w:rsidR="009B65B1" w:rsidRPr="009B65B1" w:rsidRDefault="009B65B1" w:rsidP="009B65B1">
            <w:pPr>
              <w:rPr>
                <w:rFonts w:eastAsia="Times New Roman"/>
                <w:sz w:val="22"/>
                <w:szCs w:val="22"/>
              </w:rPr>
            </w:pPr>
            <w:r w:rsidRPr="009B65B1">
              <w:rPr>
                <w:rFonts w:eastAsia="Times New Roman"/>
                <w:sz w:val="22"/>
                <w:szCs w:val="22"/>
              </w:rPr>
              <w:t>Defined term/acronym</w:t>
            </w:r>
          </w:p>
        </w:tc>
        <w:tc>
          <w:tcPr>
            <w:tcW w:w="1319" w:type="dxa"/>
            <w:tcBorders>
              <w:top w:val="nil"/>
              <w:left w:val="nil"/>
              <w:bottom w:val="single" w:sz="4" w:space="0" w:color="auto"/>
              <w:right w:val="single" w:sz="4" w:space="0" w:color="auto"/>
            </w:tcBorders>
            <w:shd w:val="clear" w:color="auto" w:fill="auto"/>
            <w:vAlign w:val="center"/>
            <w:hideMark/>
          </w:tcPr>
          <w:p w14:paraId="14B9F8A2" w14:textId="77777777" w:rsidR="009B65B1" w:rsidRPr="009B65B1" w:rsidRDefault="009B65B1" w:rsidP="009B65B1">
            <w:pPr>
              <w:jc w:val="center"/>
              <w:rPr>
                <w:rFonts w:eastAsia="Times New Roman"/>
                <w:sz w:val="22"/>
                <w:szCs w:val="22"/>
              </w:rPr>
            </w:pPr>
            <w:r w:rsidRPr="009B65B1">
              <w:rPr>
                <w:rFonts w:eastAsia="Times New Roman"/>
                <w:sz w:val="22"/>
                <w:szCs w:val="22"/>
              </w:rPr>
              <w:t>24</w:t>
            </w:r>
          </w:p>
        </w:tc>
        <w:tc>
          <w:tcPr>
            <w:tcW w:w="1268" w:type="dxa"/>
            <w:tcBorders>
              <w:top w:val="nil"/>
              <w:left w:val="nil"/>
              <w:bottom w:val="single" w:sz="4" w:space="0" w:color="auto"/>
              <w:right w:val="single" w:sz="4" w:space="0" w:color="auto"/>
            </w:tcBorders>
            <w:shd w:val="clear" w:color="auto" w:fill="auto"/>
            <w:noWrap/>
            <w:vAlign w:val="center"/>
            <w:hideMark/>
          </w:tcPr>
          <w:p w14:paraId="3D840E95" w14:textId="77777777" w:rsidR="009B65B1" w:rsidRPr="009B65B1" w:rsidRDefault="009B65B1" w:rsidP="009B65B1">
            <w:pPr>
              <w:jc w:val="center"/>
              <w:rPr>
                <w:rFonts w:eastAsia="Times New Roman"/>
                <w:sz w:val="22"/>
                <w:szCs w:val="22"/>
              </w:rPr>
            </w:pPr>
            <w:r w:rsidRPr="009B65B1">
              <w:rPr>
                <w:rFonts w:eastAsia="Times New Roman"/>
                <w:sz w:val="22"/>
                <w:szCs w:val="22"/>
              </w:rPr>
              <w:t>0.47</w:t>
            </w:r>
          </w:p>
        </w:tc>
      </w:tr>
      <w:tr w:rsidR="009B65B1" w:rsidRPr="009B65B1" w14:paraId="44C05E8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AFA464B" w14:textId="77777777" w:rsidR="009B65B1" w:rsidRPr="009B65B1" w:rsidRDefault="009B65B1" w:rsidP="009B65B1">
            <w:pPr>
              <w:jc w:val="center"/>
              <w:rPr>
                <w:rFonts w:eastAsia="Times New Roman"/>
                <w:sz w:val="22"/>
                <w:szCs w:val="22"/>
              </w:rPr>
            </w:pPr>
            <w:r w:rsidRPr="009B65B1">
              <w:rPr>
                <w:rFonts w:eastAsia="Times New Roman"/>
                <w:sz w:val="22"/>
                <w:szCs w:val="22"/>
              </w:rPr>
              <w:t>F4</w:t>
            </w:r>
          </w:p>
        </w:tc>
        <w:tc>
          <w:tcPr>
            <w:tcW w:w="6214" w:type="dxa"/>
            <w:tcBorders>
              <w:top w:val="nil"/>
              <w:left w:val="nil"/>
              <w:bottom w:val="single" w:sz="4" w:space="0" w:color="auto"/>
              <w:right w:val="single" w:sz="4" w:space="0" w:color="auto"/>
            </w:tcBorders>
            <w:shd w:val="clear" w:color="auto" w:fill="auto"/>
            <w:vAlign w:val="center"/>
            <w:hideMark/>
          </w:tcPr>
          <w:p w14:paraId="1E678D1B" w14:textId="77777777" w:rsidR="009B65B1" w:rsidRPr="009B65B1" w:rsidRDefault="009B65B1" w:rsidP="009B65B1">
            <w:pPr>
              <w:rPr>
                <w:rFonts w:eastAsia="Times New Roman"/>
                <w:sz w:val="22"/>
                <w:szCs w:val="22"/>
              </w:rPr>
            </w:pPr>
            <w:r w:rsidRPr="009B65B1">
              <w:rPr>
                <w:rFonts w:eastAsia="Times New Roman"/>
                <w:sz w:val="22"/>
                <w:szCs w:val="22"/>
              </w:rPr>
              <w:t>Over-positive tone</w:t>
            </w:r>
          </w:p>
        </w:tc>
        <w:tc>
          <w:tcPr>
            <w:tcW w:w="1319" w:type="dxa"/>
            <w:tcBorders>
              <w:top w:val="nil"/>
              <w:left w:val="nil"/>
              <w:bottom w:val="single" w:sz="4" w:space="0" w:color="auto"/>
              <w:right w:val="single" w:sz="4" w:space="0" w:color="auto"/>
            </w:tcBorders>
            <w:shd w:val="clear" w:color="auto" w:fill="auto"/>
            <w:vAlign w:val="center"/>
            <w:hideMark/>
          </w:tcPr>
          <w:p w14:paraId="059D00FB" w14:textId="77777777" w:rsidR="009B65B1" w:rsidRPr="009B65B1" w:rsidRDefault="009B65B1" w:rsidP="009B65B1">
            <w:pPr>
              <w:jc w:val="center"/>
              <w:rPr>
                <w:rFonts w:eastAsia="Times New Roman"/>
                <w:sz w:val="22"/>
                <w:szCs w:val="22"/>
              </w:rPr>
            </w:pPr>
            <w:r w:rsidRPr="009B65B1">
              <w:rPr>
                <w:rFonts w:eastAsia="Times New Roman"/>
                <w:sz w:val="22"/>
                <w:szCs w:val="22"/>
              </w:rPr>
              <w:t>25</w:t>
            </w:r>
          </w:p>
        </w:tc>
        <w:tc>
          <w:tcPr>
            <w:tcW w:w="1268" w:type="dxa"/>
            <w:tcBorders>
              <w:top w:val="nil"/>
              <w:left w:val="nil"/>
              <w:bottom w:val="single" w:sz="4" w:space="0" w:color="auto"/>
              <w:right w:val="single" w:sz="4" w:space="0" w:color="auto"/>
            </w:tcBorders>
            <w:shd w:val="clear" w:color="auto" w:fill="auto"/>
            <w:noWrap/>
            <w:vAlign w:val="center"/>
            <w:hideMark/>
          </w:tcPr>
          <w:p w14:paraId="733B4B30" w14:textId="77777777" w:rsidR="009B65B1" w:rsidRPr="009B65B1" w:rsidRDefault="009B65B1" w:rsidP="009B65B1">
            <w:pPr>
              <w:jc w:val="center"/>
              <w:rPr>
                <w:rFonts w:eastAsia="Times New Roman"/>
                <w:sz w:val="22"/>
                <w:szCs w:val="22"/>
              </w:rPr>
            </w:pPr>
            <w:r w:rsidRPr="009B65B1">
              <w:rPr>
                <w:rFonts w:eastAsia="Times New Roman"/>
                <w:sz w:val="22"/>
                <w:szCs w:val="22"/>
              </w:rPr>
              <w:t>0.49</w:t>
            </w:r>
          </w:p>
        </w:tc>
      </w:tr>
      <w:tr w:rsidR="009B65B1" w:rsidRPr="009B65B1" w14:paraId="1FAA44D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2F674A0" w14:textId="77777777" w:rsidR="009B65B1" w:rsidRPr="009B65B1" w:rsidRDefault="009B65B1" w:rsidP="009B65B1">
            <w:pPr>
              <w:jc w:val="center"/>
              <w:rPr>
                <w:rFonts w:eastAsia="Times New Roman"/>
                <w:sz w:val="22"/>
                <w:szCs w:val="22"/>
              </w:rPr>
            </w:pPr>
            <w:r w:rsidRPr="009B65B1">
              <w:rPr>
                <w:rFonts w:eastAsia="Times New Roman"/>
                <w:sz w:val="22"/>
                <w:szCs w:val="22"/>
              </w:rPr>
              <w:t>F5</w:t>
            </w:r>
          </w:p>
        </w:tc>
        <w:tc>
          <w:tcPr>
            <w:tcW w:w="6214" w:type="dxa"/>
            <w:tcBorders>
              <w:top w:val="nil"/>
              <w:left w:val="nil"/>
              <w:bottom w:val="single" w:sz="4" w:space="0" w:color="auto"/>
              <w:right w:val="single" w:sz="4" w:space="0" w:color="auto"/>
            </w:tcBorders>
            <w:shd w:val="clear" w:color="auto" w:fill="auto"/>
            <w:vAlign w:val="center"/>
            <w:hideMark/>
          </w:tcPr>
          <w:p w14:paraId="63E4D7F8" w14:textId="77777777" w:rsidR="009B65B1" w:rsidRPr="009B65B1" w:rsidRDefault="009B65B1" w:rsidP="009B65B1">
            <w:pPr>
              <w:rPr>
                <w:rFonts w:eastAsia="Times New Roman"/>
                <w:sz w:val="22"/>
                <w:szCs w:val="22"/>
              </w:rPr>
            </w:pPr>
            <w:r w:rsidRPr="009B65B1">
              <w:rPr>
                <w:rFonts w:eastAsia="Times New Roman"/>
                <w:sz w:val="22"/>
                <w:szCs w:val="22"/>
              </w:rPr>
              <w:t>Selective disclosure</w:t>
            </w:r>
          </w:p>
        </w:tc>
        <w:tc>
          <w:tcPr>
            <w:tcW w:w="1319" w:type="dxa"/>
            <w:tcBorders>
              <w:top w:val="nil"/>
              <w:left w:val="nil"/>
              <w:bottom w:val="single" w:sz="4" w:space="0" w:color="auto"/>
              <w:right w:val="single" w:sz="4" w:space="0" w:color="auto"/>
            </w:tcBorders>
            <w:shd w:val="clear" w:color="auto" w:fill="auto"/>
            <w:vAlign w:val="center"/>
            <w:hideMark/>
          </w:tcPr>
          <w:p w14:paraId="5D3E279F" w14:textId="77777777" w:rsidR="009B65B1" w:rsidRPr="009B65B1" w:rsidRDefault="009B65B1" w:rsidP="009B65B1">
            <w:pPr>
              <w:jc w:val="center"/>
              <w:rPr>
                <w:rFonts w:eastAsia="Times New Roman"/>
                <w:sz w:val="22"/>
                <w:szCs w:val="22"/>
              </w:rPr>
            </w:pPr>
            <w:r w:rsidRPr="009B65B1">
              <w:rPr>
                <w:rFonts w:eastAsia="Times New Roman"/>
                <w:sz w:val="22"/>
                <w:szCs w:val="22"/>
              </w:rPr>
              <w:t>52</w:t>
            </w:r>
          </w:p>
        </w:tc>
        <w:tc>
          <w:tcPr>
            <w:tcW w:w="1268" w:type="dxa"/>
            <w:tcBorders>
              <w:top w:val="nil"/>
              <w:left w:val="nil"/>
              <w:bottom w:val="single" w:sz="4" w:space="0" w:color="auto"/>
              <w:right w:val="single" w:sz="4" w:space="0" w:color="auto"/>
            </w:tcBorders>
            <w:shd w:val="clear" w:color="auto" w:fill="auto"/>
            <w:noWrap/>
            <w:vAlign w:val="center"/>
            <w:hideMark/>
          </w:tcPr>
          <w:p w14:paraId="3482F97F" w14:textId="77777777" w:rsidR="009B65B1" w:rsidRPr="009B65B1" w:rsidRDefault="009B65B1" w:rsidP="009B65B1">
            <w:pPr>
              <w:jc w:val="center"/>
              <w:rPr>
                <w:rFonts w:eastAsia="Times New Roman"/>
                <w:sz w:val="22"/>
                <w:szCs w:val="22"/>
              </w:rPr>
            </w:pPr>
            <w:r w:rsidRPr="009B65B1">
              <w:rPr>
                <w:rFonts w:eastAsia="Times New Roman"/>
                <w:sz w:val="22"/>
                <w:szCs w:val="22"/>
              </w:rPr>
              <w:t>1.03</w:t>
            </w:r>
          </w:p>
        </w:tc>
      </w:tr>
      <w:tr w:rsidR="009B65B1" w:rsidRPr="009B65B1" w14:paraId="6D3492D5"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21FE5CA" w14:textId="77777777" w:rsidR="009B65B1" w:rsidRPr="009B65B1" w:rsidRDefault="009B65B1" w:rsidP="009B65B1">
            <w:pPr>
              <w:jc w:val="center"/>
              <w:rPr>
                <w:rFonts w:eastAsia="Times New Roman"/>
                <w:sz w:val="22"/>
                <w:szCs w:val="22"/>
              </w:rPr>
            </w:pPr>
            <w:r w:rsidRPr="009B65B1">
              <w:rPr>
                <w:rFonts w:eastAsia="Times New Roman"/>
                <w:sz w:val="22"/>
                <w:szCs w:val="22"/>
              </w:rPr>
              <w:t>F6</w:t>
            </w:r>
          </w:p>
        </w:tc>
        <w:tc>
          <w:tcPr>
            <w:tcW w:w="6214" w:type="dxa"/>
            <w:tcBorders>
              <w:top w:val="nil"/>
              <w:left w:val="nil"/>
              <w:bottom w:val="single" w:sz="4" w:space="0" w:color="auto"/>
              <w:right w:val="single" w:sz="4" w:space="0" w:color="auto"/>
            </w:tcBorders>
            <w:shd w:val="clear" w:color="auto" w:fill="auto"/>
            <w:vAlign w:val="center"/>
            <w:hideMark/>
          </w:tcPr>
          <w:p w14:paraId="7CBF4F9E" w14:textId="77777777" w:rsidR="009B65B1" w:rsidRPr="009B65B1" w:rsidRDefault="009B65B1" w:rsidP="009B65B1">
            <w:pPr>
              <w:rPr>
                <w:rFonts w:eastAsia="Times New Roman"/>
                <w:sz w:val="22"/>
                <w:szCs w:val="22"/>
              </w:rPr>
            </w:pPr>
            <w:r w:rsidRPr="009B65B1">
              <w:rPr>
                <w:rFonts w:eastAsia="Times New Roman"/>
                <w:sz w:val="22"/>
                <w:szCs w:val="22"/>
              </w:rPr>
              <w:t>Uncertain tone</w:t>
            </w:r>
          </w:p>
        </w:tc>
        <w:tc>
          <w:tcPr>
            <w:tcW w:w="1319" w:type="dxa"/>
            <w:tcBorders>
              <w:top w:val="nil"/>
              <w:left w:val="nil"/>
              <w:bottom w:val="single" w:sz="4" w:space="0" w:color="auto"/>
              <w:right w:val="single" w:sz="4" w:space="0" w:color="auto"/>
            </w:tcBorders>
            <w:shd w:val="clear" w:color="auto" w:fill="auto"/>
            <w:vAlign w:val="center"/>
            <w:hideMark/>
          </w:tcPr>
          <w:p w14:paraId="525E6D6A" w14:textId="77777777" w:rsidR="009B65B1" w:rsidRPr="009B65B1" w:rsidRDefault="009B65B1" w:rsidP="009B65B1">
            <w:pPr>
              <w:jc w:val="center"/>
              <w:rPr>
                <w:rFonts w:eastAsia="Times New Roman"/>
                <w:sz w:val="22"/>
                <w:szCs w:val="22"/>
              </w:rPr>
            </w:pPr>
            <w:r w:rsidRPr="009B65B1">
              <w:rPr>
                <w:rFonts w:eastAsia="Times New Roman"/>
                <w:sz w:val="22"/>
                <w:szCs w:val="22"/>
              </w:rPr>
              <w:t>2</w:t>
            </w:r>
          </w:p>
        </w:tc>
        <w:tc>
          <w:tcPr>
            <w:tcW w:w="1268" w:type="dxa"/>
            <w:tcBorders>
              <w:top w:val="nil"/>
              <w:left w:val="nil"/>
              <w:bottom w:val="single" w:sz="4" w:space="0" w:color="auto"/>
              <w:right w:val="single" w:sz="4" w:space="0" w:color="auto"/>
            </w:tcBorders>
            <w:shd w:val="clear" w:color="auto" w:fill="auto"/>
            <w:noWrap/>
            <w:vAlign w:val="center"/>
            <w:hideMark/>
          </w:tcPr>
          <w:p w14:paraId="0B984FA8" w14:textId="77777777" w:rsidR="009B65B1" w:rsidRPr="009B65B1" w:rsidRDefault="009B65B1" w:rsidP="009B65B1">
            <w:pPr>
              <w:jc w:val="center"/>
              <w:rPr>
                <w:rFonts w:eastAsia="Times New Roman"/>
                <w:sz w:val="22"/>
                <w:szCs w:val="22"/>
              </w:rPr>
            </w:pPr>
            <w:r w:rsidRPr="009B65B1">
              <w:rPr>
                <w:rFonts w:eastAsia="Times New Roman"/>
                <w:sz w:val="22"/>
                <w:szCs w:val="22"/>
              </w:rPr>
              <w:t>0.04</w:t>
            </w:r>
          </w:p>
        </w:tc>
      </w:tr>
      <w:tr w:rsidR="009B65B1" w:rsidRPr="009B65B1" w14:paraId="4F6BF26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4F1D511" w14:textId="77777777" w:rsidR="009B65B1" w:rsidRPr="009B65B1" w:rsidRDefault="009B65B1" w:rsidP="009B65B1">
            <w:pPr>
              <w:jc w:val="center"/>
              <w:rPr>
                <w:rFonts w:eastAsia="Times New Roman"/>
                <w:sz w:val="22"/>
                <w:szCs w:val="22"/>
              </w:rPr>
            </w:pPr>
            <w:r w:rsidRPr="009B65B1">
              <w:rPr>
                <w:rFonts w:eastAsia="Times New Roman"/>
                <w:sz w:val="22"/>
                <w:szCs w:val="22"/>
              </w:rPr>
              <w:t>F7</w:t>
            </w:r>
          </w:p>
        </w:tc>
        <w:tc>
          <w:tcPr>
            <w:tcW w:w="6214" w:type="dxa"/>
            <w:tcBorders>
              <w:top w:val="nil"/>
              <w:left w:val="nil"/>
              <w:bottom w:val="single" w:sz="4" w:space="0" w:color="auto"/>
              <w:right w:val="single" w:sz="4" w:space="0" w:color="auto"/>
            </w:tcBorders>
            <w:shd w:val="clear" w:color="auto" w:fill="auto"/>
            <w:vAlign w:val="center"/>
            <w:hideMark/>
          </w:tcPr>
          <w:p w14:paraId="1C879F01" w14:textId="77777777" w:rsidR="009B65B1" w:rsidRPr="009B65B1" w:rsidRDefault="009B65B1" w:rsidP="009B65B1">
            <w:pPr>
              <w:rPr>
                <w:rFonts w:eastAsia="Times New Roman"/>
                <w:sz w:val="22"/>
                <w:szCs w:val="22"/>
              </w:rPr>
            </w:pPr>
            <w:r w:rsidRPr="009B65B1">
              <w:rPr>
                <w:rFonts w:eastAsia="Times New Roman"/>
                <w:sz w:val="22"/>
                <w:szCs w:val="22"/>
              </w:rPr>
              <w:t>Completeness</w:t>
            </w:r>
          </w:p>
        </w:tc>
        <w:tc>
          <w:tcPr>
            <w:tcW w:w="1319" w:type="dxa"/>
            <w:tcBorders>
              <w:top w:val="nil"/>
              <w:left w:val="nil"/>
              <w:bottom w:val="single" w:sz="4" w:space="0" w:color="auto"/>
              <w:right w:val="single" w:sz="4" w:space="0" w:color="auto"/>
            </w:tcBorders>
            <w:shd w:val="clear" w:color="auto" w:fill="auto"/>
            <w:vAlign w:val="center"/>
            <w:hideMark/>
          </w:tcPr>
          <w:p w14:paraId="19EBBB30" w14:textId="77777777" w:rsidR="009B65B1" w:rsidRPr="009B65B1" w:rsidRDefault="009B65B1" w:rsidP="009B65B1">
            <w:pPr>
              <w:jc w:val="center"/>
              <w:rPr>
                <w:rFonts w:eastAsia="Times New Roman"/>
                <w:sz w:val="22"/>
                <w:szCs w:val="22"/>
              </w:rPr>
            </w:pPr>
            <w:r w:rsidRPr="009B65B1">
              <w:rPr>
                <w:rFonts w:eastAsia="Times New Roman"/>
                <w:sz w:val="22"/>
                <w:szCs w:val="22"/>
              </w:rPr>
              <w:t>480</w:t>
            </w:r>
          </w:p>
        </w:tc>
        <w:tc>
          <w:tcPr>
            <w:tcW w:w="1268" w:type="dxa"/>
            <w:tcBorders>
              <w:top w:val="nil"/>
              <w:left w:val="nil"/>
              <w:bottom w:val="single" w:sz="4" w:space="0" w:color="auto"/>
              <w:right w:val="single" w:sz="4" w:space="0" w:color="auto"/>
            </w:tcBorders>
            <w:shd w:val="clear" w:color="auto" w:fill="auto"/>
            <w:noWrap/>
            <w:vAlign w:val="center"/>
            <w:hideMark/>
          </w:tcPr>
          <w:p w14:paraId="0378E168" w14:textId="77777777" w:rsidR="009B65B1" w:rsidRPr="009B65B1" w:rsidRDefault="009B65B1" w:rsidP="009B65B1">
            <w:pPr>
              <w:jc w:val="center"/>
              <w:rPr>
                <w:rFonts w:eastAsia="Times New Roman"/>
                <w:sz w:val="22"/>
                <w:szCs w:val="22"/>
              </w:rPr>
            </w:pPr>
            <w:r w:rsidRPr="009B65B1">
              <w:rPr>
                <w:rFonts w:eastAsia="Times New Roman"/>
                <w:sz w:val="22"/>
                <w:szCs w:val="22"/>
              </w:rPr>
              <w:t>9.50</w:t>
            </w:r>
          </w:p>
        </w:tc>
      </w:tr>
      <w:tr w:rsidR="009B65B1" w:rsidRPr="009B65B1" w14:paraId="49F6F5E6"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B3F25EB" w14:textId="77777777" w:rsidR="009B65B1" w:rsidRPr="009B65B1" w:rsidRDefault="009B65B1" w:rsidP="009B65B1">
            <w:pPr>
              <w:jc w:val="center"/>
              <w:rPr>
                <w:rFonts w:eastAsia="Times New Roman"/>
                <w:sz w:val="22"/>
                <w:szCs w:val="22"/>
              </w:rPr>
            </w:pPr>
            <w:r w:rsidRPr="009B65B1">
              <w:rPr>
                <w:rFonts w:eastAsia="Times New Roman"/>
                <w:sz w:val="22"/>
                <w:szCs w:val="22"/>
              </w:rPr>
              <w:t>F8</w:t>
            </w:r>
          </w:p>
        </w:tc>
        <w:tc>
          <w:tcPr>
            <w:tcW w:w="6214" w:type="dxa"/>
            <w:tcBorders>
              <w:top w:val="nil"/>
              <w:left w:val="nil"/>
              <w:bottom w:val="single" w:sz="4" w:space="0" w:color="auto"/>
              <w:right w:val="single" w:sz="4" w:space="0" w:color="auto"/>
            </w:tcBorders>
            <w:shd w:val="clear" w:color="auto" w:fill="auto"/>
            <w:vAlign w:val="center"/>
            <w:hideMark/>
          </w:tcPr>
          <w:p w14:paraId="409E93AB" w14:textId="77777777" w:rsidR="009B65B1" w:rsidRPr="009B65B1" w:rsidRDefault="009B65B1" w:rsidP="009B65B1">
            <w:pPr>
              <w:rPr>
                <w:rFonts w:eastAsia="Times New Roman"/>
                <w:sz w:val="22"/>
                <w:szCs w:val="22"/>
              </w:rPr>
            </w:pPr>
            <w:r w:rsidRPr="009B65B1">
              <w:rPr>
                <w:rFonts w:eastAsia="Times New Roman"/>
                <w:sz w:val="22"/>
                <w:szCs w:val="22"/>
              </w:rPr>
              <w:t>General information</w:t>
            </w:r>
          </w:p>
        </w:tc>
        <w:tc>
          <w:tcPr>
            <w:tcW w:w="1319" w:type="dxa"/>
            <w:tcBorders>
              <w:top w:val="nil"/>
              <w:left w:val="nil"/>
              <w:bottom w:val="single" w:sz="4" w:space="0" w:color="auto"/>
              <w:right w:val="single" w:sz="4" w:space="0" w:color="auto"/>
            </w:tcBorders>
            <w:shd w:val="clear" w:color="auto" w:fill="auto"/>
            <w:vAlign w:val="center"/>
            <w:hideMark/>
          </w:tcPr>
          <w:p w14:paraId="1E93E529" w14:textId="77777777" w:rsidR="009B65B1" w:rsidRPr="009B65B1" w:rsidRDefault="009B65B1" w:rsidP="009B65B1">
            <w:pPr>
              <w:jc w:val="center"/>
              <w:rPr>
                <w:rFonts w:eastAsia="Times New Roman"/>
                <w:sz w:val="22"/>
                <w:szCs w:val="22"/>
              </w:rPr>
            </w:pPr>
            <w:r w:rsidRPr="009B65B1">
              <w:rPr>
                <w:rFonts w:eastAsia="Times New Roman"/>
                <w:sz w:val="22"/>
                <w:szCs w:val="22"/>
              </w:rPr>
              <w:t>313</w:t>
            </w:r>
          </w:p>
        </w:tc>
        <w:tc>
          <w:tcPr>
            <w:tcW w:w="1268" w:type="dxa"/>
            <w:tcBorders>
              <w:top w:val="nil"/>
              <w:left w:val="nil"/>
              <w:bottom w:val="single" w:sz="4" w:space="0" w:color="auto"/>
              <w:right w:val="single" w:sz="4" w:space="0" w:color="auto"/>
            </w:tcBorders>
            <w:shd w:val="clear" w:color="auto" w:fill="auto"/>
            <w:noWrap/>
            <w:vAlign w:val="center"/>
            <w:hideMark/>
          </w:tcPr>
          <w:p w14:paraId="2ACB07CC" w14:textId="77777777" w:rsidR="009B65B1" w:rsidRPr="009B65B1" w:rsidRDefault="009B65B1" w:rsidP="009B65B1">
            <w:pPr>
              <w:jc w:val="center"/>
              <w:rPr>
                <w:rFonts w:eastAsia="Times New Roman"/>
                <w:sz w:val="22"/>
                <w:szCs w:val="22"/>
              </w:rPr>
            </w:pPr>
            <w:r w:rsidRPr="009B65B1">
              <w:rPr>
                <w:rFonts w:eastAsia="Times New Roman"/>
                <w:sz w:val="22"/>
                <w:szCs w:val="22"/>
              </w:rPr>
              <w:t>6.19</w:t>
            </w:r>
          </w:p>
        </w:tc>
      </w:tr>
      <w:tr w:rsidR="009B65B1" w:rsidRPr="009B65B1" w14:paraId="4AEB5F5B"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2445BC3" w14:textId="77777777" w:rsidR="009B65B1" w:rsidRPr="009B65B1" w:rsidRDefault="009B65B1" w:rsidP="009B65B1">
            <w:pPr>
              <w:jc w:val="center"/>
              <w:rPr>
                <w:rFonts w:eastAsia="Times New Roman"/>
                <w:sz w:val="22"/>
                <w:szCs w:val="22"/>
              </w:rPr>
            </w:pPr>
            <w:r w:rsidRPr="009B65B1">
              <w:rPr>
                <w:rFonts w:eastAsia="Times New Roman"/>
                <w:sz w:val="22"/>
                <w:szCs w:val="22"/>
              </w:rPr>
              <w:t>F9</w:t>
            </w:r>
          </w:p>
        </w:tc>
        <w:tc>
          <w:tcPr>
            <w:tcW w:w="6214" w:type="dxa"/>
            <w:tcBorders>
              <w:top w:val="nil"/>
              <w:left w:val="nil"/>
              <w:bottom w:val="single" w:sz="4" w:space="0" w:color="auto"/>
              <w:right w:val="single" w:sz="4" w:space="0" w:color="auto"/>
            </w:tcBorders>
            <w:shd w:val="clear" w:color="auto" w:fill="auto"/>
            <w:vAlign w:val="center"/>
            <w:hideMark/>
          </w:tcPr>
          <w:p w14:paraId="33810E33" w14:textId="77777777" w:rsidR="009B65B1" w:rsidRPr="009B65B1" w:rsidRDefault="009B65B1" w:rsidP="009B65B1">
            <w:pPr>
              <w:rPr>
                <w:rFonts w:eastAsia="Times New Roman"/>
                <w:sz w:val="22"/>
                <w:szCs w:val="22"/>
              </w:rPr>
            </w:pPr>
            <w:r w:rsidRPr="009B65B1">
              <w:rPr>
                <w:rFonts w:eastAsia="Times New Roman"/>
                <w:sz w:val="22"/>
                <w:szCs w:val="22"/>
              </w:rPr>
              <w:t>Inaccurate/inappropriate disclosure</w:t>
            </w:r>
          </w:p>
        </w:tc>
        <w:tc>
          <w:tcPr>
            <w:tcW w:w="1319" w:type="dxa"/>
            <w:tcBorders>
              <w:top w:val="nil"/>
              <w:left w:val="nil"/>
              <w:bottom w:val="single" w:sz="4" w:space="0" w:color="auto"/>
              <w:right w:val="single" w:sz="4" w:space="0" w:color="auto"/>
            </w:tcBorders>
            <w:shd w:val="clear" w:color="auto" w:fill="auto"/>
            <w:vAlign w:val="center"/>
            <w:hideMark/>
          </w:tcPr>
          <w:p w14:paraId="790A8381" w14:textId="77777777" w:rsidR="009B65B1" w:rsidRPr="009B65B1" w:rsidRDefault="009B65B1" w:rsidP="009B65B1">
            <w:pPr>
              <w:jc w:val="center"/>
              <w:rPr>
                <w:rFonts w:eastAsia="Times New Roman"/>
                <w:sz w:val="22"/>
                <w:szCs w:val="22"/>
              </w:rPr>
            </w:pPr>
            <w:r w:rsidRPr="009B65B1">
              <w:rPr>
                <w:rFonts w:eastAsia="Times New Roman"/>
                <w:sz w:val="22"/>
                <w:szCs w:val="22"/>
              </w:rPr>
              <w:t>159</w:t>
            </w:r>
          </w:p>
        </w:tc>
        <w:tc>
          <w:tcPr>
            <w:tcW w:w="1268" w:type="dxa"/>
            <w:tcBorders>
              <w:top w:val="nil"/>
              <w:left w:val="nil"/>
              <w:bottom w:val="single" w:sz="4" w:space="0" w:color="auto"/>
              <w:right w:val="single" w:sz="4" w:space="0" w:color="auto"/>
            </w:tcBorders>
            <w:shd w:val="clear" w:color="auto" w:fill="auto"/>
            <w:noWrap/>
            <w:vAlign w:val="center"/>
            <w:hideMark/>
          </w:tcPr>
          <w:p w14:paraId="2363E8EC" w14:textId="77777777" w:rsidR="009B65B1" w:rsidRPr="009B65B1" w:rsidRDefault="009B65B1" w:rsidP="009B65B1">
            <w:pPr>
              <w:jc w:val="center"/>
              <w:rPr>
                <w:rFonts w:eastAsia="Times New Roman"/>
                <w:sz w:val="22"/>
                <w:szCs w:val="22"/>
              </w:rPr>
            </w:pPr>
            <w:r w:rsidRPr="009B65B1">
              <w:rPr>
                <w:rFonts w:eastAsia="Times New Roman"/>
                <w:sz w:val="22"/>
                <w:szCs w:val="22"/>
              </w:rPr>
              <w:t>3.15</w:t>
            </w:r>
          </w:p>
        </w:tc>
      </w:tr>
      <w:tr w:rsidR="009B65B1" w:rsidRPr="009B65B1" w14:paraId="1836A254" w14:textId="77777777" w:rsidTr="009B65B1">
        <w:trPr>
          <w:trHeight w:val="45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2B5F3AF" w14:textId="77777777" w:rsidR="009B65B1" w:rsidRPr="009B65B1" w:rsidRDefault="009B65B1" w:rsidP="009B65B1">
            <w:pPr>
              <w:jc w:val="center"/>
              <w:rPr>
                <w:rFonts w:eastAsia="Times New Roman"/>
                <w:sz w:val="22"/>
                <w:szCs w:val="22"/>
              </w:rPr>
            </w:pPr>
            <w:r w:rsidRPr="009B65B1">
              <w:rPr>
                <w:rFonts w:eastAsia="Times New Roman"/>
                <w:sz w:val="22"/>
                <w:szCs w:val="22"/>
              </w:rPr>
              <w:t>F10</w:t>
            </w:r>
          </w:p>
        </w:tc>
        <w:tc>
          <w:tcPr>
            <w:tcW w:w="6214" w:type="dxa"/>
            <w:tcBorders>
              <w:top w:val="nil"/>
              <w:left w:val="nil"/>
              <w:bottom w:val="single" w:sz="4" w:space="0" w:color="auto"/>
              <w:right w:val="single" w:sz="4" w:space="0" w:color="auto"/>
            </w:tcBorders>
            <w:shd w:val="clear" w:color="auto" w:fill="auto"/>
            <w:vAlign w:val="center"/>
            <w:hideMark/>
          </w:tcPr>
          <w:p w14:paraId="5952614E" w14:textId="77777777" w:rsidR="009B65B1" w:rsidRPr="009B65B1" w:rsidRDefault="009B65B1" w:rsidP="009B65B1">
            <w:pPr>
              <w:rPr>
                <w:rFonts w:eastAsia="Times New Roman"/>
                <w:sz w:val="22"/>
                <w:szCs w:val="22"/>
              </w:rPr>
            </w:pPr>
            <w:r w:rsidRPr="009B65B1">
              <w:rPr>
                <w:rFonts w:eastAsia="Times New Roman"/>
                <w:sz w:val="22"/>
                <w:szCs w:val="22"/>
              </w:rPr>
              <w:t>Disclosure too outdated or generic</w:t>
            </w:r>
          </w:p>
        </w:tc>
        <w:tc>
          <w:tcPr>
            <w:tcW w:w="1319" w:type="dxa"/>
            <w:tcBorders>
              <w:top w:val="nil"/>
              <w:left w:val="nil"/>
              <w:bottom w:val="single" w:sz="4" w:space="0" w:color="auto"/>
              <w:right w:val="single" w:sz="4" w:space="0" w:color="auto"/>
            </w:tcBorders>
            <w:shd w:val="clear" w:color="auto" w:fill="auto"/>
            <w:vAlign w:val="center"/>
            <w:hideMark/>
          </w:tcPr>
          <w:p w14:paraId="486BDA48" w14:textId="77777777" w:rsidR="009B65B1" w:rsidRPr="009B65B1" w:rsidRDefault="009B65B1" w:rsidP="009B65B1">
            <w:pPr>
              <w:jc w:val="center"/>
              <w:rPr>
                <w:rFonts w:eastAsia="Times New Roman"/>
                <w:sz w:val="22"/>
                <w:szCs w:val="22"/>
              </w:rPr>
            </w:pPr>
            <w:r w:rsidRPr="009B65B1">
              <w:rPr>
                <w:rFonts w:eastAsia="Times New Roman"/>
                <w:sz w:val="22"/>
                <w:szCs w:val="22"/>
              </w:rPr>
              <w:t>103</w:t>
            </w:r>
          </w:p>
        </w:tc>
        <w:tc>
          <w:tcPr>
            <w:tcW w:w="1268" w:type="dxa"/>
            <w:tcBorders>
              <w:top w:val="nil"/>
              <w:left w:val="nil"/>
              <w:bottom w:val="single" w:sz="4" w:space="0" w:color="auto"/>
              <w:right w:val="single" w:sz="4" w:space="0" w:color="auto"/>
            </w:tcBorders>
            <w:shd w:val="clear" w:color="auto" w:fill="auto"/>
            <w:noWrap/>
            <w:vAlign w:val="center"/>
            <w:hideMark/>
          </w:tcPr>
          <w:p w14:paraId="6CA1DA0A" w14:textId="77777777" w:rsidR="009B65B1" w:rsidRPr="009B65B1" w:rsidRDefault="009B65B1" w:rsidP="009B65B1">
            <w:pPr>
              <w:jc w:val="center"/>
              <w:rPr>
                <w:rFonts w:eastAsia="Times New Roman"/>
                <w:sz w:val="22"/>
                <w:szCs w:val="22"/>
              </w:rPr>
            </w:pPr>
            <w:r w:rsidRPr="009B65B1">
              <w:rPr>
                <w:rFonts w:eastAsia="Times New Roman"/>
                <w:sz w:val="22"/>
                <w:szCs w:val="22"/>
              </w:rPr>
              <w:t>2.04</w:t>
            </w:r>
          </w:p>
        </w:tc>
      </w:tr>
      <w:tr w:rsidR="009B65B1" w:rsidRPr="009B65B1" w14:paraId="20CE1ED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2FE2B30" w14:textId="77777777" w:rsidR="009B65B1" w:rsidRPr="009B65B1" w:rsidRDefault="009B65B1" w:rsidP="009B65B1">
            <w:pPr>
              <w:jc w:val="center"/>
              <w:rPr>
                <w:rFonts w:eastAsia="Times New Roman"/>
                <w:sz w:val="22"/>
                <w:szCs w:val="22"/>
              </w:rPr>
            </w:pPr>
            <w:r w:rsidRPr="009B65B1">
              <w:rPr>
                <w:rFonts w:eastAsia="Times New Roman"/>
                <w:sz w:val="22"/>
                <w:szCs w:val="22"/>
              </w:rPr>
              <w:t>F11</w:t>
            </w:r>
          </w:p>
        </w:tc>
        <w:tc>
          <w:tcPr>
            <w:tcW w:w="6214" w:type="dxa"/>
            <w:tcBorders>
              <w:top w:val="nil"/>
              <w:left w:val="nil"/>
              <w:bottom w:val="single" w:sz="4" w:space="0" w:color="auto"/>
              <w:right w:val="single" w:sz="4" w:space="0" w:color="auto"/>
            </w:tcBorders>
            <w:shd w:val="clear" w:color="auto" w:fill="auto"/>
            <w:vAlign w:val="center"/>
            <w:hideMark/>
          </w:tcPr>
          <w:p w14:paraId="6BCB8C87" w14:textId="77777777" w:rsidR="009B65B1" w:rsidRPr="009B65B1" w:rsidRDefault="009B65B1" w:rsidP="009B65B1">
            <w:pPr>
              <w:rPr>
                <w:rFonts w:eastAsia="Times New Roman"/>
                <w:sz w:val="22"/>
                <w:szCs w:val="22"/>
              </w:rPr>
            </w:pPr>
            <w:r w:rsidRPr="009B65B1">
              <w:rPr>
                <w:rFonts w:eastAsia="Times New Roman"/>
                <w:sz w:val="22"/>
                <w:szCs w:val="22"/>
              </w:rPr>
              <w:t>Relevance</w:t>
            </w:r>
          </w:p>
        </w:tc>
        <w:tc>
          <w:tcPr>
            <w:tcW w:w="1319" w:type="dxa"/>
            <w:tcBorders>
              <w:top w:val="nil"/>
              <w:left w:val="nil"/>
              <w:bottom w:val="single" w:sz="4" w:space="0" w:color="auto"/>
              <w:right w:val="single" w:sz="4" w:space="0" w:color="auto"/>
            </w:tcBorders>
            <w:shd w:val="clear" w:color="auto" w:fill="auto"/>
            <w:vAlign w:val="center"/>
            <w:hideMark/>
          </w:tcPr>
          <w:p w14:paraId="7ADB0ACE" w14:textId="77777777" w:rsidR="009B65B1" w:rsidRPr="009B65B1" w:rsidRDefault="009B65B1" w:rsidP="009B65B1">
            <w:pPr>
              <w:jc w:val="center"/>
              <w:rPr>
                <w:rFonts w:eastAsia="Times New Roman"/>
                <w:sz w:val="22"/>
                <w:szCs w:val="22"/>
              </w:rPr>
            </w:pPr>
            <w:r w:rsidRPr="009B65B1">
              <w:rPr>
                <w:rFonts w:eastAsia="Times New Roman"/>
                <w:sz w:val="22"/>
                <w:szCs w:val="22"/>
              </w:rPr>
              <w:t>50</w:t>
            </w:r>
          </w:p>
        </w:tc>
        <w:tc>
          <w:tcPr>
            <w:tcW w:w="1268" w:type="dxa"/>
            <w:tcBorders>
              <w:top w:val="nil"/>
              <w:left w:val="nil"/>
              <w:bottom w:val="single" w:sz="4" w:space="0" w:color="auto"/>
              <w:right w:val="single" w:sz="4" w:space="0" w:color="auto"/>
            </w:tcBorders>
            <w:shd w:val="clear" w:color="auto" w:fill="auto"/>
            <w:noWrap/>
            <w:vAlign w:val="center"/>
            <w:hideMark/>
          </w:tcPr>
          <w:p w14:paraId="403A8A08" w14:textId="77777777" w:rsidR="009B65B1" w:rsidRPr="009B65B1" w:rsidRDefault="009B65B1" w:rsidP="009B65B1">
            <w:pPr>
              <w:jc w:val="center"/>
              <w:rPr>
                <w:rFonts w:eastAsia="Times New Roman"/>
                <w:sz w:val="22"/>
                <w:szCs w:val="22"/>
              </w:rPr>
            </w:pPr>
            <w:r w:rsidRPr="009B65B1">
              <w:rPr>
                <w:rFonts w:eastAsia="Times New Roman"/>
                <w:sz w:val="22"/>
                <w:szCs w:val="22"/>
              </w:rPr>
              <w:t>0.99</w:t>
            </w:r>
          </w:p>
        </w:tc>
      </w:tr>
      <w:tr w:rsidR="009B65B1" w:rsidRPr="009B65B1" w14:paraId="76B417A9"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E82C27A" w14:textId="77777777" w:rsidR="009B65B1" w:rsidRPr="009B65B1" w:rsidRDefault="009B65B1" w:rsidP="009B65B1">
            <w:pPr>
              <w:jc w:val="center"/>
              <w:rPr>
                <w:rFonts w:eastAsia="Times New Roman"/>
                <w:sz w:val="22"/>
                <w:szCs w:val="22"/>
              </w:rPr>
            </w:pPr>
            <w:r w:rsidRPr="009B65B1">
              <w:rPr>
                <w:rFonts w:eastAsia="Times New Roman"/>
                <w:sz w:val="22"/>
                <w:szCs w:val="22"/>
              </w:rPr>
              <w:t>F12</w:t>
            </w:r>
          </w:p>
        </w:tc>
        <w:tc>
          <w:tcPr>
            <w:tcW w:w="6214" w:type="dxa"/>
            <w:tcBorders>
              <w:top w:val="nil"/>
              <w:left w:val="nil"/>
              <w:bottom w:val="single" w:sz="4" w:space="0" w:color="auto"/>
              <w:right w:val="single" w:sz="4" w:space="0" w:color="auto"/>
            </w:tcBorders>
            <w:shd w:val="clear" w:color="auto" w:fill="auto"/>
            <w:vAlign w:val="center"/>
            <w:hideMark/>
          </w:tcPr>
          <w:p w14:paraId="196B9305" w14:textId="77777777" w:rsidR="009B65B1" w:rsidRPr="009B65B1" w:rsidRDefault="009B65B1" w:rsidP="009B65B1">
            <w:pPr>
              <w:rPr>
                <w:rFonts w:eastAsia="Times New Roman"/>
                <w:sz w:val="22"/>
                <w:szCs w:val="22"/>
              </w:rPr>
            </w:pPr>
            <w:r w:rsidRPr="009B65B1">
              <w:rPr>
                <w:rFonts w:eastAsia="Times New Roman"/>
                <w:sz w:val="22"/>
                <w:szCs w:val="22"/>
              </w:rPr>
              <w:t>References</w:t>
            </w:r>
          </w:p>
        </w:tc>
        <w:tc>
          <w:tcPr>
            <w:tcW w:w="1319" w:type="dxa"/>
            <w:tcBorders>
              <w:top w:val="nil"/>
              <w:left w:val="nil"/>
              <w:bottom w:val="single" w:sz="4" w:space="0" w:color="auto"/>
              <w:right w:val="single" w:sz="4" w:space="0" w:color="auto"/>
            </w:tcBorders>
            <w:shd w:val="clear" w:color="auto" w:fill="auto"/>
            <w:vAlign w:val="center"/>
            <w:hideMark/>
          </w:tcPr>
          <w:p w14:paraId="4EF3F258" w14:textId="77777777" w:rsidR="009B65B1" w:rsidRPr="009B65B1" w:rsidRDefault="009B65B1" w:rsidP="009B65B1">
            <w:pPr>
              <w:jc w:val="center"/>
              <w:rPr>
                <w:rFonts w:eastAsia="Times New Roman"/>
                <w:sz w:val="22"/>
                <w:szCs w:val="22"/>
              </w:rPr>
            </w:pPr>
            <w:r w:rsidRPr="009B65B1">
              <w:rPr>
                <w:rFonts w:eastAsia="Times New Roman"/>
                <w:sz w:val="22"/>
                <w:szCs w:val="22"/>
              </w:rPr>
              <w:t>14</w:t>
            </w:r>
          </w:p>
        </w:tc>
        <w:tc>
          <w:tcPr>
            <w:tcW w:w="1268" w:type="dxa"/>
            <w:tcBorders>
              <w:top w:val="nil"/>
              <w:left w:val="nil"/>
              <w:bottom w:val="single" w:sz="4" w:space="0" w:color="auto"/>
              <w:right w:val="single" w:sz="4" w:space="0" w:color="auto"/>
            </w:tcBorders>
            <w:shd w:val="clear" w:color="auto" w:fill="auto"/>
            <w:noWrap/>
            <w:vAlign w:val="center"/>
            <w:hideMark/>
          </w:tcPr>
          <w:p w14:paraId="7FA4F767" w14:textId="77777777" w:rsidR="009B65B1" w:rsidRPr="009B65B1" w:rsidRDefault="009B65B1" w:rsidP="009B65B1">
            <w:pPr>
              <w:jc w:val="center"/>
              <w:rPr>
                <w:rFonts w:eastAsia="Times New Roman"/>
                <w:sz w:val="22"/>
                <w:szCs w:val="22"/>
              </w:rPr>
            </w:pPr>
            <w:r w:rsidRPr="009B65B1">
              <w:rPr>
                <w:rFonts w:eastAsia="Times New Roman"/>
                <w:sz w:val="22"/>
                <w:szCs w:val="22"/>
              </w:rPr>
              <w:t>0.28</w:t>
            </w:r>
          </w:p>
        </w:tc>
      </w:tr>
      <w:tr w:rsidR="009B65B1" w:rsidRPr="009B65B1" w14:paraId="5A4D5793"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5FCA84D" w14:textId="77777777" w:rsidR="009B65B1" w:rsidRPr="009B65B1" w:rsidRDefault="009B65B1" w:rsidP="009B65B1">
            <w:pPr>
              <w:jc w:val="center"/>
              <w:rPr>
                <w:rFonts w:eastAsia="Times New Roman"/>
                <w:sz w:val="22"/>
                <w:szCs w:val="22"/>
              </w:rPr>
            </w:pPr>
            <w:r w:rsidRPr="009B65B1">
              <w:rPr>
                <w:rFonts w:eastAsia="Times New Roman"/>
                <w:sz w:val="22"/>
                <w:szCs w:val="22"/>
              </w:rPr>
              <w:t>F13</w:t>
            </w:r>
          </w:p>
        </w:tc>
        <w:tc>
          <w:tcPr>
            <w:tcW w:w="6214" w:type="dxa"/>
            <w:tcBorders>
              <w:top w:val="nil"/>
              <w:left w:val="nil"/>
              <w:bottom w:val="single" w:sz="4" w:space="0" w:color="auto"/>
              <w:right w:val="single" w:sz="4" w:space="0" w:color="auto"/>
            </w:tcBorders>
            <w:shd w:val="clear" w:color="auto" w:fill="auto"/>
            <w:vAlign w:val="center"/>
            <w:hideMark/>
          </w:tcPr>
          <w:p w14:paraId="78D18030" w14:textId="77777777" w:rsidR="009B65B1" w:rsidRPr="009B65B1" w:rsidRDefault="009B65B1" w:rsidP="009B65B1">
            <w:pPr>
              <w:rPr>
                <w:rFonts w:eastAsia="Times New Roman"/>
                <w:sz w:val="22"/>
                <w:szCs w:val="22"/>
              </w:rPr>
            </w:pPr>
            <w:r w:rsidRPr="009B65B1">
              <w:rPr>
                <w:rFonts w:eastAsia="Times New Roman"/>
                <w:sz w:val="22"/>
                <w:szCs w:val="22"/>
              </w:rPr>
              <w:t>Format</w:t>
            </w:r>
          </w:p>
        </w:tc>
        <w:tc>
          <w:tcPr>
            <w:tcW w:w="1319" w:type="dxa"/>
            <w:tcBorders>
              <w:top w:val="nil"/>
              <w:left w:val="nil"/>
              <w:bottom w:val="single" w:sz="4" w:space="0" w:color="auto"/>
              <w:right w:val="single" w:sz="4" w:space="0" w:color="auto"/>
            </w:tcBorders>
            <w:shd w:val="clear" w:color="auto" w:fill="auto"/>
            <w:vAlign w:val="center"/>
            <w:hideMark/>
          </w:tcPr>
          <w:p w14:paraId="182FB923" w14:textId="77777777" w:rsidR="009B65B1" w:rsidRPr="009B65B1" w:rsidRDefault="009B65B1" w:rsidP="009B65B1">
            <w:pPr>
              <w:jc w:val="center"/>
              <w:rPr>
                <w:rFonts w:eastAsia="Times New Roman"/>
                <w:sz w:val="22"/>
                <w:szCs w:val="22"/>
              </w:rPr>
            </w:pPr>
            <w:r w:rsidRPr="009B65B1">
              <w:rPr>
                <w:rFonts w:eastAsia="Times New Roman"/>
                <w:sz w:val="22"/>
                <w:szCs w:val="22"/>
              </w:rPr>
              <w:t>14</w:t>
            </w:r>
          </w:p>
        </w:tc>
        <w:tc>
          <w:tcPr>
            <w:tcW w:w="1268" w:type="dxa"/>
            <w:tcBorders>
              <w:top w:val="nil"/>
              <w:left w:val="nil"/>
              <w:bottom w:val="single" w:sz="4" w:space="0" w:color="auto"/>
              <w:right w:val="single" w:sz="4" w:space="0" w:color="auto"/>
            </w:tcBorders>
            <w:shd w:val="clear" w:color="auto" w:fill="auto"/>
            <w:noWrap/>
            <w:vAlign w:val="center"/>
            <w:hideMark/>
          </w:tcPr>
          <w:p w14:paraId="79DE2564" w14:textId="77777777" w:rsidR="009B65B1" w:rsidRPr="009B65B1" w:rsidRDefault="009B65B1" w:rsidP="009B65B1">
            <w:pPr>
              <w:jc w:val="center"/>
              <w:rPr>
                <w:rFonts w:eastAsia="Times New Roman"/>
                <w:sz w:val="22"/>
                <w:szCs w:val="22"/>
              </w:rPr>
            </w:pPr>
            <w:r w:rsidRPr="009B65B1">
              <w:rPr>
                <w:rFonts w:eastAsia="Times New Roman"/>
                <w:sz w:val="22"/>
                <w:szCs w:val="22"/>
              </w:rPr>
              <w:t>0.28</w:t>
            </w:r>
          </w:p>
        </w:tc>
      </w:tr>
      <w:tr w:rsidR="009B65B1" w:rsidRPr="009B65B1" w14:paraId="7E21570F"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425921E" w14:textId="77777777" w:rsidR="009B65B1" w:rsidRPr="009B65B1" w:rsidRDefault="009B65B1" w:rsidP="009B65B1">
            <w:pPr>
              <w:jc w:val="center"/>
              <w:rPr>
                <w:rFonts w:eastAsia="Times New Roman"/>
                <w:sz w:val="22"/>
                <w:szCs w:val="22"/>
              </w:rPr>
            </w:pPr>
            <w:r w:rsidRPr="009B65B1">
              <w:rPr>
                <w:rFonts w:eastAsia="Times New Roman"/>
                <w:sz w:val="22"/>
                <w:szCs w:val="22"/>
              </w:rPr>
              <w:t>F14</w:t>
            </w:r>
          </w:p>
        </w:tc>
        <w:tc>
          <w:tcPr>
            <w:tcW w:w="6214" w:type="dxa"/>
            <w:tcBorders>
              <w:top w:val="nil"/>
              <w:left w:val="nil"/>
              <w:bottom w:val="single" w:sz="4" w:space="0" w:color="auto"/>
              <w:right w:val="single" w:sz="4" w:space="0" w:color="auto"/>
            </w:tcBorders>
            <w:shd w:val="clear" w:color="auto" w:fill="auto"/>
            <w:vAlign w:val="center"/>
            <w:hideMark/>
          </w:tcPr>
          <w:p w14:paraId="1063826F" w14:textId="77777777" w:rsidR="009B65B1" w:rsidRPr="009B65B1" w:rsidRDefault="009B65B1" w:rsidP="009B65B1">
            <w:pPr>
              <w:rPr>
                <w:rFonts w:eastAsia="Times New Roman"/>
                <w:sz w:val="22"/>
                <w:szCs w:val="22"/>
              </w:rPr>
            </w:pPr>
            <w:r w:rsidRPr="009B65B1">
              <w:rPr>
                <w:rFonts w:eastAsia="Times New Roman"/>
                <w:sz w:val="22"/>
                <w:szCs w:val="22"/>
              </w:rPr>
              <w:t>Unnoticeable disclosure</w:t>
            </w:r>
          </w:p>
        </w:tc>
        <w:tc>
          <w:tcPr>
            <w:tcW w:w="1319" w:type="dxa"/>
            <w:tcBorders>
              <w:top w:val="nil"/>
              <w:left w:val="nil"/>
              <w:bottom w:val="single" w:sz="4" w:space="0" w:color="auto"/>
              <w:right w:val="single" w:sz="4" w:space="0" w:color="auto"/>
            </w:tcBorders>
            <w:shd w:val="clear" w:color="auto" w:fill="auto"/>
            <w:vAlign w:val="center"/>
            <w:hideMark/>
          </w:tcPr>
          <w:p w14:paraId="548FA7A0" w14:textId="77777777" w:rsidR="009B65B1" w:rsidRPr="009B65B1" w:rsidRDefault="009B65B1" w:rsidP="009B65B1">
            <w:pPr>
              <w:jc w:val="center"/>
              <w:rPr>
                <w:rFonts w:eastAsia="Times New Roman"/>
                <w:sz w:val="22"/>
                <w:szCs w:val="22"/>
              </w:rPr>
            </w:pPr>
            <w:r w:rsidRPr="009B65B1">
              <w:rPr>
                <w:rFonts w:eastAsia="Times New Roman"/>
                <w:sz w:val="22"/>
                <w:szCs w:val="22"/>
              </w:rPr>
              <w:t>16</w:t>
            </w:r>
          </w:p>
        </w:tc>
        <w:tc>
          <w:tcPr>
            <w:tcW w:w="1268" w:type="dxa"/>
            <w:tcBorders>
              <w:top w:val="nil"/>
              <w:left w:val="nil"/>
              <w:bottom w:val="single" w:sz="4" w:space="0" w:color="auto"/>
              <w:right w:val="single" w:sz="4" w:space="0" w:color="auto"/>
            </w:tcBorders>
            <w:shd w:val="clear" w:color="auto" w:fill="auto"/>
            <w:noWrap/>
            <w:vAlign w:val="center"/>
            <w:hideMark/>
          </w:tcPr>
          <w:p w14:paraId="261E9405" w14:textId="77777777" w:rsidR="009B65B1" w:rsidRPr="009B65B1" w:rsidRDefault="009B65B1" w:rsidP="009B65B1">
            <w:pPr>
              <w:jc w:val="center"/>
              <w:rPr>
                <w:rFonts w:eastAsia="Times New Roman"/>
                <w:sz w:val="22"/>
                <w:szCs w:val="22"/>
              </w:rPr>
            </w:pPr>
            <w:r w:rsidRPr="009B65B1">
              <w:rPr>
                <w:rFonts w:eastAsia="Times New Roman"/>
                <w:sz w:val="22"/>
                <w:szCs w:val="22"/>
              </w:rPr>
              <w:t>0.32</w:t>
            </w:r>
          </w:p>
        </w:tc>
      </w:tr>
      <w:tr w:rsidR="009B65B1" w:rsidRPr="009B65B1" w14:paraId="16A8AA2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015D315" w14:textId="77777777" w:rsidR="009B65B1" w:rsidRPr="009B65B1" w:rsidRDefault="009B65B1" w:rsidP="009B65B1">
            <w:pPr>
              <w:jc w:val="center"/>
              <w:rPr>
                <w:rFonts w:eastAsia="Times New Roman"/>
                <w:sz w:val="22"/>
                <w:szCs w:val="22"/>
              </w:rPr>
            </w:pPr>
            <w:r w:rsidRPr="009B65B1">
              <w:rPr>
                <w:rFonts w:eastAsia="Times New Roman"/>
                <w:sz w:val="22"/>
                <w:szCs w:val="22"/>
              </w:rPr>
              <w:t>F15</w:t>
            </w:r>
          </w:p>
        </w:tc>
        <w:tc>
          <w:tcPr>
            <w:tcW w:w="6214" w:type="dxa"/>
            <w:tcBorders>
              <w:top w:val="nil"/>
              <w:left w:val="nil"/>
              <w:bottom w:val="single" w:sz="4" w:space="0" w:color="auto"/>
              <w:right w:val="single" w:sz="4" w:space="0" w:color="auto"/>
            </w:tcBorders>
            <w:shd w:val="clear" w:color="auto" w:fill="auto"/>
            <w:vAlign w:val="center"/>
            <w:hideMark/>
          </w:tcPr>
          <w:p w14:paraId="404FB78D" w14:textId="77777777" w:rsidR="009B65B1" w:rsidRPr="009B65B1" w:rsidRDefault="009B65B1" w:rsidP="009B65B1">
            <w:pPr>
              <w:rPr>
                <w:rFonts w:eastAsia="Times New Roman"/>
                <w:sz w:val="22"/>
                <w:szCs w:val="22"/>
              </w:rPr>
            </w:pPr>
            <w:r w:rsidRPr="009B65B1">
              <w:rPr>
                <w:rFonts w:eastAsia="Times New Roman"/>
                <w:sz w:val="22"/>
                <w:szCs w:val="22"/>
              </w:rPr>
              <w:t>Repetitive Disclosures</w:t>
            </w:r>
          </w:p>
        </w:tc>
        <w:tc>
          <w:tcPr>
            <w:tcW w:w="1319" w:type="dxa"/>
            <w:tcBorders>
              <w:top w:val="nil"/>
              <w:left w:val="nil"/>
              <w:bottom w:val="single" w:sz="4" w:space="0" w:color="auto"/>
              <w:right w:val="single" w:sz="4" w:space="0" w:color="auto"/>
            </w:tcBorders>
            <w:shd w:val="clear" w:color="auto" w:fill="auto"/>
            <w:vAlign w:val="center"/>
            <w:hideMark/>
          </w:tcPr>
          <w:p w14:paraId="4D417DC7" w14:textId="77777777" w:rsidR="009B65B1" w:rsidRPr="009B65B1" w:rsidRDefault="009B65B1" w:rsidP="009B65B1">
            <w:pPr>
              <w:jc w:val="center"/>
              <w:rPr>
                <w:rFonts w:eastAsia="Times New Roman"/>
                <w:sz w:val="22"/>
                <w:szCs w:val="22"/>
              </w:rPr>
            </w:pPr>
            <w:r w:rsidRPr="009B65B1">
              <w:rPr>
                <w:rFonts w:eastAsia="Times New Roman"/>
                <w:sz w:val="22"/>
                <w:szCs w:val="22"/>
              </w:rPr>
              <w:t>23</w:t>
            </w:r>
          </w:p>
        </w:tc>
        <w:tc>
          <w:tcPr>
            <w:tcW w:w="1268" w:type="dxa"/>
            <w:tcBorders>
              <w:top w:val="nil"/>
              <w:left w:val="nil"/>
              <w:bottom w:val="single" w:sz="4" w:space="0" w:color="auto"/>
              <w:right w:val="single" w:sz="4" w:space="0" w:color="auto"/>
            </w:tcBorders>
            <w:shd w:val="clear" w:color="auto" w:fill="auto"/>
            <w:noWrap/>
            <w:vAlign w:val="center"/>
            <w:hideMark/>
          </w:tcPr>
          <w:p w14:paraId="64832829" w14:textId="77777777" w:rsidR="009B65B1" w:rsidRPr="009B65B1" w:rsidRDefault="009B65B1" w:rsidP="009B65B1">
            <w:pPr>
              <w:jc w:val="center"/>
              <w:rPr>
                <w:rFonts w:eastAsia="Times New Roman"/>
                <w:sz w:val="22"/>
                <w:szCs w:val="22"/>
              </w:rPr>
            </w:pPr>
            <w:r w:rsidRPr="009B65B1">
              <w:rPr>
                <w:rFonts w:eastAsia="Times New Roman"/>
                <w:sz w:val="22"/>
                <w:szCs w:val="22"/>
              </w:rPr>
              <w:t>0.46</w:t>
            </w:r>
          </w:p>
        </w:tc>
      </w:tr>
      <w:tr w:rsidR="009B65B1" w:rsidRPr="009B65B1" w14:paraId="2F0F3FA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F954ECC" w14:textId="77777777" w:rsidR="009B65B1" w:rsidRPr="009B65B1" w:rsidRDefault="009B65B1" w:rsidP="009B65B1">
            <w:pPr>
              <w:jc w:val="center"/>
              <w:rPr>
                <w:rFonts w:eastAsia="Times New Roman"/>
                <w:sz w:val="22"/>
                <w:szCs w:val="22"/>
              </w:rPr>
            </w:pPr>
            <w:r w:rsidRPr="009B65B1">
              <w:rPr>
                <w:rFonts w:eastAsia="Times New Roman"/>
                <w:sz w:val="22"/>
                <w:szCs w:val="22"/>
              </w:rPr>
              <w:t>F16</w:t>
            </w:r>
          </w:p>
        </w:tc>
        <w:tc>
          <w:tcPr>
            <w:tcW w:w="6214" w:type="dxa"/>
            <w:tcBorders>
              <w:top w:val="nil"/>
              <w:left w:val="nil"/>
              <w:bottom w:val="single" w:sz="4" w:space="0" w:color="auto"/>
              <w:right w:val="single" w:sz="4" w:space="0" w:color="auto"/>
            </w:tcBorders>
            <w:shd w:val="clear" w:color="auto" w:fill="auto"/>
            <w:vAlign w:val="center"/>
            <w:hideMark/>
          </w:tcPr>
          <w:p w14:paraId="7DFCC8C3" w14:textId="77777777" w:rsidR="009B65B1" w:rsidRPr="009B65B1" w:rsidRDefault="009B65B1" w:rsidP="009B65B1">
            <w:pPr>
              <w:rPr>
                <w:rFonts w:eastAsia="Times New Roman"/>
                <w:sz w:val="22"/>
                <w:szCs w:val="22"/>
              </w:rPr>
            </w:pPr>
            <w:r w:rsidRPr="009B65B1">
              <w:rPr>
                <w:rFonts w:eastAsia="Times New Roman"/>
                <w:sz w:val="22"/>
                <w:szCs w:val="22"/>
              </w:rPr>
              <w:t>Forward-looking information</w:t>
            </w:r>
          </w:p>
        </w:tc>
        <w:tc>
          <w:tcPr>
            <w:tcW w:w="1319" w:type="dxa"/>
            <w:tcBorders>
              <w:top w:val="nil"/>
              <w:left w:val="nil"/>
              <w:bottom w:val="single" w:sz="4" w:space="0" w:color="auto"/>
              <w:right w:val="single" w:sz="4" w:space="0" w:color="auto"/>
            </w:tcBorders>
            <w:shd w:val="clear" w:color="auto" w:fill="auto"/>
            <w:vAlign w:val="center"/>
            <w:hideMark/>
          </w:tcPr>
          <w:p w14:paraId="65AEED2E" w14:textId="77777777" w:rsidR="009B65B1" w:rsidRPr="009B65B1" w:rsidRDefault="009B65B1" w:rsidP="009B65B1">
            <w:pPr>
              <w:jc w:val="center"/>
              <w:rPr>
                <w:rFonts w:eastAsia="Times New Roman"/>
                <w:sz w:val="22"/>
                <w:szCs w:val="22"/>
              </w:rPr>
            </w:pPr>
            <w:r w:rsidRPr="009B65B1">
              <w:rPr>
                <w:rFonts w:eastAsia="Times New Roman"/>
                <w:sz w:val="22"/>
                <w:szCs w:val="22"/>
              </w:rPr>
              <w:t>2</w:t>
            </w:r>
          </w:p>
        </w:tc>
        <w:tc>
          <w:tcPr>
            <w:tcW w:w="1268" w:type="dxa"/>
            <w:tcBorders>
              <w:top w:val="nil"/>
              <w:left w:val="nil"/>
              <w:bottom w:val="single" w:sz="4" w:space="0" w:color="auto"/>
              <w:right w:val="single" w:sz="4" w:space="0" w:color="auto"/>
            </w:tcBorders>
            <w:shd w:val="clear" w:color="auto" w:fill="auto"/>
            <w:noWrap/>
            <w:vAlign w:val="center"/>
            <w:hideMark/>
          </w:tcPr>
          <w:p w14:paraId="02CDDFCC" w14:textId="77777777" w:rsidR="009B65B1" w:rsidRPr="009B65B1" w:rsidRDefault="009B65B1" w:rsidP="009B65B1">
            <w:pPr>
              <w:jc w:val="center"/>
              <w:rPr>
                <w:rFonts w:eastAsia="Times New Roman"/>
                <w:sz w:val="22"/>
                <w:szCs w:val="22"/>
              </w:rPr>
            </w:pPr>
            <w:r w:rsidRPr="009B65B1">
              <w:rPr>
                <w:rFonts w:eastAsia="Times New Roman"/>
                <w:sz w:val="22"/>
                <w:szCs w:val="22"/>
              </w:rPr>
              <w:t>0.04</w:t>
            </w:r>
          </w:p>
        </w:tc>
      </w:tr>
      <w:tr w:rsidR="009B65B1" w:rsidRPr="009B65B1" w14:paraId="4F05CE25"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70A638E" w14:textId="77777777" w:rsidR="009B65B1" w:rsidRPr="009B65B1" w:rsidRDefault="009B65B1" w:rsidP="009B65B1">
            <w:pPr>
              <w:jc w:val="center"/>
              <w:rPr>
                <w:rFonts w:eastAsia="Times New Roman"/>
                <w:sz w:val="22"/>
                <w:szCs w:val="22"/>
              </w:rPr>
            </w:pPr>
            <w:r w:rsidRPr="009B65B1">
              <w:rPr>
                <w:rFonts w:eastAsia="Times New Roman"/>
                <w:sz w:val="22"/>
                <w:szCs w:val="22"/>
              </w:rPr>
              <w:t>F17</w:t>
            </w:r>
          </w:p>
        </w:tc>
        <w:tc>
          <w:tcPr>
            <w:tcW w:w="6214" w:type="dxa"/>
            <w:tcBorders>
              <w:top w:val="nil"/>
              <w:left w:val="nil"/>
              <w:bottom w:val="single" w:sz="4" w:space="0" w:color="auto"/>
              <w:right w:val="single" w:sz="4" w:space="0" w:color="auto"/>
            </w:tcBorders>
            <w:shd w:val="clear" w:color="auto" w:fill="auto"/>
            <w:vAlign w:val="center"/>
            <w:hideMark/>
          </w:tcPr>
          <w:p w14:paraId="649A26A9" w14:textId="77777777" w:rsidR="009B65B1" w:rsidRPr="009B65B1" w:rsidRDefault="009B65B1" w:rsidP="009B65B1">
            <w:pPr>
              <w:rPr>
                <w:rFonts w:eastAsia="Times New Roman"/>
                <w:sz w:val="22"/>
                <w:szCs w:val="22"/>
              </w:rPr>
            </w:pPr>
            <w:r w:rsidRPr="009B65B1">
              <w:rPr>
                <w:rFonts w:eastAsia="Times New Roman"/>
                <w:sz w:val="22"/>
                <w:szCs w:val="22"/>
              </w:rPr>
              <w:t>Too Detailed</w:t>
            </w:r>
          </w:p>
        </w:tc>
        <w:tc>
          <w:tcPr>
            <w:tcW w:w="1319" w:type="dxa"/>
            <w:tcBorders>
              <w:top w:val="nil"/>
              <w:left w:val="nil"/>
              <w:bottom w:val="single" w:sz="4" w:space="0" w:color="auto"/>
              <w:right w:val="single" w:sz="4" w:space="0" w:color="auto"/>
            </w:tcBorders>
            <w:shd w:val="clear" w:color="auto" w:fill="auto"/>
            <w:vAlign w:val="center"/>
            <w:hideMark/>
          </w:tcPr>
          <w:p w14:paraId="08CA06C7" w14:textId="77777777" w:rsidR="009B65B1" w:rsidRPr="009B65B1" w:rsidRDefault="009B65B1" w:rsidP="009B65B1">
            <w:pPr>
              <w:jc w:val="center"/>
              <w:rPr>
                <w:rFonts w:eastAsia="Times New Roman"/>
                <w:sz w:val="22"/>
                <w:szCs w:val="22"/>
              </w:rPr>
            </w:pPr>
            <w:r w:rsidRPr="009B65B1">
              <w:rPr>
                <w:rFonts w:eastAsia="Times New Roman"/>
                <w:sz w:val="22"/>
                <w:szCs w:val="22"/>
              </w:rPr>
              <w:t>8</w:t>
            </w:r>
          </w:p>
        </w:tc>
        <w:tc>
          <w:tcPr>
            <w:tcW w:w="1268" w:type="dxa"/>
            <w:tcBorders>
              <w:top w:val="nil"/>
              <w:left w:val="nil"/>
              <w:bottom w:val="single" w:sz="4" w:space="0" w:color="auto"/>
              <w:right w:val="single" w:sz="4" w:space="0" w:color="auto"/>
            </w:tcBorders>
            <w:shd w:val="clear" w:color="auto" w:fill="auto"/>
            <w:noWrap/>
            <w:vAlign w:val="center"/>
            <w:hideMark/>
          </w:tcPr>
          <w:p w14:paraId="4972AA8D" w14:textId="77777777" w:rsidR="009B65B1" w:rsidRPr="009B65B1" w:rsidRDefault="009B65B1" w:rsidP="009B65B1">
            <w:pPr>
              <w:jc w:val="center"/>
              <w:rPr>
                <w:rFonts w:eastAsia="Times New Roman"/>
                <w:sz w:val="22"/>
                <w:szCs w:val="22"/>
              </w:rPr>
            </w:pPr>
            <w:r w:rsidRPr="009B65B1">
              <w:rPr>
                <w:rFonts w:eastAsia="Times New Roman"/>
                <w:sz w:val="22"/>
                <w:szCs w:val="22"/>
              </w:rPr>
              <w:t>0.16</w:t>
            </w:r>
          </w:p>
        </w:tc>
      </w:tr>
      <w:tr w:rsidR="009B65B1" w:rsidRPr="009B65B1" w14:paraId="4877537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CC24300" w14:textId="77777777" w:rsidR="009B65B1" w:rsidRPr="009B65B1" w:rsidRDefault="009B65B1" w:rsidP="009B65B1">
            <w:pPr>
              <w:jc w:val="center"/>
              <w:rPr>
                <w:rFonts w:eastAsia="Times New Roman"/>
                <w:sz w:val="22"/>
                <w:szCs w:val="22"/>
              </w:rPr>
            </w:pPr>
            <w:r w:rsidRPr="009B65B1">
              <w:rPr>
                <w:rFonts w:eastAsia="Times New Roman"/>
                <w:sz w:val="22"/>
                <w:szCs w:val="22"/>
              </w:rPr>
              <w:t>G1</w:t>
            </w:r>
          </w:p>
        </w:tc>
        <w:tc>
          <w:tcPr>
            <w:tcW w:w="6214" w:type="dxa"/>
            <w:tcBorders>
              <w:top w:val="nil"/>
              <w:left w:val="nil"/>
              <w:bottom w:val="single" w:sz="4" w:space="0" w:color="auto"/>
              <w:right w:val="single" w:sz="4" w:space="0" w:color="auto"/>
            </w:tcBorders>
            <w:shd w:val="clear" w:color="auto" w:fill="auto"/>
            <w:vAlign w:val="center"/>
            <w:hideMark/>
          </w:tcPr>
          <w:p w14:paraId="33911D82" w14:textId="77777777" w:rsidR="009B65B1" w:rsidRPr="009B65B1" w:rsidRDefault="009B65B1" w:rsidP="009B65B1">
            <w:pPr>
              <w:rPr>
                <w:rFonts w:eastAsia="Times New Roman"/>
                <w:b/>
                <w:bCs/>
                <w:sz w:val="22"/>
                <w:szCs w:val="22"/>
              </w:rPr>
            </w:pPr>
            <w:r w:rsidRPr="009B65B1">
              <w:rPr>
                <w:rFonts w:eastAsia="Times New Roman"/>
                <w:b/>
                <w:bCs/>
                <w:sz w:val="22"/>
                <w:szCs w:val="22"/>
              </w:rPr>
              <w:t>VII. NO ISSUES</w:t>
            </w:r>
          </w:p>
        </w:tc>
        <w:tc>
          <w:tcPr>
            <w:tcW w:w="1319" w:type="dxa"/>
            <w:tcBorders>
              <w:top w:val="nil"/>
              <w:left w:val="nil"/>
              <w:bottom w:val="single" w:sz="4" w:space="0" w:color="auto"/>
              <w:right w:val="single" w:sz="4" w:space="0" w:color="auto"/>
            </w:tcBorders>
            <w:shd w:val="clear" w:color="auto" w:fill="auto"/>
            <w:vAlign w:val="center"/>
            <w:hideMark/>
          </w:tcPr>
          <w:p w14:paraId="6125DB24" w14:textId="77777777" w:rsidR="009B65B1" w:rsidRPr="009B65B1" w:rsidRDefault="009B65B1" w:rsidP="009B65B1">
            <w:pPr>
              <w:jc w:val="center"/>
              <w:rPr>
                <w:rFonts w:eastAsia="Times New Roman"/>
                <w:sz w:val="22"/>
                <w:szCs w:val="22"/>
              </w:rPr>
            </w:pPr>
            <w:r w:rsidRPr="009B65B1">
              <w:rPr>
                <w:rFonts w:eastAsia="Times New Roman"/>
                <w:sz w:val="22"/>
                <w:szCs w:val="22"/>
              </w:rPr>
              <w:t>114</w:t>
            </w:r>
          </w:p>
        </w:tc>
        <w:tc>
          <w:tcPr>
            <w:tcW w:w="1268" w:type="dxa"/>
            <w:tcBorders>
              <w:top w:val="nil"/>
              <w:left w:val="nil"/>
              <w:bottom w:val="single" w:sz="4" w:space="0" w:color="auto"/>
              <w:right w:val="single" w:sz="4" w:space="0" w:color="auto"/>
            </w:tcBorders>
            <w:shd w:val="clear" w:color="auto" w:fill="auto"/>
            <w:noWrap/>
            <w:vAlign w:val="center"/>
            <w:hideMark/>
          </w:tcPr>
          <w:p w14:paraId="0454E8E5" w14:textId="77777777" w:rsidR="009B65B1" w:rsidRPr="009B65B1" w:rsidRDefault="009B65B1" w:rsidP="009B65B1">
            <w:pPr>
              <w:jc w:val="center"/>
              <w:rPr>
                <w:rFonts w:eastAsia="Times New Roman"/>
                <w:sz w:val="22"/>
                <w:szCs w:val="22"/>
              </w:rPr>
            </w:pPr>
            <w:r w:rsidRPr="009B65B1">
              <w:rPr>
                <w:rFonts w:eastAsia="Times New Roman"/>
                <w:sz w:val="22"/>
                <w:szCs w:val="22"/>
              </w:rPr>
              <w:t>2.26</w:t>
            </w:r>
          </w:p>
        </w:tc>
      </w:tr>
      <w:tr w:rsidR="009B65B1" w:rsidRPr="009B65B1" w14:paraId="179F41E2" w14:textId="77777777" w:rsidTr="009B65B1">
        <w:trPr>
          <w:trHeight w:val="300"/>
        </w:trPr>
        <w:tc>
          <w:tcPr>
            <w:tcW w:w="7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4CAA207" w14:textId="77777777" w:rsidR="009B65B1" w:rsidRPr="009B65B1" w:rsidRDefault="009B65B1" w:rsidP="009B65B1">
            <w:pPr>
              <w:jc w:val="right"/>
              <w:rPr>
                <w:rFonts w:eastAsia="Times New Roman"/>
                <w:b/>
                <w:bCs/>
                <w:sz w:val="22"/>
                <w:szCs w:val="22"/>
              </w:rPr>
            </w:pPr>
            <w:r w:rsidRPr="009B65B1">
              <w:rPr>
                <w:rFonts w:eastAsia="Times New Roman"/>
                <w:b/>
                <w:bCs/>
                <w:sz w:val="22"/>
                <w:szCs w:val="22"/>
              </w:rPr>
              <w:t>Total</w:t>
            </w:r>
          </w:p>
        </w:tc>
        <w:tc>
          <w:tcPr>
            <w:tcW w:w="1319" w:type="dxa"/>
            <w:tcBorders>
              <w:top w:val="nil"/>
              <w:left w:val="nil"/>
              <w:bottom w:val="single" w:sz="4" w:space="0" w:color="auto"/>
              <w:right w:val="single" w:sz="4" w:space="0" w:color="auto"/>
            </w:tcBorders>
            <w:shd w:val="clear" w:color="auto" w:fill="auto"/>
            <w:vAlign w:val="center"/>
            <w:hideMark/>
          </w:tcPr>
          <w:p w14:paraId="0CB6A230"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5053</w:t>
            </w:r>
          </w:p>
        </w:tc>
        <w:tc>
          <w:tcPr>
            <w:tcW w:w="1268" w:type="dxa"/>
            <w:tcBorders>
              <w:top w:val="nil"/>
              <w:left w:val="nil"/>
              <w:bottom w:val="single" w:sz="4" w:space="0" w:color="auto"/>
              <w:right w:val="single" w:sz="4" w:space="0" w:color="auto"/>
            </w:tcBorders>
            <w:shd w:val="clear" w:color="auto" w:fill="auto"/>
            <w:vAlign w:val="center"/>
            <w:hideMark/>
          </w:tcPr>
          <w:p w14:paraId="5578D564"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100.00</w:t>
            </w:r>
          </w:p>
        </w:tc>
      </w:tr>
      <w:tr w:rsidR="009B65B1" w:rsidRPr="009B65B1" w14:paraId="039EFB70" w14:textId="77777777" w:rsidTr="009B65B1">
        <w:trPr>
          <w:trHeight w:val="300"/>
        </w:trPr>
        <w:tc>
          <w:tcPr>
            <w:tcW w:w="959" w:type="dxa"/>
            <w:tcBorders>
              <w:top w:val="nil"/>
              <w:left w:val="nil"/>
              <w:bottom w:val="nil"/>
              <w:right w:val="nil"/>
            </w:tcBorders>
            <w:shd w:val="clear" w:color="auto" w:fill="auto"/>
            <w:vAlign w:val="center"/>
            <w:hideMark/>
          </w:tcPr>
          <w:p w14:paraId="53AF4BCC" w14:textId="77777777" w:rsidR="009B65B1" w:rsidRPr="009B65B1" w:rsidRDefault="009B65B1" w:rsidP="009B65B1">
            <w:pPr>
              <w:jc w:val="center"/>
              <w:rPr>
                <w:rFonts w:eastAsia="Times New Roman"/>
                <w:b/>
                <w:bCs/>
                <w:sz w:val="22"/>
                <w:szCs w:val="22"/>
              </w:rPr>
            </w:pPr>
          </w:p>
        </w:tc>
        <w:tc>
          <w:tcPr>
            <w:tcW w:w="6214" w:type="dxa"/>
            <w:tcBorders>
              <w:top w:val="nil"/>
              <w:left w:val="nil"/>
              <w:bottom w:val="nil"/>
              <w:right w:val="nil"/>
            </w:tcBorders>
            <w:shd w:val="clear" w:color="auto" w:fill="auto"/>
            <w:vAlign w:val="center"/>
            <w:hideMark/>
          </w:tcPr>
          <w:p w14:paraId="06FBC301" w14:textId="77777777" w:rsidR="009B65B1" w:rsidRPr="009B65B1" w:rsidRDefault="009B65B1" w:rsidP="009B65B1">
            <w:pPr>
              <w:jc w:val="right"/>
              <w:rPr>
                <w:rFonts w:eastAsia="Times New Roman"/>
                <w:sz w:val="20"/>
                <w:szCs w:val="20"/>
              </w:rPr>
            </w:pPr>
          </w:p>
        </w:tc>
        <w:tc>
          <w:tcPr>
            <w:tcW w:w="1319" w:type="dxa"/>
            <w:tcBorders>
              <w:top w:val="nil"/>
              <w:left w:val="nil"/>
              <w:bottom w:val="nil"/>
              <w:right w:val="nil"/>
            </w:tcBorders>
            <w:shd w:val="clear" w:color="auto" w:fill="auto"/>
            <w:vAlign w:val="center"/>
            <w:hideMark/>
          </w:tcPr>
          <w:p w14:paraId="0374B471" w14:textId="77777777" w:rsidR="009B65B1" w:rsidRPr="009B65B1" w:rsidRDefault="009B65B1" w:rsidP="009B65B1">
            <w:pPr>
              <w:rPr>
                <w:rFonts w:eastAsia="Times New Roman"/>
                <w:sz w:val="20"/>
                <w:szCs w:val="20"/>
              </w:rPr>
            </w:pPr>
          </w:p>
        </w:tc>
        <w:tc>
          <w:tcPr>
            <w:tcW w:w="1268" w:type="dxa"/>
            <w:tcBorders>
              <w:top w:val="nil"/>
              <w:left w:val="nil"/>
              <w:bottom w:val="nil"/>
              <w:right w:val="nil"/>
            </w:tcBorders>
            <w:shd w:val="clear" w:color="auto" w:fill="auto"/>
            <w:noWrap/>
            <w:vAlign w:val="center"/>
            <w:hideMark/>
          </w:tcPr>
          <w:p w14:paraId="2F3AF392" w14:textId="77777777" w:rsidR="009B65B1" w:rsidRPr="009B65B1" w:rsidRDefault="009B65B1" w:rsidP="009B65B1">
            <w:pPr>
              <w:jc w:val="center"/>
              <w:rPr>
                <w:rFonts w:eastAsia="Times New Roman"/>
                <w:sz w:val="20"/>
                <w:szCs w:val="20"/>
              </w:rPr>
            </w:pPr>
          </w:p>
        </w:tc>
      </w:tr>
      <w:tr w:rsidR="009B65B1" w:rsidRPr="009B65B1" w14:paraId="197E04A9" w14:textId="77777777" w:rsidTr="009B65B1">
        <w:trPr>
          <w:trHeight w:val="300"/>
        </w:trPr>
        <w:tc>
          <w:tcPr>
            <w:tcW w:w="7173" w:type="dxa"/>
            <w:gridSpan w:val="2"/>
            <w:tcBorders>
              <w:top w:val="nil"/>
              <w:left w:val="nil"/>
              <w:bottom w:val="nil"/>
              <w:right w:val="nil"/>
            </w:tcBorders>
            <w:shd w:val="clear" w:color="auto" w:fill="auto"/>
            <w:vAlign w:val="center"/>
            <w:hideMark/>
          </w:tcPr>
          <w:p w14:paraId="0520B189" w14:textId="77777777" w:rsidR="009B65B1" w:rsidRPr="009B65B1" w:rsidRDefault="009B65B1" w:rsidP="009B65B1">
            <w:pPr>
              <w:rPr>
                <w:rFonts w:eastAsia="Times New Roman"/>
                <w:b/>
                <w:bCs/>
                <w:sz w:val="22"/>
                <w:szCs w:val="22"/>
              </w:rPr>
            </w:pPr>
            <w:r w:rsidRPr="009B65B1">
              <w:rPr>
                <w:rFonts w:eastAsia="Times New Roman"/>
                <w:b/>
                <w:bCs/>
                <w:sz w:val="22"/>
                <w:szCs w:val="22"/>
              </w:rPr>
              <w:t>PART 2. ACTION REQUIRED</w:t>
            </w:r>
          </w:p>
        </w:tc>
        <w:tc>
          <w:tcPr>
            <w:tcW w:w="1319" w:type="dxa"/>
            <w:tcBorders>
              <w:top w:val="nil"/>
              <w:left w:val="nil"/>
              <w:bottom w:val="nil"/>
              <w:right w:val="nil"/>
            </w:tcBorders>
            <w:shd w:val="clear" w:color="auto" w:fill="auto"/>
            <w:vAlign w:val="center"/>
            <w:hideMark/>
          </w:tcPr>
          <w:p w14:paraId="524790F0" w14:textId="77777777" w:rsidR="009B65B1" w:rsidRPr="009B65B1" w:rsidRDefault="009B65B1" w:rsidP="009B65B1">
            <w:pPr>
              <w:rPr>
                <w:rFonts w:eastAsia="Times New Roman"/>
                <w:b/>
                <w:bCs/>
                <w:sz w:val="22"/>
                <w:szCs w:val="22"/>
              </w:rPr>
            </w:pPr>
          </w:p>
        </w:tc>
        <w:tc>
          <w:tcPr>
            <w:tcW w:w="1268" w:type="dxa"/>
            <w:tcBorders>
              <w:top w:val="nil"/>
              <w:left w:val="nil"/>
              <w:bottom w:val="nil"/>
              <w:right w:val="nil"/>
            </w:tcBorders>
            <w:shd w:val="clear" w:color="auto" w:fill="auto"/>
            <w:noWrap/>
            <w:vAlign w:val="center"/>
            <w:hideMark/>
          </w:tcPr>
          <w:p w14:paraId="1E901B8F" w14:textId="77777777" w:rsidR="009B65B1" w:rsidRPr="009B65B1" w:rsidRDefault="009B65B1" w:rsidP="009B65B1">
            <w:pPr>
              <w:jc w:val="center"/>
              <w:rPr>
                <w:rFonts w:eastAsia="Times New Roman"/>
                <w:sz w:val="20"/>
                <w:szCs w:val="20"/>
              </w:rPr>
            </w:pPr>
          </w:p>
        </w:tc>
      </w:tr>
      <w:tr w:rsidR="009B65B1" w:rsidRPr="009B65B1" w14:paraId="667426BA" w14:textId="77777777" w:rsidTr="009B65B1">
        <w:trPr>
          <w:trHeight w:val="570"/>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5745B"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 xml:space="preserve">Code </w:t>
            </w:r>
          </w:p>
        </w:tc>
        <w:tc>
          <w:tcPr>
            <w:tcW w:w="6214" w:type="dxa"/>
            <w:tcBorders>
              <w:top w:val="single" w:sz="4" w:space="0" w:color="auto"/>
              <w:left w:val="nil"/>
              <w:bottom w:val="single" w:sz="4" w:space="0" w:color="auto"/>
              <w:right w:val="single" w:sz="4" w:space="0" w:color="auto"/>
            </w:tcBorders>
            <w:shd w:val="clear" w:color="auto" w:fill="auto"/>
            <w:vAlign w:val="center"/>
            <w:hideMark/>
          </w:tcPr>
          <w:p w14:paraId="24CD79F0"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Action required</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14:paraId="79CBAC79"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Number of comments</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15A49851"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w:t>
            </w:r>
          </w:p>
        </w:tc>
      </w:tr>
      <w:tr w:rsidR="009B65B1" w:rsidRPr="009B65B1" w14:paraId="28C8811C"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0FE9C78" w14:textId="77777777" w:rsidR="009B65B1" w:rsidRPr="009B65B1" w:rsidRDefault="009B65B1" w:rsidP="009B65B1">
            <w:pPr>
              <w:jc w:val="center"/>
              <w:rPr>
                <w:rFonts w:eastAsia="Times New Roman"/>
                <w:sz w:val="22"/>
                <w:szCs w:val="22"/>
              </w:rPr>
            </w:pPr>
            <w:r w:rsidRPr="009B65B1">
              <w:rPr>
                <w:rFonts w:eastAsia="Times New Roman"/>
                <w:sz w:val="22"/>
                <w:szCs w:val="22"/>
              </w:rPr>
              <w:t>1</w:t>
            </w:r>
          </w:p>
        </w:tc>
        <w:tc>
          <w:tcPr>
            <w:tcW w:w="6214" w:type="dxa"/>
            <w:tcBorders>
              <w:top w:val="nil"/>
              <w:left w:val="nil"/>
              <w:bottom w:val="single" w:sz="4" w:space="0" w:color="auto"/>
              <w:right w:val="single" w:sz="4" w:space="0" w:color="auto"/>
            </w:tcBorders>
            <w:shd w:val="clear" w:color="auto" w:fill="auto"/>
            <w:vAlign w:val="center"/>
            <w:hideMark/>
          </w:tcPr>
          <w:p w14:paraId="12C5547B" w14:textId="77777777" w:rsidR="009B65B1" w:rsidRPr="009B65B1" w:rsidRDefault="009B65B1" w:rsidP="009B65B1">
            <w:pPr>
              <w:rPr>
                <w:rFonts w:eastAsia="Times New Roman"/>
                <w:sz w:val="22"/>
                <w:szCs w:val="22"/>
              </w:rPr>
            </w:pPr>
            <w:r w:rsidRPr="009B65B1">
              <w:rPr>
                <w:rFonts w:eastAsia="Times New Roman"/>
                <w:sz w:val="22"/>
                <w:szCs w:val="22"/>
              </w:rPr>
              <w:t>No specific action required</w:t>
            </w:r>
          </w:p>
        </w:tc>
        <w:tc>
          <w:tcPr>
            <w:tcW w:w="1319" w:type="dxa"/>
            <w:tcBorders>
              <w:top w:val="nil"/>
              <w:left w:val="nil"/>
              <w:bottom w:val="single" w:sz="4" w:space="0" w:color="auto"/>
              <w:right w:val="single" w:sz="4" w:space="0" w:color="auto"/>
            </w:tcBorders>
            <w:shd w:val="clear" w:color="auto" w:fill="auto"/>
            <w:vAlign w:val="center"/>
            <w:hideMark/>
          </w:tcPr>
          <w:p w14:paraId="37469E98" w14:textId="77777777" w:rsidR="009B65B1" w:rsidRPr="009B65B1" w:rsidRDefault="009B65B1" w:rsidP="009B65B1">
            <w:pPr>
              <w:jc w:val="center"/>
              <w:rPr>
                <w:rFonts w:eastAsia="Times New Roman"/>
                <w:sz w:val="22"/>
                <w:szCs w:val="22"/>
              </w:rPr>
            </w:pPr>
            <w:r w:rsidRPr="009B65B1">
              <w:rPr>
                <w:rFonts w:eastAsia="Times New Roman"/>
                <w:sz w:val="22"/>
                <w:szCs w:val="22"/>
              </w:rPr>
              <w:t>132</w:t>
            </w:r>
          </w:p>
        </w:tc>
        <w:tc>
          <w:tcPr>
            <w:tcW w:w="1268" w:type="dxa"/>
            <w:tcBorders>
              <w:top w:val="nil"/>
              <w:left w:val="nil"/>
              <w:bottom w:val="single" w:sz="4" w:space="0" w:color="auto"/>
              <w:right w:val="single" w:sz="4" w:space="0" w:color="auto"/>
            </w:tcBorders>
            <w:shd w:val="clear" w:color="auto" w:fill="auto"/>
            <w:noWrap/>
            <w:vAlign w:val="center"/>
            <w:hideMark/>
          </w:tcPr>
          <w:p w14:paraId="2B3EF1A1" w14:textId="77777777" w:rsidR="009B65B1" w:rsidRPr="009B65B1" w:rsidRDefault="009B65B1" w:rsidP="009B65B1">
            <w:pPr>
              <w:jc w:val="center"/>
              <w:rPr>
                <w:rFonts w:eastAsia="Times New Roman"/>
                <w:sz w:val="22"/>
                <w:szCs w:val="22"/>
              </w:rPr>
            </w:pPr>
            <w:r w:rsidRPr="009B65B1">
              <w:rPr>
                <w:rFonts w:eastAsia="Times New Roman"/>
                <w:sz w:val="22"/>
                <w:szCs w:val="22"/>
              </w:rPr>
              <w:t>2.66</w:t>
            </w:r>
          </w:p>
        </w:tc>
      </w:tr>
      <w:tr w:rsidR="009B65B1" w:rsidRPr="009B65B1" w14:paraId="38533C89"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F0DDDEC" w14:textId="77777777" w:rsidR="009B65B1" w:rsidRPr="009B65B1" w:rsidRDefault="009B65B1" w:rsidP="009B65B1">
            <w:pPr>
              <w:jc w:val="center"/>
              <w:rPr>
                <w:rFonts w:eastAsia="Times New Roman"/>
                <w:sz w:val="22"/>
                <w:szCs w:val="22"/>
              </w:rPr>
            </w:pPr>
            <w:r w:rsidRPr="009B65B1">
              <w:rPr>
                <w:rFonts w:eastAsia="Times New Roman"/>
                <w:sz w:val="22"/>
                <w:szCs w:val="22"/>
              </w:rPr>
              <w:t>2</w:t>
            </w:r>
          </w:p>
        </w:tc>
        <w:tc>
          <w:tcPr>
            <w:tcW w:w="6214" w:type="dxa"/>
            <w:tcBorders>
              <w:top w:val="nil"/>
              <w:left w:val="nil"/>
              <w:bottom w:val="single" w:sz="4" w:space="0" w:color="auto"/>
              <w:right w:val="single" w:sz="4" w:space="0" w:color="auto"/>
            </w:tcBorders>
            <w:shd w:val="clear" w:color="auto" w:fill="auto"/>
            <w:vAlign w:val="center"/>
            <w:hideMark/>
          </w:tcPr>
          <w:p w14:paraId="42077CE7" w14:textId="77777777" w:rsidR="009B65B1" w:rsidRPr="009B65B1" w:rsidRDefault="009B65B1" w:rsidP="009B65B1">
            <w:pPr>
              <w:rPr>
                <w:rFonts w:eastAsia="Times New Roman"/>
                <w:sz w:val="22"/>
                <w:szCs w:val="22"/>
              </w:rPr>
            </w:pPr>
            <w:r w:rsidRPr="009B65B1">
              <w:rPr>
                <w:rFonts w:eastAsia="Times New Roman"/>
                <w:sz w:val="22"/>
                <w:szCs w:val="22"/>
              </w:rPr>
              <w:t>Responding only</w:t>
            </w:r>
          </w:p>
        </w:tc>
        <w:tc>
          <w:tcPr>
            <w:tcW w:w="1319" w:type="dxa"/>
            <w:tcBorders>
              <w:top w:val="nil"/>
              <w:left w:val="nil"/>
              <w:bottom w:val="single" w:sz="4" w:space="0" w:color="auto"/>
              <w:right w:val="single" w:sz="4" w:space="0" w:color="auto"/>
            </w:tcBorders>
            <w:shd w:val="clear" w:color="auto" w:fill="auto"/>
            <w:vAlign w:val="center"/>
            <w:hideMark/>
          </w:tcPr>
          <w:p w14:paraId="344F7F6A" w14:textId="77777777" w:rsidR="009B65B1" w:rsidRPr="009B65B1" w:rsidRDefault="009B65B1" w:rsidP="009B65B1">
            <w:pPr>
              <w:jc w:val="center"/>
              <w:rPr>
                <w:rFonts w:eastAsia="Times New Roman"/>
                <w:sz w:val="22"/>
                <w:szCs w:val="22"/>
              </w:rPr>
            </w:pPr>
            <w:r w:rsidRPr="009B65B1">
              <w:rPr>
                <w:rFonts w:eastAsia="Times New Roman"/>
                <w:sz w:val="22"/>
                <w:szCs w:val="22"/>
              </w:rPr>
              <w:t>865</w:t>
            </w:r>
          </w:p>
        </w:tc>
        <w:tc>
          <w:tcPr>
            <w:tcW w:w="1268" w:type="dxa"/>
            <w:tcBorders>
              <w:top w:val="nil"/>
              <w:left w:val="nil"/>
              <w:bottom w:val="single" w:sz="4" w:space="0" w:color="auto"/>
              <w:right w:val="single" w:sz="4" w:space="0" w:color="auto"/>
            </w:tcBorders>
            <w:shd w:val="clear" w:color="auto" w:fill="auto"/>
            <w:noWrap/>
            <w:vAlign w:val="center"/>
            <w:hideMark/>
          </w:tcPr>
          <w:p w14:paraId="68D7C2A6" w14:textId="77777777" w:rsidR="009B65B1" w:rsidRPr="009B65B1" w:rsidRDefault="009B65B1" w:rsidP="009B65B1">
            <w:pPr>
              <w:jc w:val="center"/>
              <w:rPr>
                <w:rFonts w:eastAsia="Times New Roman"/>
                <w:sz w:val="22"/>
                <w:szCs w:val="22"/>
              </w:rPr>
            </w:pPr>
            <w:r w:rsidRPr="009B65B1">
              <w:rPr>
                <w:rFonts w:eastAsia="Times New Roman"/>
                <w:sz w:val="22"/>
                <w:szCs w:val="22"/>
              </w:rPr>
              <w:t>17.45</w:t>
            </w:r>
          </w:p>
        </w:tc>
      </w:tr>
      <w:tr w:rsidR="009B65B1" w:rsidRPr="009B65B1" w14:paraId="0DD816A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C4632A0" w14:textId="77777777" w:rsidR="009B65B1" w:rsidRPr="009B65B1" w:rsidRDefault="009B65B1" w:rsidP="009B65B1">
            <w:pPr>
              <w:jc w:val="center"/>
              <w:rPr>
                <w:rFonts w:eastAsia="Times New Roman"/>
                <w:sz w:val="22"/>
                <w:szCs w:val="22"/>
              </w:rPr>
            </w:pPr>
            <w:r w:rsidRPr="009B65B1">
              <w:rPr>
                <w:rFonts w:eastAsia="Times New Roman"/>
                <w:sz w:val="22"/>
                <w:szCs w:val="22"/>
              </w:rPr>
              <w:t>3</w:t>
            </w:r>
          </w:p>
        </w:tc>
        <w:tc>
          <w:tcPr>
            <w:tcW w:w="6214" w:type="dxa"/>
            <w:tcBorders>
              <w:top w:val="nil"/>
              <w:left w:val="nil"/>
              <w:bottom w:val="single" w:sz="4" w:space="0" w:color="auto"/>
              <w:right w:val="single" w:sz="4" w:space="0" w:color="auto"/>
            </w:tcBorders>
            <w:shd w:val="clear" w:color="auto" w:fill="auto"/>
            <w:vAlign w:val="center"/>
            <w:hideMark/>
          </w:tcPr>
          <w:p w14:paraId="5C1122AD" w14:textId="77777777" w:rsidR="009B65B1" w:rsidRPr="009B65B1" w:rsidRDefault="009B65B1" w:rsidP="009B65B1">
            <w:pPr>
              <w:rPr>
                <w:rFonts w:eastAsia="Times New Roman"/>
                <w:sz w:val="22"/>
                <w:szCs w:val="22"/>
              </w:rPr>
            </w:pPr>
            <w:r w:rsidRPr="009B65B1">
              <w:rPr>
                <w:rFonts w:eastAsia="Times New Roman"/>
                <w:sz w:val="22"/>
                <w:szCs w:val="22"/>
              </w:rPr>
              <w:t>Avoiding hype</w:t>
            </w:r>
          </w:p>
        </w:tc>
        <w:tc>
          <w:tcPr>
            <w:tcW w:w="1319" w:type="dxa"/>
            <w:tcBorders>
              <w:top w:val="nil"/>
              <w:left w:val="nil"/>
              <w:bottom w:val="single" w:sz="4" w:space="0" w:color="auto"/>
              <w:right w:val="single" w:sz="4" w:space="0" w:color="auto"/>
            </w:tcBorders>
            <w:shd w:val="clear" w:color="auto" w:fill="auto"/>
            <w:vAlign w:val="center"/>
            <w:hideMark/>
          </w:tcPr>
          <w:p w14:paraId="186C3F1C" w14:textId="77777777" w:rsidR="009B65B1" w:rsidRPr="009B65B1" w:rsidRDefault="009B65B1" w:rsidP="009B65B1">
            <w:pPr>
              <w:jc w:val="center"/>
              <w:rPr>
                <w:rFonts w:eastAsia="Times New Roman"/>
                <w:sz w:val="22"/>
                <w:szCs w:val="22"/>
              </w:rPr>
            </w:pPr>
            <w:r w:rsidRPr="009B65B1">
              <w:rPr>
                <w:rFonts w:eastAsia="Times New Roman"/>
                <w:sz w:val="22"/>
                <w:szCs w:val="22"/>
              </w:rPr>
              <w:t>25</w:t>
            </w:r>
          </w:p>
        </w:tc>
        <w:tc>
          <w:tcPr>
            <w:tcW w:w="1268" w:type="dxa"/>
            <w:tcBorders>
              <w:top w:val="nil"/>
              <w:left w:val="nil"/>
              <w:bottom w:val="single" w:sz="4" w:space="0" w:color="auto"/>
              <w:right w:val="single" w:sz="4" w:space="0" w:color="auto"/>
            </w:tcBorders>
            <w:shd w:val="clear" w:color="auto" w:fill="auto"/>
            <w:noWrap/>
            <w:vAlign w:val="center"/>
            <w:hideMark/>
          </w:tcPr>
          <w:p w14:paraId="0BBDDD1B" w14:textId="77777777" w:rsidR="009B65B1" w:rsidRPr="009B65B1" w:rsidRDefault="009B65B1" w:rsidP="009B65B1">
            <w:pPr>
              <w:jc w:val="center"/>
              <w:rPr>
                <w:rFonts w:eastAsia="Times New Roman"/>
                <w:sz w:val="22"/>
                <w:szCs w:val="22"/>
              </w:rPr>
            </w:pPr>
            <w:r w:rsidRPr="009B65B1">
              <w:rPr>
                <w:rFonts w:eastAsia="Times New Roman"/>
                <w:sz w:val="22"/>
                <w:szCs w:val="22"/>
              </w:rPr>
              <w:t>0.50</w:t>
            </w:r>
          </w:p>
        </w:tc>
      </w:tr>
      <w:tr w:rsidR="009B65B1" w:rsidRPr="009B65B1" w14:paraId="4BC181A0"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35EA915D" w14:textId="77777777" w:rsidR="009B65B1" w:rsidRPr="009B65B1" w:rsidRDefault="009B65B1" w:rsidP="009B65B1">
            <w:pPr>
              <w:jc w:val="center"/>
              <w:rPr>
                <w:rFonts w:eastAsia="Times New Roman"/>
                <w:sz w:val="22"/>
                <w:szCs w:val="22"/>
              </w:rPr>
            </w:pPr>
            <w:r w:rsidRPr="009B65B1">
              <w:rPr>
                <w:rFonts w:eastAsia="Times New Roman"/>
                <w:sz w:val="22"/>
                <w:szCs w:val="22"/>
              </w:rPr>
              <w:t>4</w:t>
            </w:r>
          </w:p>
        </w:tc>
        <w:tc>
          <w:tcPr>
            <w:tcW w:w="6214" w:type="dxa"/>
            <w:tcBorders>
              <w:top w:val="nil"/>
              <w:left w:val="nil"/>
              <w:bottom w:val="single" w:sz="4" w:space="0" w:color="auto"/>
              <w:right w:val="single" w:sz="4" w:space="0" w:color="auto"/>
            </w:tcBorders>
            <w:shd w:val="clear" w:color="auto" w:fill="auto"/>
            <w:vAlign w:val="center"/>
            <w:hideMark/>
          </w:tcPr>
          <w:p w14:paraId="02D75E34" w14:textId="77777777" w:rsidR="009B65B1" w:rsidRPr="009B65B1" w:rsidRDefault="009B65B1" w:rsidP="009B65B1">
            <w:pPr>
              <w:rPr>
                <w:rFonts w:eastAsia="Times New Roman"/>
                <w:sz w:val="22"/>
                <w:szCs w:val="22"/>
              </w:rPr>
            </w:pPr>
            <w:r w:rsidRPr="009B65B1">
              <w:rPr>
                <w:rFonts w:eastAsia="Times New Roman"/>
                <w:sz w:val="22"/>
                <w:szCs w:val="22"/>
              </w:rPr>
              <w:t>Revising uncertain information</w:t>
            </w:r>
          </w:p>
        </w:tc>
        <w:tc>
          <w:tcPr>
            <w:tcW w:w="1319" w:type="dxa"/>
            <w:tcBorders>
              <w:top w:val="nil"/>
              <w:left w:val="nil"/>
              <w:bottom w:val="single" w:sz="4" w:space="0" w:color="auto"/>
              <w:right w:val="single" w:sz="4" w:space="0" w:color="auto"/>
            </w:tcBorders>
            <w:shd w:val="clear" w:color="auto" w:fill="auto"/>
            <w:vAlign w:val="center"/>
            <w:hideMark/>
          </w:tcPr>
          <w:p w14:paraId="1B4593F6" w14:textId="77777777" w:rsidR="009B65B1" w:rsidRPr="009B65B1" w:rsidRDefault="009B65B1" w:rsidP="009B65B1">
            <w:pPr>
              <w:jc w:val="center"/>
              <w:rPr>
                <w:rFonts w:eastAsia="Times New Roman"/>
                <w:sz w:val="22"/>
                <w:szCs w:val="22"/>
              </w:rPr>
            </w:pPr>
            <w:r w:rsidRPr="009B65B1">
              <w:rPr>
                <w:rFonts w:eastAsia="Times New Roman"/>
                <w:sz w:val="22"/>
                <w:szCs w:val="22"/>
              </w:rPr>
              <w:t>5</w:t>
            </w:r>
          </w:p>
        </w:tc>
        <w:tc>
          <w:tcPr>
            <w:tcW w:w="1268" w:type="dxa"/>
            <w:tcBorders>
              <w:top w:val="nil"/>
              <w:left w:val="nil"/>
              <w:bottom w:val="single" w:sz="4" w:space="0" w:color="auto"/>
              <w:right w:val="single" w:sz="4" w:space="0" w:color="auto"/>
            </w:tcBorders>
            <w:shd w:val="clear" w:color="auto" w:fill="auto"/>
            <w:noWrap/>
            <w:vAlign w:val="center"/>
            <w:hideMark/>
          </w:tcPr>
          <w:p w14:paraId="5749F825" w14:textId="77777777" w:rsidR="009B65B1" w:rsidRPr="009B65B1" w:rsidRDefault="009B65B1" w:rsidP="009B65B1">
            <w:pPr>
              <w:jc w:val="center"/>
              <w:rPr>
                <w:rFonts w:eastAsia="Times New Roman"/>
                <w:sz w:val="22"/>
                <w:szCs w:val="22"/>
              </w:rPr>
            </w:pPr>
            <w:r w:rsidRPr="009B65B1">
              <w:rPr>
                <w:rFonts w:eastAsia="Times New Roman"/>
                <w:sz w:val="22"/>
                <w:szCs w:val="22"/>
              </w:rPr>
              <w:t>0.10</w:t>
            </w:r>
          </w:p>
        </w:tc>
      </w:tr>
      <w:tr w:rsidR="009B65B1" w:rsidRPr="009B65B1" w14:paraId="6D98F93B"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996BD53" w14:textId="77777777" w:rsidR="009B65B1" w:rsidRPr="009B65B1" w:rsidRDefault="009B65B1" w:rsidP="009B65B1">
            <w:pPr>
              <w:jc w:val="center"/>
              <w:rPr>
                <w:rFonts w:eastAsia="Times New Roman"/>
                <w:sz w:val="22"/>
                <w:szCs w:val="22"/>
              </w:rPr>
            </w:pPr>
            <w:r w:rsidRPr="009B65B1">
              <w:rPr>
                <w:rFonts w:eastAsia="Times New Roman"/>
                <w:sz w:val="22"/>
                <w:szCs w:val="22"/>
              </w:rPr>
              <w:t>5</w:t>
            </w:r>
          </w:p>
        </w:tc>
        <w:tc>
          <w:tcPr>
            <w:tcW w:w="6214" w:type="dxa"/>
            <w:tcBorders>
              <w:top w:val="nil"/>
              <w:left w:val="nil"/>
              <w:bottom w:val="single" w:sz="4" w:space="0" w:color="auto"/>
              <w:right w:val="single" w:sz="4" w:space="0" w:color="auto"/>
            </w:tcBorders>
            <w:shd w:val="clear" w:color="auto" w:fill="auto"/>
            <w:vAlign w:val="center"/>
            <w:hideMark/>
          </w:tcPr>
          <w:p w14:paraId="06EA1011" w14:textId="77777777" w:rsidR="009B65B1" w:rsidRPr="009B65B1" w:rsidRDefault="009B65B1" w:rsidP="009B65B1">
            <w:pPr>
              <w:rPr>
                <w:rFonts w:eastAsia="Times New Roman"/>
                <w:sz w:val="22"/>
                <w:szCs w:val="22"/>
              </w:rPr>
            </w:pPr>
            <w:r w:rsidRPr="009B65B1">
              <w:rPr>
                <w:rFonts w:eastAsia="Times New Roman"/>
                <w:sz w:val="22"/>
                <w:szCs w:val="22"/>
              </w:rPr>
              <w:t>Using plain language</w:t>
            </w:r>
          </w:p>
        </w:tc>
        <w:tc>
          <w:tcPr>
            <w:tcW w:w="1319" w:type="dxa"/>
            <w:tcBorders>
              <w:top w:val="nil"/>
              <w:left w:val="nil"/>
              <w:bottom w:val="single" w:sz="4" w:space="0" w:color="auto"/>
              <w:right w:val="single" w:sz="4" w:space="0" w:color="auto"/>
            </w:tcBorders>
            <w:shd w:val="clear" w:color="auto" w:fill="auto"/>
            <w:vAlign w:val="center"/>
            <w:hideMark/>
          </w:tcPr>
          <w:p w14:paraId="5C7719C4" w14:textId="77777777" w:rsidR="009B65B1" w:rsidRPr="009B65B1" w:rsidRDefault="009B65B1" w:rsidP="009B65B1">
            <w:pPr>
              <w:jc w:val="center"/>
              <w:rPr>
                <w:rFonts w:eastAsia="Times New Roman"/>
                <w:sz w:val="22"/>
                <w:szCs w:val="22"/>
              </w:rPr>
            </w:pPr>
            <w:r w:rsidRPr="009B65B1">
              <w:rPr>
                <w:rFonts w:eastAsia="Times New Roman"/>
                <w:sz w:val="22"/>
                <w:szCs w:val="22"/>
              </w:rPr>
              <w:t>126</w:t>
            </w:r>
          </w:p>
        </w:tc>
        <w:tc>
          <w:tcPr>
            <w:tcW w:w="1268" w:type="dxa"/>
            <w:tcBorders>
              <w:top w:val="nil"/>
              <w:left w:val="nil"/>
              <w:bottom w:val="single" w:sz="4" w:space="0" w:color="auto"/>
              <w:right w:val="single" w:sz="4" w:space="0" w:color="auto"/>
            </w:tcBorders>
            <w:shd w:val="clear" w:color="auto" w:fill="auto"/>
            <w:noWrap/>
            <w:vAlign w:val="center"/>
            <w:hideMark/>
          </w:tcPr>
          <w:p w14:paraId="602459E1" w14:textId="77777777" w:rsidR="009B65B1" w:rsidRPr="009B65B1" w:rsidRDefault="009B65B1" w:rsidP="009B65B1">
            <w:pPr>
              <w:jc w:val="center"/>
              <w:rPr>
                <w:rFonts w:eastAsia="Times New Roman"/>
                <w:sz w:val="22"/>
                <w:szCs w:val="22"/>
              </w:rPr>
            </w:pPr>
            <w:r w:rsidRPr="009B65B1">
              <w:rPr>
                <w:rFonts w:eastAsia="Times New Roman"/>
                <w:sz w:val="22"/>
                <w:szCs w:val="22"/>
              </w:rPr>
              <w:t>2.54</w:t>
            </w:r>
          </w:p>
        </w:tc>
      </w:tr>
      <w:tr w:rsidR="009B65B1" w:rsidRPr="009B65B1" w14:paraId="589F3FAB"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209E4D3D" w14:textId="77777777" w:rsidR="009B65B1" w:rsidRPr="009B65B1" w:rsidRDefault="009B65B1" w:rsidP="009B65B1">
            <w:pPr>
              <w:jc w:val="center"/>
              <w:rPr>
                <w:rFonts w:eastAsia="Times New Roman"/>
                <w:sz w:val="22"/>
                <w:szCs w:val="22"/>
              </w:rPr>
            </w:pPr>
            <w:r w:rsidRPr="009B65B1">
              <w:rPr>
                <w:rFonts w:eastAsia="Times New Roman"/>
                <w:sz w:val="22"/>
                <w:szCs w:val="22"/>
              </w:rPr>
              <w:t>6</w:t>
            </w:r>
          </w:p>
        </w:tc>
        <w:tc>
          <w:tcPr>
            <w:tcW w:w="6214" w:type="dxa"/>
            <w:tcBorders>
              <w:top w:val="nil"/>
              <w:left w:val="nil"/>
              <w:bottom w:val="single" w:sz="4" w:space="0" w:color="auto"/>
              <w:right w:val="single" w:sz="4" w:space="0" w:color="auto"/>
            </w:tcBorders>
            <w:shd w:val="clear" w:color="auto" w:fill="auto"/>
            <w:vAlign w:val="center"/>
            <w:hideMark/>
          </w:tcPr>
          <w:p w14:paraId="7405D9ED" w14:textId="77777777" w:rsidR="009B65B1" w:rsidRPr="009B65B1" w:rsidRDefault="009B65B1" w:rsidP="009B65B1">
            <w:pPr>
              <w:rPr>
                <w:rFonts w:eastAsia="Times New Roman"/>
                <w:sz w:val="22"/>
                <w:szCs w:val="22"/>
              </w:rPr>
            </w:pPr>
            <w:r w:rsidRPr="009B65B1">
              <w:rPr>
                <w:rFonts w:eastAsia="Times New Roman"/>
                <w:sz w:val="22"/>
                <w:szCs w:val="22"/>
              </w:rPr>
              <w:t>Providing updated information</w:t>
            </w:r>
          </w:p>
        </w:tc>
        <w:tc>
          <w:tcPr>
            <w:tcW w:w="1319" w:type="dxa"/>
            <w:tcBorders>
              <w:top w:val="nil"/>
              <w:left w:val="nil"/>
              <w:bottom w:val="single" w:sz="4" w:space="0" w:color="auto"/>
              <w:right w:val="single" w:sz="4" w:space="0" w:color="auto"/>
            </w:tcBorders>
            <w:shd w:val="clear" w:color="auto" w:fill="auto"/>
            <w:vAlign w:val="center"/>
            <w:hideMark/>
          </w:tcPr>
          <w:p w14:paraId="1F863EDA" w14:textId="77777777" w:rsidR="009B65B1" w:rsidRPr="009B65B1" w:rsidRDefault="009B65B1" w:rsidP="009B65B1">
            <w:pPr>
              <w:jc w:val="center"/>
              <w:rPr>
                <w:rFonts w:eastAsia="Times New Roman"/>
                <w:sz w:val="22"/>
                <w:szCs w:val="22"/>
              </w:rPr>
            </w:pPr>
            <w:r w:rsidRPr="009B65B1">
              <w:rPr>
                <w:rFonts w:eastAsia="Times New Roman"/>
                <w:sz w:val="22"/>
                <w:szCs w:val="22"/>
              </w:rPr>
              <w:t>88</w:t>
            </w:r>
          </w:p>
        </w:tc>
        <w:tc>
          <w:tcPr>
            <w:tcW w:w="1268" w:type="dxa"/>
            <w:tcBorders>
              <w:top w:val="nil"/>
              <w:left w:val="nil"/>
              <w:bottom w:val="single" w:sz="4" w:space="0" w:color="auto"/>
              <w:right w:val="single" w:sz="4" w:space="0" w:color="auto"/>
            </w:tcBorders>
            <w:shd w:val="clear" w:color="auto" w:fill="auto"/>
            <w:noWrap/>
            <w:vAlign w:val="center"/>
            <w:hideMark/>
          </w:tcPr>
          <w:p w14:paraId="7C25FE71" w14:textId="77777777" w:rsidR="009B65B1" w:rsidRPr="009B65B1" w:rsidRDefault="009B65B1" w:rsidP="009B65B1">
            <w:pPr>
              <w:jc w:val="center"/>
              <w:rPr>
                <w:rFonts w:eastAsia="Times New Roman"/>
                <w:sz w:val="22"/>
                <w:szCs w:val="22"/>
              </w:rPr>
            </w:pPr>
            <w:r w:rsidRPr="009B65B1">
              <w:rPr>
                <w:rFonts w:eastAsia="Times New Roman"/>
                <w:sz w:val="22"/>
                <w:szCs w:val="22"/>
              </w:rPr>
              <w:t>1.78</w:t>
            </w:r>
          </w:p>
        </w:tc>
      </w:tr>
      <w:tr w:rsidR="009B65B1" w:rsidRPr="009B65B1" w14:paraId="405ED4B2"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05A5E75" w14:textId="77777777" w:rsidR="009B65B1" w:rsidRPr="009B65B1" w:rsidRDefault="009B65B1" w:rsidP="009B65B1">
            <w:pPr>
              <w:jc w:val="center"/>
              <w:rPr>
                <w:rFonts w:eastAsia="Times New Roman"/>
                <w:sz w:val="22"/>
                <w:szCs w:val="22"/>
              </w:rPr>
            </w:pPr>
            <w:r w:rsidRPr="009B65B1">
              <w:rPr>
                <w:rFonts w:eastAsia="Times New Roman"/>
                <w:sz w:val="22"/>
                <w:szCs w:val="22"/>
              </w:rPr>
              <w:t>7</w:t>
            </w:r>
          </w:p>
        </w:tc>
        <w:tc>
          <w:tcPr>
            <w:tcW w:w="6214" w:type="dxa"/>
            <w:tcBorders>
              <w:top w:val="nil"/>
              <w:left w:val="nil"/>
              <w:bottom w:val="single" w:sz="4" w:space="0" w:color="auto"/>
              <w:right w:val="single" w:sz="4" w:space="0" w:color="auto"/>
            </w:tcBorders>
            <w:shd w:val="clear" w:color="auto" w:fill="auto"/>
            <w:vAlign w:val="center"/>
            <w:hideMark/>
          </w:tcPr>
          <w:p w14:paraId="55E69874" w14:textId="77777777" w:rsidR="009B65B1" w:rsidRPr="009B65B1" w:rsidRDefault="009B65B1" w:rsidP="009B65B1">
            <w:pPr>
              <w:rPr>
                <w:rFonts w:eastAsia="Times New Roman"/>
                <w:sz w:val="22"/>
                <w:szCs w:val="22"/>
              </w:rPr>
            </w:pPr>
            <w:r w:rsidRPr="009B65B1">
              <w:rPr>
                <w:rFonts w:eastAsia="Times New Roman"/>
                <w:sz w:val="22"/>
                <w:szCs w:val="22"/>
              </w:rPr>
              <w:t>Providing specific information</w:t>
            </w:r>
          </w:p>
        </w:tc>
        <w:tc>
          <w:tcPr>
            <w:tcW w:w="1319" w:type="dxa"/>
            <w:tcBorders>
              <w:top w:val="nil"/>
              <w:left w:val="nil"/>
              <w:bottom w:val="single" w:sz="4" w:space="0" w:color="auto"/>
              <w:right w:val="single" w:sz="4" w:space="0" w:color="auto"/>
            </w:tcBorders>
            <w:shd w:val="clear" w:color="auto" w:fill="auto"/>
            <w:vAlign w:val="center"/>
            <w:hideMark/>
          </w:tcPr>
          <w:p w14:paraId="0A736DFD" w14:textId="77777777" w:rsidR="009B65B1" w:rsidRPr="009B65B1" w:rsidRDefault="009B65B1" w:rsidP="009B65B1">
            <w:pPr>
              <w:jc w:val="center"/>
              <w:rPr>
                <w:rFonts w:eastAsia="Times New Roman"/>
                <w:sz w:val="22"/>
                <w:szCs w:val="22"/>
              </w:rPr>
            </w:pPr>
            <w:r w:rsidRPr="009B65B1">
              <w:rPr>
                <w:rFonts w:eastAsia="Times New Roman"/>
                <w:sz w:val="22"/>
                <w:szCs w:val="22"/>
              </w:rPr>
              <w:t>14</w:t>
            </w:r>
          </w:p>
        </w:tc>
        <w:tc>
          <w:tcPr>
            <w:tcW w:w="1268" w:type="dxa"/>
            <w:tcBorders>
              <w:top w:val="nil"/>
              <w:left w:val="nil"/>
              <w:bottom w:val="single" w:sz="4" w:space="0" w:color="auto"/>
              <w:right w:val="single" w:sz="4" w:space="0" w:color="auto"/>
            </w:tcBorders>
            <w:shd w:val="clear" w:color="auto" w:fill="auto"/>
            <w:noWrap/>
            <w:vAlign w:val="center"/>
            <w:hideMark/>
          </w:tcPr>
          <w:p w14:paraId="094F4035" w14:textId="77777777" w:rsidR="009B65B1" w:rsidRPr="009B65B1" w:rsidRDefault="009B65B1" w:rsidP="009B65B1">
            <w:pPr>
              <w:jc w:val="center"/>
              <w:rPr>
                <w:rFonts w:eastAsia="Times New Roman"/>
                <w:sz w:val="22"/>
                <w:szCs w:val="22"/>
              </w:rPr>
            </w:pPr>
            <w:r w:rsidRPr="009B65B1">
              <w:rPr>
                <w:rFonts w:eastAsia="Times New Roman"/>
                <w:sz w:val="22"/>
                <w:szCs w:val="22"/>
              </w:rPr>
              <w:t>0.28</w:t>
            </w:r>
          </w:p>
        </w:tc>
      </w:tr>
      <w:tr w:rsidR="009B65B1" w:rsidRPr="009B65B1" w14:paraId="11CD1C2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1128749" w14:textId="77777777" w:rsidR="009B65B1" w:rsidRPr="009B65B1" w:rsidRDefault="009B65B1" w:rsidP="009B65B1">
            <w:pPr>
              <w:jc w:val="center"/>
              <w:rPr>
                <w:rFonts w:eastAsia="Times New Roman"/>
                <w:sz w:val="22"/>
                <w:szCs w:val="22"/>
              </w:rPr>
            </w:pPr>
            <w:r w:rsidRPr="009B65B1">
              <w:rPr>
                <w:rFonts w:eastAsia="Times New Roman"/>
                <w:sz w:val="22"/>
                <w:szCs w:val="22"/>
              </w:rPr>
              <w:lastRenderedPageBreak/>
              <w:t>8</w:t>
            </w:r>
          </w:p>
        </w:tc>
        <w:tc>
          <w:tcPr>
            <w:tcW w:w="6214" w:type="dxa"/>
            <w:tcBorders>
              <w:top w:val="nil"/>
              <w:left w:val="nil"/>
              <w:bottom w:val="single" w:sz="4" w:space="0" w:color="auto"/>
              <w:right w:val="single" w:sz="4" w:space="0" w:color="auto"/>
            </w:tcBorders>
            <w:shd w:val="clear" w:color="auto" w:fill="auto"/>
            <w:vAlign w:val="center"/>
            <w:hideMark/>
          </w:tcPr>
          <w:p w14:paraId="0EDCAE19" w14:textId="77777777" w:rsidR="009B65B1" w:rsidRPr="009B65B1" w:rsidRDefault="009B65B1" w:rsidP="009B65B1">
            <w:pPr>
              <w:rPr>
                <w:rFonts w:eastAsia="Times New Roman"/>
                <w:sz w:val="22"/>
                <w:szCs w:val="22"/>
              </w:rPr>
            </w:pPr>
            <w:r w:rsidRPr="009B65B1">
              <w:rPr>
                <w:rFonts w:eastAsia="Times New Roman"/>
                <w:sz w:val="22"/>
                <w:szCs w:val="22"/>
              </w:rPr>
              <w:t>Providing additional information</w:t>
            </w:r>
          </w:p>
        </w:tc>
        <w:tc>
          <w:tcPr>
            <w:tcW w:w="1319" w:type="dxa"/>
            <w:tcBorders>
              <w:top w:val="nil"/>
              <w:left w:val="nil"/>
              <w:bottom w:val="single" w:sz="4" w:space="0" w:color="auto"/>
              <w:right w:val="single" w:sz="4" w:space="0" w:color="auto"/>
            </w:tcBorders>
            <w:shd w:val="clear" w:color="auto" w:fill="auto"/>
            <w:vAlign w:val="center"/>
            <w:hideMark/>
          </w:tcPr>
          <w:p w14:paraId="430FBFDC" w14:textId="77777777" w:rsidR="009B65B1" w:rsidRPr="009B65B1" w:rsidRDefault="009B65B1" w:rsidP="009B65B1">
            <w:pPr>
              <w:jc w:val="center"/>
              <w:rPr>
                <w:rFonts w:eastAsia="Times New Roman"/>
                <w:sz w:val="22"/>
                <w:szCs w:val="22"/>
              </w:rPr>
            </w:pPr>
            <w:r w:rsidRPr="009B65B1">
              <w:rPr>
                <w:rFonts w:eastAsia="Times New Roman"/>
                <w:sz w:val="22"/>
                <w:szCs w:val="22"/>
              </w:rPr>
              <w:t>1218</w:t>
            </w:r>
          </w:p>
        </w:tc>
        <w:tc>
          <w:tcPr>
            <w:tcW w:w="1268" w:type="dxa"/>
            <w:tcBorders>
              <w:top w:val="nil"/>
              <w:left w:val="nil"/>
              <w:bottom w:val="single" w:sz="4" w:space="0" w:color="auto"/>
              <w:right w:val="single" w:sz="4" w:space="0" w:color="auto"/>
            </w:tcBorders>
            <w:shd w:val="clear" w:color="auto" w:fill="auto"/>
            <w:noWrap/>
            <w:vAlign w:val="center"/>
            <w:hideMark/>
          </w:tcPr>
          <w:p w14:paraId="4E403F66" w14:textId="77777777" w:rsidR="009B65B1" w:rsidRPr="009B65B1" w:rsidRDefault="009B65B1" w:rsidP="009B65B1">
            <w:pPr>
              <w:jc w:val="center"/>
              <w:rPr>
                <w:rFonts w:eastAsia="Times New Roman"/>
                <w:sz w:val="22"/>
                <w:szCs w:val="22"/>
              </w:rPr>
            </w:pPr>
            <w:r w:rsidRPr="009B65B1">
              <w:rPr>
                <w:rFonts w:eastAsia="Times New Roman"/>
                <w:sz w:val="22"/>
                <w:szCs w:val="22"/>
              </w:rPr>
              <w:t>24.57</w:t>
            </w:r>
          </w:p>
        </w:tc>
      </w:tr>
      <w:tr w:rsidR="009B65B1" w:rsidRPr="009B65B1" w14:paraId="0DCB151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04BDAD75" w14:textId="77777777" w:rsidR="009B65B1" w:rsidRPr="009B65B1" w:rsidRDefault="009B65B1" w:rsidP="009B65B1">
            <w:pPr>
              <w:jc w:val="center"/>
              <w:rPr>
                <w:rFonts w:eastAsia="Times New Roman"/>
                <w:sz w:val="22"/>
                <w:szCs w:val="22"/>
              </w:rPr>
            </w:pPr>
            <w:r w:rsidRPr="009B65B1">
              <w:rPr>
                <w:rFonts w:eastAsia="Times New Roman"/>
                <w:sz w:val="22"/>
                <w:szCs w:val="22"/>
              </w:rPr>
              <w:t>9</w:t>
            </w:r>
          </w:p>
        </w:tc>
        <w:tc>
          <w:tcPr>
            <w:tcW w:w="6214" w:type="dxa"/>
            <w:tcBorders>
              <w:top w:val="nil"/>
              <w:left w:val="nil"/>
              <w:bottom w:val="single" w:sz="4" w:space="0" w:color="auto"/>
              <w:right w:val="single" w:sz="4" w:space="0" w:color="auto"/>
            </w:tcBorders>
            <w:shd w:val="clear" w:color="auto" w:fill="auto"/>
            <w:vAlign w:val="center"/>
            <w:hideMark/>
          </w:tcPr>
          <w:p w14:paraId="7BB41833" w14:textId="77777777" w:rsidR="009B65B1" w:rsidRPr="009B65B1" w:rsidRDefault="009B65B1" w:rsidP="009B65B1">
            <w:pPr>
              <w:rPr>
                <w:rFonts w:eastAsia="Times New Roman"/>
                <w:sz w:val="22"/>
                <w:szCs w:val="22"/>
              </w:rPr>
            </w:pPr>
            <w:r w:rsidRPr="009B65B1">
              <w:rPr>
                <w:rFonts w:eastAsia="Times New Roman"/>
                <w:sz w:val="22"/>
                <w:szCs w:val="22"/>
              </w:rPr>
              <w:t>Providing more detailed information</w:t>
            </w:r>
          </w:p>
        </w:tc>
        <w:tc>
          <w:tcPr>
            <w:tcW w:w="1319" w:type="dxa"/>
            <w:tcBorders>
              <w:top w:val="nil"/>
              <w:left w:val="nil"/>
              <w:bottom w:val="single" w:sz="4" w:space="0" w:color="auto"/>
              <w:right w:val="single" w:sz="4" w:space="0" w:color="auto"/>
            </w:tcBorders>
            <w:shd w:val="clear" w:color="auto" w:fill="auto"/>
            <w:vAlign w:val="center"/>
            <w:hideMark/>
          </w:tcPr>
          <w:p w14:paraId="47114D4B" w14:textId="77777777" w:rsidR="009B65B1" w:rsidRPr="009B65B1" w:rsidRDefault="009B65B1" w:rsidP="009B65B1">
            <w:pPr>
              <w:jc w:val="center"/>
              <w:rPr>
                <w:rFonts w:eastAsia="Times New Roman"/>
                <w:sz w:val="22"/>
                <w:szCs w:val="22"/>
              </w:rPr>
            </w:pPr>
            <w:r w:rsidRPr="009B65B1">
              <w:rPr>
                <w:rFonts w:eastAsia="Times New Roman"/>
                <w:sz w:val="22"/>
                <w:szCs w:val="22"/>
              </w:rPr>
              <w:t>1973</w:t>
            </w:r>
          </w:p>
        </w:tc>
        <w:tc>
          <w:tcPr>
            <w:tcW w:w="1268" w:type="dxa"/>
            <w:tcBorders>
              <w:top w:val="nil"/>
              <w:left w:val="nil"/>
              <w:bottom w:val="single" w:sz="4" w:space="0" w:color="auto"/>
              <w:right w:val="single" w:sz="4" w:space="0" w:color="auto"/>
            </w:tcBorders>
            <w:shd w:val="clear" w:color="auto" w:fill="auto"/>
            <w:noWrap/>
            <w:vAlign w:val="center"/>
            <w:hideMark/>
          </w:tcPr>
          <w:p w14:paraId="7DCF1E51" w14:textId="77777777" w:rsidR="009B65B1" w:rsidRPr="009B65B1" w:rsidRDefault="009B65B1" w:rsidP="009B65B1">
            <w:pPr>
              <w:jc w:val="center"/>
              <w:rPr>
                <w:rFonts w:eastAsia="Times New Roman"/>
                <w:sz w:val="22"/>
                <w:szCs w:val="22"/>
              </w:rPr>
            </w:pPr>
            <w:r w:rsidRPr="009B65B1">
              <w:rPr>
                <w:rFonts w:eastAsia="Times New Roman"/>
                <w:sz w:val="22"/>
                <w:szCs w:val="22"/>
              </w:rPr>
              <w:t>39.80</w:t>
            </w:r>
          </w:p>
        </w:tc>
      </w:tr>
      <w:tr w:rsidR="009B65B1" w:rsidRPr="009B65B1" w14:paraId="6EF217BD"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2F50360" w14:textId="77777777" w:rsidR="009B65B1" w:rsidRPr="009B65B1" w:rsidRDefault="009B65B1" w:rsidP="009B65B1">
            <w:pPr>
              <w:jc w:val="center"/>
              <w:rPr>
                <w:rFonts w:eastAsia="Times New Roman"/>
                <w:sz w:val="22"/>
                <w:szCs w:val="22"/>
              </w:rPr>
            </w:pPr>
            <w:r w:rsidRPr="009B65B1">
              <w:rPr>
                <w:rFonts w:eastAsia="Times New Roman"/>
                <w:sz w:val="22"/>
                <w:szCs w:val="22"/>
              </w:rPr>
              <w:t>10</w:t>
            </w:r>
          </w:p>
        </w:tc>
        <w:tc>
          <w:tcPr>
            <w:tcW w:w="6214" w:type="dxa"/>
            <w:tcBorders>
              <w:top w:val="nil"/>
              <w:left w:val="nil"/>
              <w:bottom w:val="single" w:sz="4" w:space="0" w:color="auto"/>
              <w:right w:val="single" w:sz="4" w:space="0" w:color="auto"/>
            </w:tcBorders>
            <w:shd w:val="clear" w:color="auto" w:fill="auto"/>
            <w:vAlign w:val="center"/>
            <w:hideMark/>
          </w:tcPr>
          <w:p w14:paraId="4C8F428E" w14:textId="77777777" w:rsidR="009B65B1" w:rsidRPr="009B65B1" w:rsidRDefault="009B65B1" w:rsidP="009B65B1">
            <w:pPr>
              <w:rPr>
                <w:rFonts w:eastAsia="Times New Roman"/>
                <w:sz w:val="22"/>
                <w:szCs w:val="22"/>
              </w:rPr>
            </w:pPr>
            <w:r w:rsidRPr="009B65B1">
              <w:rPr>
                <w:rFonts w:eastAsia="Times New Roman"/>
                <w:sz w:val="22"/>
                <w:szCs w:val="22"/>
              </w:rPr>
              <w:t>Reconciling inconsistent information</w:t>
            </w:r>
          </w:p>
        </w:tc>
        <w:tc>
          <w:tcPr>
            <w:tcW w:w="1319" w:type="dxa"/>
            <w:tcBorders>
              <w:top w:val="nil"/>
              <w:left w:val="nil"/>
              <w:bottom w:val="single" w:sz="4" w:space="0" w:color="auto"/>
              <w:right w:val="single" w:sz="4" w:space="0" w:color="auto"/>
            </w:tcBorders>
            <w:shd w:val="clear" w:color="auto" w:fill="auto"/>
            <w:vAlign w:val="center"/>
            <w:hideMark/>
          </w:tcPr>
          <w:p w14:paraId="2EF922C5" w14:textId="77777777" w:rsidR="009B65B1" w:rsidRPr="009B65B1" w:rsidRDefault="009B65B1" w:rsidP="009B65B1">
            <w:pPr>
              <w:jc w:val="center"/>
              <w:rPr>
                <w:rFonts w:eastAsia="Times New Roman"/>
                <w:sz w:val="22"/>
                <w:szCs w:val="22"/>
              </w:rPr>
            </w:pPr>
            <w:r w:rsidRPr="009B65B1">
              <w:rPr>
                <w:rFonts w:eastAsia="Times New Roman"/>
                <w:sz w:val="22"/>
                <w:szCs w:val="22"/>
              </w:rPr>
              <w:t>135</w:t>
            </w:r>
          </w:p>
        </w:tc>
        <w:tc>
          <w:tcPr>
            <w:tcW w:w="1268" w:type="dxa"/>
            <w:tcBorders>
              <w:top w:val="nil"/>
              <w:left w:val="nil"/>
              <w:bottom w:val="single" w:sz="4" w:space="0" w:color="auto"/>
              <w:right w:val="single" w:sz="4" w:space="0" w:color="auto"/>
            </w:tcBorders>
            <w:shd w:val="clear" w:color="auto" w:fill="auto"/>
            <w:noWrap/>
            <w:vAlign w:val="center"/>
            <w:hideMark/>
          </w:tcPr>
          <w:p w14:paraId="26B7A999" w14:textId="77777777" w:rsidR="009B65B1" w:rsidRPr="009B65B1" w:rsidRDefault="009B65B1" w:rsidP="009B65B1">
            <w:pPr>
              <w:jc w:val="center"/>
              <w:rPr>
                <w:rFonts w:eastAsia="Times New Roman"/>
                <w:sz w:val="22"/>
                <w:szCs w:val="22"/>
              </w:rPr>
            </w:pPr>
            <w:r w:rsidRPr="009B65B1">
              <w:rPr>
                <w:rFonts w:eastAsia="Times New Roman"/>
                <w:sz w:val="22"/>
                <w:szCs w:val="22"/>
              </w:rPr>
              <w:t>2.72</w:t>
            </w:r>
          </w:p>
        </w:tc>
      </w:tr>
      <w:tr w:rsidR="009B65B1" w:rsidRPr="009B65B1" w14:paraId="01EEE339"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5885A099" w14:textId="77777777" w:rsidR="009B65B1" w:rsidRPr="009B65B1" w:rsidRDefault="009B65B1" w:rsidP="009B65B1">
            <w:pPr>
              <w:jc w:val="center"/>
              <w:rPr>
                <w:rFonts w:eastAsia="Times New Roman"/>
                <w:sz w:val="22"/>
                <w:szCs w:val="22"/>
              </w:rPr>
            </w:pPr>
            <w:r w:rsidRPr="009B65B1">
              <w:rPr>
                <w:rFonts w:eastAsia="Times New Roman"/>
                <w:sz w:val="22"/>
                <w:szCs w:val="22"/>
              </w:rPr>
              <w:t>11</w:t>
            </w:r>
          </w:p>
        </w:tc>
        <w:tc>
          <w:tcPr>
            <w:tcW w:w="6214" w:type="dxa"/>
            <w:tcBorders>
              <w:top w:val="nil"/>
              <w:left w:val="nil"/>
              <w:bottom w:val="single" w:sz="4" w:space="0" w:color="auto"/>
              <w:right w:val="single" w:sz="4" w:space="0" w:color="auto"/>
            </w:tcBorders>
            <w:shd w:val="clear" w:color="auto" w:fill="auto"/>
            <w:vAlign w:val="center"/>
            <w:hideMark/>
          </w:tcPr>
          <w:p w14:paraId="196F0000" w14:textId="77777777" w:rsidR="009B65B1" w:rsidRPr="009B65B1" w:rsidRDefault="009B65B1" w:rsidP="009B65B1">
            <w:pPr>
              <w:rPr>
                <w:rFonts w:eastAsia="Times New Roman"/>
                <w:sz w:val="22"/>
                <w:szCs w:val="22"/>
              </w:rPr>
            </w:pPr>
            <w:r w:rsidRPr="009B65B1">
              <w:rPr>
                <w:rFonts w:eastAsia="Times New Roman"/>
                <w:sz w:val="22"/>
                <w:szCs w:val="22"/>
              </w:rPr>
              <w:t>Revising inaccurate/inappropriate information</w:t>
            </w:r>
          </w:p>
        </w:tc>
        <w:tc>
          <w:tcPr>
            <w:tcW w:w="1319" w:type="dxa"/>
            <w:tcBorders>
              <w:top w:val="nil"/>
              <w:left w:val="nil"/>
              <w:bottom w:val="single" w:sz="4" w:space="0" w:color="auto"/>
              <w:right w:val="single" w:sz="4" w:space="0" w:color="auto"/>
            </w:tcBorders>
            <w:shd w:val="clear" w:color="auto" w:fill="auto"/>
            <w:vAlign w:val="center"/>
            <w:hideMark/>
          </w:tcPr>
          <w:p w14:paraId="525FC17D" w14:textId="77777777" w:rsidR="009B65B1" w:rsidRPr="009B65B1" w:rsidRDefault="009B65B1" w:rsidP="009B65B1">
            <w:pPr>
              <w:jc w:val="center"/>
              <w:rPr>
                <w:rFonts w:eastAsia="Times New Roman"/>
                <w:sz w:val="22"/>
                <w:szCs w:val="22"/>
              </w:rPr>
            </w:pPr>
            <w:r w:rsidRPr="009B65B1">
              <w:rPr>
                <w:rFonts w:eastAsia="Times New Roman"/>
                <w:sz w:val="22"/>
                <w:szCs w:val="22"/>
              </w:rPr>
              <w:t>258</w:t>
            </w:r>
          </w:p>
        </w:tc>
        <w:tc>
          <w:tcPr>
            <w:tcW w:w="1268" w:type="dxa"/>
            <w:tcBorders>
              <w:top w:val="nil"/>
              <w:left w:val="nil"/>
              <w:bottom w:val="single" w:sz="4" w:space="0" w:color="auto"/>
              <w:right w:val="single" w:sz="4" w:space="0" w:color="auto"/>
            </w:tcBorders>
            <w:shd w:val="clear" w:color="auto" w:fill="auto"/>
            <w:noWrap/>
            <w:vAlign w:val="center"/>
            <w:hideMark/>
          </w:tcPr>
          <w:p w14:paraId="3E8EA8CF" w14:textId="77777777" w:rsidR="009B65B1" w:rsidRPr="009B65B1" w:rsidRDefault="009B65B1" w:rsidP="009B65B1">
            <w:pPr>
              <w:jc w:val="center"/>
              <w:rPr>
                <w:rFonts w:eastAsia="Times New Roman"/>
                <w:sz w:val="22"/>
                <w:szCs w:val="22"/>
              </w:rPr>
            </w:pPr>
            <w:r w:rsidRPr="009B65B1">
              <w:rPr>
                <w:rFonts w:eastAsia="Times New Roman"/>
                <w:sz w:val="22"/>
                <w:szCs w:val="22"/>
              </w:rPr>
              <w:t>5.20</w:t>
            </w:r>
          </w:p>
        </w:tc>
      </w:tr>
      <w:tr w:rsidR="009B65B1" w:rsidRPr="009B65B1" w14:paraId="7E10D97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448FA2E6" w14:textId="77777777" w:rsidR="009B65B1" w:rsidRPr="009B65B1" w:rsidRDefault="009B65B1" w:rsidP="009B65B1">
            <w:pPr>
              <w:jc w:val="center"/>
              <w:rPr>
                <w:rFonts w:eastAsia="Times New Roman"/>
                <w:sz w:val="22"/>
                <w:szCs w:val="22"/>
              </w:rPr>
            </w:pPr>
            <w:r w:rsidRPr="009B65B1">
              <w:rPr>
                <w:rFonts w:eastAsia="Times New Roman"/>
                <w:sz w:val="22"/>
                <w:szCs w:val="22"/>
              </w:rPr>
              <w:t>12</w:t>
            </w:r>
          </w:p>
        </w:tc>
        <w:tc>
          <w:tcPr>
            <w:tcW w:w="6214" w:type="dxa"/>
            <w:tcBorders>
              <w:top w:val="nil"/>
              <w:left w:val="nil"/>
              <w:bottom w:val="single" w:sz="4" w:space="0" w:color="auto"/>
              <w:right w:val="single" w:sz="4" w:space="0" w:color="auto"/>
            </w:tcBorders>
            <w:shd w:val="clear" w:color="auto" w:fill="auto"/>
            <w:noWrap/>
            <w:vAlign w:val="center"/>
            <w:hideMark/>
          </w:tcPr>
          <w:p w14:paraId="55693D4E" w14:textId="77777777" w:rsidR="009B65B1" w:rsidRPr="009B65B1" w:rsidRDefault="009B65B1" w:rsidP="009B65B1">
            <w:pPr>
              <w:rPr>
                <w:rFonts w:eastAsia="Times New Roman"/>
                <w:sz w:val="22"/>
                <w:szCs w:val="22"/>
              </w:rPr>
            </w:pPr>
            <w:r w:rsidRPr="009B65B1">
              <w:rPr>
                <w:rFonts w:eastAsia="Times New Roman"/>
                <w:sz w:val="22"/>
                <w:szCs w:val="22"/>
              </w:rPr>
              <w:t>Highlighting unnoticeable information</w:t>
            </w:r>
          </w:p>
        </w:tc>
        <w:tc>
          <w:tcPr>
            <w:tcW w:w="1319" w:type="dxa"/>
            <w:tcBorders>
              <w:top w:val="nil"/>
              <w:left w:val="nil"/>
              <w:bottom w:val="single" w:sz="4" w:space="0" w:color="auto"/>
              <w:right w:val="single" w:sz="4" w:space="0" w:color="auto"/>
            </w:tcBorders>
            <w:shd w:val="clear" w:color="auto" w:fill="auto"/>
            <w:vAlign w:val="center"/>
            <w:hideMark/>
          </w:tcPr>
          <w:p w14:paraId="4161AB75" w14:textId="77777777" w:rsidR="009B65B1" w:rsidRPr="009B65B1" w:rsidRDefault="009B65B1" w:rsidP="009B65B1">
            <w:pPr>
              <w:jc w:val="center"/>
              <w:rPr>
                <w:rFonts w:eastAsia="Times New Roman"/>
                <w:sz w:val="22"/>
                <w:szCs w:val="22"/>
              </w:rPr>
            </w:pPr>
            <w:r w:rsidRPr="009B65B1">
              <w:rPr>
                <w:rFonts w:eastAsia="Times New Roman"/>
                <w:sz w:val="22"/>
                <w:szCs w:val="22"/>
              </w:rPr>
              <w:t>15</w:t>
            </w:r>
          </w:p>
        </w:tc>
        <w:tc>
          <w:tcPr>
            <w:tcW w:w="1268" w:type="dxa"/>
            <w:tcBorders>
              <w:top w:val="nil"/>
              <w:left w:val="nil"/>
              <w:bottom w:val="single" w:sz="4" w:space="0" w:color="auto"/>
              <w:right w:val="single" w:sz="4" w:space="0" w:color="auto"/>
            </w:tcBorders>
            <w:shd w:val="clear" w:color="auto" w:fill="auto"/>
            <w:noWrap/>
            <w:vAlign w:val="center"/>
            <w:hideMark/>
          </w:tcPr>
          <w:p w14:paraId="5AFB8457" w14:textId="77777777" w:rsidR="009B65B1" w:rsidRPr="009B65B1" w:rsidRDefault="009B65B1" w:rsidP="009B65B1">
            <w:pPr>
              <w:jc w:val="center"/>
              <w:rPr>
                <w:rFonts w:eastAsia="Times New Roman"/>
                <w:sz w:val="22"/>
                <w:szCs w:val="22"/>
              </w:rPr>
            </w:pPr>
            <w:r w:rsidRPr="009B65B1">
              <w:rPr>
                <w:rFonts w:eastAsia="Times New Roman"/>
                <w:sz w:val="22"/>
                <w:szCs w:val="22"/>
              </w:rPr>
              <w:t>0.30</w:t>
            </w:r>
          </w:p>
        </w:tc>
      </w:tr>
      <w:tr w:rsidR="009B65B1" w:rsidRPr="009B65B1" w14:paraId="78BC8038"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67739E98" w14:textId="77777777" w:rsidR="009B65B1" w:rsidRPr="009B65B1" w:rsidRDefault="009B65B1" w:rsidP="009B65B1">
            <w:pPr>
              <w:jc w:val="center"/>
              <w:rPr>
                <w:rFonts w:eastAsia="Times New Roman"/>
                <w:sz w:val="22"/>
                <w:szCs w:val="22"/>
              </w:rPr>
            </w:pPr>
            <w:r w:rsidRPr="009B65B1">
              <w:rPr>
                <w:rFonts w:eastAsia="Times New Roman"/>
                <w:sz w:val="22"/>
                <w:szCs w:val="22"/>
              </w:rPr>
              <w:t>13</w:t>
            </w:r>
          </w:p>
        </w:tc>
        <w:tc>
          <w:tcPr>
            <w:tcW w:w="6214" w:type="dxa"/>
            <w:tcBorders>
              <w:top w:val="nil"/>
              <w:left w:val="nil"/>
              <w:bottom w:val="single" w:sz="4" w:space="0" w:color="auto"/>
              <w:right w:val="single" w:sz="4" w:space="0" w:color="auto"/>
            </w:tcBorders>
            <w:shd w:val="clear" w:color="auto" w:fill="auto"/>
            <w:vAlign w:val="center"/>
            <w:hideMark/>
          </w:tcPr>
          <w:p w14:paraId="59980A81" w14:textId="77777777" w:rsidR="009B65B1" w:rsidRPr="009B65B1" w:rsidRDefault="009B65B1" w:rsidP="009B65B1">
            <w:pPr>
              <w:rPr>
                <w:rFonts w:eastAsia="Times New Roman"/>
                <w:sz w:val="22"/>
                <w:szCs w:val="22"/>
              </w:rPr>
            </w:pPr>
            <w:r w:rsidRPr="009B65B1">
              <w:rPr>
                <w:rFonts w:eastAsia="Times New Roman"/>
                <w:sz w:val="22"/>
                <w:szCs w:val="22"/>
              </w:rPr>
              <w:t>Avoiding selective disclosure</w:t>
            </w:r>
          </w:p>
        </w:tc>
        <w:tc>
          <w:tcPr>
            <w:tcW w:w="1319" w:type="dxa"/>
            <w:tcBorders>
              <w:top w:val="nil"/>
              <w:left w:val="nil"/>
              <w:bottom w:val="single" w:sz="4" w:space="0" w:color="auto"/>
              <w:right w:val="single" w:sz="4" w:space="0" w:color="auto"/>
            </w:tcBorders>
            <w:shd w:val="clear" w:color="auto" w:fill="auto"/>
            <w:vAlign w:val="center"/>
            <w:hideMark/>
          </w:tcPr>
          <w:p w14:paraId="38D7D62C" w14:textId="77777777" w:rsidR="009B65B1" w:rsidRPr="009B65B1" w:rsidRDefault="009B65B1" w:rsidP="009B65B1">
            <w:pPr>
              <w:jc w:val="center"/>
              <w:rPr>
                <w:rFonts w:eastAsia="Times New Roman"/>
                <w:sz w:val="22"/>
                <w:szCs w:val="22"/>
              </w:rPr>
            </w:pPr>
            <w:r w:rsidRPr="009B65B1">
              <w:rPr>
                <w:rFonts w:eastAsia="Times New Roman"/>
                <w:sz w:val="22"/>
                <w:szCs w:val="22"/>
              </w:rPr>
              <w:t>62</w:t>
            </w:r>
          </w:p>
        </w:tc>
        <w:tc>
          <w:tcPr>
            <w:tcW w:w="1268" w:type="dxa"/>
            <w:tcBorders>
              <w:top w:val="nil"/>
              <w:left w:val="nil"/>
              <w:bottom w:val="single" w:sz="4" w:space="0" w:color="auto"/>
              <w:right w:val="single" w:sz="4" w:space="0" w:color="auto"/>
            </w:tcBorders>
            <w:shd w:val="clear" w:color="auto" w:fill="auto"/>
            <w:noWrap/>
            <w:vAlign w:val="center"/>
            <w:hideMark/>
          </w:tcPr>
          <w:p w14:paraId="4B40319F" w14:textId="77777777" w:rsidR="009B65B1" w:rsidRPr="009B65B1" w:rsidRDefault="009B65B1" w:rsidP="009B65B1">
            <w:pPr>
              <w:jc w:val="center"/>
              <w:rPr>
                <w:rFonts w:eastAsia="Times New Roman"/>
                <w:sz w:val="22"/>
                <w:szCs w:val="22"/>
              </w:rPr>
            </w:pPr>
            <w:r w:rsidRPr="009B65B1">
              <w:rPr>
                <w:rFonts w:eastAsia="Times New Roman"/>
                <w:sz w:val="22"/>
                <w:szCs w:val="22"/>
              </w:rPr>
              <w:t>1.25</w:t>
            </w:r>
          </w:p>
        </w:tc>
      </w:tr>
      <w:tr w:rsidR="009B65B1" w:rsidRPr="009B65B1" w14:paraId="2416E1A7"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728FCDEA" w14:textId="77777777" w:rsidR="009B65B1" w:rsidRPr="009B65B1" w:rsidRDefault="009B65B1" w:rsidP="009B65B1">
            <w:pPr>
              <w:jc w:val="center"/>
              <w:rPr>
                <w:rFonts w:eastAsia="Times New Roman"/>
                <w:sz w:val="22"/>
                <w:szCs w:val="22"/>
              </w:rPr>
            </w:pPr>
            <w:r w:rsidRPr="009B65B1">
              <w:rPr>
                <w:rFonts w:eastAsia="Times New Roman"/>
                <w:sz w:val="22"/>
                <w:szCs w:val="22"/>
              </w:rPr>
              <w:t>14</w:t>
            </w:r>
          </w:p>
        </w:tc>
        <w:tc>
          <w:tcPr>
            <w:tcW w:w="6214" w:type="dxa"/>
            <w:tcBorders>
              <w:top w:val="nil"/>
              <w:left w:val="nil"/>
              <w:bottom w:val="single" w:sz="4" w:space="0" w:color="auto"/>
              <w:right w:val="single" w:sz="4" w:space="0" w:color="auto"/>
            </w:tcBorders>
            <w:shd w:val="clear" w:color="auto" w:fill="auto"/>
            <w:noWrap/>
            <w:vAlign w:val="center"/>
            <w:hideMark/>
          </w:tcPr>
          <w:p w14:paraId="11DB87AA" w14:textId="77777777" w:rsidR="009B65B1" w:rsidRPr="009B65B1" w:rsidRDefault="009B65B1" w:rsidP="009B65B1">
            <w:pPr>
              <w:rPr>
                <w:rFonts w:eastAsia="Times New Roman"/>
                <w:sz w:val="22"/>
                <w:szCs w:val="22"/>
              </w:rPr>
            </w:pPr>
            <w:r w:rsidRPr="009B65B1">
              <w:rPr>
                <w:rFonts w:eastAsia="Times New Roman"/>
                <w:sz w:val="22"/>
                <w:szCs w:val="22"/>
              </w:rPr>
              <w:t>Avoiding repetition</w:t>
            </w:r>
          </w:p>
        </w:tc>
        <w:tc>
          <w:tcPr>
            <w:tcW w:w="1319" w:type="dxa"/>
            <w:tcBorders>
              <w:top w:val="nil"/>
              <w:left w:val="nil"/>
              <w:bottom w:val="single" w:sz="4" w:space="0" w:color="auto"/>
              <w:right w:val="single" w:sz="4" w:space="0" w:color="auto"/>
            </w:tcBorders>
            <w:shd w:val="clear" w:color="auto" w:fill="auto"/>
            <w:vAlign w:val="center"/>
            <w:hideMark/>
          </w:tcPr>
          <w:p w14:paraId="2DF04FC3" w14:textId="77777777" w:rsidR="009B65B1" w:rsidRPr="009B65B1" w:rsidRDefault="009B65B1" w:rsidP="009B65B1">
            <w:pPr>
              <w:jc w:val="center"/>
              <w:rPr>
                <w:rFonts w:eastAsia="Times New Roman"/>
                <w:sz w:val="22"/>
                <w:szCs w:val="22"/>
              </w:rPr>
            </w:pPr>
            <w:r w:rsidRPr="009B65B1">
              <w:rPr>
                <w:rFonts w:eastAsia="Times New Roman"/>
                <w:sz w:val="22"/>
                <w:szCs w:val="22"/>
              </w:rPr>
              <w:t>22</w:t>
            </w:r>
          </w:p>
        </w:tc>
        <w:tc>
          <w:tcPr>
            <w:tcW w:w="1268" w:type="dxa"/>
            <w:tcBorders>
              <w:top w:val="nil"/>
              <w:left w:val="nil"/>
              <w:bottom w:val="single" w:sz="4" w:space="0" w:color="auto"/>
              <w:right w:val="single" w:sz="4" w:space="0" w:color="auto"/>
            </w:tcBorders>
            <w:shd w:val="clear" w:color="auto" w:fill="auto"/>
            <w:noWrap/>
            <w:vAlign w:val="center"/>
            <w:hideMark/>
          </w:tcPr>
          <w:p w14:paraId="7730BEDB" w14:textId="77777777" w:rsidR="009B65B1" w:rsidRPr="009B65B1" w:rsidRDefault="009B65B1" w:rsidP="009B65B1">
            <w:pPr>
              <w:jc w:val="center"/>
              <w:rPr>
                <w:rFonts w:eastAsia="Times New Roman"/>
                <w:sz w:val="22"/>
                <w:szCs w:val="22"/>
              </w:rPr>
            </w:pPr>
            <w:r w:rsidRPr="009B65B1">
              <w:rPr>
                <w:rFonts w:eastAsia="Times New Roman"/>
                <w:sz w:val="22"/>
                <w:szCs w:val="22"/>
              </w:rPr>
              <w:t>0.44</w:t>
            </w:r>
          </w:p>
        </w:tc>
      </w:tr>
      <w:tr w:rsidR="009B65B1" w:rsidRPr="009B65B1" w14:paraId="11DA3F8E" w14:textId="77777777" w:rsidTr="009B65B1">
        <w:trPr>
          <w:trHeight w:val="300"/>
        </w:trPr>
        <w:tc>
          <w:tcPr>
            <w:tcW w:w="959" w:type="dxa"/>
            <w:tcBorders>
              <w:top w:val="nil"/>
              <w:left w:val="single" w:sz="4" w:space="0" w:color="auto"/>
              <w:bottom w:val="single" w:sz="4" w:space="0" w:color="auto"/>
              <w:right w:val="single" w:sz="4" w:space="0" w:color="auto"/>
            </w:tcBorders>
            <w:shd w:val="clear" w:color="auto" w:fill="auto"/>
            <w:vAlign w:val="center"/>
            <w:hideMark/>
          </w:tcPr>
          <w:p w14:paraId="1CDB9485" w14:textId="77777777" w:rsidR="009B65B1" w:rsidRPr="009B65B1" w:rsidRDefault="009B65B1" w:rsidP="009B65B1">
            <w:pPr>
              <w:jc w:val="center"/>
              <w:rPr>
                <w:rFonts w:eastAsia="Times New Roman"/>
                <w:sz w:val="22"/>
                <w:szCs w:val="22"/>
              </w:rPr>
            </w:pPr>
            <w:r w:rsidRPr="009B65B1">
              <w:rPr>
                <w:rFonts w:eastAsia="Times New Roman"/>
                <w:sz w:val="22"/>
                <w:szCs w:val="22"/>
              </w:rPr>
              <w:t>15</w:t>
            </w:r>
          </w:p>
        </w:tc>
        <w:tc>
          <w:tcPr>
            <w:tcW w:w="6214" w:type="dxa"/>
            <w:tcBorders>
              <w:top w:val="nil"/>
              <w:left w:val="nil"/>
              <w:bottom w:val="single" w:sz="4" w:space="0" w:color="auto"/>
              <w:right w:val="single" w:sz="4" w:space="0" w:color="auto"/>
            </w:tcBorders>
            <w:shd w:val="clear" w:color="auto" w:fill="auto"/>
            <w:vAlign w:val="center"/>
            <w:hideMark/>
          </w:tcPr>
          <w:p w14:paraId="2EDD656B" w14:textId="77777777" w:rsidR="009B65B1" w:rsidRPr="009B65B1" w:rsidRDefault="009B65B1" w:rsidP="009B65B1">
            <w:pPr>
              <w:rPr>
                <w:rFonts w:eastAsia="Times New Roman"/>
                <w:sz w:val="22"/>
                <w:szCs w:val="22"/>
              </w:rPr>
            </w:pPr>
            <w:r w:rsidRPr="009B65B1">
              <w:rPr>
                <w:rFonts w:eastAsia="Times New Roman"/>
                <w:sz w:val="22"/>
                <w:szCs w:val="22"/>
              </w:rPr>
              <w:t>Using appropriate format</w:t>
            </w:r>
          </w:p>
        </w:tc>
        <w:tc>
          <w:tcPr>
            <w:tcW w:w="1319" w:type="dxa"/>
            <w:tcBorders>
              <w:top w:val="nil"/>
              <w:left w:val="nil"/>
              <w:bottom w:val="single" w:sz="4" w:space="0" w:color="auto"/>
              <w:right w:val="single" w:sz="4" w:space="0" w:color="auto"/>
            </w:tcBorders>
            <w:shd w:val="clear" w:color="auto" w:fill="auto"/>
            <w:vAlign w:val="center"/>
            <w:hideMark/>
          </w:tcPr>
          <w:p w14:paraId="7E888F10" w14:textId="77777777" w:rsidR="009B65B1" w:rsidRPr="009B65B1" w:rsidRDefault="009B65B1" w:rsidP="009B65B1">
            <w:pPr>
              <w:jc w:val="center"/>
              <w:rPr>
                <w:rFonts w:eastAsia="Times New Roman"/>
                <w:sz w:val="22"/>
                <w:szCs w:val="22"/>
              </w:rPr>
            </w:pPr>
            <w:r w:rsidRPr="009B65B1">
              <w:rPr>
                <w:rFonts w:eastAsia="Times New Roman"/>
                <w:sz w:val="22"/>
                <w:szCs w:val="22"/>
              </w:rPr>
              <w:t>19</w:t>
            </w:r>
          </w:p>
        </w:tc>
        <w:tc>
          <w:tcPr>
            <w:tcW w:w="1268" w:type="dxa"/>
            <w:tcBorders>
              <w:top w:val="nil"/>
              <w:left w:val="nil"/>
              <w:bottom w:val="single" w:sz="4" w:space="0" w:color="auto"/>
              <w:right w:val="single" w:sz="4" w:space="0" w:color="auto"/>
            </w:tcBorders>
            <w:shd w:val="clear" w:color="auto" w:fill="auto"/>
            <w:noWrap/>
            <w:vAlign w:val="center"/>
            <w:hideMark/>
          </w:tcPr>
          <w:p w14:paraId="57E546CE" w14:textId="77777777" w:rsidR="009B65B1" w:rsidRPr="009B65B1" w:rsidRDefault="009B65B1" w:rsidP="009B65B1">
            <w:pPr>
              <w:jc w:val="center"/>
              <w:rPr>
                <w:rFonts w:eastAsia="Times New Roman"/>
                <w:sz w:val="22"/>
                <w:szCs w:val="22"/>
              </w:rPr>
            </w:pPr>
            <w:r w:rsidRPr="009B65B1">
              <w:rPr>
                <w:rFonts w:eastAsia="Times New Roman"/>
                <w:sz w:val="22"/>
                <w:szCs w:val="22"/>
              </w:rPr>
              <w:t>0.38</w:t>
            </w:r>
          </w:p>
        </w:tc>
      </w:tr>
      <w:tr w:rsidR="009B65B1" w:rsidRPr="009B65B1" w14:paraId="75B7AB4F" w14:textId="77777777" w:rsidTr="009B65B1">
        <w:trPr>
          <w:trHeight w:val="300"/>
        </w:trPr>
        <w:tc>
          <w:tcPr>
            <w:tcW w:w="71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CC4E194" w14:textId="77777777" w:rsidR="009B65B1" w:rsidRPr="009B65B1" w:rsidRDefault="009B65B1" w:rsidP="009B65B1">
            <w:pPr>
              <w:jc w:val="right"/>
              <w:rPr>
                <w:rFonts w:eastAsia="Times New Roman"/>
                <w:b/>
                <w:bCs/>
                <w:sz w:val="22"/>
                <w:szCs w:val="22"/>
              </w:rPr>
            </w:pPr>
            <w:r w:rsidRPr="009B65B1">
              <w:rPr>
                <w:rFonts w:eastAsia="Times New Roman"/>
                <w:b/>
                <w:bCs/>
                <w:sz w:val="22"/>
                <w:szCs w:val="22"/>
              </w:rPr>
              <w:t>Total</w:t>
            </w:r>
          </w:p>
        </w:tc>
        <w:tc>
          <w:tcPr>
            <w:tcW w:w="1319" w:type="dxa"/>
            <w:tcBorders>
              <w:top w:val="nil"/>
              <w:left w:val="nil"/>
              <w:bottom w:val="single" w:sz="4" w:space="0" w:color="auto"/>
              <w:right w:val="single" w:sz="4" w:space="0" w:color="auto"/>
            </w:tcBorders>
            <w:shd w:val="clear" w:color="auto" w:fill="auto"/>
            <w:vAlign w:val="center"/>
            <w:hideMark/>
          </w:tcPr>
          <w:p w14:paraId="280EF768"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4957</w:t>
            </w:r>
          </w:p>
        </w:tc>
        <w:tc>
          <w:tcPr>
            <w:tcW w:w="1268" w:type="dxa"/>
            <w:tcBorders>
              <w:top w:val="nil"/>
              <w:left w:val="nil"/>
              <w:bottom w:val="single" w:sz="4" w:space="0" w:color="auto"/>
              <w:right w:val="single" w:sz="4" w:space="0" w:color="auto"/>
            </w:tcBorders>
            <w:shd w:val="clear" w:color="auto" w:fill="auto"/>
            <w:vAlign w:val="center"/>
            <w:hideMark/>
          </w:tcPr>
          <w:p w14:paraId="6136285F" w14:textId="77777777" w:rsidR="009B65B1" w:rsidRPr="009B65B1" w:rsidRDefault="009B65B1" w:rsidP="009B65B1">
            <w:pPr>
              <w:jc w:val="center"/>
              <w:rPr>
                <w:rFonts w:eastAsia="Times New Roman"/>
                <w:b/>
                <w:bCs/>
                <w:sz w:val="22"/>
                <w:szCs w:val="22"/>
              </w:rPr>
            </w:pPr>
            <w:r w:rsidRPr="009B65B1">
              <w:rPr>
                <w:rFonts w:eastAsia="Times New Roman"/>
                <w:b/>
                <w:bCs/>
                <w:sz w:val="22"/>
                <w:szCs w:val="22"/>
              </w:rPr>
              <w:t>100</w:t>
            </w:r>
          </w:p>
        </w:tc>
      </w:tr>
    </w:tbl>
    <w:p w14:paraId="7F64E545" w14:textId="4C58A45B" w:rsidR="009B65B1" w:rsidRPr="004E12A2" w:rsidRDefault="009B65B1" w:rsidP="00D43CEB">
      <w:pPr>
        <w:spacing w:line="360" w:lineRule="auto"/>
        <w:jc w:val="both"/>
      </w:pPr>
      <w:r>
        <w:fldChar w:fldCharType="end"/>
      </w:r>
    </w:p>
    <w:p w14:paraId="658851BC" w14:textId="1D6DE40F" w:rsidR="00652EE1" w:rsidRPr="000912EF" w:rsidRDefault="00652EE1" w:rsidP="00C20F6A">
      <w:pPr>
        <w:spacing w:line="360" w:lineRule="auto"/>
        <w:jc w:val="both"/>
        <w:rPr>
          <w:b/>
        </w:rPr>
      </w:pPr>
    </w:p>
    <w:p w14:paraId="39B49322" w14:textId="77777777" w:rsidR="00652EE1" w:rsidRPr="000912EF" w:rsidRDefault="00652EE1" w:rsidP="00C20F6A">
      <w:pPr>
        <w:spacing w:line="360" w:lineRule="auto"/>
        <w:jc w:val="both"/>
        <w:rPr>
          <w:b/>
        </w:rPr>
      </w:pPr>
    </w:p>
    <w:p w14:paraId="5F7D402A" w14:textId="77777777" w:rsidR="00652EE1" w:rsidRPr="000912EF" w:rsidRDefault="00652EE1" w:rsidP="00C20F6A">
      <w:pPr>
        <w:spacing w:line="360" w:lineRule="auto"/>
        <w:jc w:val="both"/>
        <w:rPr>
          <w:b/>
        </w:rPr>
      </w:pPr>
    </w:p>
    <w:p w14:paraId="631369AA" w14:textId="77777777" w:rsidR="00652EE1" w:rsidRPr="000912EF" w:rsidRDefault="00652EE1" w:rsidP="00C20F6A">
      <w:pPr>
        <w:spacing w:line="360" w:lineRule="auto"/>
        <w:jc w:val="both"/>
        <w:rPr>
          <w:b/>
        </w:rPr>
      </w:pPr>
    </w:p>
    <w:p w14:paraId="7AC999DD" w14:textId="77777777" w:rsidR="00652EE1" w:rsidRPr="000912EF" w:rsidRDefault="00652EE1" w:rsidP="00C20F6A">
      <w:pPr>
        <w:spacing w:line="360" w:lineRule="auto"/>
        <w:jc w:val="both"/>
        <w:rPr>
          <w:b/>
        </w:rPr>
      </w:pPr>
    </w:p>
    <w:p w14:paraId="23209DD6" w14:textId="77777777" w:rsidR="00652EE1" w:rsidRPr="000912EF" w:rsidRDefault="00652EE1" w:rsidP="00C20F6A">
      <w:pPr>
        <w:spacing w:line="360" w:lineRule="auto"/>
        <w:jc w:val="both"/>
        <w:rPr>
          <w:b/>
        </w:rPr>
      </w:pPr>
    </w:p>
    <w:p w14:paraId="3553D99C" w14:textId="77777777" w:rsidR="00652EE1" w:rsidRPr="000912EF" w:rsidRDefault="00652EE1" w:rsidP="00C20F6A">
      <w:pPr>
        <w:spacing w:line="360" w:lineRule="auto"/>
        <w:jc w:val="both"/>
        <w:rPr>
          <w:b/>
        </w:rPr>
      </w:pPr>
    </w:p>
    <w:p w14:paraId="6CCFF85B" w14:textId="77777777" w:rsidR="00652EE1" w:rsidRPr="000912EF" w:rsidRDefault="00652EE1" w:rsidP="00C20F6A">
      <w:pPr>
        <w:spacing w:line="360" w:lineRule="auto"/>
        <w:jc w:val="both"/>
        <w:rPr>
          <w:b/>
        </w:rPr>
      </w:pPr>
    </w:p>
    <w:p w14:paraId="0177AE3A" w14:textId="77777777" w:rsidR="00652EE1" w:rsidRPr="000912EF" w:rsidRDefault="00652EE1" w:rsidP="00C20F6A">
      <w:pPr>
        <w:spacing w:line="360" w:lineRule="auto"/>
        <w:jc w:val="both"/>
        <w:rPr>
          <w:b/>
        </w:rPr>
      </w:pPr>
    </w:p>
    <w:p w14:paraId="6763A196" w14:textId="77777777" w:rsidR="00652EE1" w:rsidRPr="000912EF" w:rsidRDefault="00652EE1" w:rsidP="00C20F6A">
      <w:pPr>
        <w:spacing w:line="360" w:lineRule="auto"/>
        <w:jc w:val="both"/>
        <w:rPr>
          <w:b/>
        </w:rPr>
      </w:pPr>
    </w:p>
    <w:p w14:paraId="743AF25F" w14:textId="77777777" w:rsidR="00652EE1" w:rsidRPr="000912EF" w:rsidRDefault="00652EE1" w:rsidP="00C20F6A">
      <w:pPr>
        <w:spacing w:line="360" w:lineRule="auto"/>
        <w:jc w:val="both"/>
        <w:rPr>
          <w:b/>
        </w:rPr>
      </w:pPr>
    </w:p>
    <w:p w14:paraId="14712DFC" w14:textId="77777777" w:rsidR="00652EE1" w:rsidRPr="000912EF" w:rsidRDefault="00652EE1" w:rsidP="00C20F6A">
      <w:pPr>
        <w:spacing w:line="360" w:lineRule="auto"/>
        <w:jc w:val="both"/>
        <w:rPr>
          <w:b/>
        </w:rPr>
      </w:pPr>
    </w:p>
    <w:p w14:paraId="54FDDF9B" w14:textId="77777777" w:rsidR="00652EE1" w:rsidRPr="000912EF" w:rsidRDefault="00652EE1" w:rsidP="00C20F6A">
      <w:pPr>
        <w:spacing w:line="360" w:lineRule="auto"/>
        <w:jc w:val="both"/>
        <w:rPr>
          <w:b/>
        </w:rPr>
      </w:pPr>
    </w:p>
    <w:p w14:paraId="2A782CF4" w14:textId="77777777" w:rsidR="00652EE1" w:rsidRPr="000912EF" w:rsidRDefault="00652EE1" w:rsidP="00C20F6A">
      <w:pPr>
        <w:spacing w:line="360" w:lineRule="auto"/>
        <w:jc w:val="both"/>
        <w:rPr>
          <w:b/>
        </w:rPr>
      </w:pPr>
    </w:p>
    <w:p w14:paraId="5F6158D7" w14:textId="77777777" w:rsidR="00652EE1" w:rsidRPr="000912EF" w:rsidRDefault="00652EE1" w:rsidP="00C20F6A">
      <w:pPr>
        <w:spacing w:line="360" w:lineRule="auto"/>
        <w:jc w:val="both"/>
        <w:rPr>
          <w:b/>
        </w:rPr>
      </w:pPr>
    </w:p>
    <w:p w14:paraId="40752FF1" w14:textId="77777777" w:rsidR="00A93728" w:rsidRPr="000912EF" w:rsidRDefault="00A93728" w:rsidP="00F91520">
      <w:pPr>
        <w:pStyle w:val="Heading1"/>
        <w:rPr>
          <w:rFonts w:ascii="Times New Roman" w:hAnsi="Times New Roman" w:cs="Times New Roman"/>
          <w:b/>
          <w:color w:val="000000" w:themeColor="text1"/>
          <w:sz w:val="24"/>
          <w:szCs w:val="24"/>
        </w:rPr>
        <w:sectPr w:rsidR="00A93728" w:rsidRPr="000912EF" w:rsidSect="006076D6">
          <w:pgSz w:w="11906" w:h="16838"/>
          <w:pgMar w:top="1440" w:right="1440" w:bottom="1440" w:left="1276" w:header="708" w:footer="708" w:gutter="0"/>
          <w:cols w:space="708"/>
          <w:docGrid w:linePitch="360"/>
        </w:sectPr>
      </w:pPr>
    </w:p>
    <w:p w14:paraId="242A9A5C" w14:textId="2FAAEB3E" w:rsidR="007B7A4E" w:rsidRDefault="007B7A4E" w:rsidP="00A93728">
      <w:pPr>
        <w:pStyle w:val="Heading1"/>
        <w:rPr>
          <w:rFonts w:ascii="Times New Roman" w:hAnsi="Times New Roman" w:cs="Times New Roman"/>
          <w:b/>
          <w:color w:val="000000" w:themeColor="text1"/>
          <w:sz w:val="24"/>
          <w:szCs w:val="24"/>
        </w:rPr>
      </w:pPr>
      <w:bookmarkStart w:id="74" w:name="_Toc9185821"/>
      <w:r>
        <w:rPr>
          <w:rFonts w:ascii="Times New Roman" w:hAnsi="Times New Roman" w:cs="Times New Roman"/>
          <w:b/>
          <w:color w:val="000000" w:themeColor="text1"/>
          <w:sz w:val="24"/>
          <w:szCs w:val="24"/>
        </w:rPr>
        <w:lastRenderedPageBreak/>
        <w:t xml:space="preserve">APPENDIX </w:t>
      </w:r>
      <w:r w:rsidR="00A90510">
        <w:rPr>
          <w:rFonts w:ascii="Times New Roman" w:hAnsi="Times New Roman" w:cs="Times New Roman"/>
          <w:b/>
          <w:color w:val="000000" w:themeColor="text1"/>
          <w:sz w:val="24"/>
          <w:szCs w:val="24"/>
        </w:rPr>
        <w:t>3</w:t>
      </w:r>
      <w:bookmarkEnd w:id="74"/>
    </w:p>
    <w:p w14:paraId="25A7BF82" w14:textId="364C63EF" w:rsidR="00AD43A2" w:rsidRPr="00B83A8E" w:rsidRDefault="00AD43A2" w:rsidP="00AD43A2">
      <w:pPr>
        <w:rPr>
          <w:rFonts w:eastAsia="Times New Roman"/>
          <w:b/>
          <w:bCs/>
          <w:color w:val="000000"/>
          <w:sz w:val="22"/>
          <w:szCs w:val="22"/>
        </w:rPr>
      </w:pPr>
      <w:r w:rsidRPr="00AD43A2">
        <w:rPr>
          <w:rFonts w:eastAsia="Times New Roman"/>
          <w:b/>
          <w:bCs/>
          <w:color w:val="000000"/>
        </w:rPr>
        <w:t>Descriptive statistics of SEC review attributes and reviewer's annual salary by reviewer's job position</w:t>
      </w:r>
    </w:p>
    <w:p w14:paraId="4B07DE12" w14:textId="131D83CA" w:rsidR="00B83A8E" w:rsidRDefault="00B83A8E" w:rsidP="0005448A">
      <w:pPr>
        <w:rPr>
          <w:rFonts w:asciiTheme="minorHAnsi" w:hAnsiTheme="minorHAnsi" w:cstheme="minorBidi"/>
          <w:sz w:val="22"/>
          <w:szCs w:val="22"/>
          <w:lang w:eastAsia="en-US"/>
        </w:rPr>
      </w:pPr>
      <w:r>
        <w:fldChar w:fldCharType="begin"/>
      </w:r>
      <w:r>
        <w:instrText xml:space="preserve"> LINK </w:instrText>
      </w:r>
      <w:r w:rsidR="00283674">
        <w:instrText xml:space="preserve">Excel.Sheet.12 "F:\\PhD journey\\Descriptive statistics\\writing\\Descriptive statistics_SEC review attributes (edited).xlsx" "Summary SEC charac.!R1C1:R34C15" </w:instrText>
      </w:r>
      <w:r>
        <w:instrText xml:space="preserve">\a \f 4 \h </w:instrText>
      </w:r>
      <w:r w:rsidR="00DF185F">
        <w:instrText xml:space="preserve"> \* MERGEFORMAT </w:instrText>
      </w:r>
      <w:r>
        <w:fldChar w:fldCharType="separate"/>
      </w:r>
    </w:p>
    <w:tbl>
      <w:tblPr>
        <w:tblW w:w="13885" w:type="dxa"/>
        <w:tblLook w:val="04A0" w:firstRow="1" w:lastRow="0" w:firstColumn="1" w:lastColumn="0" w:noHBand="0" w:noVBand="1"/>
      </w:tblPr>
      <w:tblGrid>
        <w:gridCol w:w="2605"/>
        <w:gridCol w:w="352"/>
        <w:gridCol w:w="847"/>
        <w:gridCol w:w="488"/>
        <w:gridCol w:w="1126"/>
        <w:gridCol w:w="1137"/>
        <w:gridCol w:w="533"/>
        <w:gridCol w:w="859"/>
        <w:gridCol w:w="1137"/>
        <w:gridCol w:w="271"/>
        <w:gridCol w:w="859"/>
        <w:gridCol w:w="1137"/>
        <w:gridCol w:w="271"/>
        <w:gridCol w:w="1126"/>
        <w:gridCol w:w="1137"/>
      </w:tblGrid>
      <w:tr w:rsidR="00B83A8E" w:rsidRPr="00B83A8E" w14:paraId="10BE2D9A" w14:textId="77777777" w:rsidTr="00DF185F">
        <w:trPr>
          <w:trHeight w:val="900"/>
        </w:trPr>
        <w:tc>
          <w:tcPr>
            <w:tcW w:w="2605" w:type="dxa"/>
            <w:tcBorders>
              <w:top w:val="nil"/>
              <w:left w:val="nil"/>
              <w:bottom w:val="single" w:sz="4" w:space="0" w:color="auto"/>
              <w:right w:val="nil"/>
            </w:tcBorders>
            <w:shd w:val="clear" w:color="auto" w:fill="auto"/>
            <w:noWrap/>
            <w:vAlign w:val="center"/>
            <w:hideMark/>
          </w:tcPr>
          <w:p w14:paraId="0794CD25" w14:textId="77777777" w:rsidR="00B83A8E" w:rsidRPr="00B83A8E" w:rsidRDefault="00B83A8E" w:rsidP="00B83A8E">
            <w:pPr>
              <w:rPr>
                <w:rFonts w:eastAsia="Times New Roman"/>
                <w:b/>
                <w:bCs/>
                <w:color w:val="000000"/>
                <w:sz w:val="22"/>
                <w:szCs w:val="22"/>
              </w:rPr>
            </w:pPr>
            <w:r w:rsidRPr="00B83A8E">
              <w:rPr>
                <w:rFonts w:eastAsia="Times New Roman"/>
                <w:b/>
                <w:bCs/>
                <w:color w:val="000000"/>
                <w:sz w:val="22"/>
                <w:szCs w:val="22"/>
              </w:rPr>
              <w:t>Reviewer</w:t>
            </w:r>
          </w:p>
        </w:tc>
        <w:tc>
          <w:tcPr>
            <w:tcW w:w="352" w:type="dxa"/>
            <w:tcBorders>
              <w:top w:val="nil"/>
              <w:left w:val="nil"/>
              <w:bottom w:val="nil"/>
              <w:right w:val="nil"/>
            </w:tcBorders>
            <w:shd w:val="clear" w:color="auto" w:fill="auto"/>
            <w:noWrap/>
            <w:vAlign w:val="center"/>
            <w:hideMark/>
          </w:tcPr>
          <w:p w14:paraId="728EBE0F" w14:textId="77777777" w:rsidR="00B83A8E" w:rsidRPr="00B83A8E" w:rsidRDefault="00B83A8E" w:rsidP="00B83A8E">
            <w:pPr>
              <w:rPr>
                <w:rFonts w:eastAsia="Times New Roman"/>
                <w:b/>
                <w:bCs/>
                <w:color w:val="000000"/>
                <w:sz w:val="22"/>
                <w:szCs w:val="22"/>
              </w:rPr>
            </w:pPr>
          </w:p>
        </w:tc>
        <w:tc>
          <w:tcPr>
            <w:tcW w:w="847" w:type="dxa"/>
            <w:tcBorders>
              <w:top w:val="nil"/>
              <w:left w:val="nil"/>
              <w:bottom w:val="single" w:sz="4" w:space="0" w:color="auto"/>
              <w:right w:val="nil"/>
            </w:tcBorders>
            <w:shd w:val="clear" w:color="auto" w:fill="auto"/>
            <w:noWrap/>
            <w:vAlign w:val="center"/>
            <w:hideMark/>
          </w:tcPr>
          <w:p w14:paraId="691E3970"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N</w:t>
            </w:r>
          </w:p>
        </w:tc>
        <w:tc>
          <w:tcPr>
            <w:tcW w:w="488" w:type="dxa"/>
            <w:tcBorders>
              <w:top w:val="nil"/>
              <w:left w:val="nil"/>
              <w:bottom w:val="nil"/>
              <w:right w:val="nil"/>
            </w:tcBorders>
            <w:shd w:val="clear" w:color="auto" w:fill="auto"/>
            <w:noWrap/>
            <w:vAlign w:val="center"/>
            <w:hideMark/>
          </w:tcPr>
          <w:p w14:paraId="478E5E6B" w14:textId="77777777" w:rsidR="00B83A8E" w:rsidRPr="00B83A8E" w:rsidRDefault="00B83A8E" w:rsidP="00B83A8E">
            <w:pPr>
              <w:jc w:val="center"/>
              <w:rPr>
                <w:rFonts w:eastAsia="Times New Roman"/>
                <w:b/>
                <w:bCs/>
                <w:color w:val="000000"/>
                <w:sz w:val="22"/>
                <w:szCs w:val="22"/>
              </w:rPr>
            </w:pPr>
          </w:p>
        </w:tc>
        <w:tc>
          <w:tcPr>
            <w:tcW w:w="2263" w:type="dxa"/>
            <w:gridSpan w:val="2"/>
            <w:tcBorders>
              <w:top w:val="nil"/>
              <w:left w:val="nil"/>
              <w:bottom w:val="single" w:sz="4" w:space="0" w:color="auto"/>
              <w:right w:val="nil"/>
            </w:tcBorders>
            <w:shd w:val="clear" w:color="auto" w:fill="auto"/>
            <w:noWrap/>
            <w:vAlign w:val="center"/>
            <w:hideMark/>
          </w:tcPr>
          <w:p w14:paraId="3BC91BD1"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Duration</w:t>
            </w:r>
          </w:p>
        </w:tc>
        <w:tc>
          <w:tcPr>
            <w:tcW w:w="533" w:type="dxa"/>
            <w:tcBorders>
              <w:top w:val="nil"/>
              <w:left w:val="nil"/>
              <w:bottom w:val="nil"/>
              <w:right w:val="nil"/>
            </w:tcBorders>
            <w:shd w:val="clear" w:color="auto" w:fill="auto"/>
            <w:noWrap/>
            <w:vAlign w:val="center"/>
            <w:hideMark/>
          </w:tcPr>
          <w:p w14:paraId="2D3CFED0" w14:textId="77777777" w:rsidR="00B83A8E" w:rsidRPr="00B83A8E" w:rsidRDefault="00B83A8E" w:rsidP="00B83A8E">
            <w:pPr>
              <w:jc w:val="center"/>
              <w:rPr>
                <w:rFonts w:eastAsia="Times New Roman"/>
                <w:b/>
                <w:bCs/>
                <w:color w:val="000000"/>
                <w:sz w:val="22"/>
                <w:szCs w:val="22"/>
              </w:rPr>
            </w:pPr>
          </w:p>
        </w:tc>
        <w:tc>
          <w:tcPr>
            <w:tcW w:w="1996" w:type="dxa"/>
            <w:gridSpan w:val="2"/>
            <w:tcBorders>
              <w:top w:val="nil"/>
              <w:left w:val="nil"/>
              <w:bottom w:val="single" w:sz="4" w:space="0" w:color="auto"/>
              <w:right w:val="nil"/>
            </w:tcBorders>
            <w:shd w:val="clear" w:color="auto" w:fill="auto"/>
            <w:vAlign w:val="center"/>
            <w:hideMark/>
          </w:tcPr>
          <w:p w14:paraId="18083BE5" w14:textId="4FC2C4C1" w:rsidR="00B83A8E" w:rsidRPr="00B83A8E" w:rsidRDefault="00AD43A2" w:rsidP="00B83A8E">
            <w:pPr>
              <w:jc w:val="center"/>
              <w:rPr>
                <w:rFonts w:eastAsia="Times New Roman"/>
                <w:b/>
                <w:bCs/>
                <w:color w:val="000000"/>
                <w:sz w:val="22"/>
                <w:szCs w:val="22"/>
              </w:rPr>
            </w:pPr>
            <w:r>
              <w:rPr>
                <w:rFonts w:eastAsia="Times New Roman"/>
                <w:b/>
                <w:bCs/>
                <w:color w:val="000000"/>
                <w:sz w:val="22"/>
                <w:szCs w:val="22"/>
              </w:rPr>
              <w:t>Letters</w:t>
            </w:r>
          </w:p>
        </w:tc>
        <w:tc>
          <w:tcPr>
            <w:tcW w:w="271" w:type="dxa"/>
            <w:tcBorders>
              <w:top w:val="nil"/>
              <w:left w:val="nil"/>
              <w:bottom w:val="nil"/>
              <w:right w:val="nil"/>
            </w:tcBorders>
            <w:shd w:val="clear" w:color="auto" w:fill="auto"/>
            <w:noWrap/>
            <w:vAlign w:val="center"/>
            <w:hideMark/>
          </w:tcPr>
          <w:p w14:paraId="0EEE7ADD" w14:textId="77777777" w:rsidR="00B83A8E" w:rsidRPr="00B83A8E" w:rsidRDefault="00B83A8E" w:rsidP="00B83A8E">
            <w:pPr>
              <w:jc w:val="center"/>
              <w:rPr>
                <w:rFonts w:eastAsia="Times New Roman"/>
                <w:b/>
                <w:bCs/>
                <w:color w:val="000000"/>
                <w:sz w:val="22"/>
                <w:szCs w:val="22"/>
              </w:rPr>
            </w:pPr>
          </w:p>
        </w:tc>
        <w:tc>
          <w:tcPr>
            <w:tcW w:w="1996" w:type="dxa"/>
            <w:gridSpan w:val="2"/>
            <w:tcBorders>
              <w:top w:val="nil"/>
              <w:left w:val="nil"/>
              <w:bottom w:val="single" w:sz="4" w:space="0" w:color="auto"/>
              <w:right w:val="nil"/>
            </w:tcBorders>
            <w:shd w:val="clear" w:color="auto" w:fill="auto"/>
            <w:vAlign w:val="center"/>
            <w:hideMark/>
          </w:tcPr>
          <w:p w14:paraId="6DEC2C60" w14:textId="15835491" w:rsidR="00B83A8E" w:rsidRPr="00B83A8E" w:rsidRDefault="00AD43A2" w:rsidP="00B83A8E">
            <w:pPr>
              <w:jc w:val="center"/>
              <w:rPr>
                <w:rFonts w:eastAsia="Times New Roman"/>
                <w:b/>
                <w:bCs/>
                <w:color w:val="000000"/>
                <w:sz w:val="22"/>
                <w:szCs w:val="22"/>
              </w:rPr>
            </w:pPr>
            <w:r>
              <w:rPr>
                <w:rFonts w:eastAsia="Times New Roman"/>
                <w:b/>
                <w:bCs/>
                <w:color w:val="000000"/>
                <w:sz w:val="22"/>
                <w:szCs w:val="22"/>
              </w:rPr>
              <w:t>Comments</w:t>
            </w:r>
          </w:p>
        </w:tc>
        <w:tc>
          <w:tcPr>
            <w:tcW w:w="271" w:type="dxa"/>
            <w:tcBorders>
              <w:top w:val="nil"/>
              <w:left w:val="nil"/>
              <w:bottom w:val="nil"/>
              <w:right w:val="nil"/>
            </w:tcBorders>
            <w:shd w:val="clear" w:color="auto" w:fill="auto"/>
            <w:noWrap/>
            <w:vAlign w:val="center"/>
            <w:hideMark/>
          </w:tcPr>
          <w:p w14:paraId="186F52A4" w14:textId="77777777" w:rsidR="00B83A8E" w:rsidRPr="00B83A8E" w:rsidRDefault="00B83A8E" w:rsidP="00B83A8E">
            <w:pPr>
              <w:jc w:val="center"/>
              <w:rPr>
                <w:rFonts w:eastAsia="Times New Roman"/>
                <w:b/>
                <w:bCs/>
                <w:color w:val="000000"/>
                <w:sz w:val="22"/>
                <w:szCs w:val="22"/>
              </w:rPr>
            </w:pPr>
          </w:p>
        </w:tc>
        <w:tc>
          <w:tcPr>
            <w:tcW w:w="2263" w:type="dxa"/>
            <w:gridSpan w:val="2"/>
            <w:tcBorders>
              <w:top w:val="nil"/>
              <w:left w:val="nil"/>
              <w:bottom w:val="single" w:sz="4" w:space="0" w:color="auto"/>
              <w:right w:val="nil"/>
            </w:tcBorders>
            <w:shd w:val="clear" w:color="auto" w:fill="auto"/>
            <w:vAlign w:val="center"/>
            <w:hideMark/>
          </w:tcPr>
          <w:p w14:paraId="01C2297C"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Annual salary</w:t>
            </w:r>
          </w:p>
        </w:tc>
      </w:tr>
      <w:tr w:rsidR="00B83A8E" w:rsidRPr="00B83A8E" w14:paraId="390CE624" w14:textId="77777777" w:rsidTr="00DF185F">
        <w:trPr>
          <w:trHeight w:val="315"/>
        </w:trPr>
        <w:tc>
          <w:tcPr>
            <w:tcW w:w="2605" w:type="dxa"/>
            <w:tcBorders>
              <w:top w:val="nil"/>
              <w:left w:val="nil"/>
              <w:bottom w:val="nil"/>
              <w:right w:val="nil"/>
            </w:tcBorders>
            <w:shd w:val="clear" w:color="auto" w:fill="auto"/>
            <w:noWrap/>
            <w:vAlign w:val="center"/>
            <w:hideMark/>
          </w:tcPr>
          <w:p w14:paraId="6AE81F39" w14:textId="77777777" w:rsidR="00B83A8E" w:rsidRPr="00B83A8E" w:rsidRDefault="00B83A8E" w:rsidP="00B83A8E">
            <w:pPr>
              <w:jc w:val="center"/>
              <w:rPr>
                <w:rFonts w:eastAsia="Times New Roman"/>
                <w:b/>
                <w:bCs/>
                <w:color w:val="000000"/>
                <w:sz w:val="22"/>
                <w:szCs w:val="22"/>
              </w:rPr>
            </w:pPr>
          </w:p>
        </w:tc>
        <w:tc>
          <w:tcPr>
            <w:tcW w:w="352" w:type="dxa"/>
            <w:tcBorders>
              <w:top w:val="nil"/>
              <w:left w:val="nil"/>
              <w:bottom w:val="nil"/>
              <w:right w:val="nil"/>
            </w:tcBorders>
            <w:shd w:val="clear" w:color="auto" w:fill="auto"/>
            <w:noWrap/>
            <w:vAlign w:val="center"/>
            <w:hideMark/>
          </w:tcPr>
          <w:p w14:paraId="6602B9FA" w14:textId="77777777" w:rsidR="00B83A8E" w:rsidRPr="00B83A8E" w:rsidRDefault="00B83A8E" w:rsidP="00B83A8E">
            <w:pPr>
              <w:rPr>
                <w:rFonts w:eastAsia="Times New Roman"/>
                <w:sz w:val="20"/>
                <w:szCs w:val="20"/>
              </w:rPr>
            </w:pPr>
          </w:p>
        </w:tc>
        <w:tc>
          <w:tcPr>
            <w:tcW w:w="847" w:type="dxa"/>
            <w:tcBorders>
              <w:top w:val="nil"/>
              <w:left w:val="nil"/>
              <w:bottom w:val="nil"/>
              <w:right w:val="nil"/>
            </w:tcBorders>
            <w:shd w:val="clear" w:color="auto" w:fill="auto"/>
            <w:noWrap/>
            <w:vAlign w:val="center"/>
            <w:hideMark/>
          </w:tcPr>
          <w:p w14:paraId="11A597CC" w14:textId="77777777" w:rsidR="00B83A8E" w:rsidRPr="00B83A8E" w:rsidRDefault="00B83A8E" w:rsidP="00B83A8E">
            <w:pPr>
              <w:jc w:val="center"/>
              <w:rPr>
                <w:rFonts w:eastAsia="Times New Roman"/>
                <w:sz w:val="20"/>
                <w:szCs w:val="20"/>
              </w:rPr>
            </w:pPr>
          </w:p>
        </w:tc>
        <w:tc>
          <w:tcPr>
            <w:tcW w:w="488" w:type="dxa"/>
            <w:tcBorders>
              <w:top w:val="nil"/>
              <w:left w:val="nil"/>
              <w:bottom w:val="nil"/>
              <w:right w:val="nil"/>
            </w:tcBorders>
            <w:shd w:val="clear" w:color="auto" w:fill="auto"/>
            <w:noWrap/>
            <w:vAlign w:val="center"/>
            <w:hideMark/>
          </w:tcPr>
          <w:p w14:paraId="18BD16C6" w14:textId="77777777" w:rsidR="00B83A8E" w:rsidRPr="00B83A8E" w:rsidRDefault="00B83A8E" w:rsidP="00B83A8E">
            <w:pPr>
              <w:jc w:val="center"/>
              <w:rPr>
                <w:rFonts w:eastAsia="Times New Roman"/>
                <w:sz w:val="20"/>
                <w:szCs w:val="20"/>
              </w:rPr>
            </w:pPr>
          </w:p>
        </w:tc>
        <w:tc>
          <w:tcPr>
            <w:tcW w:w="1126" w:type="dxa"/>
            <w:tcBorders>
              <w:top w:val="nil"/>
              <w:left w:val="nil"/>
              <w:bottom w:val="single" w:sz="4" w:space="0" w:color="auto"/>
              <w:right w:val="nil"/>
            </w:tcBorders>
            <w:shd w:val="clear" w:color="auto" w:fill="auto"/>
            <w:noWrap/>
            <w:vAlign w:val="center"/>
            <w:hideMark/>
          </w:tcPr>
          <w:p w14:paraId="291F5D1C"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Mean</w:t>
            </w:r>
          </w:p>
        </w:tc>
        <w:tc>
          <w:tcPr>
            <w:tcW w:w="1137" w:type="dxa"/>
            <w:tcBorders>
              <w:top w:val="nil"/>
              <w:left w:val="nil"/>
              <w:bottom w:val="single" w:sz="4" w:space="0" w:color="auto"/>
              <w:right w:val="nil"/>
            </w:tcBorders>
            <w:shd w:val="clear" w:color="auto" w:fill="auto"/>
            <w:noWrap/>
            <w:vAlign w:val="center"/>
            <w:hideMark/>
          </w:tcPr>
          <w:p w14:paraId="3343B0F9"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Median</w:t>
            </w:r>
          </w:p>
        </w:tc>
        <w:tc>
          <w:tcPr>
            <w:tcW w:w="533" w:type="dxa"/>
            <w:tcBorders>
              <w:top w:val="nil"/>
              <w:left w:val="nil"/>
              <w:bottom w:val="nil"/>
              <w:right w:val="nil"/>
            </w:tcBorders>
            <w:shd w:val="clear" w:color="auto" w:fill="auto"/>
            <w:noWrap/>
            <w:vAlign w:val="center"/>
            <w:hideMark/>
          </w:tcPr>
          <w:p w14:paraId="46E903F8" w14:textId="77777777" w:rsidR="00B83A8E" w:rsidRPr="00B83A8E" w:rsidRDefault="00B83A8E" w:rsidP="00B83A8E">
            <w:pPr>
              <w:jc w:val="center"/>
              <w:rPr>
                <w:rFonts w:eastAsia="Times New Roman"/>
                <w:b/>
                <w:bCs/>
                <w:color w:val="000000"/>
                <w:sz w:val="22"/>
                <w:szCs w:val="22"/>
              </w:rPr>
            </w:pPr>
          </w:p>
        </w:tc>
        <w:tc>
          <w:tcPr>
            <w:tcW w:w="859" w:type="dxa"/>
            <w:tcBorders>
              <w:top w:val="nil"/>
              <w:left w:val="nil"/>
              <w:bottom w:val="single" w:sz="4" w:space="0" w:color="auto"/>
              <w:right w:val="nil"/>
            </w:tcBorders>
            <w:shd w:val="clear" w:color="auto" w:fill="auto"/>
            <w:noWrap/>
            <w:vAlign w:val="center"/>
            <w:hideMark/>
          </w:tcPr>
          <w:p w14:paraId="744A0DD1"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Mean</w:t>
            </w:r>
          </w:p>
        </w:tc>
        <w:tc>
          <w:tcPr>
            <w:tcW w:w="1137" w:type="dxa"/>
            <w:tcBorders>
              <w:top w:val="nil"/>
              <w:left w:val="nil"/>
              <w:bottom w:val="single" w:sz="4" w:space="0" w:color="auto"/>
              <w:right w:val="nil"/>
            </w:tcBorders>
            <w:shd w:val="clear" w:color="auto" w:fill="auto"/>
            <w:noWrap/>
            <w:vAlign w:val="center"/>
            <w:hideMark/>
          </w:tcPr>
          <w:p w14:paraId="58010B20"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Median</w:t>
            </w:r>
          </w:p>
        </w:tc>
        <w:tc>
          <w:tcPr>
            <w:tcW w:w="271" w:type="dxa"/>
            <w:tcBorders>
              <w:top w:val="nil"/>
              <w:left w:val="nil"/>
              <w:bottom w:val="nil"/>
              <w:right w:val="nil"/>
            </w:tcBorders>
            <w:shd w:val="clear" w:color="auto" w:fill="auto"/>
            <w:noWrap/>
            <w:vAlign w:val="center"/>
            <w:hideMark/>
          </w:tcPr>
          <w:p w14:paraId="3B14C2BC" w14:textId="77777777" w:rsidR="00B83A8E" w:rsidRPr="00B83A8E" w:rsidRDefault="00B83A8E" w:rsidP="00B83A8E">
            <w:pPr>
              <w:jc w:val="center"/>
              <w:rPr>
                <w:rFonts w:eastAsia="Times New Roman"/>
                <w:b/>
                <w:bCs/>
                <w:color w:val="000000"/>
                <w:sz w:val="22"/>
                <w:szCs w:val="22"/>
              </w:rPr>
            </w:pPr>
          </w:p>
        </w:tc>
        <w:tc>
          <w:tcPr>
            <w:tcW w:w="859" w:type="dxa"/>
            <w:tcBorders>
              <w:top w:val="nil"/>
              <w:left w:val="nil"/>
              <w:bottom w:val="single" w:sz="4" w:space="0" w:color="auto"/>
              <w:right w:val="nil"/>
            </w:tcBorders>
            <w:shd w:val="clear" w:color="auto" w:fill="auto"/>
            <w:noWrap/>
            <w:vAlign w:val="center"/>
            <w:hideMark/>
          </w:tcPr>
          <w:p w14:paraId="267F86A8"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Mean</w:t>
            </w:r>
          </w:p>
        </w:tc>
        <w:tc>
          <w:tcPr>
            <w:tcW w:w="1137" w:type="dxa"/>
            <w:tcBorders>
              <w:top w:val="nil"/>
              <w:left w:val="nil"/>
              <w:bottom w:val="single" w:sz="4" w:space="0" w:color="auto"/>
              <w:right w:val="nil"/>
            </w:tcBorders>
            <w:shd w:val="clear" w:color="auto" w:fill="auto"/>
            <w:noWrap/>
            <w:vAlign w:val="center"/>
            <w:hideMark/>
          </w:tcPr>
          <w:p w14:paraId="055DA524"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Median</w:t>
            </w:r>
          </w:p>
        </w:tc>
        <w:tc>
          <w:tcPr>
            <w:tcW w:w="271" w:type="dxa"/>
            <w:tcBorders>
              <w:top w:val="nil"/>
              <w:left w:val="nil"/>
              <w:bottom w:val="nil"/>
              <w:right w:val="nil"/>
            </w:tcBorders>
            <w:shd w:val="clear" w:color="auto" w:fill="auto"/>
            <w:noWrap/>
            <w:vAlign w:val="center"/>
            <w:hideMark/>
          </w:tcPr>
          <w:p w14:paraId="7494FBD7" w14:textId="77777777" w:rsidR="00B83A8E" w:rsidRPr="00B83A8E" w:rsidRDefault="00B83A8E" w:rsidP="00B83A8E">
            <w:pPr>
              <w:jc w:val="center"/>
              <w:rPr>
                <w:rFonts w:eastAsia="Times New Roman"/>
                <w:b/>
                <w:bCs/>
                <w:color w:val="000000"/>
                <w:sz w:val="22"/>
                <w:szCs w:val="22"/>
              </w:rPr>
            </w:pPr>
          </w:p>
        </w:tc>
        <w:tc>
          <w:tcPr>
            <w:tcW w:w="1126" w:type="dxa"/>
            <w:tcBorders>
              <w:top w:val="nil"/>
              <w:left w:val="nil"/>
              <w:bottom w:val="single" w:sz="4" w:space="0" w:color="auto"/>
              <w:right w:val="nil"/>
            </w:tcBorders>
            <w:shd w:val="clear" w:color="auto" w:fill="auto"/>
            <w:noWrap/>
            <w:vAlign w:val="center"/>
            <w:hideMark/>
          </w:tcPr>
          <w:p w14:paraId="128E55ED"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Mean</w:t>
            </w:r>
          </w:p>
        </w:tc>
        <w:tc>
          <w:tcPr>
            <w:tcW w:w="1137" w:type="dxa"/>
            <w:tcBorders>
              <w:top w:val="nil"/>
              <w:left w:val="nil"/>
              <w:bottom w:val="single" w:sz="4" w:space="0" w:color="auto"/>
              <w:right w:val="nil"/>
            </w:tcBorders>
            <w:shd w:val="clear" w:color="auto" w:fill="auto"/>
            <w:noWrap/>
            <w:vAlign w:val="center"/>
            <w:hideMark/>
          </w:tcPr>
          <w:p w14:paraId="79833172" w14:textId="77777777" w:rsidR="00B83A8E" w:rsidRPr="00B83A8E" w:rsidRDefault="00B83A8E" w:rsidP="00B83A8E">
            <w:pPr>
              <w:jc w:val="center"/>
              <w:rPr>
                <w:rFonts w:eastAsia="Times New Roman"/>
                <w:b/>
                <w:bCs/>
                <w:color w:val="000000"/>
                <w:sz w:val="22"/>
                <w:szCs w:val="22"/>
              </w:rPr>
            </w:pPr>
            <w:r w:rsidRPr="00B83A8E">
              <w:rPr>
                <w:rFonts w:eastAsia="Times New Roman"/>
                <w:b/>
                <w:bCs/>
                <w:color w:val="000000"/>
                <w:sz w:val="22"/>
                <w:szCs w:val="22"/>
              </w:rPr>
              <w:t>Median</w:t>
            </w:r>
          </w:p>
        </w:tc>
      </w:tr>
      <w:tr w:rsidR="00B83A8E" w:rsidRPr="00B83A8E" w14:paraId="1F7C3980" w14:textId="77777777" w:rsidTr="00DF185F">
        <w:trPr>
          <w:trHeight w:val="315"/>
        </w:trPr>
        <w:tc>
          <w:tcPr>
            <w:tcW w:w="2605" w:type="dxa"/>
            <w:tcBorders>
              <w:top w:val="nil"/>
              <w:left w:val="nil"/>
              <w:bottom w:val="nil"/>
              <w:right w:val="nil"/>
            </w:tcBorders>
            <w:shd w:val="clear" w:color="auto" w:fill="auto"/>
            <w:vAlign w:val="center"/>
            <w:hideMark/>
          </w:tcPr>
          <w:p w14:paraId="3EE5B324"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Assistant Director</w:t>
            </w:r>
          </w:p>
        </w:tc>
        <w:tc>
          <w:tcPr>
            <w:tcW w:w="352" w:type="dxa"/>
            <w:tcBorders>
              <w:top w:val="nil"/>
              <w:left w:val="nil"/>
              <w:bottom w:val="nil"/>
              <w:right w:val="nil"/>
            </w:tcBorders>
            <w:shd w:val="clear" w:color="auto" w:fill="auto"/>
            <w:vAlign w:val="center"/>
            <w:hideMark/>
          </w:tcPr>
          <w:p w14:paraId="0D165189"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2C42A60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512</w:t>
            </w:r>
          </w:p>
        </w:tc>
        <w:tc>
          <w:tcPr>
            <w:tcW w:w="488" w:type="dxa"/>
            <w:tcBorders>
              <w:top w:val="nil"/>
              <w:left w:val="nil"/>
              <w:bottom w:val="nil"/>
              <w:right w:val="nil"/>
            </w:tcBorders>
            <w:shd w:val="clear" w:color="auto" w:fill="auto"/>
            <w:vAlign w:val="center"/>
            <w:hideMark/>
          </w:tcPr>
          <w:p w14:paraId="13E70E71"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2221C09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123.46</w:t>
            </w:r>
          </w:p>
        </w:tc>
        <w:tc>
          <w:tcPr>
            <w:tcW w:w="1137" w:type="dxa"/>
            <w:tcBorders>
              <w:top w:val="nil"/>
              <w:left w:val="nil"/>
              <w:bottom w:val="nil"/>
              <w:right w:val="nil"/>
            </w:tcBorders>
            <w:shd w:val="clear" w:color="auto" w:fill="auto"/>
            <w:noWrap/>
            <w:vAlign w:val="center"/>
            <w:hideMark/>
          </w:tcPr>
          <w:p w14:paraId="03E756C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92.5</w:t>
            </w:r>
          </w:p>
        </w:tc>
        <w:tc>
          <w:tcPr>
            <w:tcW w:w="533" w:type="dxa"/>
            <w:tcBorders>
              <w:top w:val="nil"/>
              <w:left w:val="nil"/>
              <w:bottom w:val="nil"/>
              <w:right w:val="nil"/>
            </w:tcBorders>
            <w:shd w:val="clear" w:color="auto" w:fill="auto"/>
            <w:vAlign w:val="center"/>
            <w:hideMark/>
          </w:tcPr>
          <w:p w14:paraId="5CF7C60F"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28762423"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3.2</w:t>
            </w:r>
          </w:p>
        </w:tc>
        <w:tc>
          <w:tcPr>
            <w:tcW w:w="1137" w:type="dxa"/>
            <w:tcBorders>
              <w:top w:val="nil"/>
              <w:left w:val="nil"/>
              <w:bottom w:val="nil"/>
              <w:right w:val="nil"/>
            </w:tcBorders>
            <w:shd w:val="clear" w:color="auto" w:fill="auto"/>
            <w:noWrap/>
            <w:vAlign w:val="center"/>
            <w:hideMark/>
          </w:tcPr>
          <w:p w14:paraId="575521C3"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w:t>
            </w:r>
          </w:p>
        </w:tc>
        <w:tc>
          <w:tcPr>
            <w:tcW w:w="271" w:type="dxa"/>
            <w:tcBorders>
              <w:top w:val="nil"/>
              <w:left w:val="nil"/>
              <w:bottom w:val="nil"/>
              <w:right w:val="nil"/>
            </w:tcBorders>
            <w:shd w:val="clear" w:color="auto" w:fill="auto"/>
            <w:noWrap/>
            <w:vAlign w:val="center"/>
            <w:hideMark/>
          </w:tcPr>
          <w:p w14:paraId="77FD27E1"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45EFCE1C"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32.22</w:t>
            </w:r>
          </w:p>
        </w:tc>
        <w:tc>
          <w:tcPr>
            <w:tcW w:w="1137" w:type="dxa"/>
            <w:tcBorders>
              <w:top w:val="nil"/>
              <w:left w:val="nil"/>
              <w:bottom w:val="nil"/>
              <w:right w:val="nil"/>
            </w:tcBorders>
            <w:shd w:val="clear" w:color="auto" w:fill="auto"/>
            <w:noWrap/>
            <w:vAlign w:val="center"/>
            <w:hideMark/>
          </w:tcPr>
          <w:p w14:paraId="1BC2ED41"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35</w:t>
            </w:r>
          </w:p>
        </w:tc>
        <w:tc>
          <w:tcPr>
            <w:tcW w:w="271" w:type="dxa"/>
            <w:tcBorders>
              <w:top w:val="nil"/>
              <w:left w:val="nil"/>
              <w:bottom w:val="nil"/>
              <w:right w:val="nil"/>
            </w:tcBorders>
            <w:shd w:val="clear" w:color="auto" w:fill="auto"/>
            <w:noWrap/>
            <w:vAlign w:val="center"/>
            <w:hideMark/>
          </w:tcPr>
          <w:p w14:paraId="20148B5D"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4F3343D4"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203,508</w:t>
            </w:r>
          </w:p>
        </w:tc>
        <w:tc>
          <w:tcPr>
            <w:tcW w:w="1137" w:type="dxa"/>
            <w:tcBorders>
              <w:top w:val="nil"/>
              <w:left w:val="nil"/>
              <w:bottom w:val="nil"/>
              <w:right w:val="nil"/>
            </w:tcBorders>
            <w:shd w:val="clear" w:color="auto" w:fill="auto"/>
            <w:noWrap/>
            <w:vAlign w:val="center"/>
            <w:hideMark/>
          </w:tcPr>
          <w:p w14:paraId="7CBDFC12"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207,893</w:t>
            </w:r>
          </w:p>
        </w:tc>
      </w:tr>
      <w:tr w:rsidR="00B83A8E" w:rsidRPr="00B83A8E" w14:paraId="46085117" w14:textId="77777777" w:rsidTr="00DF185F">
        <w:trPr>
          <w:trHeight w:val="915"/>
        </w:trPr>
        <w:tc>
          <w:tcPr>
            <w:tcW w:w="2605" w:type="dxa"/>
            <w:tcBorders>
              <w:top w:val="nil"/>
              <w:left w:val="nil"/>
              <w:bottom w:val="nil"/>
              <w:right w:val="nil"/>
            </w:tcBorders>
            <w:shd w:val="clear" w:color="auto" w:fill="auto"/>
            <w:vAlign w:val="center"/>
            <w:hideMark/>
          </w:tcPr>
          <w:p w14:paraId="7BB699D2"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Senior Assistant Chief Accountant</w:t>
            </w:r>
          </w:p>
        </w:tc>
        <w:tc>
          <w:tcPr>
            <w:tcW w:w="352" w:type="dxa"/>
            <w:tcBorders>
              <w:top w:val="nil"/>
              <w:left w:val="nil"/>
              <w:bottom w:val="nil"/>
              <w:right w:val="nil"/>
            </w:tcBorders>
            <w:shd w:val="clear" w:color="auto" w:fill="auto"/>
            <w:vAlign w:val="center"/>
            <w:hideMark/>
          </w:tcPr>
          <w:p w14:paraId="27380194"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2AA16102"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488" w:type="dxa"/>
            <w:tcBorders>
              <w:top w:val="nil"/>
              <w:left w:val="nil"/>
              <w:bottom w:val="nil"/>
              <w:right w:val="nil"/>
            </w:tcBorders>
            <w:shd w:val="clear" w:color="auto" w:fill="auto"/>
            <w:vAlign w:val="center"/>
            <w:hideMark/>
          </w:tcPr>
          <w:p w14:paraId="0C136631"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5F441ED2"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190.75</w:t>
            </w:r>
          </w:p>
        </w:tc>
        <w:tc>
          <w:tcPr>
            <w:tcW w:w="1137" w:type="dxa"/>
            <w:tcBorders>
              <w:top w:val="nil"/>
              <w:left w:val="nil"/>
              <w:bottom w:val="nil"/>
              <w:right w:val="nil"/>
            </w:tcBorders>
            <w:shd w:val="clear" w:color="auto" w:fill="auto"/>
            <w:noWrap/>
            <w:vAlign w:val="center"/>
            <w:hideMark/>
          </w:tcPr>
          <w:p w14:paraId="535F40E5"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201.5</w:t>
            </w:r>
          </w:p>
        </w:tc>
        <w:tc>
          <w:tcPr>
            <w:tcW w:w="533" w:type="dxa"/>
            <w:tcBorders>
              <w:top w:val="nil"/>
              <w:left w:val="nil"/>
              <w:bottom w:val="nil"/>
              <w:right w:val="nil"/>
            </w:tcBorders>
            <w:shd w:val="clear" w:color="auto" w:fill="auto"/>
            <w:vAlign w:val="center"/>
            <w:hideMark/>
          </w:tcPr>
          <w:p w14:paraId="08496C88"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03D560F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1137" w:type="dxa"/>
            <w:tcBorders>
              <w:top w:val="nil"/>
              <w:left w:val="nil"/>
              <w:bottom w:val="nil"/>
              <w:right w:val="nil"/>
            </w:tcBorders>
            <w:shd w:val="clear" w:color="auto" w:fill="auto"/>
            <w:noWrap/>
            <w:vAlign w:val="center"/>
            <w:hideMark/>
          </w:tcPr>
          <w:p w14:paraId="2BF6C3F8"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271" w:type="dxa"/>
            <w:tcBorders>
              <w:top w:val="nil"/>
              <w:left w:val="nil"/>
              <w:bottom w:val="nil"/>
              <w:right w:val="nil"/>
            </w:tcBorders>
            <w:shd w:val="clear" w:color="auto" w:fill="auto"/>
            <w:noWrap/>
            <w:vAlign w:val="center"/>
            <w:hideMark/>
          </w:tcPr>
          <w:p w14:paraId="34C8D6D0"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17E5BB9D"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55.5</w:t>
            </w:r>
          </w:p>
        </w:tc>
        <w:tc>
          <w:tcPr>
            <w:tcW w:w="1137" w:type="dxa"/>
            <w:tcBorders>
              <w:top w:val="nil"/>
              <w:left w:val="nil"/>
              <w:bottom w:val="nil"/>
              <w:right w:val="nil"/>
            </w:tcBorders>
            <w:shd w:val="clear" w:color="auto" w:fill="auto"/>
            <w:noWrap/>
            <w:vAlign w:val="center"/>
            <w:hideMark/>
          </w:tcPr>
          <w:p w14:paraId="635B258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57</w:t>
            </w:r>
          </w:p>
        </w:tc>
        <w:tc>
          <w:tcPr>
            <w:tcW w:w="271" w:type="dxa"/>
            <w:tcBorders>
              <w:top w:val="nil"/>
              <w:left w:val="nil"/>
              <w:bottom w:val="nil"/>
              <w:right w:val="nil"/>
            </w:tcBorders>
            <w:shd w:val="clear" w:color="auto" w:fill="auto"/>
            <w:noWrap/>
            <w:vAlign w:val="center"/>
            <w:hideMark/>
          </w:tcPr>
          <w:p w14:paraId="3ABBFF1E"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5936EF8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208,718</w:t>
            </w:r>
          </w:p>
        </w:tc>
        <w:tc>
          <w:tcPr>
            <w:tcW w:w="1137" w:type="dxa"/>
            <w:tcBorders>
              <w:top w:val="nil"/>
              <w:left w:val="nil"/>
              <w:bottom w:val="nil"/>
              <w:right w:val="nil"/>
            </w:tcBorders>
            <w:shd w:val="clear" w:color="auto" w:fill="auto"/>
            <w:noWrap/>
            <w:vAlign w:val="center"/>
            <w:hideMark/>
          </w:tcPr>
          <w:p w14:paraId="2B8FC86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208,993</w:t>
            </w:r>
          </w:p>
        </w:tc>
      </w:tr>
      <w:tr w:rsidR="00B83A8E" w:rsidRPr="00B83A8E" w14:paraId="4A1C0287" w14:textId="77777777" w:rsidTr="00DF185F">
        <w:trPr>
          <w:trHeight w:val="315"/>
        </w:trPr>
        <w:tc>
          <w:tcPr>
            <w:tcW w:w="2605" w:type="dxa"/>
            <w:tcBorders>
              <w:top w:val="nil"/>
              <w:left w:val="nil"/>
              <w:bottom w:val="nil"/>
              <w:right w:val="nil"/>
            </w:tcBorders>
            <w:shd w:val="clear" w:color="auto" w:fill="auto"/>
            <w:vAlign w:val="center"/>
            <w:hideMark/>
          </w:tcPr>
          <w:p w14:paraId="481BBD3E"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Legal Branch Chief</w:t>
            </w:r>
          </w:p>
        </w:tc>
        <w:tc>
          <w:tcPr>
            <w:tcW w:w="352" w:type="dxa"/>
            <w:tcBorders>
              <w:top w:val="nil"/>
              <w:left w:val="nil"/>
              <w:bottom w:val="nil"/>
              <w:right w:val="nil"/>
            </w:tcBorders>
            <w:shd w:val="clear" w:color="auto" w:fill="auto"/>
            <w:vAlign w:val="center"/>
            <w:hideMark/>
          </w:tcPr>
          <w:p w14:paraId="6B37BDDA"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547B353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135</w:t>
            </w:r>
          </w:p>
        </w:tc>
        <w:tc>
          <w:tcPr>
            <w:tcW w:w="488" w:type="dxa"/>
            <w:tcBorders>
              <w:top w:val="nil"/>
              <w:left w:val="nil"/>
              <w:bottom w:val="nil"/>
              <w:right w:val="nil"/>
            </w:tcBorders>
            <w:shd w:val="clear" w:color="auto" w:fill="auto"/>
            <w:vAlign w:val="center"/>
            <w:hideMark/>
          </w:tcPr>
          <w:p w14:paraId="15B5D49B"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7BA9EC5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143.13</w:t>
            </w:r>
          </w:p>
        </w:tc>
        <w:tc>
          <w:tcPr>
            <w:tcW w:w="1137" w:type="dxa"/>
            <w:tcBorders>
              <w:top w:val="nil"/>
              <w:left w:val="nil"/>
              <w:bottom w:val="nil"/>
              <w:right w:val="nil"/>
            </w:tcBorders>
            <w:shd w:val="clear" w:color="auto" w:fill="auto"/>
            <w:noWrap/>
            <w:vAlign w:val="center"/>
            <w:hideMark/>
          </w:tcPr>
          <w:p w14:paraId="40DBA722"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105</w:t>
            </w:r>
          </w:p>
        </w:tc>
        <w:tc>
          <w:tcPr>
            <w:tcW w:w="533" w:type="dxa"/>
            <w:tcBorders>
              <w:top w:val="nil"/>
              <w:left w:val="nil"/>
              <w:bottom w:val="nil"/>
              <w:right w:val="nil"/>
            </w:tcBorders>
            <w:shd w:val="clear" w:color="auto" w:fill="auto"/>
            <w:vAlign w:val="center"/>
            <w:hideMark/>
          </w:tcPr>
          <w:p w14:paraId="45A796BF"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494EFD98"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3.76</w:t>
            </w:r>
          </w:p>
        </w:tc>
        <w:tc>
          <w:tcPr>
            <w:tcW w:w="1137" w:type="dxa"/>
            <w:tcBorders>
              <w:top w:val="nil"/>
              <w:left w:val="nil"/>
              <w:bottom w:val="nil"/>
              <w:right w:val="nil"/>
            </w:tcBorders>
            <w:shd w:val="clear" w:color="auto" w:fill="auto"/>
            <w:noWrap/>
            <w:vAlign w:val="center"/>
            <w:hideMark/>
          </w:tcPr>
          <w:p w14:paraId="766392B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271" w:type="dxa"/>
            <w:tcBorders>
              <w:top w:val="nil"/>
              <w:left w:val="nil"/>
              <w:bottom w:val="nil"/>
              <w:right w:val="nil"/>
            </w:tcBorders>
            <w:shd w:val="clear" w:color="auto" w:fill="auto"/>
            <w:noWrap/>
            <w:vAlign w:val="center"/>
            <w:hideMark/>
          </w:tcPr>
          <w:p w14:paraId="6501A41E"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0B02011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40.4</w:t>
            </w:r>
          </w:p>
        </w:tc>
        <w:tc>
          <w:tcPr>
            <w:tcW w:w="1137" w:type="dxa"/>
            <w:tcBorders>
              <w:top w:val="nil"/>
              <w:left w:val="nil"/>
              <w:bottom w:val="nil"/>
              <w:right w:val="nil"/>
            </w:tcBorders>
            <w:shd w:val="clear" w:color="auto" w:fill="auto"/>
            <w:noWrap/>
            <w:vAlign w:val="center"/>
            <w:hideMark/>
          </w:tcPr>
          <w:p w14:paraId="66F1BD2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40</w:t>
            </w:r>
          </w:p>
        </w:tc>
        <w:tc>
          <w:tcPr>
            <w:tcW w:w="271" w:type="dxa"/>
            <w:tcBorders>
              <w:top w:val="nil"/>
              <w:left w:val="nil"/>
              <w:bottom w:val="nil"/>
              <w:right w:val="nil"/>
            </w:tcBorders>
            <w:shd w:val="clear" w:color="auto" w:fill="auto"/>
            <w:noWrap/>
            <w:vAlign w:val="center"/>
            <w:hideMark/>
          </w:tcPr>
          <w:p w14:paraId="62F27887"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0B06BA73"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168,897</w:t>
            </w:r>
          </w:p>
        </w:tc>
        <w:tc>
          <w:tcPr>
            <w:tcW w:w="1137" w:type="dxa"/>
            <w:tcBorders>
              <w:top w:val="nil"/>
              <w:left w:val="nil"/>
              <w:bottom w:val="nil"/>
              <w:right w:val="nil"/>
            </w:tcBorders>
            <w:shd w:val="clear" w:color="auto" w:fill="auto"/>
            <w:noWrap/>
            <w:vAlign w:val="center"/>
            <w:hideMark/>
          </w:tcPr>
          <w:p w14:paraId="1C2B745E"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163,735</w:t>
            </w:r>
          </w:p>
        </w:tc>
      </w:tr>
      <w:tr w:rsidR="00B83A8E" w:rsidRPr="00B83A8E" w14:paraId="2416ABCB" w14:textId="77777777" w:rsidTr="00DF185F">
        <w:trPr>
          <w:trHeight w:val="855"/>
        </w:trPr>
        <w:tc>
          <w:tcPr>
            <w:tcW w:w="2605" w:type="dxa"/>
            <w:tcBorders>
              <w:top w:val="nil"/>
              <w:left w:val="nil"/>
              <w:bottom w:val="nil"/>
              <w:right w:val="nil"/>
            </w:tcBorders>
            <w:shd w:val="clear" w:color="auto" w:fill="auto"/>
            <w:vAlign w:val="center"/>
            <w:hideMark/>
          </w:tcPr>
          <w:p w14:paraId="2F99E0B7"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Accounting Branch Chief</w:t>
            </w:r>
          </w:p>
        </w:tc>
        <w:tc>
          <w:tcPr>
            <w:tcW w:w="352" w:type="dxa"/>
            <w:tcBorders>
              <w:top w:val="nil"/>
              <w:left w:val="nil"/>
              <w:bottom w:val="nil"/>
              <w:right w:val="nil"/>
            </w:tcBorders>
            <w:shd w:val="clear" w:color="auto" w:fill="auto"/>
            <w:vAlign w:val="center"/>
            <w:hideMark/>
          </w:tcPr>
          <w:p w14:paraId="3D4EA6FF"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0D69484D"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w:t>
            </w:r>
          </w:p>
        </w:tc>
        <w:tc>
          <w:tcPr>
            <w:tcW w:w="488" w:type="dxa"/>
            <w:tcBorders>
              <w:top w:val="nil"/>
              <w:left w:val="nil"/>
              <w:bottom w:val="nil"/>
              <w:right w:val="nil"/>
            </w:tcBorders>
            <w:shd w:val="clear" w:color="auto" w:fill="auto"/>
            <w:vAlign w:val="center"/>
            <w:hideMark/>
          </w:tcPr>
          <w:p w14:paraId="1B076646"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05EB5D08"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167.2</w:t>
            </w:r>
          </w:p>
        </w:tc>
        <w:tc>
          <w:tcPr>
            <w:tcW w:w="1137" w:type="dxa"/>
            <w:tcBorders>
              <w:top w:val="nil"/>
              <w:left w:val="nil"/>
              <w:bottom w:val="nil"/>
              <w:right w:val="nil"/>
            </w:tcBorders>
            <w:shd w:val="clear" w:color="auto" w:fill="auto"/>
            <w:noWrap/>
            <w:vAlign w:val="center"/>
            <w:hideMark/>
          </w:tcPr>
          <w:p w14:paraId="315CA7F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90</w:t>
            </w:r>
          </w:p>
        </w:tc>
        <w:tc>
          <w:tcPr>
            <w:tcW w:w="533" w:type="dxa"/>
            <w:tcBorders>
              <w:top w:val="nil"/>
              <w:left w:val="nil"/>
              <w:bottom w:val="nil"/>
              <w:right w:val="nil"/>
            </w:tcBorders>
            <w:shd w:val="clear" w:color="auto" w:fill="auto"/>
            <w:vAlign w:val="center"/>
            <w:hideMark/>
          </w:tcPr>
          <w:p w14:paraId="4AA48114"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23F8A7A5"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3.4</w:t>
            </w:r>
          </w:p>
        </w:tc>
        <w:tc>
          <w:tcPr>
            <w:tcW w:w="1137" w:type="dxa"/>
            <w:tcBorders>
              <w:top w:val="nil"/>
              <w:left w:val="nil"/>
              <w:bottom w:val="nil"/>
              <w:right w:val="nil"/>
            </w:tcBorders>
            <w:shd w:val="clear" w:color="auto" w:fill="auto"/>
            <w:noWrap/>
            <w:vAlign w:val="center"/>
            <w:hideMark/>
          </w:tcPr>
          <w:p w14:paraId="15443471"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w:t>
            </w:r>
          </w:p>
        </w:tc>
        <w:tc>
          <w:tcPr>
            <w:tcW w:w="271" w:type="dxa"/>
            <w:tcBorders>
              <w:top w:val="nil"/>
              <w:left w:val="nil"/>
              <w:bottom w:val="nil"/>
              <w:right w:val="nil"/>
            </w:tcBorders>
            <w:shd w:val="clear" w:color="auto" w:fill="auto"/>
            <w:noWrap/>
            <w:vAlign w:val="center"/>
            <w:hideMark/>
          </w:tcPr>
          <w:p w14:paraId="749CA22C"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38066AF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32.2</w:t>
            </w:r>
          </w:p>
        </w:tc>
        <w:tc>
          <w:tcPr>
            <w:tcW w:w="1137" w:type="dxa"/>
            <w:tcBorders>
              <w:top w:val="nil"/>
              <w:left w:val="nil"/>
              <w:bottom w:val="nil"/>
              <w:right w:val="nil"/>
            </w:tcBorders>
            <w:shd w:val="clear" w:color="auto" w:fill="auto"/>
            <w:noWrap/>
            <w:vAlign w:val="center"/>
            <w:hideMark/>
          </w:tcPr>
          <w:p w14:paraId="69437999"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29</w:t>
            </w:r>
          </w:p>
        </w:tc>
        <w:tc>
          <w:tcPr>
            <w:tcW w:w="271" w:type="dxa"/>
            <w:tcBorders>
              <w:top w:val="nil"/>
              <w:left w:val="nil"/>
              <w:bottom w:val="nil"/>
              <w:right w:val="nil"/>
            </w:tcBorders>
            <w:shd w:val="clear" w:color="auto" w:fill="auto"/>
            <w:noWrap/>
            <w:vAlign w:val="center"/>
            <w:hideMark/>
          </w:tcPr>
          <w:p w14:paraId="5C9CCEED"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06BB4CF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159,245</w:t>
            </w:r>
          </w:p>
        </w:tc>
        <w:tc>
          <w:tcPr>
            <w:tcW w:w="1137" w:type="dxa"/>
            <w:tcBorders>
              <w:top w:val="nil"/>
              <w:left w:val="nil"/>
              <w:bottom w:val="nil"/>
              <w:right w:val="nil"/>
            </w:tcBorders>
            <w:shd w:val="clear" w:color="auto" w:fill="auto"/>
            <w:noWrap/>
            <w:vAlign w:val="center"/>
            <w:hideMark/>
          </w:tcPr>
          <w:p w14:paraId="5A8464A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159,628</w:t>
            </w:r>
          </w:p>
        </w:tc>
      </w:tr>
      <w:tr w:rsidR="00B83A8E" w:rsidRPr="00B83A8E" w14:paraId="78EF545E" w14:textId="77777777" w:rsidTr="00DF185F">
        <w:trPr>
          <w:trHeight w:val="810"/>
        </w:trPr>
        <w:tc>
          <w:tcPr>
            <w:tcW w:w="2605" w:type="dxa"/>
            <w:tcBorders>
              <w:top w:val="nil"/>
              <w:left w:val="nil"/>
              <w:bottom w:val="nil"/>
              <w:right w:val="nil"/>
            </w:tcBorders>
            <w:shd w:val="clear" w:color="auto" w:fill="auto"/>
            <w:vAlign w:val="center"/>
            <w:hideMark/>
          </w:tcPr>
          <w:p w14:paraId="14C96304"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Total of Director/Chief (1)</w:t>
            </w:r>
          </w:p>
        </w:tc>
        <w:tc>
          <w:tcPr>
            <w:tcW w:w="352" w:type="dxa"/>
            <w:tcBorders>
              <w:top w:val="nil"/>
              <w:left w:val="nil"/>
              <w:bottom w:val="nil"/>
              <w:right w:val="nil"/>
            </w:tcBorders>
            <w:shd w:val="clear" w:color="auto" w:fill="auto"/>
            <w:vAlign w:val="center"/>
            <w:hideMark/>
          </w:tcPr>
          <w:p w14:paraId="0CE842E2" w14:textId="77777777" w:rsidR="00B83A8E" w:rsidRPr="00B83A8E" w:rsidRDefault="00B83A8E" w:rsidP="00B83A8E">
            <w:pPr>
              <w:rPr>
                <w:rFonts w:eastAsia="Times New Roman"/>
                <w:i/>
                <w:iCs/>
                <w:color w:val="000000"/>
                <w:sz w:val="22"/>
                <w:szCs w:val="22"/>
              </w:rPr>
            </w:pPr>
          </w:p>
        </w:tc>
        <w:tc>
          <w:tcPr>
            <w:tcW w:w="847" w:type="dxa"/>
            <w:tcBorders>
              <w:top w:val="nil"/>
              <w:left w:val="nil"/>
              <w:bottom w:val="nil"/>
              <w:right w:val="nil"/>
            </w:tcBorders>
            <w:shd w:val="clear" w:color="auto" w:fill="auto"/>
            <w:vAlign w:val="center"/>
            <w:hideMark/>
          </w:tcPr>
          <w:p w14:paraId="455A94F1"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656</w:t>
            </w:r>
          </w:p>
        </w:tc>
        <w:tc>
          <w:tcPr>
            <w:tcW w:w="488" w:type="dxa"/>
            <w:tcBorders>
              <w:top w:val="nil"/>
              <w:left w:val="nil"/>
              <w:bottom w:val="nil"/>
              <w:right w:val="nil"/>
            </w:tcBorders>
            <w:shd w:val="clear" w:color="auto" w:fill="auto"/>
            <w:vAlign w:val="center"/>
            <w:hideMark/>
          </w:tcPr>
          <w:p w14:paraId="3F10CE46" w14:textId="77777777" w:rsidR="00B83A8E" w:rsidRPr="00B83A8E" w:rsidRDefault="00B83A8E" w:rsidP="00B83A8E">
            <w:pPr>
              <w:jc w:val="center"/>
              <w:rPr>
                <w:rFonts w:eastAsia="Times New Roman"/>
                <w:i/>
                <w:iCs/>
                <w:color w:val="000000"/>
                <w:sz w:val="22"/>
                <w:szCs w:val="22"/>
              </w:rPr>
            </w:pPr>
          </w:p>
        </w:tc>
        <w:tc>
          <w:tcPr>
            <w:tcW w:w="1126" w:type="dxa"/>
            <w:tcBorders>
              <w:top w:val="nil"/>
              <w:left w:val="nil"/>
              <w:bottom w:val="nil"/>
              <w:right w:val="nil"/>
            </w:tcBorders>
            <w:shd w:val="clear" w:color="auto" w:fill="auto"/>
            <w:noWrap/>
            <w:vAlign w:val="center"/>
            <w:hideMark/>
          </w:tcPr>
          <w:p w14:paraId="02C61C6A"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128.253</w:t>
            </w:r>
          </w:p>
        </w:tc>
        <w:tc>
          <w:tcPr>
            <w:tcW w:w="1137" w:type="dxa"/>
            <w:tcBorders>
              <w:top w:val="nil"/>
              <w:left w:val="nil"/>
              <w:bottom w:val="nil"/>
              <w:right w:val="nil"/>
            </w:tcBorders>
            <w:shd w:val="clear" w:color="auto" w:fill="auto"/>
            <w:noWrap/>
            <w:vAlign w:val="center"/>
            <w:hideMark/>
          </w:tcPr>
          <w:p w14:paraId="053CBED7"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97</w:t>
            </w:r>
          </w:p>
        </w:tc>
        <w:tc>
          <w:tcPr>
            <w:tcW w:w="533" w:type="dxa"/>
            <w:tcBorders>
              <w:top w:val="nil"/>
              <w:left w:val="nil"/>
              <w:bottom w:val="nil"/>
              <w:right w:val="nil"/>
            </w:tcBorders>
            <w:shd w:val="clear" w:color="auto" w:fill="auto"/>
            <w:vAlign w:val="center"/>
            <w:hideMark/>
          </w:tcPr>
          <w:p w14:paraId="0671F7A8" w14:textId="77777777" w:rsidR="00B83A8E" w:rsidRPr="00B83A8E" w:rsidRDefault="00B83A8E" w:rsidP="00B83A8E">
            <w:pPr>
              <w:jc w:val="center"/>
              <w:rPr>
                <w:rFonts w:eastAsia="Times New Roman"/>
                <w:i/>
                <w:iCs/>
                <w:color w:val="000000"/>
                <w:sz w:val="22"/>
                <w:szCs w:val="22"/>
              </w:rPr>
            </w:pPr>
          </w:p>
        </w:tc>
        <w:tc>
          <w:tcPr>
            <w:tcW w:w="859" w:type="dxa"/>
            <w:tcBorders>
              <w:top w:val="nil"/>
              <w:left w:val="nil"/>
              <w:bottom w:val="nil"/>
              <w:right w:val="nil"/>
            </w:tcBorders>
            <w:shd w:val="clear" w:color="auto" w:fill="auto"/>
            <w:noWrap/>
            <w:vAlign w:val="center"/>
            <w:hideMark/>
          </w:tcPr>
          <w:p w14:paraId="5D369F51"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3.32</w:t>
            </w:r>
          </w:p>
        </w:tc>
        <w:tc>
          <w:tcPr>
            <w:tcW w:w="1137" w:type="dxa"/>
            <w:tcBorders>
              <w:top w:val="nil"/>
              <w:left w:val="nil"/>
              <w:bottom w:val="nil"/>
              <w:right w:val="nil"/>
            </w:tcBorders>
            <w:shd w:val="clear" w:color="auto" w:fill="auto"/>
            <w:noWrap/>
            <w:vAlign w:val="center"/>
            <w:hideMark/>
          </w:tcPr>
          <w:p w14:paraId="138AD952"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w:t>
            </w:r>
          </w:p>
        </w:tc>
        <w:tc>
          <w:tcPr>
            <w:tcW w:w="271" w:type="dxa"/>
            <w:tcBorders>
              <w:top w:val="nil"/>
              <w:left w:val="nil"/>
              <w:bottom w:val="nil"/>
              <w:right w:val="nil"/>
            </w:tcBorders>
            <w:shd w:val="clear" w:color="auto" w:fill="auto"/>
            <w:noWrap/>
            <w:vAlign w:val="center"/>
            <w:hideMark/>
          </w:tcPr>
          <w:p w14:paraId="50BFEB24" w14:textId="77777777" w:rsidR="00B83A8E" w:rsidRPr="00B83A8E" w:rsidRDefault="00B83A8E" w:rsidP="00B83A8E">
            <w:pPr>
              <w:jc w:val="center"/>
              <w:rPr>
                <w:rFonts w:eastAsia="Times New Roman"/>
                <w:i/>
                <w:iCs/>
                <w:color w:val="000000"/>
                <w:sz w:val="22"/>
                <w:szCs w:val="22"/>
              </w:rPr>
            </w:pPr>
          </w:p>
        </w:tc>
        <w:tc>
          <w:tcPr>
            <w:tcW w:w="859" w:type="dxa"/>
            <w:tcBorders>
              <w:top w:val="nil"/>
              <w:left w:val="nil"/>
              <w:bottom w:val="nil"/>
              <w:right w:val="nil"/>
            </w:tcBorders>
            <w:shd w:val="clear" w:color="auto" w:fill="auto"/>
            <w:noWrap/>
            <w:vAlign w:val="center"/>
            <w:hideMark/>
          </w:tcPr>
          <w:p w14:paraId="6DACA170"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34.05</w:t>
            </w:r>
          </w:p>
        </w:tc>
        <w:tc>
          <w:tcPr>
            <w:tcW w:w="1137" w:type="dxa"/>
            <w:tcBorders>
              <w:top w:val="nil"/>
              <w:left w:val="nil"/>
              <w:bottom w:val="nil"/>
              <w:right w:val="nil"/>
            </w:tcBorders>
            <w:shd w:val="clear" w:color="auto" w:fill="auto"/>
            <w:noWrap/>
            <w:vAlign w:val="center"/>
            <w:hideMark/>
          </w:tcPr>
          <w:p w14:paraId="12BA2BF8"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36</w:t>
            </w:r>
          </w:p>
        </w:tc>
        <w:tc>
          <w:tcPr>
            <w:tcW w:w="271" w:type="dxa"/>
            <w:tcBorders>
              <w:top w:val="nil"/>
              <w:left w:val="nil"/>
              <w:bottom w:val="nil"/>
              <w:right w:val="nil"/>
            </w:tcBorders>
            <w:shd w:val="clear" w:color="auto" w:fill="auto"/>
            <w:noWrap/>
            <w:vAlign w:val="center"/>
            <w:hideMark/>
          </w:tcPr>
          <w:p w14:paraId="0B357A53" w14:textId="77777777" w:rsidR="00B83A8E" w:rsidRPr="00B83A8E" w:rsidRDefault="00B83A8E" w:rsidP="00B83A8E">
            <w:pPr>
              <w:jc w:val="center"/>
              <w:rPr>
                <w:rFonts w:eastAsia="Times New Roman"/>
                <w:i/>
                <w:iCs/>
                <w:color w:val="000000"/>
                <w:sz w:val="22"/>
                <w:szCs w:val="22"/>
              </w:rPr>
            </w:pPr>
          </w:p>
        </w:tc>
        <w:tc>
          <w:tcPr>
            <w:tcW w:w="1126" w:type="dxa"/>
            <w:tcBorders>
              <w:top w:val="nil"/>
              <w:left w:val="nil"/>
              <w:bottom w:val="nil"/>
              <w:right w:val="nil"/>
            </w:tcBorders>
            <w:shd w:val="clear" w:color="auto" w:fill="auto"/>
            <w:noWrap/>
            <w:vAlign w:val="center"/>
            <w:hideMark/>
          </w:tcPr>
          <w:p w14:paraId="1DA28298"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196,080</w:t>
            </w:r>
          </w:p>
        </w:tc>
        <w:tc>
          <w:tcPr>
            <w:tcW w:w="1137" w:type="dxa"/>
            <w:tcBorders>
              <w:top w:val="nil"/>
              <w:left w:val="nil"/>
              <w:bottom w:val="nil"/>
              <w:right w:val="nil"/>
            </w:tcBorders>
            <w:shd w:val="clear" w:color="auto" w:fill="auto"/>
            <w:noWrap/>
            <w:vAlign w:val="center"/>
            <w:hideMark/>
          </w:tcPr>
          <w:p w14:paraId="7E78BCC9"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199,176</w:t>
            </w:r>
          </w:p>
        </w:tc>
      </w:tr>
      <w:tr w:rsidR="00B83A8E" w:rsidRPr="00B83A8E" w14:paraId="44A133AA" w14:textId="77777777" w:rsidTr="00DF185F">
        <w:trPr>
          <w:trHeight w:val="600"/>
        </w:trPr>
        <w:tc>
          <w:tcPr>
            <w:tcW w:w="2605" w:type="dxa"/>
            <w:tcBorders>
              <w:top w:val="nil"/>
              <w:left w:val="nil"/>
              <w:bottom w:val="nil"/>
              <w:right w:val="nil"/>
            </w:tcBorders>
            <w:shd w:val="clear" w:color="auto" w:fill="auto"/>
            <w:vAlign w:val="center"/>
            <w:hideMark/>
          </w:tcPr>
          <w:p w14:paraId="108482FA"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Senior Attorney</w:t>
            </w:r>
          </w:p>
        </w:tc>
        <w:tc>
          <w:tcPr>
            <w:tcW w:w="352" w:type="dxa"/>
            <w:tcBorders>
              <w:top w:val="nil"/>
              <w:left w:val="nil"/>
              <w:bottom w:val="nil"/>
              <w:right w:val="nil"/>
            </w:tcBorders>
            <w:shd w:val="clear" w:color="auto" w:fill="auto"/>
            <w:vAlign w:val="center"/>
            <w:hideMark/>
          </w:tcPr>
          <w:p w14:paraId="46A168CB"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393E018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488" w:type="dxa"/>
            <w:tcBorders>
              <w:top w:val="nil"/>
              <w:left w:val="nil"/>
              <w:bottom w:val="nil"/>
              <w:right w:val="nil"/>
            </w:tcBorders>
            <w:shd w:val="clear" w:color="auto" w:fill="auto"/>
            <w:vAlign w:val="center"/>
            <w:hideMark/>
          </w:tcPr>
          <w:p w14:paraId="1ACD39FD"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4E365D4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159.5</w:t>
            </w:r>
          </w:p>
        </w:tc>
        <w:tc>
          <w:tcPr>
            <w:tcW w:w="1137" w:type="dxa"/>
            <w:tcBorders>
              <w:top w:val="nil"/>
              <w:left w:val="nil"/>
              <w:bottom w:val="nil"/>
              <w:right w:val="nil"/>
            </w:tcBorders>
            <w:shd w:val="clear" w:color="auto" w:fill="auto"/>
            <w:noWrap/>
            <w:vAlign w:val="center"/>
            <w:hideMark/>
          </w:tcPr>
          <w:p w14:paraId="16A43EE3"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170.5</w:t>
            </w:r>
          </w:p>
        </w:tc>
        <w:tc>
          <w:tcPr>
            <w:tcW w:w="533" w:type="dxa"/>
            <w:tcBorders>
              <w:top w:val="nil"/>
              <w:left w:val="nil"/>
              <w:bottom w:val="nil"/>
              <w:right w:val="nil"/>
            </w:tcBorders>
            <w:shd w:val="clear" w:color="auto" w:fill="auto"/>
            <w:vAlign w:val="center"/>
            <w:hideMark/>
          </w:tcPr>
          <w:p w14:paraId="360D4DC0"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376C9CF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4.25</w:t>
            </w:r>
          </w:p>
        </w:tc>
        <w:tc>
          <w:tcPr>
            <w:tcW w:w="1137" w:type="dxa"/>
            <w:tcBorders>
              <w:top w:val="nil"/>
              <w:left w:val="nil"/>
              <w:bottom w:val="nil"/>
              <w:right w:val="nil"/>
            </w:tcBorders>
            <w:shd w:val="clear" w:color="auto" w:fill="auto"/>
            <w:noWrap/>
            <w:vAlign w:val="center"/>
            <w:hideMark/>
          </w:tcPr>
          <w:p w14:paraId="5CCD630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4.5</w:t>
            </w:r>
          </w:p>
        </w:tc>
        <w:tc>
          <w:tcPr>
            <w:tcW w:w="271" w:type="dxa"/>
            <w:tcBorders>
              <w:top w:val="nil"/>
              <w:left w:val="nil"/>
              <w:bottom w:val="nil"/>
              <w:right w:val="nil"/>
            </w:tcBorders>
            <w:shd w:val="clear" w:color="auto" w:fill="auto"/>
            <w:noWrap/>
            <w:vAlign w:val="center"/>
            <w:hideMark/>
          </w:tcPr>
          <w:p w14:paraId="4E5CD417"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5A415A4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45.5</w:t>
            </w:r>
          </w:p>
        </w:tc>
        <w:tc>
          <w:tcPr>
            <w:tcW w:w="1137" w:type="dxa"/>
            <w:tcBorders>
              <w:top w:val="nil"/>
              <w:left w:val="nil"/>
              <w:bottom w:val="nil"/>
              <w:right w:val="nil"/>
            </w:tcBorders>
            <w:shd w:val="clear" w:color="auto" w:fill="auto"/>
            <w:noWrap/>
            <w:vAlign w:val="center"/>
            <w:hideMark/>
          </w:tcPr>
          <w:p w14:paraId="18326E61"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45.5</w:t>
            </w:r>
          </w:p>
        </w:tc>
        <w:tc>
          <w:tcPr>
            <w:tcW w:w="271" w:type="dxa"/>
            <w:tcBorders>
              <w:top w:val="nil"/>
              <w:left w:val="nil"/>
              <w:bottom w:val="nil"/>
              <w:right w:val="nil"/>
            </w:tcBorders>
            <w:shd w:val="clear" w:color="auto" w:fill="auto"/>
            <w:noWrap/>
            <w:vAlign w:val="center"/>
            <w:hideMark/>
          </w:tcPr>
          <w:p w14:paraId="61C1455F"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4E8F27F3"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147,879</w:t>
            </w:r>
          </w:p>
        </w:tc>
        <w:tc>
          <w:tcPr>
            <w:tcW w:w="1137" w:type="dxa"/>
            <w:tcBorders>
              <w:top w:val="nil"/>
              <w:left w:val="nil"/>
              <w:bottom w:val="nil"/>
              <w:right w:val="nil"/>
            </w:tcBorders>
            <w:shd w:val="clear" w:color="auto" w:fill="auto"/>
            <w:noWrap/>
            <w:vAlign w:val="center"/>
            <w:hideMark/>
          </w:tcPr>
          <w:p w14:paraId="64FC7855"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146,730</w:t>
            </w:r>
          </w:p>
        </w:tc>
      </w:tr>
      <w:tr w:rsidR="00B83A8E" w:rsidRPr="00B83A8E" w14:paraId="21B3D141" w14:textId="77777777" w:rsidTr="00DF185F">
        <w:trPr>
          <w:trHeight w:val="540"/>
        </w:trPr>
        <w:tc>
          <w:tcPr>
            <w:tcW w:w="2605" w:type="dxa"/>
            <w:tcBorders>
              <w:top w:val="nil"/>
              <w:left w:val="nil"/>
              <w:bottom w:val="nil"/>
              <w:right w:val="nil"/>
            </w:tcBorders>
            <w:shd w:val="clear" w:color="auto" w:fill="auto"/>
            <w:vAlign w:val="center"/>
            <w:hideMark/>
          </w:tcPr>
          <w:p w14:paraId="7747D1FA"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Staff Attorney</w:t>
            </w:r>
          </w:p>
        </w:tc>
        <w:tc>
          <w:tcPr>
            <w:tcW w:w="352" w:type="dxa"/>
            <w:tcBorders>
              <w:top w:val="nil"/>
              <w:left w:val="nil"/>
              <w:bottom w:val="nil"/>
              <w:right w:val="nil"/>
            </w:tcBorders>
            <w:shd w:val="clear" w:color="auto" w:fill="auto"/>
            <w:vAlign w:val="center"/>
            <w:hideMark/>
          </w:tcPr>
          <w:p w14:paraId="194F6021"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152792A8"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w:t>
            </w:r>
          </w:p>
        </w:tc>
        <w:tc>
          <w:tcPr>
            <w:tcW w:w="488" w:type="dxa"/>
            <w:tcBorders>
              <w:top w:val="nil"/>
              <w:left w:val="nil"/>
              <w:bottom w:val="nil"/>
              <w:right w:val="nil"/>
            </w:tcBorders>
            <w:shd w:val="clear" w:color="auto" w:fill="auto"/>
            <w:vAlign w:val="center"/>
            <w:hideMark/>
          </w:tcPr>
          <w:p w14:paraId="2A31E125"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5696FF1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64</w:t>
            </w:r>
          </w:p>
        </w:tc>
        <w:tc>
          <w:tcPr>
            <w:tcW w:w="1137" w:type="dxa"/>
            <w:tcBorders>
              <w:top w:val="nil"/>
              <w:left w:val="nil"/>
              <w:bottom w:val="nil"/>
              <w:right w:val="nil"/>
            </w:tcBorders>
            <w:shd w:val="clear" w:color="auto" w:fill="auto"/>
            <w:noWrap/>
            <w:vAlign w:val="center"/>
            <w:hideMark/>
          </w:tcPr>
          <w:p w14:paraId="79C3F29C"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64</w:t>
            </w:r>
          </w:p>
        </w:tc>
        <w:tc>
          <w:tcPr>
            <w:tcW w:w="533" w:type="dxa"/>
            <w:tcBorders>
              <w:top w:val="nil"/>
              <w:left w:val="nil"/>
              <w:bottom w:val="nil"/>
              <w:right w:val="nil"/>
            </w:tcBorders>
            <w:shd w:val="clear" w:color="auto" w:fill="auto"/>
            <w:vAlign w:val="center"/>
            <w:hideMark/>
          </w:tcPr>
          <w:p w14:paraId="6D3F36CA"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2D25E7C8"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3.33</w:t>
            </w:r>
          </w:p>
        </w:tc>
        <w:tc>
          <w:tcPr>
            <w:tcW w:w="1137" w:type="dxa"/>
            <w:tcBorders>
              <w:top w:val="nil"/>
              <w:left w:val="nil"/>
              <w:bottom w:val="nil"/>
              <w:right w:val="nil"/>
            </w:tcBorders>
            <w:shd w:val="clear" w:color="auto" w:fill="auto"/>
            <w:noWrap/>
            <w:vAlign w:val="center"/>
            <w:hideMark/>
          </w:tcPr>
          <w:p w14:paraId="2239BC0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w:t>
            </w:r>
          </w:p>
        </w:tc>
        <w:tc>
          <w:tcPr>
            <w:tcW w:w="271" w:type="dxa"/>
            <w:tcBorders>
              <w:top w:val="nil"/>
              <w:left w:val="nil"/>
              <w:bottom w:val="nil"/>
              <w:right w:val="nil"/>
            </w:tcBorders>
            <w:shd w:val="clear" w:color="auto" w:fill="auto"/>
            <w:noWrap/>
            <w:vAlign w:val="center"/>
            <w:hideMark/>
          </w:tcPr>
          <w:p w14:paraId="1BEE0566"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1551D2C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12.67</w:t>
            </w:r>
          </w:p>
        </w:tc>
        <w:tc>
          <w:tcPr>
            <w:tcW w:w="1137" w:type="dxa"/>
            <w:tcBorders>
              <w:top w:val="nil"/>
              <w:left w:val="nil"/>
              <w:bottom w:val="nil"/>
              <w:right w:val="nil"/>
            </w:tcBorders>
            <w:shd w:val="clear" w:color="auto" w:fill="auto"/>
            <w:noWrap/>
            <w:vAlign w:val="center"/>
            <w:hideMark/>
          </w:tcPr>
          <w:p w14:paraId="7F0FE30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10</w:t>
            </w:r>
          </w:p>
        </w:tc>
        <w:tc>
          <w:tcPr>
            <w:tcW w:w="271" w:type="dxa"/>
            <w:tcBorders>
              <w:top w:val="nil"/>
              <w:left w:val="nil"/>
              <w:bottom w:val="nil"/>
              <w:right w:val="nil"/>
            </w:tcBorders>
            <w:shd w:val="clear" w:color="auto" w:fill="auto"/>
            <w:noWrap/>
            <w:vAlign w:val="center"/>
            <w:hideMark/>
          </w:tcPr>
          <w:p w14:paraId="1F854901"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574E6D8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148,349</w:t>
            </w:r>
          </w:p>
        </w:tc>
        <w:tc>
          <w:tcPr>
            <w:tcW w:w="1137" w:type="dxa"/>
            <w:tcBorders>
              <w:top w:val="nil"/>
              <w:left w:val="nil"/>
              <w:bottom w:val="nil"/>
              <w:right w:val="nil"/>
            </w:tcBorders>
            <w:shd w:val="clear" w:color="auto" w:fill="auto"/>
            <w:noWrap/>
            <w:vAlign w:val="center"/>
            <w:hideMark/>
          </w:tcPr>
          <w:p w14:paraId="76CC966D"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148,028</w:t>
            </w:r>
          </w:p>
        </w:tc>
      </w:tr>
      <w:tr w:rsidR="00B83A8E" w:rsidRPr="00B83A8E" w14:paraId="16630664" w14:textId="77777777" w:rsidTr="00DF185F">
        <w:trPr>
          <w:trHeight w:val="540"/>
        </w:trPr>
        <w:tc>
          <w:tcPr>
            <w:tcW w:w="2605" w:type="dxa"/>
            <w:tcBorders>
              <w:top w:val="nil"/>
              <w:left w:val="nil"/>
              <w:bottom w:val="nil"/>
              <w:right w:val="nil"/>
            </w:tcBorders>
            <w:shd w:val="clear" w:color="auto" w:fill="auto"/>
            <w:vAlign w:val="center"/>
            <w:hideMark/>
          </w:tcPr>
          <w:p w14:paraId="0A6F759F"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Special Counsel</w:t>
            </w:r>
          </w:p>
        </w:tc>
        <w:tc>
          <w:tcPr>
            <w:tcW w:w="352" w:type="dxa"/>
            <w:tcBorders>
              <w:top w:val="nil"/>
              <w:left w:val="nil"/>
              <w:bottom w:val="nil"/>
              <w:right w:val="nil"/>
            </w:tcBorders>
            <w:shd w:val="clear" w:color="auto" w:fill="auto"/>
            <w:vAlign w:val="center"/>
            <w:hideMark/>
          </w:tcPr>
          <w:p w14:paraId="7100016B"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2843499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22</w:t>
            </w:r>
          </w:p>
        </w:tc>
        <w:tc>
          <w:tcPr>
            <w:tcW w:w="488" w:type="dxa"/>
            <w:tcBorders>
              <w:top w:val="nil"/>
              <w:left w:val="nil"/>
              <w:bottom w:val="nil"/>
              <w:right w:val="nil"/>
            </w:tcBorders>
            <w:shd w:val="clear" w:color="auto" w:fill="auto"/>
            <w:vAlign w:val="center"/>
            <w:hideMark/>
          </w:tcPr>
          <w:p w14:paraId="386B69CB"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0BC66A3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136.27</w:t>
            </w:r>
          </w:p>
        </w:tc>
        <w:tc>
          <w:tcPr>
            <w:tcW w:w="1137" w:type="dxa"/>
            <w:tcBorders>
              <w:top w:val="nil"/>
              <w:left w:val="nil"/>
              <w:bottom w:val="nil"/>
              <w:right w:val="nil"/>
            </w:tcBorders>
            <w:shd w:val="clear" w:color="auto" w:fill="auto"/>
            <w:noWrap/>
            <w:vAlign w:val="center"/>
            <w:hideMark/>
          </w:tcPr>
          <w:p w14:paraId="55E56ECF"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85.5</w:t>
            </w:r>
          </w:p>
        </w:tc>
        <w:tc>
          <w:tcPr>
            <w:tcW w:w="533" w:type="dxa"/>
            <w:tcBorders>
              <w:top w:val="nil"/>
              <w:left w:val="nil"/>
              <w:bottom w:val="nil"/>
              <w:right w:val="nil"/>
            </w:tcBorders>
            <w:shd w:val="clear" w:color="auto" w:fill="auto"/>
            <w:vAlign w:val="center"/>
            <w:hideMark/>
          </w:tcPr>
          <w:p w14:paraId="5DD8E931"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6576EF84"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3.41</w:t>
            </w:r>
          </w:p>
        </w:tc>
        <w:tc>
          <w:tcPr>
            <w:tcW w:w="1137" w:type="dxa"/>
            <w:tcBorders>
              <w:top w:val="nil"/>
              <w:left w:val="nil"/>
              <w:bottom w:val="nil"/>
              <w:right w:val="nil"/>
            </w:tcBorders>
            <w:shd w:val="clear" w:color="auto" w:fill="auto"/>
            <w:noWrap/>
            <w:vAlign w:val="center"/>
            <w:hideMark/>
          </w:tcPr>
          <w:p w14:paraId="1ECF7851"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w:t>
            </w:r>
          </w:p>
        </w:tc>
        <w:tc>
          <w:tcPr>
            <w:tcW w:w="271" w:type="dxa"/>
            <w:tcBorders>
              <w:top w:val="nil"/>
              <w:left w:val="nil"/>
              <w:bottom w:val="nil"/>
              <w:right w:val="nil"/>
            </w:tcBorders>
            <w:shd w:val="clear" w:color="auto" w:fill="auto"/>
            <w:noWrap/>
            <w:vAlign w:val="center"/>
            <w:hideMark/>
          </w:tcPr>
          <w:p w14:paraId="18477B58"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0953902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36.68</w:t>
            </w:r>
          </w:p>
        </w:tc>
        <w:tc>
          <w:tcPr>
            <w:tcW w:w="1137" w:type="dxa"/>
            <w:tcBorders>
              <w:top w:val="nil"/>
              <w:left w:val="nil"/>
              <w:bottom w:val="nil"/>
              <w:right w:val="nil"/>
            </w:tcBorders>
            <w:shd w:val="clear" w:color="auto" w:fill="auto"/>
            <w:noWrap/>
            <w:vAlign w:val="center"/>
            <w:hideMark/>
          </w:tcPr>
          <w:p w14:paraId="65CCD518"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41.5</w:t>
            </w:r>
          </w:p>
        </w:tc>
        <w:tc>
          <w:tcPr>
            <w:tcW w:w="271" w:type="dxa"/>
            <w:tcBorders>
              <w:top w:val="nil"/>
              <w:left w:val="nil"/>
              <w:bottom w:val="nil"/>
              <w:right w:val="nil"/>
            </w:tcBorders>
            <w:shd w:val="clear" w:color="auto" w:fill="auto"/>
            <w:noWrap/>
            <w:vAlign w:val="center"/>
            <w:hideMark/>
          </w:tcPr>
          <w:p w14:paraId="7E17DFC5"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74F0718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148,845</w:t>
            </w:r>
          </w:p>
        </w:tc>
        <w:tc>
          <w:tcPr>
            <w:tcW w:w="1137" w:type="dxa"/>
            <w:tcBorders>
              <w:top w:val="nil"/>
              <w:left w:val="nil"/>
              <w:bottom w:val="nil"/>
              <w:right w:val="nil"/>
            </w:tcBorders>
            <w:shd w:val="clear" w:color="auto" w:fill="auto"/>
            <w:noWrap/>
            <w:vAlign w:val="center"/>
            <w:hideMark/>
          </w:tcPr>
          <w:p w14:paraId="4740A76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152,474</w:t>
            </w:r>
          </w:p>
        </w:tc>
      </w:tr>
      <w:tr w:rsidR="00B83A8E" w:rsidRPr="00B83A8E" w14:paraId="33CA8734" w14:textId="77777777" w:rsidTr="00DF185F">
        <w:trPr>
          <w:trHeight w:val="450"/>
        </w:trPr>
        <w:tc>
          <w:tcPr>
            <w:tcW w:w="2605" w:type="dxa"/>
            <w:tcBorders>
              <w:top w:val="nil"/>
              <w:left w:val="nil"/>
              <w:bottom w:val="nil"/>
              <w:right w:val="nil"/>
            </w:tcBorders>
            <w:shd w:val="clear" w:color="auto" w:fill="auto"/>
            <w:vAlign w:val="center"/>
            <w:hideMark/>
          </w:tcPr>
          <w:p w14:paraId="6FF8FA59"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Attorney Advisor</w:t>
            </w:r>
          </w:p>
        </w:tc>
        <w:tc>
          <w:tcPr>
            <w:tcW w:w="352" w:type="dxa"/>
            <w:tcBorders>
              <w:top w:val="nil"/>
              <w:left w:val="nil"/>
              <w:bottom w:val="nil"/>
              <w:right w:val="nil"/>
            </w:tcBorders>
            <w:shd w:val="clear" w:color="auto" w:fill="auto"/>
            <w:vAlign w:val="center"/>
            <w:hideMark/>
          </w:tcPr>
          <w:p w14:paraId="3DA9283C"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1D796209"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19</w:t>
            </w:r>
          </w:p>
        </w:tc>
        <w:tc>
          <w:tcPr>
            <w:tcW w:w="488" w:type="dxa"/>
            <w:tcBorders>
              <w:top w:val="nil"/>
              <w:left w:val="nil"/>
              <w:bottom w:val="nil"/>
              <w:right w:val="nil"/>
            </w:tcBorders>
            <w:shd w:val="clear" w:color="auto" w:fill="auto"/>
            <w:vAlign w:val="center"/>
            <w:hideMark/>
          </w:tcPr>
          <w:p w14:paraId="54B2BDBF"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6826375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245.84</w:t>
            </w:r>
          </w:p>
        </w:tc>
        <w:tc>
          <w:tcPr>
            <w:tcW w:w="1137" w:type="dxa"/>
            <w:tcBorders>
              <w:top w:val="nil"/>
              <w:left w:val="nil"/>
              <w:bottom w:val="nil"/>
              <w:right w:val="nil"/>
            </w:tcBorders>
            <w:shd w:val="clear" w:color="auto" w:fill="auto"/>
            <w:noWrap/>
            <w:vAlign w:val="center"/>
            <w:hideMark/>
          </w:tcPr>
          <w:p w14:paraId="1D26784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111</w:t>
            </w:r>
          </w:p>
        </w:tc>
        <w:tc>
          <w:tcPr>
            <w:tcW w:w="533" w:type="dxa"/>
            <w:tcBorders>
              <w:top w:val="nil"/>
              <w:left w:val="nil"/>
              <w:bottom w:val="nil"/>
              <w:right w:val="nil"/>
            </w:tcBorders>
            <w:shd w:val="clear" w:color="auto" w:fill="auto"/>
            <w:vAlign w:val="center"/>
            <w:hideMark/>
          </w:tcPr>
          <w:p w14:paraId="67E0E394"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39878FE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4.21</w:t>
            </w:r>
          </w:p>
        </w:tc>
        <w:tc>
          <w:tcPr>
            <w:tcW w:w="1137" w:type="dxa"/>
            <w:tcBorders>
              <w:top w:val="nil"/>
              <w:left w:val="nil"/>
              <w:bottom w:val="nil"/>
              <w:right w:val="nil"/>
            </w:tcBorders>
            <w:shd w:val="clear" w:color="auto" w:fill="auto"/>
            <w:noWrap/>
            <w:vAlign w:val="center"/>
            <w:hideMark/>
          </w:tcPr>
          <w:p w14:paraId="20A8D41C"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w:t>
            </w:r>
          </w:p>
        </w:tc>
        <w:tc>
          <w:tcPr>
            <w:tcW w:w="271" w:type="dxa"/>
            <w:tcBorders>
              <w:top w:val="nil"/>
              <w:left w:val="nil"/>
              <w:bottom w:val="nil"/>
              <w:right w:val="nil"/>
            </w:tcBorders>
            <w:shd w:val="clear" w:color="auto" w:fill="auto"/>
            <w:noWrap/>
            <w:vAlign w:val="center"/>
            <w:hideMark/>
          </w:tcPr>
          <w:p w14:paraId="07DDF052"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68592B7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39.42</w:t>
            </w:r>
          </w:p>
        </w:tc>
        <w:tc>
          <w:tcPr>
            <w:tcW w:w="1137" w:type="dxa"/>
            <w:tcBorders>
              <w:top w:val="nil"/>
              <w:left w:val="nil"/>
              <w:bottom w:val="nil"/>
              <w:right w:val="nil"/>
            </w:tcBorders>
            <w:shd w:val="clear" w:color="auto" w:fill="auto"/>
            <w:noWrap/>
            <w:vAlign w:val="center"/>
            <w:hideMark/>
          </w:tcPr>
          <w:p w14:paraId="3FE55E7B"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48</w:t>
            </w:r>
          </w:p>
        </w:tc>
        <w:tc>
          <w:tcPr>
            <w:tcW w:w="271" w:type="dxa"/>
            <w:tcBorders>
              <w:top w:val="nil"/>
              <w:left w:val="nil"/>
              <w:bottom w:val="nil"/>
              <w:right w:val="nil"/>
            </w:tcBorders>
            <w:shd w:val="clear" w:color="auto" w:fill="auto"/>
            <w:noWrap/>
            <w:vAlign w:val="center"/>
            <w:hideMark/>
          </w:tcPr>
          <w:p w14:paraId="5D665DE3"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3B2CB910"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149,665</w:t>
            </w:r>
          </w:p>
        </w:tc>
        <w:tc>
          <w:tcPr>
            <w:tcW w:w="1137" w:type="dxa"/>
            <w:tcBorders>
              <w:top w:val="nil"/>
              <w:left w:val="nil"/>
              <w:bottom w:val="nil"/>
              <w:right w:val="nil"/>
            </w:tcBorders>
            <w:shd w:val="clear" w:color="auto" w:fill="auto"/>
            <w:noWrap/>
            <w:vAlign w:val="center"/>
            <w:hideMark/>
          </w:tcPr>
          <w:p w14:paraId="3DC46E5C"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152,417</w:t>
            </w:r>
          </w:p>
        </w:tc>
      </w:tr>
      <w:tr w:rsidR="00B83A8E" w:rsidRPr="00B83A8E" w14:paraId="7D1EED7F" w14:textId="77777777" w:rsidTr="00DF185F">
        <w:trPr>
          <w:trHeight w:val="810"/>
        </w:trPr>
        <w:tc>
          <w:tcPr>
            <w:tcW w:w="2605" w:type="dxa"/>
            <w:tcBorders>
              <w:top w:val="nil"/>
              <w:left w:val="nil"/>
              <w:bottom w:val="nil"/>
              <w:right w:val="nil"/>
            </w:tcBorders>
            <w:shd w:val="clear" w:color="auto" w:fill="auto"/>
            <w:vAlign w:val="center"/>
            <w:hideMark/>
          </w:tcPr>
          <w:p w14:paraId="7BB1B02D"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Senior Financial Analyst</w:t>
            </w:r>
          </w:p>
        </w:tc>
        <w:tc>
          <w:tcPr>
            <w:tcW w:w="352" w:type="dxa"/>
            <w:tcBorders>
              <w:top w:val="nil"/>
              <w:left w:val="nil"/>
              <w:bottom w:val="nil"/>
              <w:right w:val="nil"/>
            </w:tcBorders>
            <w:shd w:val="clear" w:color="auto" w:fill="auto"/>
            <w:vAlign w:val="center"/>
            <w:hideMark/>
          </w:tcPr>
          <w:p w14:paraId="6AC0A9D4"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7C40110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w:t>
            </w:r>
          </w:p>
        </w:tc>
        <w:tc>
          <w:tcPr>
            <w:tcW w:w="488" w:type="dxa"/>
            <w:tcBorders>
              <w:top w:val="nil"/>
              <w:left w:val="nil"/>
              <w:bottom w:val="nil"/>
              <w:right w:val="nil"/>
            </w:tcBorders>
            <w:shd w:val="clear" w:color="auto" w:fill="auto"/>
            <w:vAlign w:val="center"/>
            <w:hideMark/>
          </w:tcPr>
          <w:p w14:paraId="40DAA378"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1EBE0FBB"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140</w:t>
            </w:r>
          </w:p>
        </w:tc>
        <w:tc>
          <w:tcPr>
            <w:tcW w:w="1137" w:type="dxa"/>
            <w:tcBorders>
              <w:top w:val="nil"/>
              <w:left w:val="nil"/>
              <w:bottom w:val="nil"/>
              <w:right w:val="nil"/>
            </w:tcBorders>
            <w:shd w:val="clear" w:color="auto" w:fill="auto"/>
            <w:noWrap/>
            <w:vAlign w:val="center"/>
            <w:hideMark/>
          </w:tcPr>
          <w:p w14:paraId="7C6E4A4D"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140</w:t>
            </w:r>
          </w:p>
        </w:tc>
        <w:tc>
          <w:tcPr>
            <w:tcW w:w="533" w:type="dxa"/>
            <w:tcBorders>
              <w:top w:val="nil"/>
              <w:left w:val="nil"/>
              <w:bottom w:val="nil"/>
              <w:right w:val="nil"/>
            </w:tcBorders>
            <w:shd w:val="clear" w:color="auto" w:fill="auto"/>
            <w:vAlign w:val="center"/>
            <w:hideMark/>
          </w:tcPr>
          <w:p w14:paraId="2E257637"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6E34FAC3"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w:t>
            </w:r>
          </w:p>
        </w:tc>
        <w:tc>
          <w:tcPr>
            <w:tcW w:w="1137" w:type="dxa"/>
            <w:tcBorders>
              <w:top w:val="nil"/>
              <w:left w:val="nil"/>
              <w:bottom w:val="nil"/>
              <w:right w:val="nil"/>
            </w:tcBorders>
            <w:shd w:val="clear" w:color="auto" w:fill="auto"/>
            <w:noWrap/>
            <w:vAlign w:val="center"/>
            <w:hideMark/>
          </w:tcPr>
          <w:p w14:paraId="0185026E"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w:t>
            </w:r>
          </w:p>
        </w:tc>
        <w:tc>
          <w:tcPr>
            <w:tcW w:w="271" w:type="dxa"/>
            <w:tcBorders>
              <w:top w:val="nil"/>
              <w:left w:val="nil"/>
              <w:bottom w:val="nil"/>
              <w:right w:val="nil"/>
            </w:tcBorders>
            <w:shd w:val="clear" w:color="auto" w:fill="auto"/>
            <w:noWrap/>
            <w:vAlign w:val="center"/>
            <w:hideMark/>
          </w:tcPr>
          <w:p w14:paraId="66BAE58A"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2B04C61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51</w:t>
            </w:r>
          </w:p>
        </w:tc>
        <w:tc>
          <w:tcPr>
            <w:tcW w:w="1137" w:type="dxa"/>
            <w:tcBorders>
              <w:top w:val="nil"/>
              <w:left w:val="nil"/>
              <w:bottom w:val="nil"/>
              <w:right w:val="nil"/>
            </w:tcBorders>
            <w:shd w:val="clear" w:color="auto" w:fill="auto"/>
            <w:noWrap/>
            <w:vAlign w:val="center"/>
            <w:hideMark/>
          </w:tcPr>
          <w:p w14:paraId="71300EF5"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51</w:t>
            </w:r>
          </w:p>
        </w:tc>
        <w:tc>
          <w:tcPr>
            <w:tcW w:w="271" w:type="dxa"/>
            <w:tcBorders>
              <w:top w:val="nil"/>
              <w:left w:val="nil"/>
              <w:bottom w:val="nil"/>
              <w:right w:val="nil"/>
            </w:tcBorders>
            <w:shd w:val="clear" w:color="auto" w:fill="auto"/>
            <w:noWrap/>
            <w:vAlign w:val="center"/>
            <w:hideMark/>
          </w:tcPr>
          <w:p w14:paraId="5BBACC75"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28427D4C"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153,154</w:t>
            </w:r>
          </w:p>
        </w:tc>
        <w:tc>
          <w:tcPr>
            <w:tcW w:w="1137" w:type="dxa"/>
            <w:tcBorders>
              <w:top w:val="nil"/>
              <w:left w:val="nil"/>
              <w:bottom w:val="nil"/>
              <w:right w:val="nil"/>
            </w:tcBorders>
            <w:shd w:val="clear" w:color="auto" w:fill="auto"/>
            <w:noWrap/>
            <w:vAlign w:val="center"/>
            <w:hideMark/>
          </w:tcPr>
          <w:p w14:paraId="19CD8974"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153,154</w:t>
            </w:r>
          </w:p>
        </w:tc>
      </w:tr>
      <w:tr w:rsidR="00B83A8E" w:rsidRPr="00B83A8E" w14:paraId="7EBA0F9D" w14:textId="77777777" w:rsidTr="00DF185F">
        <w:trPr>
          <w:trHeight w:val="465"/>
        </w:trPr>
        <w:tc>
          <w:tcPr>
            <w:tcW w:w="2605" w:type="dxa"/>
            <w:tcBorders>
              <w:top w:val="nil"/>
              <w:left w:val="nil"/>
              <w:bottom w:val="nil"/>
              <w:right w:val="nil"/>
            </w:tcBorders>
            <w:shd w:val="clear" w:color="auto" w:fill="auto"/>
            <w:vAlign w:val="center"/>
            <w:hideMark/>
          </w:tcPr>
          <w:p w14:paraId="268A107B" w14:textId="77777777" w:rsidR="00B83A8E" w:rsidRPr="00B83A8E" w:rsidRDefault="00B83A8E" w:rsidP="00B83A8E">
            <w:pPr>
              <w:rPr>
                <w:rFonts w:eastAsia="Times New Roman"/>
                <w:color w:val="000000"/>
                <w:sz w:val="22"/>
                <w:szCs w:val="22"/>
              </w:rPr>
            </w:pPr>
            <w:r w:rsidRPr="00B83A8E">
              <w:rPr>
                <w:rFonts w:eastAsia="Times New Roman"/>
                <w:color w:val="000000"/>
                <w:sz w:val="22"/>
                <w:szCs w:val="22"/>
              </w:rPr>
              <w:t>Senior Counsel</w:t>
            </w:r>
          </w:p>
        </w:tc>
        <w:tc>
          <w:tcPr>
            <w:tcW w:w="352" w:type="dxa"/>
            <w:tcBorders>
              <w:top w:val="nil"/>
              <w:left w:val="nil"/>
              <w:bottom w:val="nil"/>
              <w:right w:val="nil"/>
            </w:tcBorders>
            <w:shd w:val="clear" w:color="auto" w:fill="auto"/>
            <w:vAlign w:val="center"/>
            <w:hideMark/>
          </w:tcPr>
          <w:p w14:paraId="19A71587" w14:textId="77777777" w:rsidR="00B83A8E" w:rsidRPr="00B83A8E" w:rsidRDefault="00B83A8E" w:rsidP="00B83A8E">
            <w:pPr>
              <w:rPr>
                <w:rFonts w:eastAsia="Times New Roman"/>
                <w:color w:val="000000"/>
                <w:sz w:val="22"/>
                <w:szCs w:val="22"/>
              </w:rPr>
            </w:pPr>
          </w:p>
        </w:tc>
        <w:tc>
          <w:tcPr>
            <w:tcW w:w="847" w:type="dxa"/>
            <w:tcBorders>
              <w:top w:val="nil"/>
              <w:left w:val="nil"/>
              <w:bottom w:val="nil"/>
              <w:right w:val="nil"/>
            </w:tcBorders>
            <w:shd w:val="clear" w:color="auto" w:fill="auto"/>
            <w:vAlign w:val="center"/>
            <w:hideMark/>
          </w:tcPr>
          <w:p w14:paraId="39F1A386"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w:t>
            </w:r>
          </w:p>
        </w:tc>
        <w:tc>
          <w:tcPr>
            <w:tcW w:w="488" w:type="dxa"/>
            <w:tcBorders>
              <w:top w:val="nil"/>
              <w:left w:val="nil"/>
              <w:bottom w:val="nil"/>
              <w:right w:val="nil"/>
            </w:tcBorders>
            <w:shd w:val="clear" w:color="auto" w:fill="auto"/>
            <w:vAlign w:val="center"/>
            <w:hideMark/>
          </w:tcPr>
          <w:p w14:paraId="061B3076"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5C1EDE1B"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57</w:t>
            </w:r>
          </w:p>
        </w:tc>
        <w:tc>
          <w:tcPr>
            <w:tcW w:w="1137" w:type="dxa"/>
            <w:tcBorders>
              <w:top w:val="nil"/>
              <w:left w:val="nil"/>
              <w:bottom w:val="nil"/>
              <w:right w:val="nil"/>
            </w:tcBorders>
            <w:shd w:val="clear" w:color="auto" w:fill="auto"/>
            <w:noWrap/>
            <w:vAlign w:val="center"/>
            <w:hideMark/>
          </w:tcPr>
          <w:p w14:paraId="273B975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57</w:t>
            </w:r>
          </w:p>
        </w:tc>
        <w:tc>
          <w:tcPr>
            <w:tcW w:w="533" w:type="dxa"/>
            <w:tcBorders>
              <w:top w:val="nil"/>
              <w:left w:val="nil"/>
              <w:bottom w:val="nil"/>
              <w:right w:val="nil"/>
            </w:tcBorders>
            <w:shd w:val="clear" w:color="auto" w:fill="auto"/>
            <w:vAlign w:val="center"/>
            <w:hideMark/>
          </w:tcPr>
          <w:p w14:paraId="34299CCE"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3B71472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w:t>
            </w:r>
          </w:p>
        </w:tc>
        <w:tc>
          <w:tcPr>
            <w:tcW w:w="1137" w:type="dxa"/>
            <w:tcBorders>
              <w:top w:val="nil"/>
              <w:left w:val="nil"/>
              <w:bottom w:val="nil"/>
              <w:right w:val="nil"/>
            </w:tcBorders>
            <w:shd w:val="clear" w:color="auto" w:fill="auto"/>
            <w:noWrap/>
            <w:vAlign w:val="center"/>
            <w:hideMark/>
          </w:tcPr>
          <w:p w14:paraId="03C3857A"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2</w:t>
            </w:r>
          </w:p>
        </w:tc>
        <w:tc>
          <w:tcPr>
            <w:tcW w:w="271" w:type="dxa"/>
            <w:tcBorders>
              <w:top w:val="nil"/>
              <w:left w:val="nil"/>
              <w:bottom w:val="nil"/>
              <w:right w:val="nil"/>
            </w:tcBorders>
            <w:shd w:val="clear" w:color="auto" w:fill="auto"/>
            <w:noWrap/>
            <w:vAlign w:val="center"/>
            <w:hideMark/>
          </w:tcPr>
          <w:p w14:paraId="7EE458C8" w14:textId="77777777" w:rsidR="00B83A8E" w:rsidRPr="00B83A8E" w:rsidRDefault="00B83A8E" w:rsidP="00B83A8E">
            <w:pPr>
              <w:jc w:val="center"/>
              <w:rPr>
                <w:rFonts w:eastAsia="Times New Roman"/>
                <w:color w:val="000000"/>
                <w:sz w:val="22"/>
                <w:szCs w:val="22"/>
              </w:rPr>
            </w:pPr>
          </w:p>
        </w:tc>
        <w:tc>
          <w:tcPr>
            <w:tcW w:w="859" w:type="dxa"/>
            <w:tcBorders>
              <w:top w:val="nil"/>
              <w:left w:val="nil"/>
              <w:bottom w:val="nil"/>
              <w:right w:val="nil"/>
            </w:tcBorders>
            <w:shd w:val="clear" w:color="auto" w:fill="auto"/>
            <w:noWrap/>
            <w:vAlign w:val="center"/>
            <w:hideMark/>
          </w:tcPr>
          <w:p w14:paraId="192EEB17"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1137" w:type="dxa"/>
            <w:tcBorders>
              <w:top w:val="nil"/>
              <w:left w:val="nil"/>
              <w:bottom w:val="nil"/>
              <w:right w:val="nil"/>
            </w:tcBorders>
            <w:shd w:val="clear" w:color="auto" w:fill="auto"/>
            <w:noWrap/>
            <w:vAlign w:val="center"/>
            <w:hideMark/>
          </w:tcPr>
          <w:p w14:paraId="37FDA3B4"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4</w:t>
            </w:r>
          </w:p>
        </w:tc>
        <w:tc>
          <w:tcPr>
            <w:tcW w:w="271" w:type="dxa"/>
            <w:tcBorders>
              <w:top w:val="nil"/>
              <w:left w:val="nil"/>
              <w:bottom w:val="nil"/>
              <w:right w:val="nil"/>
            </w:tcBorders>
            <w:shd w:val="clear" w:color="auto" w:fill="auto"/>
            <w:noWrap/>
            <w:vAlign w:val="center"/>
            <w:hideMark/>
          </w:tcPr>
          <w:p w14:paraId="187DFBC5" w14:textId="77777777" w:rsidR="00B83A8E" w:rsidRPr="00B83A8E" w:rsidRDefault="00B83A8E" w:rsidP="00B83A8E">
            <w:pPr>
              <w:jc w:val="center"/>
              <w:rPr>
                <w:rFonts w:eastAsia="Times New Roman"/>
                <w:color w:val="000000"/>
                <w:sz w:val="22"/>
                <w:szCs w:val="22"/>
              </w:rPr>
            </w:pPr>
          </w:p>
        </w:tc>
        <w:tc>
          <w:tcPr>
            <w:tcW w:w="1126" w:type="dxa"/>
            <w:tcBorders>
              <w:top w:val="nil"/>
              <w:left w:val="nil"/>
              <w:bottom w:val="nil"/>
              <w:right w:val="nil"/>
            </w:tcBorders>
            <w:shd w:val="clear" w:color="auto" w:fill="auto"/>
            <w:noWrap/>
            <w:vAlign w:val="center"/>
            <w:hideMark/>
          </w:tcPr>
          <w:p w14:paraId="34308411"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167,297</w:t>
            </w:r>
          </w:p>
        </w:tc>
        <w:tc>
          <w:tcPr>
            <w:tcW w:w="1137" w:type="dxa"/>
            <w:tcBorders>
              <w:top w:val="nil"/>
              <w:left w:val="nil"/>
              <w:bottom w:val="nil"/>
              <w:right w:val="nil"/>
            </w:tcBorders>
            <w:shd w:val="clear" w:color="auto" w:fill="auto"/>
            <w:noWrap/>
            <w:vAlign w:val="center"/>
            <w:hideMark/>
          </w:tcPr>
          <w:p w14:paraId="44474F4D"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167,297</w:t>
            </w:r>
          </w:p>
        </w:tc>
      </w:tr>
      <w:tr w:rsidR="00B83A8E" w:rsidRPr="00B83A8E" w14:paraId="495E13F0" w14:textId="77777777" w:rsidTr="00DF185F">
        <w:trPr>
          <w:trHeight w:val="810"/>
        </w:trPr>
        <w:tc>
          <w:tcPr>
            <w:tcW w:w="2605" w:type="dxa"/>
            <w:tcBorders>
              <w:top w:val="nil"/>
              <w:left w:val="nil"/>
              <w:bottom w:val="nil"/>
              <w:right w:val="nil"/>
            </w:tcBorders>
            <w:shd w:val="clear" w:color="auto" w:fill="auto"/>
            <w:vAlign w:val="center"/>
            <w:hideMark/>
          </w:tcPr>
          <w:p w14:paraId="42F607A6"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lastRenderedPageBreak/>
              <w:t>Total of Professionals (2)</w:t>
            </w:r>
          </w:p>
        </w:tc>
        <w:tc>
          <w:tcPr>
            <w:tcW w:w="352" w:type="dxa"/>
            <w:tcBorders>
              <w:top w:val="nil"/>
              <w:left w:val="nil"/>
              <w:bottom w:val="nil"/>
              <w:right w:val="nil"/>
            </w:tcBorders>
            <w:shd w:val="clear" w:color="auto" w:fill="auto"/>
            <w:vAlign w:val="center"/>
            <w:hideMark/>
          </w:tcPr>
          <w:p w14:paraId="739050D4" w14:textId="77777777" w:rsidR="00B83A8E" w:rsidRPr="00B83A8E" w:rsidRDefault="00B83A8E" w:rsidP="00B83A8E">
            <w:pPr>
              <w:rPr>
                <w:rFonts w:eastAsia="Times New Roman"/>
                <w:i/>
                <w:iCs/>
                <w:color w:val="000000"/>
                <w:sz w:val="22"/>
                <w:szCs w:val="22"/>
              </w:rPr>
            </w:pPr>
          </w:p>
        </w:tc>
        <w:tc>
          <w:tcPr>
            <w:tcW w:w="847" w:type="dxa"/>
            <w:tcBorders>
              <w:top w:val="nil"/>
              <w:left w:val="nil"/>
              <w:bottom w:val="nil"/>
              <w:right w:val="nil"/>
            </w:tcBorders>
            <w:shd w:val="clear" w:color="auto" w:fill="auto"/>
            <w:vAlign w:val="center"/>
            <w:hideMark/>
          </w:tcPr>
          <w:p w14:paraId="0279D9F1"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50</w:t>
            </w:r>
          </w:p>
        </w:tc>
        <w:tc>
          <w:tcPr>
            <w:tcW w:w="488" w:type="dxa"/>
            <w:tcBorders>
              <w:top w:val="nil"/>
              <w:left w:val="nil"/>
              <w:bottom w:val="nil"/>
              <w:right w:val="nil"/>
            </w:tcBorders>
            <w:shd w:val="clear" w:color="auto" w:fill="auto"/>
            <w:vAlign w:val="center"/>
            <w:hideMark/>
          </w:tcPr>
          <w:p w14:paraId="17AAAF05" w14:textId="77777777" w:rsidR="00B83A8E" w:rsidRPr="00B83A8E" w:rsidRDefault="00B83A8E" w:rsidP="00B83A8E">
            <w:pPr>
              <w:jc w:val="center"/>
              <w:rPr>
                <w:rFonts w:eastAsia="Times New Roman"/>
                <w:i/>
                <w:iCs/>
                <w:color w:val="000000"/>
                <w:sz w:val="22"/>
                <w:szCs w:val="22"/>
              </w:rPr>
            </w:pPr>
          </w:p>
        </w:tc>
        <w:tc>
          <w:tcPr>
            <w:tcW w:w="1126" w:type="dxa"/>
            <w:tcBorders>
              <w:top w:val="nil"/>
              <w:left w:val="nil"/>
              <w:bottom w:val="nil"/>
              <w:right w:val="nil"/>
            </w:tcBorders>
            <w:shd w:val="clear" w:color="auto" w:fill="auto"/>
            <w:noWrap/>
            <w:vAlign w:val="center"/>
            <w:hideMark/>
          </w:tcPr>
          <w:p w14:paraId="0A091CB4"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173.92</w:t>
            </w:r>
          </w:p>
        </w:tc>
        <w:tc>
          <w:tcPr>
            <w:tcW w:w="1137" w:type="dxa"/>
            <w:tcBorders>
              <w:top w:val="nil"/>
              <w:left w:val="nil"/>
              <w:bottom w:val="nil"/>
              <w:right w:val="nil"/>
            </w:tcBorders>
            <w:shd w:val="clear" w:color="auto" w:fill="auto"/>
            <w:noWrap/>
            <w:vAlign w:val="center"/>
            <w:hideMark/>
          </w:tcPr>
          <w:p w14:paraId="1A9ECD41"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92.5</w:t>
            </w:r>
          </w:p>
        </w:tc>
        <w:tc>
          <w:tcPr>
            <w:tcW w:w="533" w:type="dxa"/>
            <w:tcBorders>
              <w:top w:val="nil"/>
              <w:left w:val="nil"/>
              <w:bottom w:val="nil"/>
              <w:right w:val="nil"/>
            </w:tcBorders>
            <w:shd w:val="clear" w:color="auto" w:fill="auto"/>
            <w:vAlign w:val="center"/>
            <w:hideMark/>
          </w:tcPr>
          <w:p w14:paraId="5935025D" w14:textId="77777777" w:rsidR="00B83A8E" w:rsidRPr="00B83A8E" w:rsidRDefault="00B83A8E" w:rsidP="00B83A8E">
            <w:pPr>
              <w:jc w:val="center"/>
              <w:rPr>
                <w:rFonts w:eastAsia="Times New Roman"/>
                <w:i/>
                <w:iCs/>
                <w:color w:val="000000"/>
                <w:sz w:val="22"/>
                <w:szCs w:val="22"/>
              </w:rPr>
            </w:pPr>
          </w:p>
        </w:tc>
        <w:tc>
          <w:tcPr>
            <w:tcW w:w="859" w:type="dxa"/>
            <w:tcBorders>
              <w:top w:val="nil"/>
              <w:left w:val="nil"/>
              <w:bottom w:val="nil"/>
              <w:right w:val="nil"/>
            </w:tcBorders>
            <w:shd w:val="clear" w:color="auto" w:fill="auto"/>
            <w:noWrap/>
            <w:vAlign w:val="center"/>
            <w:hideMark/>
          </w:tcPr>
          <w:p w14:paraId="61A89C20"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3.7</w:t>
            </w:r>
          </w:p>
        </w:tc>
        <w:tc>
          <w:tcPr>
            <w:tcW w:w="1137" w:type="dxa"/>
            <w:tcBorders>
              <w:top w:val="nil"/>
              <w:left w:val="nil"/>
              <w:bottom w:val="nil"/>
              <w:right w:val="nil"/>
            </w:tcBorders>
            <w:shd w:val="clear" w:color="auto" w:fill="auto"/>
            <w:noWrap/>
            <w:vAlign w:val="center"/>
            <w:hideMark/>
          </w:tcPr>
          <w:p w14:paraId="1C7A5883"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w:t>
            </w:r>
          </w:p>
        </w:tc>
        <w:tc>
          <w:tcPr>
            <w:tcW w:w="271" w:type="dxa"/>
            <w:tcBorders>
              <w:top w:val="nil"/>
              <w:left w:val="nil"/>
              <w:bottom w:val="nil"/>
              <w:right w:val="nil"/>
            </w:tcBorders>
            <w:shd w:val="clear" w:color="auto" w:fill="auto"/>
            <w:noWrap/>
            <w:vAlign w:val="center"/>
            <w:hideMark/>
          </w:tcPr>
          <w:p w14:paraId="1CA247C0" w14:textId="77777777" w:rsidR="00B83A8E" w:rsidRPr="00B83A8E" w:rsidRDefault="00B83A8E" w:rsidP="00B83A8E">
            <w:pPr>
              <w:jc w:val="center"/>
              <w:rPr>
                <w:rFonts w:eastAsia="Times New Roman"/>
                <w:i/>
                <w:iCs/>
                <w:color w:val="000000"/>
                <w:sz w:val="22"/>
                <w:szCs w:val="22"/>
              </w:rPr>
            </w:pPr>
          </w:p>
        </w:tc>
        <w:tc>
          <w:tcPr>
            <w:tcW w:w="859" w:type="dxa"/>
            <w:tcBorders>
              <w:top w:val="nil"/>
              <w:left w:val="nil"/>
              <w:bottom w:val="nil"/>
              <w:right w:val="nil"/>
            </w:tcBorders>
            <w:shd w:val="clear" w:color="auto" w:fill="auto"/>
            <w:noWrap/>
            <w:vAlign w:val="center"/>
            <w:hideMark/>
          </w:tcPr>
          <w:p w14:paraId="18A74008"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36.62</w:t>
            </w:r>
          </w:p>
        </w:tc>
        <w:tc>
          <w:tcPr>
            <w:tcW w:w="1137" w:type="dxa"/>
            <w:tcBorders>
              <w:top w:val="nil"/>
              <w:left w:val="nil"/>
              <w:bottom w:val="nil"/>
              <w:right w:val="nil"/>
            </w:tcBorders>
            <w:shd w:val="clear" w:color="auto" w:fill="auto"/>
            <w:noWrap/>
            <w:vAlign w:val="center"/>
            <w:hideMark/>
          </w:tcPr>
          <w:p w14:paraId="63503DFC"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39</w:t>
            </w:r>
          </w:p>
        </w:tc>
        <w:tc>
          <w:tcPr>
            <w:tcW w:w="271" w:type="dxa"/>
            <w:tcBorders>
              <w:top w:val="nil"/>
              <w:left w:val="nil"/>
              <w:bottom w:val="nil"/>
              <w:right w:val="nil"/>
            </w:tcBorders>
            <w:shd w:val="clear" w:color="auto" w:fill="auto"/>
            <w:noWrap/>
            <w:vAlign w:val="center"/>
            <w:hideMark/>
          </w:tcPr>
          <w:p w14:paraId="1866C68A" w14:textId="77777777" w:rsidR="00B83A8E" w:rsidRPr="00B83A8E" w:rsidRDefault="00B83A8E" w:rsidP="00B83A8E">
            <w:pPr>
              <w:jc w:val="center"/>
              <w:rPr>
                <w:rFonts w:eastAsia="Times New Roman"/>
                <w:i/>
                <w:iCs/>
                <w:color w:val="000000"/>
                <w:sz w:val="22"/>
                <w:szCs w:val="22"/>
              </w:rPr>
            </w:pPr>
          </w:p>
        </w:tc>
        <w:tc>
          <w:tcPr>
            <w:tcW w:w="1126" w:type="dxa"/>
            <w:tcBorders>
              <w:top w:val="nil"/>
              <w:left w:val="nil"/>
              <w:bottom w:val="nil"/>
              <w:right w:val="nil"/>
            </w:tcBorders>
            <w:shd w:val="clear" w:color="auto" w:fill="auto"/>
            <w:noWrap/>
            <w:vAlign w:val="center"/>
            <w:hideMark/>
          </w:tcPr>
          <w:p w14:paraId="39DB5561"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149,505</w:t>
            </w:r>
          </w:p>
        </w:tc>
        <w:tc>
          <w:tcPr>
            <w:tcW w:w="1137" w:type="dxa"/>
            <w:tcBorders>
              <w:top w:val="nil"/>
              <w:left w:val="nil"/>
              <w:bottom w:val="nil"/>
              <w:right w:val="nil"/>
            </w:tcBorders>
            <w:shd w:val="clear" w:color="auto" w:fill="auto"/>
            <w:noWrap/>
            <w:vAlign w:val="center"/>
            <w:hideMark/>
          </w:tcPr>
          <w:p w14:paraId="2E673B63"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152,417</w:t>
            </w:r>
          </w:p>
        </w:tc>
      </w:tr>
      <w:tr w:rsidR="00B83A8E" w:rsidRPr="00B83A8E" w14:paraId="02543EF7" w14:textId="77777777" w:rsidTr="00DF185F">
        <w:trPr>
          <w:trHeight w:val="1470"/>
        </w:trPr>
        <w:tc>
          <w:tcPr>
            <w:tcW w:w="2605" w:type="dxa"/>
            <w:tcBorders>
              <w:top w:val="nil"/>
              <w:left w:val="nil"/>
              <w:right w:val="nil"/>
            </w:tcBorders>
            <w:shd w:val="clear" w:color="auto" w:fill="auto"/>
            <w:vAlign w:val="center"/>
            <w:hideMark/>
          </w:tcPr>
          <w:p w14:paraId="392FC943"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t test (mean)/</w:t>
            </w:r>
            <w:r w:rsidRPr="00B83A8E">
              <w:rPr>
                <w:rFonts w:eastAsia="Times New Roman"/>
                <w:color w:val="000000"/>
              </w:rPr>
              <w:t xml:space="preserve"> </w:t>
            </w:r>
            <w:r w:rsidRPr="00B83A8E">
              <w:rPr>
                <w:rFonts w:eastAsia="Times New Roman"/>
                <w:i/>
                <w:iCs/>
                <w:color w:val="000000"/>
                <w:sz w:val="22"/>
                <w:szCs w:val="22"/>
              </w:rPr>
              <w:t>Wilcoxon rank-sum test (median) of (1) and (2)</w:t>
            </w:r>
          </w:p>
        </w:tc>
        <w:tc>
          <w:tcPr>
            <w:tcW w:w="352" w:type="dxa"/>
            <w:tcBorders>
              <w:top w:val="nil"/>
              <w:left w:val="nil"/>
              <w:right w:val="nil"/>
            </w:tcBorders>
            <w:shd w:val="clear" w:color="auto" w:fill="auto"/>
            <w:vAlign w:val="center"/>
            <w:hideMark/>
          </w:tcPr>
          <w:p w14:paraId="7948D877" w14:textId="77777777" w:rsidR="00B83A8E" w:rsidRPr="00B83A8E" w:rsidRDefault="00B83A8E" w:rsidP="00B83A8E">
            <w:pPr>
              <w:rPr>
                <w:rFonts w:eastAsia="Times New Roman"/>
                <w:i/>
                <w:iCs/>
                <w:color w:val="000000"/>
                <w:sz w:val="22"/>
                <w:szCs w:val="22"/>
              </w:rPr>
            </w:pPr>
          </w:p>
        </w:tc>
        <w:tc>
          <w:tcPr>
            <w:tcW w:w="847" w:type="dxa"/>
            <w:tcBorders>
              <w:top w:val="nil"/>
              <w:left w:val="nil"/>
              <w:right w:val="nil"/>
            </w:tcBorders>
            <w:shd w:val="clear" w:color="auto" w:fill="auto"/>
            <w:vAlign w:val="center"/>
            <w:hideMark/>
          </w:tcPr>
          <w:p w14:paraId="7AA55838" w14:textId="77777777" w:rsidR="00B83A8E" w:rsidRPr="00B83A8E" w:rsidRDefault="00B83A8E" w:rsidP="00B83A8E">
            <w:pPr>
              <w:rPr>
                <w:rFonts w:eastAsia="Times New Roman"/>
                <w:sz w:val="20"/>
                <w:szCs w:val="20"/>
              </w:rPr>
            </w:pPr>
          </w:p>
        </w:tc>
        <w:tc>
          <w:tcPr>
            <w:tcW w:w="488" w:type="dxa"/>
            <w:tcBorders>
              <w:top w:val="nil"/>
              <w:left w:val="nil"/>
              <w:right w:val="nil"/>
            </w:tcBorders>
            <w:shd w:val="clear" w:color="auto" w:fill="auto"/>
            <w:vAlign w:val="center"/>
            <w:hideMark/>
          </w:tcPr>
          <w:p w14:paraId="34365A73" w14:textId="77777777" w:rsidR="00B83A8E" w:rsidRPr="00B83A8E" w:rsidRDefault="00B83A8E" w:rsidP="00B83A8E">
            <w:pPr>
              <w:jc w:val="center"/>
              <w:rPr>
                <w:rFonts w:eastAsia="Times New Roman"/>
                <w:sz w:val="20"/>
                <w:szCs w:val="20"/>
              </w:rPr>
            </w:pPr>
          </w:p>
        </w:tc>
        <w:tc>
          <w:tcPr>
            <w:tcW w:w="1126" w:type="dxa"/>
            <w:tcBorders>
              <w:top w:val="nil"/>
              <w:left w:val="nil"/>
              <w:right w:val="nil"/>
            </w:tcBorders>
            <w:shd w:val="clear" w:color="auto" w:fill="auto"/>
            <w:noWrap/>
            <w:vAlign w:val="center"/>
            <w:hideMark/>
          </w:tcPr>
          <w:p w14:paraId="2438BC3B"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0.03</w:t>
            </w:r>
          </w:p>
        </w:tc>
        <w:tc>
          <w:tcPr>
            <w:tcW w:w="1137" w:type="dxa"/>
            <w:tcBorders>
              <w:top w:val="nil"/>
              <w:left w:val="nil"/>
              <w:right w:val="nil"/>
            </w:tcBorders>
            <w:shd w:val="clear" w:color="auto" w:fill="auto"/>
            <w:noWrap/>
            <w:vAlign w:val="center"/>
            <w:hideMark/>
          </w:tcPr>
          <w:p w14:paraId="2F99DDBB"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0.88 </w:t>
            </w:r>
          </w:p>
        </w:tc>
        <w:tc>
          <w:tcPr>
            <w:tcW w:w="533" w:type="dxa"/>
            <w:tcBorders>
              <w:top w:val="nil"/>
              <w:left w:val="nil"/>
              <w:right w:val="nil"/>
            </w:tcBorders>
            <w:shd w:val="clear" w:color="auto" w:fill="auto"/>
            <w:vAlign w:val="center"/>
            <w:hideMark/>
          </w:tcPr>
          <w:p w14:paraId="3CDC0E8C" w14:textId="77777777" w:rsidR="00B83A8E" w:rsidRPr="00B83A8E" w:rsidRDefault="00B83A8E" w:rsidP="00B83A8E">
            <w:pPr>
              <w:jc w:val="center"/>
              <w:rPr>
                <w:rFonts w:eastAsia="Times New Roman"/>
                <w:i/>
                <w:iCs/>
                <w:color w:val="000000"/>
                <w:sz w:val="22"/>
                <w:szCs w:val="22"/>
              </w:rPr>
            </w:pPr>
          </w:p>
        </w:tc>
        <w:tc>
          <w:tcPr>
            <w:tcW w:w="859" w:type="dxa"/>
            <w:tcBorders>
              <w:top w:val="nil"/>
              <w:left w:val="nil"/>
              <w:right w:val="nil"/>
            </w:tcBorders>
            <w:shd w:val="clear" w:color="auto" w:fill="auto"/>
            <w:noWrap/>
            <w:vAlign w:val="center"/>
            <w:hideMark/>
          </w:tcPr>
          <w:p w14:paraId="6126F2DD"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0.17</w:t>
            </w:r>
          </w:p>
        </w:tc>
        <w:tc>
          <w:tcPr>
            <w:tcW w:w="1137" w:type="dxa"/>
            <w:tcBorders>
              <w:top w:val="nil"/>
              <w:left w:val="nil"/>
              <w:right w:val="nil"/>
            </w:tcBorders>
            <w:shd w:val="clear" w:color="auto" w:fill="auto"/>
            <w:noWrap/>
            <w:vAlign w:val="center"/>
            <w:hideMark/>
          </w:tcPr>
          <w:p w14:paraId="2E3FF89B"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 0.91</w:t>
            </w:r>
          </w:p>
        </w:tc>
        <w:tc>
          <w:tcPr>
            <w:tcW w:w="271" w:type="dxa"/>
            <w:tcBorders>
              <w:top w:val="nil"/>
              <w:left w:val="nil"/>
              <w:right w:val="nil"/>
            </w:tcBorders>
            <w:shd w:val="clear" w:color="auto" w:fill="auto"/>
            <w:noWrap/>
            <w:vAlign w:val="center"/>
            <w:hideMark/>
          </w:tcPr>
          <w:p w14:paraId="6731107F" w14:textId="77777777" w:rsidR="00B83A8E" w:rsidRPr="00B83A8E" w:rsidRDefault="00B83A8E" w:rsidP="00B83A8E">
            <w:pPr>
              <w:jc w:val="center"/>
              <w:rPr>
                <w:rFonts w:eastAsia="Times New Roman"/>
                <w:i/>
                <w:iCs/>
                <w:color w:val="000000"/>
                <w:sz w:val="22"/>
                <w:szCs w:val="22"/>
              </w:rPr>
            </w:pPr>
          </w:p>
        </w:tc>
        <w:tc>
          <w:tcPr>
            <w:tcW w:w="859" w:type="dxa"/>
            <w:tcBorders>
              <w:top w:val="nil"/>
              <w:left w:val="nil"/>
              <w:right w:val="nil"/>
            </w:tcBorders>
            <w:shd w:val="clear" w:color="auto" w:fill="auto"/>
            <w:noWrap/>
            <w:vAlign w:val="center"/>
            <w:hideMark/>
          </w:tcPr>
          <w:p w14:paraId="6052CF32"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0.484</w:t>
            </w:r>
          </w:p>
        </w:tc>
        <w:tc>
          <w:tcPr>
            <w:tcW w:w="1137" w:type="dxa"/>
            <w:tcBorders>
              <w:top w:val="nil"/>
              <w:left w:val="nil"/>
              <w:right w:val="nil"/>
            </w:tcBorders>
            <w:shd w:val="clear" w:color="auto" w:fill="auto"/>
            <w:noWrap/>
            <w:vAlign w:val="center"/>
            <w:hideMark/>
          </w:tcPr>
          <w:p w14:paraId="63E3A30E" w14:textId="77777777" w:rsidR="00B83A8E" w:rsidRPr="00B83A8E" w:rsidRDefault="00B83A8E" w:rsidP="00B83A8E">
            <w:pPr>
              <w:jc w:val="center"/>
              <w:rPr>
                <w:rFonts w:eastAsia="Times New Roman"/>
                <w:color w:val="000000"/>
                <w:sz w:val="22"/>
                <w:szCs w:val="22"/>
              </w:rPr>
            </w:pPr>
            <w:r w:rsidRPr="00B83A8E">
              <w:rPr>
                <w:rFonts w:eastAsia="Times New Roman"/>
                <w:color w:val="000000"/>
                <w:sz w:val="22"/>
                <w:szCs w:val="22"/>
              </w:rPr>
              <w:t> 0.38</w:t>
            </w:r>
          </w:p>
        </w:tc>
        <w:tc>
          <w:tcPr>
            <w:tcW w:w="271" w:type="dxa"/>
            <w:tcBorders>
              <w:top w:val="nil"/>
              <w:left w:val="nil"/>
              <w:right w:val="nil"/>
            </w:tcBorders>
            <w:shd w:val="clear" w:color="auto" w:fill="auto"/>
            <w:noWrap/>
            <w:vAlign w:val="center"/>
            <w:hideMark/>
          </w:tcPr>
          <w:p w14:paraId="2EF32D86" w14:textId="77777777" w:rsidR="00B83A8E" w:rsidRPr="00B83A8E" w:rsidRDefault="00B83A8E" w:rsidP="00B83A8E">
            <w:pPr>
              <w:jc w:val="center"/>
              <w:rPr>
                <w:rFonts w:eastAsia="Times New Roman"/>
                <w:color w:val="000000"/>
                <w:sz w:val="22"/>
                <w:szCs w:val="22"/>
              </w:rPr>
            </w:pPr>
          </w:p>
        </w:tc>
        <w:tc>
          <w:tcPr>
            <w:tcW w:w="1126" w:type="dxa"/>
            <w:tcBorders>
              <w:top w:val="nil"/>
              <w:left w:val="nil"/>
              <w:right w:val="nil"/>
            </w:tcBorders>
            <w:shd w:val="clear" w:color="auto" w:fill="auto"/>
            <w:noWrap/>
            <w:vAlign w:val="center"/>
            <w:hideMark/>
          </w:tcPr>
          <w:p w14:paraId="42263490"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0</w:t>
            </w:r>
          </w:p>
        </w:tc>
        <w:tc>
          <w:tcPr>
            <w:tcW w:w="1137" w:type="dxa"/>
            <w:tcBorders>
              <w:top w:val="nil"/>
              <w:left w:val="nil"/>
              <w:right w:val="nil"/>
            </w:tcBorders>
            <w:shd w:val="clear" w:color="auto" w:fill="auto"/>
            <w:noWrap/>
            <w:vAlign w:val="center"/>
            <w:hideMark/>
          </w:tcPr>
          <w:p w14:paraId="4EBB4BB5"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 0.00</w:t>
            </w:r>
          </w:p>
        </w:tc>
      </w:tr>
      <w:tr w:rsidR="00B83A8E" w:rsidRPr="00B83A8E" w14:paraId="0E3D6F4F" w14:textId="77777777" w:rsidTr="00DF185F">
        <w:trPr>
          <w:trHeight w:val="540"/>
        </w:trPr>
        <w:tc>
          <w:tcPr>
            <w:tcW w:w="2605" w:type="dxa"/>
            <w:tcBorders>
              <w:top w:val="nil"/>
              <w:left w:val="nil"/>
              <w:bottom w:val="single" w:sz="4" w:space="0" w:color="auto"/>
              <w:right w:val="nil"/>
            </w:tcBorders>
            <w:shd w:val="clear" w:color="auto" w:fill="auto"/>
            <w:vAlign w:val="center"/>
            <w:hideMark/>
          </w:tcPr>
          <w:p w14:paraId="750045E5"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Total</w:t>
            </w:r>
          </w:p>
        </w:tc>
        <w:tc>
          <w:tcPr>
            <w:tcW w:w="352" w:type="dxa"/>
            <w:tcBorders>
              <w:top w:val="nil"/>
              <w:left w:val="nil"/>
              <w:bottom w:val="single" w:sz="4" w:space="0" w:color="auto"/>
              <w:right w:val="nil"/>
            </w:tcBorders>
            <w:shd w:val="clear" w:color="auto" w:fill="auto"/>
            <w:vAlign w:val="center"/>
            <w:hideMark/>
          </w:tcPr>
          <w:p w14:paraId="26865CEE"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 </w:t>
            </w:r>
          </w:p>
        </w:tc>
        <w:tc>
          <w:tcPr>
            <w:tcW w:w="847" w:type="dxa"/>
            <w:tcBorders>
              <w:top w:val="nil"/>
              <w:left w:val="nil"/>
              <w:bottom w:val="single" w:sz="4" w:space="0" w:color="auto"/>
              <w:right w:val="nil"/>
            </w:tcBorders>
            <w:shd w:val="clear" w:color="auto" w:fill="auto"/>
            <w:vAlign w:val="center"/>
            <w:hideMark/>
          </w:tcPr>
          <w:p w14:paraId="0BA7CEE3"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706</w:t>
            </w:r>
          </w:p>
        </w:tc>
        <w:tc>
          <w:tcPr>
            <w:tcW w:w="488" w:type="dxa"/>
            <w:tcBorders>
              <w:top w:val="nil"/>
              <w:left w:val="nil"/>
              <w:bottom w:val="single" w:sz="4" w:space="0" w:color="auto"/>
              <w:right w:val="nil"/>
            </w:tcBorders>
            <w:shd w:val="clear" w:color="auto" w:fill="auto"/>
            <w:vAlign w:val="center"/>
            <w:hideMark/>
          </w:tcPr>
          <w:p w14:paraId="3FB88553"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 </w:t>
            </w:r>
          </w:p>
        </w:tc>
        <w:tc>
          <w:tcPr>
            <w:tcW w:w="1126" w:type="dxa"/>
            <w:tcBorders>
              <w:top w:val="nil"/>
              <w:left w:val="nil"/>
              <w:bottom w:val="single" w:sz="4" w:space="0" w:color="auto"/>
              <w:right w:val="nil"/>
            </w:tcBorders>
            <w:shd w:val="clear" w:color="auto" w:fill="auto"/>
            <w:noWrap/>
            <w:vAlign w:val="center"/>
            <w:hideMark/>
          </w:tcPr>
          <w:p w14:paraId="24DF9719"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131.49</w:t>
            </w:r>
          </w:p>
        </w:tc>
        <w:tc>
          <w:tcPr>
            <w:tcW w:w="1137" w:type="dxa"/>
            <w:tcBorders>
              <w:top w:val="nil"/>
              <w:left w:val="nil"/>
              <w:bottom w:val="single" w:sz="4" w:space="0" w:color="auto"/>
              <w:right w:val="nil"/>
            </w:tcBorders>
            <w:shd w:val="clear" w:color="auto" w:fill="auto"/>
            <w:noWrap/>
            <w:vAlign w:val="center"/>
            <w:hideMark/>
          </w:tcPr>
          <w:p w14:paraId="30B45AAC"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97</w:t>
            </w:r>
          </w:p>
        </w:tc>
        <w:tc>
          <w:tcPr>
            <w:tcW w:w="533" w:type="dxa"/>
            <w:tcBorders>
              <w:top w:val="nil"/>
              <w:left w:val="nil"/>
              <w:bottom w:val="single" w:sz="4" w:space="0" w:color="auto"/>
              <w:right w:val="nil"/>
            </w:tcBorders>
            <w:shd w:val="clear" w:color="auto" w:fill="auto"/>
            <w:vAlign w:val="center"/>
            <w:hideMark/>
          </w:tcPr>
          <w:p w14:paraId="120741FE"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 </w:t>
            </w:r>
          </w:p>
        </w:tc>
        <w:tc>
          <w:tcPr>
            <w:tcW w:w="859" w:type="dxa"/>
            <w:tcBorders>
              <w:top w:val="nil"/>
              <w:left w:val="nil"/>
              <w:bottom w:val="single" w:sz="4" w:space="0" w:color="auto"/>
              <w:right w:val="nil"/>
            </w:tcBorders>
            <w:shd w:val="clear" w:color="auto" w:fill="auto"/>
            <w:noWrap/>
            <w:vAlign w:val="center"/>
            <w:hideMark/>
          </w:tcPr>
          <w:p w14:paraId="3B7B6805"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3.35</w:t>
            </w:r>
          </w:p>
        </w:tc>
        <w:tc>
          <w:tcPr>
            <w:tcW w:w="1137" w:type="dxa"/>
            <w:tcBorders>
              <w:top w:val="nil"/>
              <w:left w:val="nil"/>
              <w:bottom w:val="single" w:sz="4" w:space="0" w:color="auto"/>
              <w:right w:val="nil"/>
            </w:tcBorders>
            <w:shd w:val="clear" w:color="auto" w:fill="auto"/>
            <w:noWrap/>
            <w:vAlign w:val="center"/>
            <w:hideMark/>
          </w:tcPr>
          <w:p w14:paraId="08524AE2"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w:t>
            </w:r>
          </w:p>
        </w:tc>
        <w:tc>
          <w:tcPr>
            <w:tcW w:w="271" w:type="dxa"/>
            <w:tcBorders>
              <w:top w:val="nil"/>
              <w:left w:val="nil"/>
              <w:bottom w:val="single" w:sz="4" w:space="0" w:color="auto"/>
              <w:right w:val="nil"/>
            </w:tcBorders>
            <w:shd w:val="clear" w:color="auto" w:fill="auto"/>
            <w:noWrap/>
            <w:vAlign w:val="center"/>
            <w:hideMark/>
          </w:tcPr>
          <w:p w14:paraId="580F6304" w14:textId="77777777" w:rsidR="00B83A8E" w:rsidRPr="00B83A8E" w:rsidRDefault="00B83A8E" w:rsidP="00B83A8E">
            <w:pPr>
              <w:rPr>
                <w:rFonts w:eastAsia="Times New Roman"/>
                <w:i/>
                <w:iCs/>
                <w:color w:val="000000"/>
                <w:sz w:val="22"/>
                <w:szCs w:val="22"/>
              </w:rPr>
            </w:pPr>
            <w:r w:rsidRPr="00B83A8E">
              <w:rPr>
                <w:rFonts w:eastAsia="Times New Roman"/>
                <w:i/>
                <w:iCs/>
                <w:color w:val="000000"/>
                <w:sz w:val="22"/>
                <w:szCs w:val="22"/>
              </w:rPr>
              <w:t> </w:t>
            </w:r>
          </w:p>
        </w:tc>
        <w:tc>
          <w:tcPr>
            <w:tcW w:w="859" w:type="dxa"/>
            <w:tcBorders>
              <w:top w:val="nil"/>
              <w:left w:val="nil"/>
              <w:bottom w:val="single" w:sz="4" w:space="0" w:color="auto"/>
              <w:right w:val="nil"/>
            </w:tcBorders>
            <w:shd w:val="clear" w:color="auto" w:fill="auto"/>
            <w:noWrap/>
            <w:vAlign w:val="center"/>
            <w:hideMark/>
          </w:tcPr>
          <w:p w14:paraId="61568304"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34.23</w:t>
            </w:r>
          </w:p>
        </w:tc>
        <w:tc>
          <w:tcPr>
            <w:tcW w:w="1137" w:type="dxa"/>
            <w:tcBorders>
              <w:top w:val="nil"/>
              <w:left w:val="nil"/>
              <w:bottom w:val="single" w:sz="4" w:space="0" w:color="auto"/>
              <w:right w:val="nil"/>
            </w:tcBorders>
            <w:shd w:val="clear" w:color="auto" w:fill="auto"/>
            <w:noWrap/>
            <w:vAlign w:val="center"/>
            <w:hideMark/>
          </w:tcPr>
          <w:p w14:paraId="4EED263D"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36</w:t>
            </w:r>
          </w:p>
        </w:tc>
        <w:tc>
          <w:tcPr>
            <w:tcW w:w="271" w:type="dxa"/>
            <w:tcBorders>
              <w:top w:val="nil"/>
              <w:left w:val="nil"/>
              <w:bottom w:val="single" w:sz="4" w:space="0" w:color="auto"/>
              <w:right w:val="nil"/>
            </w:tcBorders>
            <w:shd w:val="clear" w:color="auto" w:fill="auto"/>
            <w:noWrap/>
            <w:vAlign w:val="center"/>
            <w:hideMark/>
          </w:tcPr>
          <w:p w14:paraId="7AE0E0AD"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 </w:t>
            </w:r>
          </w:p>
        </w:tc>
        <w:tc>
          <w:tcPr>
            <w:tcW w:w="1126" w:type="dxa"/>
            <w:tcBorders>
              <w:top w:val="nil"/>
              <w:left w:val="nil"/>
              <w:bottom w:val="single" w:sz="4" w:space="0" w:color="auto"/>
              <w:right w:val="nil"/>
            </w:tcBorders>
            <w:shd w:val="clear" w:color="auto" w:fill="auto"/>
            <w:noWrap/>
            <w:vAlign w:val="center"/>
            <w:hideMark/>
          </w:tcPr>
          <w:p w14:paraId="201849FB"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192,781</w:t>
            </w:r>
          </w:p>
        </w:tc>
        <w:tc>
          <w:tcPr>
            <w:tcW w:w="1137" w:type="dxa"/>
            <w:tcBorders>
              <w:top w:val="nil"/>
              <w:left w:val="nil"/>
              <w:bottom w:val="single" w:sz="4" w:space="0" w:color="auto"/>
              <w:right w:val="nil"/>
            </w:tcBorders>
            <w:shd w:val="clear" w:color="auto" w:fill="auto"/>
            <w:noWrap/>
            <w:vAlign w:val="center"/>
            <w:hideMark/>
          </w:tcPr>
          <w:p w14:paraId="5EDAE2D8" w14:textId="77777777" w:rsidR="00B83A8E" w:rsidRPr="00B83A8E" w:rsidRDefault="00B83A8E" w:rsidP="00B83A8E">
            <w:pPr>
              <w:jc w:val="center"/>
              <w:rPr>
                <w:rFonts w:eastAsia="Times New Roman"/>
                <w:i/>
                <w:iCs/>
                <w:color w:val="000000"/>
                <w:sz w:val="22"/>
                <w:szCs w:val="22"/>
              </w:rPr>
            </w:pPr>
            <w:r w:rsidRPr="00B83A8E">
              <w:rPr>
                <w:rFonts w:eastAsia="Times New Roman"/>
                <w:i/>
                <w:iCs/>
                <w:color w:val="000000"/>
                <w:sz w:val="22"/>
                <w:szCs w:val="22"/>
              </w:rPr>
              <w:t>193,713</w:t>
            </w:r>
          </w:p>
        </w:tc>
      </w:tr>
      <w:tr w:rsidR="00DF185F" w:rsidRPr="00B83A8E" w14:paraId="67821568" w14:textId="77777777" w:rsidTr="00DF185F">
        <w:trPr>
          <w:trHeight w:val="540"/>
        </w:trPr>
        <w:tc>
          <w:tcPr>
            <w:tcW w:w="13885" w:type="dxa"/>
            <w:gridSpan w:val="15"/>
            <w:tcBorders>
              <w:top w:val="single" w:sz="4" w:space="0" w:color="auto"/>
              <w:left w:val="nil"/>
              <w:bottom w:val="single" w:sz="4" w:space="0" w:color="auto"/>
              <w:right w:val="nil"/>
            </w:tcBorders>
            <w:shd w:val="clear" w:color="auto" w:fill="auto"/>
            <w:vAlign w:val="center"/>
          </w:tcPr>
          <w:p w14:paraId="6EDE76D7" w14:textId="414AE08D" w:rsidR="00DF185F" w:rsidRPr="00DF185F" w:rsidRDefault="00AD43A2" w:rsidP="00AD43A2">
            <w:pPr>
              <w:ind w:firstLine="604"/>
              <w:jc w:val="both"/>
              <w:rPr>
                <w:rFonts w:eastAsia="Times New Roman"/>
                <w:color w:val="000000"/>
                <w:sz w:val="20"/>
                <w:szCs w:val="20"/>
              </w:rPr>
            </w:pPr>
            <w:r>
              <w:rPr>
                <w:rFonts w:eastAsia="Times New Roman"/>
                <w:color w:val="000000"/>
                <w:sz w:val="20"/>
                <w:szCs w:val="20"/>
              </w:rPr>
              <w:t xml:space="preserve">This table </w:t>
            </w:r>
            <w:r w:rsidR="00DF185F" w:rsidRPr="00232CA8">
              <w:rPr>
                <w:rFonts w:eastAsia="Times New Roman"/>
                <w:color w:val="000000"/>
                <w:sz w:val="20"/>
                <w:szCs w:val="20"/>
              </w:rPr>
              <w:t>presents analysis of difference in each SEC review attribute</w:t>
            </w:r>
            <w:r w:rsidR="00DF185F">
              <w:rPr>
                <w:rFonts w:eastAsia="Times New Roman"/>
                <w:color w:val="000000"/>
                <w:sz w:val="20"/>
                <w:szCs w:val="20"/>
              </w:rPr>
              <w:t xml:space="preserve"> and annual salary</w:t>
            </w:r>
            <w:r w:rsidR="00DF185F" w:rsidRPr="00232CA8">
              <w:rPr>
                <w:rFonts w:eastAsia="Times New Roman"/>
                <w:color w:val="000000"/>
                <w:sz w:val="20"/>
                <w:szCs w:val="20"/>
              </w:rPr>
              <w:t xml:space="preserve"> between</w:t>
            </w:r>
            <w:r w:rsidR="00DF185F" w:rsidRPr="00DB3076">
              <w:rPr>
                <w:rFonts w:eastAsia="Times New Roman"/>
                <w:color w:val="000000"/>
                <w:sz w:val="20"/>
                <w:szCs w:val="20"/>
              </w:rPr>
              <w:t xml:space="preserve"> </w:t>
            </w:r>
            <w:r w:rsidR="00DF185F">
              <w:rPr>
                <w:rFonts w:eastAsia="Times New Roman"/>
                <w:color w:val="000000"/>
                <w:sz w:val="20"/>
                <w:szCs w:val="20"/>
              </w:rPr>
              <w:t xml:space="preserve">the reviewers with higher job position, </w:t>
            </w:r>
            <w:r w:rsidR="00DF185F" w:rsidRPr="00A90510">
              <w:rPr>
                <w:rFonts w:eastAsia="Times New Roman"/>
                <w:color w:val="000000"/>
                <w:sz w:val="20"/>
                <w:szCs w:val="20"/>
              </w:rPr>
              <w:t>who are Director/Chief and the reviewers with lower job position, who are Professionals. Directors/Chief include Assistant Director,</w:t>
            </w:r>
            <w:r w:rsidR="00DF185F">
              <w:rPr>
                <w:rFonts w:eastAsia="Times New Roman"/>
                <w:color w:val="000000"/>
                <w:sz w:val="20"/>
                <w:szCs w:val="20"/>
              </w:rPr>
              <w:t xml:space="preserve"> </w:t>
            </w:r>
            <w:r w:rsidR="00DF185F" w:rsidRPr="00A90510">
              <w:rPr>
                <w:color w:val="000000"/>
                <w:sz w:val="20"/>
                <w:szCs w:val="20"/>
              </w:rPr>
              <w:t>Senior Assistant Chief Accountant, Legal Branch Chief and Accounting Branch Chief. Professionals include Senior Attorney, Staff Attorney</w:t>
            </w:r>
            <w:r w:rsidR="00DF185F" w:rsidRPr="00A90510">
              <w:rPr>
                <w:rFonts w:eastAsia="Times New Roman"/>
                <w:color w:val="000000"/>
                <w:sz w:val="20"/>
                <w:szCs w:val="20"/>
              </w:rPr>
              <w:t xml:space="preserve">, </w:t>
            </w:r>
            <w:r w:rsidR="00DF185F" w:rsidRPr="00A90510">
              <w:rPr>
                <w:color w:val="000000"/>
                <w:sz w:val="20"/>
                <w:szCs w:val="20"/>
              </w:rPr>
              <w:t>Special Counsel</w:t>
            </w:r>
            <w:r w:rsidR="00DF185F" w:rsidRPr="00A90510">
              <w:rPr>
                <w:rFonts w:eastAsia="Times New Roman"/>
                <w:color w:val="000000"/>
                <w:sz w:val="20"/>
                <w:szCs w:val="20"/>
              </w:rPr>
              <w:t xml:space="preserve">, </w:t>
            </w:r>
            <w:r w:rsidR="00DF185F" w:rsidRPr="00A90510">
              <w:rPr>
                <w:color w:val="000000"/>
                <w:sz w:val="20"/>
                <w:szCs w:val="20"/>
              </w:rPr>
              <w:t>Attorney Advisor</w:t>
            </w:r>
            <w:r w:rsidR="00DF185F" w:rsidRPr="00A90510">
              <w:rPr>
                <w:rFonts w:eastAsia="Times New Roman"/>
                <w:color w:val="000000"/>
                <w:sz w:val="20"/>
                <w:szCs w:val="20"/>
              </w:rPr>
              <w:t xml:space="preserve">, </w:t>
            </w:r>
            <w:r w:rsidR="00DF185F" w:rsidRPr="00A90510">
              <w:rPr>
                <w:color w:val="000000"/>
                <w:sz w:val="20"/>
                <w:szCs w:val="20"/>
              </w:rPr>
              <w:t>Senior Financial Analyst</w:t>
            </w:r>
            <w:r w:rsidR="00DF185F" w:rsidRPr="00A90510">
              <w:rPr>
                <w:rFonts w:eastAsia="Times New Roman"/>
                <w:color w:val="000000"/>
                <w:sz w:val="20"/>
                <w:szCs w:val="20"/>
              </w:rPr>
              <w:t xml:space="preserve">, </w:t>
            </w:r>
            <w:r w:rsidR="00DF185F" w:rsidRPr="00A90510">
              <w:rPr>
                <w:color w:val="000000"/>
                <w:sz w:val="20"/>
                <w:szCs w:val="20"/>
              </w:rPr>
              <w:t>Senior Counsel</w:t>
            </w:r>
            <w:r w:rsidR="00DF185F">
              <w:rPr>
                <w:color w:val="000000"/>
                <w:sz w:val="20"/>
                <w:szCs w:val="20"/>
              </w:rPr>
              <w:t xml:space="preserve">. </w:t>
            </w:r>
            <w:r w:rsidR="00DF185F">
              <w:rPr>
                <w:rFonts w:eastAsia="Times New Roman"/>
                <w:color w:val="000000"/>
                <w:sz w:val="20"/>
                <w:szCs w:val="20"/>
              </w:rPr>
              <w:t>r</w:t>
            </w:r>
            <w:r w:rsidR="00DF185F" w:rsidRPr="007B68C6">
              <w:rPr>
                <w:rFonts w:eastAsia="Times New Roman"/>
                <w:color w:val="000000"/>
                <w:sz w:val="20"/>
                <w:szCs w:val="20"/>
              </w:rPr>
              <w:t>.</w:t>
            </w:r>
            <w:r w:rsidR="00DF185F" w:rsidRPr="00232CA8">
              <w:rPr>
                <w:rFonts w:eastAsia="Times New Roman"/>
                <w:color w:val="000000"/>
                <w:sz w:val="20"/>
                <w:szCs w:val="20"/>
              </w:rPr>
              <w:t xml:space="preserve"> We perform analyses of differences using two-sample t-tests, and nonparametric Wilcoxon rank-sum tests. Results (p-value) from these tests are presented in the </w:t>
            </w:r>
            <w:r w:rsidRPr="00AD43A2">
              <w:rPr>
                <w:rFonts w:eastAsia="Times New Roman"/>
                <w:color w:val="000000"/>
                <w:sz w:val="20"/>
                <w:szCs w:val="20"/>
              </w:rPr>
              <w:t>penultimate</w:t>
            </w:r>
            <w:r w:rsidR="00DF185F" w:rsidRPr="00232CA8">
              <w:rPr>
                <w:rFonts w:eastAsia="Times New Roman"/>
                <w:color w:val="000000"/>
                <w:sz w:val="20"/>
                <w:szCs w:val="20"/>
              </w:rPr>
              <w:t xml:space="preserve"> row in </w:t>
            </w:r>
            <w:r>
              <w:rPr>
                <w:rFonts w:eastAsia="Times New Roman"/>
                <w:color w:val="000000"/>
                <w:sz w:val="20"/>
                <w:szCs w:val="20"/>
              </w:rPr>
              <w:t>the table</w:t>
            </w:r>
          </w:p>
        </w:tc>
      </w:tr>
    </w:tbl>
    <w:p w14:paraId="08C3ADCF" w14:textId="5A22963F" w:rsidR="007B7A4E" w:rsidRDefault="00B83A8E" w:rsidP="0005448A">
      <w:pPr>
        <w:rPr>
          <w:b/>
          <w:color w:val="000000" w:themeColor="text1"/>
        </w:rPr>
      </w:pPr>
      <w:r>
        <w:rPr>
          <w:b/>
          <w:color w:val="000000" w:themeColor="text1"/>
        </w:rPr>
        <w:fldChar w:fldCharType="end"/>
      </w:r>
    </w:p>
    <w:p w14:paraId="5B805933" w14:textId="2F6A3BC9" w:rsidR="0005448A" w:rsidRPr="00AD43A2" w:rsidRDefault="0005448A" w:rsidP="00AD43A2">
      <w:pPr>
        <w:pStyle w:val="Caption"/>
        <w:jc w:val="center"/>
        <w:rPr>
          <w:b/>
          <w:i w:val="0"/>
          <w:color w:val="000000" w:themeColor="text1"/>
          <w:sz w:val="24"/>
          <w:szCs w:val="24"/>
        </w:rPr>
        <w:sectPr w:rsidR="0005448A" w:rsidRPr="00AD43A2" w:rsidSect="007B7A4E">
          <w:headerReference w:type="default" r:id="rId61"/>
          <w:footerReference w:type="default" r:id="rId62"/>
          <w:pgSz w:w="16838" w:h="11906" w:orient="landscape"/>
          <w:pgMar w:top="1276" w:right="1440" w:bottom="1440" w:left="1440" w:header="708" w:footer="708" w:gutter="0"/>
          <w:cols w:space="708"/>
          <w:docGrid w:linePitch="360"/>
        </w:sectPr>
      </w:pPr>
    </w:p>
    <w:p w14:paraId="371D0917" w14:textId="4B885484" w:rsidR="00FF4164" w:rsidRPr="000912EF" w:rsidRDefault="00FF4164" w:rsidP="00C20F6A">
      <w:pPr>
        <w:spacing w:line="360" w:lineRule="auto"/>
        <w:jc w:val="both"/>
        <w:rPr>
          <w:b/>
        </w:rPr>
      </w:pPr>
    </w:p>
    <w:p w14:paraId="6FF28009" w14:textId="2EA850B1" w:rsidR="00D6323C" w:rsidRPr="000912EF" w:rsidRDefault="00D6323C" w:rsidP="00F91520">
      <w:pPr>
        <w:pStyle w:val="Heading1"/>
        <w:rPr>
          <w:rFonts w:ascii="Times New Roman" w:hAnsi="Times New Roman" w:cs="Times New Roman"/>
          <w:b/>
          <w:color w:val="000000" w:themeColor="text1"/>
          <w:sz w:val="24"/>
          <w:szCs w:val="24"/>
        </w:rPr>
      </w:pPr>
      <w:bookmarkStart w:id="75" w:name="_Toc9185822"/>
      <w:r w:rsidRPr="000912EF">
        <w:rPr>
          <w:rFonts w:ascii="Times New Roman" w:hAnsi="Times New Roman" w:cs="Times New Roman"/>
          <w:b/>
          <w:color w:val="000000" w:themeColor="text1"/>
          <w:sz w:val="24"/>
          <w:szCs w:val="24"/>
        </w:rPr>
        <w:t xml:space="preserve">APPENDIX </w:t>
      </w:r>
      <w:r w:rsidR="00A90510">
        <w:rPr>
          <w:rFonts w:ascii="Times New Roman" w:hAnsi="Times New Roman" w:cs="Times New Roman"/>
          <w:b/>
          <w:color w:val="000000" w:themeColor="text1"/>
          <w:sz w:val="24"/>
          <w:szCs w:val="24"/>
        </w:rPr>
        <w:t>4</w:t>
      </w:r>
      <w:bookmarkEnd w:id="75"/>
      <w:r w:rsidRPr="000912EF">
        <w:rPr>
          <w:rFonts w:ascii="Times New Roman" w:hAnsi="Times New Roman" w:cs="Times New Roman"/>
          <w:b/>
          <w:color w:val="000000" w:themeColor="text1"/>
          <w:sz w:val="24"/>
          <w:szCs w:val="24"/>
        </w:rPr>
        <w:t xml:space="preserve"> </w:t>
      </w:r>
    </w:p>
    <w:p w14:paraId="31FABE51" w14:textId="3EF476B1" w:rsidR="00BE13FC" w:rsidRPr="000912EF" w:rsidRDefault="00BE13FC" w:rsidP="00BE13FC">
      <w:pPr>
        <w:rPr>
          <w:b/>
        </w:rPr>
      </w:pPr>
      <w:r w:rsidRPr="000912EF">
        <w:rPr>
          <w:b/>
        </w:rPr>
        <w:t>Descriptive statistics of SEC review attributes and Herfindahl index by industry</w:t>
      </w:r>
    </w:p>
    <w:p w14:paraId="568C9D0E" w14:textId="77777777" w:rsidR="00BE13FC" w:rsidRPr="000912EF" w:rsidRDefault="00BE13FC" w:rsidP="00BE13FC">
      <w:pPr>
        <w:rPr>
          <w:b/>
        </w:rPr>
      </w:pPr>
    </w:p>
    <w:tbl>
      <w:tblPr>
        <w:tblW w:w="9571" w:type="dxa"/>
        <w:tblLayout w:type="fixed"/>
        <w:tblLook w:val="04A0" w:firstRow="1" w:lastRow="0" w:firstColumn="1" w:lastColumn="0" w:noHBand="0" w:noVBand="1"/>
      </w:tblPr>
      <w:tblGrid>
        <w:gridCol w:w="851"/>
        <w:gridCol w:w="283"/>
        <w:gridCol w:w="567"/>
        <w:gridCol w:w="284"/>
        <w:gridCol w:w="1255"/>
        <w:gridCol w:w="305"/>
        <w:gridCol w:w="872"/>
        <w:gridCol w:w="992"/>
        <w:gridCol w:w="261"/>
        <w:gridCol w:w="839"/>
        <w:gridCol w:w="932"/>
        <w:gridCol w:w="283"/>
        <w:gridCol w:w="929"/>
        <w:gridCol w:w="918"/>
      </w:tblGrid>
      <w:tr w:rsidR="00BE13FC" w:rsidRPr="000912EF" w14:paraId="7DFCB314" w14:textId="77777777" w:rsidTr="0031315C">
        <w:trPr>
          <w:trHeight w:val="434"/>
        </w:trPr>
        <w:tc>
          <w:tcPr>
            <w:tcW w:w="851" w:type="dxa"/>
            <w:tcBorders>
              <w:top w:val="single" w:sz="4" w:space="0" w:color="auto"/>
              <w:left w:val="nil"/>
              <w:bottom w:val="single" w:sz="4" w:space="0" w:color="auto"/>
              <w:right w:val="nil"/>
            </w:tcBorders>
            <w:shd w:val="clear" w:color="auto" w:fill="auto"/>
            <w:vAlign w:val="bottom"/>
            <w:hideMark/>
          </w:tcPr>
          <w:p w14:paraId="4421182B" w14:textId="00D76FFF" w:rsidR="00BE13FC" w:rsidRPr="000912EF" w:rsidRDefault="00BE13FC" w:rsidP="00BE13FC">
            <w:pPr>
              <w:jc w:val="center"/>
              <w:rPr>
                <w:rFonts w:eastAsia="Times New Roman"/>
                <w:b/>
                <w:bCs/>
                <w:color w:val="000000"/>
                <w:sz w:val="22"/>
                <w:szCs w:val="22"/>
              </w:rPr>
            </w:pPr>
            <w:r w:rsidRPr="000912EF">
              <w:rPr>
                <w:rFonts w:eastAsia="Times New Roman"/>
                <w:b/>
                <w:bCs/>
                <w:color w:val="000000"/>
                <w:sz w:val="22"/>
                <w:szCs w:val="22"/>
              </w:rPr>
              <w:t>Two-digits SIC code</w:t>
            </w:r>
          </w:p>
        </w:tc>
        <w:tc>
          <w:tcPr>
            <w:tcW w:w="283" w:type="dxa"/>
            <w:tcBorders>
              <w:top w:val="single" w:sz="4" w:space="0" w:color="auto"/>
              <w:left w:val="nil"/>
              <w:bottom w:val="nil"/>
              <w:right w:val="nil"/>
            </w:tcBorders>
            <w:shd w:val="clear" w:color="auto" w:fill="auto"/>
            <w:vAlign w:val="bottom"/>
            <w:hideMark/>
          </w:tcPr>
          <w:p w14:paraId="44A90DCD" w14:textId="77777777" w:rsidR="00BE13FC" w:rsidRPr="000912EF" w:rsidRDefault="00BE13FC" w:rsidP="00BE13FC">
            <w:pPr>
              <w:rPr>
                <w:rFonts w:eastAsia="Times New Roman"/>
                <w:b/>
                <w:bCs/>
                <w:color w:val="000000"/>
                <w:sz w:val="22"/>
                <w:szCs w:val="22"/>
              </w:rPr>
            </w:pPr>
            <w:r w:rsidRPr="000912EF">
              <w:rPr>
                <w:rFonts w:eastAsia="Times New Roman"/>
                <w:b/>
                <w:bCs/>
                <w:color w:val="000000"/>
                <w:sz w:val="22"/>
                <w:szCs w:val="22"/>
              </w:rPr>
              <w:t> </w:t>
            </w:r>
          </w:p>
        </w:tc>
        <w:tc>
          <w:tcPr>
            <w:tcW w:w="567" w:type="dxa"/>
            <w:tcBorders>
              <w:top w:val="single" w:sz="4" w:space="0" w:color="auto"/>
              <w:left w:val="nil"/>
              <w:bottom w:val="single" w:sz="4" w:space="0" w:color="auto"/>
              <w:right w:val="nil"/>
            </w:tcBorders>
            <w:shd w:val="clear" w:color="auto" w:fill="auto"/>
            <w:noWrap/>
            <w:vAlign w:val="bottom"/>
            <w:hideMark/>
          </w:tcPr>
          <w:p w14:paraId="248345B2" w14:textId="77777777" w:rsidR="00BE13FC" w:rsidRPr="000912EF" w:rsidRDefault="00BE13FC" w:rsidP="00BE13FC">
            <w:pPr>
              <w:jc w:val="center"/>
              <w:rPr>
                <w:rFonts w:eastAsia="Times New Roman"/>
                <w:b/>
                <w:bCs/>
                <w:color w:val="000000"/>
                <w:sz w:val="22"/>
                <w:szCs w:val="22"/>
              </w:rPr>
            </w:pPr>
            <w:r w:rsidRPr="000912EF">
              <w:rPr>
                <w:rFonts w:eastAsia="Times New Roman"/>
                <w:b/>
                <w:bCs/>
                <w:color w:val="000000"/>
                <w:sz w:val="22"/>
                <w:szCs w:val="22"/>
              </w:rPr>
              <w:t>N</w:t>
            </w:r>
          </w:p>
        </w:tc>
        <w:tc>
          <w:tcPr>
            <w:tcW w:w="284" w:type="dxa"/>
            <w:tcBorders>
              <w:top w:val="single" w:sz="4" w:space="0" w:color="auto"/>
              <w:left w:val="nil"/>
              <w:bottom w:val="nil"/>
              <w:right w:val="nil"/>
            </w:tcBorders>
            <w:shd w:val="clear" w:color="auto" w:fill="auto"/>
            <w:vAlign w:val="bottom"/>
            <w:hideMark/>
          </w:tcPr>
          <w:p w14:paraId="5B15776F" w14:textId="77777777" w:rsidR="00BE13FC" w:rsidRPr="000912EF" w:rsidRDefault="00BE13FC" w:rsidP="00BE13FC">
            <w:pPr>
              <w:rPr>
                <w:rFonts w:eastAsia="Times New Roman"/>
                <w:b/>
                <w:bCs/>
                <w:color w:val="000000"/>
                <w:sz w:val="22"/>
                <w:szCs w:val="22"/>
              </w:rPr>
            </w:pPr>
            <w:r w:rsidRPr="000912EF">
              <w:rPr>
                <w:rFonts w:eastAsia="Times New Roman"/>
                <w:b/>
                <w:bCs/>
                <w:color w:val="000000"/>
                <w:sz w:val="22"/>
                <w:szCs w:val="22"/>
              </w:rPr>
              <w:t> </w:t>
            </w:r>
          </w:p>
        </w:tc>
        <w:tc>
          <w:tcPr>
            <w:tcW w:w="1255" w:type="dxa"/>
            <w:tcBorders>
              <w:top w:val="single" w:sz="4" w:space="0" w:color="auto"/>
              <w:left w:val="nil"/>
              <w:bottom w:val="single" w:sz="4" w:space="0" w:color="auto"/>
              <w:right w:val="nil"/>
            </w:tcBorders>
            <w:shd w:val="clear" w:color="auto" w:fill="auto"/>
            <w:vAlign w:val="bottom"/>
            <w:hideMark/>
          </w:tcPr>
          <w:p w14:paraId="6193B8E3" w14:textId="77777777" w:rsidR="00BE13FC" w:rsidRPr="000912EF" w:rsidRDefault="00BE13FC" w:rsidP="00BE13FC">
            <w:pPr>
              <w:jc w:val="center"/>
              <w:rPr>
                <w:rFonts w:eastAsia="Times New Roman"/>
                <w:b/>
                <w:bCs/>
                <w:color w:val="000000"/>
                <w:sz w:val="22"/>
                <w:szCs w:val="22"/>
              </w:rPr>
            </w:pPr>
            <w:r w:rsidRPr="000912EF">
              <w:rPr>
                <w:rFonts w:eastAsia="Times New Roman"/>
                <w:b/>
                <w:bCs/>
                <w:color w:val="000000"/>
                <w:sz w:val="22"/>
                <w:szCs w:val="22"/>
              </w:rPr>
              <w:t>Herfindahl index</w:t>
            </w:r>
          </w:p>
        </w:tc>
        <w:tc>
          <w:tcPr>
            <w:tcW w:w="305" w:type="dxa"/>
            <w:tcBorders>
              <w:top w:val="single" w:sz="4" w:space="0" w:color="auto"/>
              <w:left w:val="nil"/>
              <w:bottom w:val="nil"/>
              <w:right w:val="nil"/>
            </w:tcBorders>
            <w:shd w:val="clear" w:color="auto" w:fill="auto"/>
            <w:vAlign w:val="bottom"/>
            <w:hideMark/>
          </w:tcPr>
          <w:p w14:paraId="7B28B4F4" w14:textId="77777777" w:rsidR="00BE13FC" w:rsidRPr="000912EF" w:rsidRDefault="00BE13FC" w:rsidP="00BE13FC">
            <w:pPr>
              <w:rPr>
                <w:rFonts w:eastAsia="Times New Roman"/>
                <w:b/>
                <w:bCs/>
                <w:color w:val="000000"/>
                <w:sz w:val="22"/>
                <w:szCs w:val="22"/>
              </w:rPr>
            </w:pPr>
            <w:r w:rsidRPr="000912EF">
              <w:rPr>
                <w:rFonts w:eastAsia="Times New Roman"/>
                <w:b/>
                <w:bCs/>
                <w:color w:val="000000"/>
                <w:sz w:val="22"/>
                <w:szCs w:val="22"/>
              </w:rPr>
              <w:t> </w:t>
            </w:r>
          </w:p>
        </w:tc>
        <w:tc>
          <w:tcPr>
            <w:tcW w:w="1864" w:type="dxa"/>
            <w:gridSpan w:val="2"/>
            <w:tcBorders>
              <w:top w:val="single" w:sz="4" w:space="0" w:color="auto"/>
              <w:left w:val="nil"/>
              <w:bottom w:val="single" w:sz="4" w:space="0" w:color="auto"/>
              <w:right w:val="nil"/>
            </w:tcBorders>
            <w:shd w:val="clear" w:color="auto" w:fill="auto"/>
            <w:vAlign w:val="bottom"/>
            <w:hideMark/>
          </w:tcPr>
          <w:p w14:paraId="63B2E255" w14:textId="77777777" w:rsidR="00BE13FC" w:rsidRPr="000912EF" w:rsidRDefault="00BE13FC" w:rsidP="00BE13FC">
            <w:pPr>
              <w:jc w:val="center"/>
              <w:rPr>
                <w:rFonts w:eastAsia="Times New Roman"/>
                <w:b/>
                <w:bCs/>
                <w:color w:val="000000"/>
                <w:sz w:val="22"/>
                <w:szCs w:val="22"/>
              </w:rPr>
            </w:pPr>
            <w:r w:rsidRPr="000912EF">
              <w:rPr>
                <w:rFonts w:eastAsia="Times New Roman"/>
                <w:b/>
                <w:bCs/>
                <w:color w:val="000000"/>
                <w:sz w:val="22"/>
                <w:szCs w:val="22"/>
              </w:rPr>
              <w:t>Duration</w:t>
            </w:r>
          </w:p>
        </w:tc>
        <w:tc>
          <w:tcPr>
            <w:tcW w:w="261" w:type="dxa"/>
            <w:tcBorders>
              <w:top w:val="single" w:sz="4" w:space="0" w:color="auto"/>
              <w:left w:val="nil"/>
              <w:bottom w:val="nil"/>
              <w:right w:val="nil"/>
            </w:tcBorders>
            <w:shd w:val="clear" w:color="auto" w:fill="auto"/>
            <w:vAlign w:val="bottom"/>
            <w:hideMark/>
          </w:tcPr>
          <w:p w14:paraId="60A1D415" w14:textId="77777777" w:rsidR="00BE13FC" w:rsidRPr="000912EF" w:rsidRDefault="00BE13FC" w:rsidP="00BE13FC">
            <w:pPr>
              <w:rPr>
                <w:rFonts w:eastAsia="Times New Roman"/>
                <w:b/>
                <w:bCs/>
                <w:color w:val="000000"/>
                <w:sz w:val="22"/>
                <w:szCs w:val="22"/>
              </w:rPr>
            </w:pPr>
            <w:r w:rsidRPr="000912EF">
              <w:rPr>
                <w:rFonts w:eastAsia="Times New Roman"/>
                <w:b/>
                <w:bCs/>
                <w:color w:val="000000"/>
                <w:sz w:val="22"/>
                <w:szCs w:val="22"/>
              </w:rPr>
              <w:t> </w:t>
            </w:r>
          </w:p>
        </w:tc>
        <w:tc>
          <w:tcPr>
            <w:tcW w:w="1771" w:type="dxa"/>
            <w:gridSpan w:val="2"/>
            <w:tcBorders>
              <w:top w:val="single" w:sz="4" w:space="0" w:color="auto"/>
              <w:left w:val="nil"/>
              <w:bottom w:val="single" w:sz="4" w:space="0" w:color="auto"/>
              <w:right w:val="nil"/>
            </w:tcBorders>
            <w:shd w:val="clear" w:color="auto" w:fill="auto"/>
            <w:vAlign w:val="bottom"/>
            <w:hideMark/>
          </w:tcPr>
          <w:p w14:paraId="3B521779" w14:textId="7D0E0439" w:rsidR="00BE13FC" w:rsidRPr="000912EF" w:rsidRDefault="0013556C" w:rsidP="00BE13FC">
            <w:pPr>
              <w:jc w:val="center"/>
              <w:rPr>
                <w:rFonts w:eastAsia="Times New Roman"/>
                <w:b/>
                <w:bCs/>
                <w:color w:val="000000"/>
                <w:sz w:val="22"/>
                <w:szCs w:val="22"/>
              </w:rPr>
            </w:pPr>
            <w:r>
              <w:rPr>
                <w:rFonts w:eastAsia="Times New Roman"/>
                <w:b/>
                <w:bCs/>
                <w:color w:val="000000"/>
                <w:sz w:val="22"/>
                <w:szCs w:val="22"/>
              </w:rPr>
              <w:t>Letters</w:t>
            </w:r>
          </w:p>
        </w:tc>
        <w:tc>
          <w:tcPr>
            <w:tcW w:w="283" w:type="dxa"/>
            <w:tcBorders>
              <w:top w:val="single" w:sz="4" w:space="0" w:color="auto"/>
              <w:left w:val="nil"/>
              <w:bottom w:val="nil"/>
              <w:right w:val="nil"/>
            </w:tcBorders>
            <w:shd w:val="clear" w:color="auto" w:fill="auto"/>
            <w:vAlign w:val="bottom"/>
            <w:hideMark/>
          </w:tcPr>
          <w:p w14:paraId="575B61BC" w14:textId="77777777" w:rsidR="00BE13FC" w:rsidRPr="000912EF" w:rsidRDefault="00BE13FC" w:rsidP="00BE13FC">
            <w:pPr>
              <w:rPr>
                <w:rFonts w:eastAsia="Times New Roman"/>
                <w:b/>
                <w:bCs/>
                <w:color w:val="000000"/>
                <w:sz w:val="22"/>
                <w:szCs w:val="22"/>
              </w:rPr>
            </w:pPr>
            <w:r w:rsidRPr="000912EF">
              <w:rPr>
                <w:rFonts w:eastAsia="Times New Roman"/>
                <w:b/>
                <w:bCs/>
                <w:color w:val="000000"/>
                <w:sz w:val="22"/>
                <w:szCs w:val="22"/>
              </w:rPr>
              <w:t> </w:t>
            </w:r>
          </w:p>
        </w:tc>
        <w:tc>
          <w:tcPr>
            <w:tcW w:w="1843" w:type="dxa"/>
            <w:gridSpan w:val="2"/>
            <w:tcBorders>
              <w:top w:val="single" w:sz="4" w:space="0" w:color="auto"/>
              <w:left w:val="nil"/>
              <w:bottom w:val="single" w:sz="4" w:space="0" w:color="auto"/>
              <w:right w:val="nil"/>
            </w:tcBorders>
            <w:shd w:val="clear" w:color="auto" w:fill="auto"/>
            <w:vAlign w:val="bottom"/>
            <w:hideMark/>
          </w:tcPr>
          <w:p w14:paraId="67C14EE6" w14:textId="46DC16A6" w:rsidR="00BE13FC" w:rsidRPr="000912EF" w:rsidRDefault="0013556C" w:rsidP="00BE13FC">
            <w:pPr>
              <w:jc w:val="center"/>
              <w:rPr>
                <w:rFonts w:eastAsia="Times New Roman"/>
                <w:b/>
                <w:bCs/>
                <w:color w:val="000000"/>
                <w:sz w:val="22"/>
                <w:szCs w:val="22"/>
              </w:rPr>
            </w:pPr>
            <w:r>
              <w:rPr>
                <w:rFonts w:eastAsia="Times New Roman"/>
                <w:b/>
                <w:bCs/>
                <w:color w:val="000000"/>
                <w:sz w:val="22"/>
                <w:szCs w:val="22"/>
              </w:rPr>
              <w:t>Comments</w:t>
            </w:r>
          </w:p>
        </w:tc>
      </w:tr>
      <w:tr w:rsidR="00BE13FC" w:rsidRPr="000912EF" w14:paraId="7E6FDC2E" w14:textId="77777777" w:rsidTr="0031315C">
        <w:trPr>
          <w:trHeight w:val="283"/>
        </w:trPr>
        <w:tc>
          <w:tcPr>
            <w:tcW w:w="851" w:type="dxa"/>
            <w:tcBorders>
              <w:top w:val="nil"/>
              <w:left w:val="nil"/>
              <w:bottom w:val="nil"/>
              <w:right w:val="nil"/>
            </w:tcBorders>
            <w:shd w:val="clear" w:color="auto" w:fill="auto"/>
            <w:noWrap/>
            <w:vAlign w:val="bottom"/>
            <w:hideMark/>
          </w:tcPr>
          <w:p w14:paraId="626F0B30" w14:textId="77777777" w:rsidR="00BE13FC" w:rsidRPr="000912EF" w:rsidRDefault="00BE13FC" w:rsidP="00BE13FC">
            <w:pPr>
              <w:rPr>
                <w:rFonts w:eastAsia="Times New Roman"/>
                <w:color w:val="000000"/>
                <w:sz w:val="22"/>
                <w:szCs w:val="22"/>
              </w:rPr>
            </w:pPr>
            <w:r w:rsidRPr="000912EF">
              <w:rPr>
                <w:rFonts w:eastAsia="Times New Roman"/>
                <w:color w:val="000000"/>
                <w:sz w:val="22"/>
                <w:szCs w:val="22"/>
              </w:rPr>
              <w:t> </w:t>
            </w:r>
          </w:p>
        </w:tc>
        <w:tc>
          <w:tcPr>
            <w:tcW w:w="283" w:type="dxa"/>
            <w:tcBorders>
              <w:top w:val="nil"/>
              <w:left w:val="nil"/>
              <w:bottom w:val="nil"/>
              <w:right w:val="nil"/>
            </w:tcBorders>
            <w:shd w:val="clear" w:color="auto" w:fill="auto"/>
            <w:noWrap/>
            <w:vAlign w:val="bottom"/>
            <w:hideMark/>
          </w:tcPr>
          <w:p w14:paraId="590D1344"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5A907F2" w14:textId="77777777" w:rsidR="00BE13FC" w:rsidRPr="000912EF" w:rsidRDefault="00BE13FC" w:rsidP="00BE13FC">
            <w:pPr>
              <w:rPr>
                <w:rFonts w:eastAsia="Times New Roman"/>
                <w:color w:val="000000"/>
                <w:sz w:val="22"/>
                <w:szCs w:val="22"/>
              </w:rPr>
            </w:pPr>
            <w:r w:rsidRPr="000912EF">
              <w:rPr>
                <w:rFonts w:eastAsia="Times New Roman"/>
                <w:color w:val="000000"/>
                <w:sz w:val="22"/>
                <w:szCs w:val="22"/>
              </w:rPr>
              <w:t> </w:t>
            </w:r>
          </w:p>
        </w:tc>
        <w:tc>
          <w:tcPr>
            <w:tcW w:w="284" w:type="dxa"/>
            <w:tcBorders>
              <w:top w:val="nil"/>
              <w:left w:val="nil"/>
              <w:bottom w:val="nil"/>
              <w:right w:val="nil"/>
            </w:tcBorders>
            <w:shd w:val="clear" w:color="auto" w:fill="auto"/>
            <w:noWrap/>
            <w:vAlign w:val="bottom"/>
            <w:hideMark/>
          </w:tcPr>
          <w:p w14:paraId="20A2AC80"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BC07F52" w14:textId="77777777" w:rsidR="00BE13FC" w:rsidRPr="000912EF" w:rsidRDefault="00BE13FC" w:rsidP="00BE13FC">
            <w:pPr>
              <w:rPr>
                <w:rFonts w:eastAsia="Times New Roman"/>
                <w:color w:val="000000"/>
                <w:sz w:val="22"/>
                <w:szCs w:val="22"/>
              </w:rPr>
            </w:pPr>
            <w:r w:rsidRPr="000912EF">
              <w:rPr>
                <w:rFonts w:eastAsia="Times New Roman"/>
                <w:color w:val="000000"/>
                <w:sz w:val="22"/>
                <w:szCs w:val="22"/>
              </w:rPr>
              <w:t> </w:t>
            </w:r>
          </w:p>
        </w:tc>
        <w:tc>
          <w:tcPr>
            <w:tcW w:w="305" w:type="dxa"/>
            <w:tcBorders>
              <w:top w:val="nil"/>
              <w:left w:val="nil"/>
              <w:bottom w:val="nil"/>
              <w:right w:val="nil"/>
            </w:tcBorders>
            <w:shd w:val="clear" w:color="auto" w:fill="auto"/>
            <w:noWrap/>
            <w:vAlign w:val="bottom"/>
            <w:hideMark/>
          </w:tcPr>
          <w:p w14:paraId="42E137F1"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single" w:sz="4" w:space="0" w:color="auto"/>
              <w:right w:val="nil"/>
            </w:tcBorders>
            <w:shd w:val="clear" w:color="auto" w:fill="auto"/>
            <w:noWrap/>
            <w:vAlign w:val="bottom"/>
            <w:hideMark/>
          </w:tcPr>
          <w:p w14:paraId="552BF982"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mean</w:t>
            </w:r>
          </w:p>
        </w:tc>
        <w:tc>
          <w:tcPr>
            <w:tcW w:w="992" w:type="dxa"/>
            <w:tcBorders>
              <w:top w:val="nil"/>
              <w:left w:val="nil"/>
              <w:bottom w:val="single" w:sz="4" w:space="0" w:color="auto"/>
              <w:right w:val="nil"/>
            </w:tcBorders>
            <w:shd w:val="clear" w:color="auto" w:fill="auto"/>
            <w:noWrap/>
            <w:vAlign w:val="bottom"/>
            <w:hideMark/>
          </w:tcPr>
          <w:p w14:paraId="130FCBB8" w14:textId="77777777" w:rsidR="00BE13FC" w:rsidRPr="000912EF" w:rsidRDefault="00BE13FC" w:rsidP="0031315C">
            <w:pPr>
              <w:ind w:left="-305" w:firstLine="305"/>
              <w:jc w:val="center"/>
              <w:rPr>
                <w:rFonts w:eastAsia="Times New Roman"/>
                <w:color w:val="000000"/>
                <w:sz w:val="22"/>
                <w:szCs w:val="22"/>
              </w:rPr>
            </w:pPr>
            <w:r w:rsidRPr="000912EF">
              <w:rPr>
                <w:rFonts w:eastAsia="Times New Roman"/>
                <w:color w:val="000000"/>
                <w:sz w:val="22"/>
                <w:szCs w:val="22"/>
              </w:rPr>
              <w:t>median</w:t>
            </w:r>
          </w:p>
        </w:tc>
        <w:tc>
          <w:tcPr>
            <w:tcW w:w="261" w:type="dxa"/>
            <w:tcBorders>
              <w:top w:val="nil"/>
              <w:left w:val="nil"/>
              <w:bottom w:val="nil"/>
              <w:right w:val="nil"/>
            </w:tcBorders>
            <w:shd w:val="clear" w:color="auto" w:fill="auto"/>
            <w:noWrap/>
            <w:vAlign w:val="bottom"/>
            <w:hideMark/>
          </w:tcPr>
          <w:p w14:paraId="6006FD00"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single" w:sz="4" w:space="0" w:color="auto"/>
              <w:right w:val="nil"/>
            </w:tcBorders>
            <w:shd w:val="clear" w:color="auto" w:fill="auto"/>
            <w:noWrap/>
            <w:vAlign w:val="bottom"/>
            <w:hideMark/>
          </w:tcPr>
          <w:p w14:paraId="0724DAD2"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mean</w:t>
            </w:r>
          </w:p>
        </w:tc>
        <w:tc>
          <w:tcPr>
            <w:tcW w:w="932" w:type="dxa"/>
            <w:tcBorders>
              <w:top w:val="nil"/>
              <w:left w:val="nil"/>
              <w:bottom w:val="single" w:sz="4" w:space="0" w:color="auto"/>
              <w:right w:val="nil"/>
            </w:tcBorders>
            <w:shd w:val="clear" w:color="auto" w:fill="auto"/>
            <w:noWrap/>
            <w:vAlign w:val="bottom"/>
            <w:hideMark/>
          </w:tcPr>
          <w:p w14:paraId="2BEB5A65"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median</w:t>
            </w:r>
          </w:p>
        </w:tc>
        <w:tc>
          <w:tcPr>
            <w:tcW w:w="283" w:type="dxa"/>
            <w:tcBorders>
              <w:top w:val="nil"/>
              <w:left w:val="nil"/>
              <w:bottom w:val="nil"/>
              <w:right w:val="nil"/>
            </w:tcBorders>
            <w:shd w:val="clear" w:color="auto" w:fill="auto"/>
            <w:noWrap/>
            <w:vAlign w:val="bottom"/>
            <w:hideMark/>
          </w:tcPr>
          <w:p w14:paraId="7EF79FB1"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single" w:sz="4" w:space="0" w:color="auto"/>
              <w:right w:val="nil"/>
            </w:tcBorders>
            <w:shd w:val="clear" w:color="auto" w:fill="auto"/>
            <w:noWrap/>
            <w:vAlign w:val="bottom"/>
            <w:hideMark/>
          </w:tcPr>
          <w:p w14:paraId="7CB642AE"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mean</w:t>
            </w:r>
          </w:p>
        </w:tc>
        <w:tc>
          <w:tcPr>
            <w:tcW w:w="914" w:type="dxa"/>
            <w:tcBorders>
              <w:top w:val="nil"/>
              <w:left w:val="nil"/>
              <w:bottom w:val="single" w:sz="4" w:space="0" w:color="auto"/>
              <w:right w:val="nil"/>
            </w:tcBorders>
            <w:shd w:val="clear" w:color="auto" w:fill="auto"/>
            <w:noWrap/>
            <w:vAlign w:val="bottom"/>
            <w:hideMark/>
          </w:tcPr>
          <w:p w14:paraId="7729174D"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median</w:t>
            </w:r>
          </w:p>
        </w:tc>
      </w:tr>
      <w:tr w:rsidR="00467C2F" w:rsidRPr="000912EF" w14:paraId="0EE7AA0D" w14:textId="77777777" w:rsidTr="0031315C">
        <w:trPr>
          <w:trHeight w:val="300"/>
        </w:trPr>
        <w:tc>
          <w:tcPr>
            <w:tcW w:w="851" w:type="dxa"/>
            <w:tcBorders>
              <w:top w:val="nil"/>
              <w:left w:val="nil"/>
              <w:right w:val="nil"/>
            </w:tcBorders>
            <w:shd w:val="clear" w:color="auto" w:fill="auto"/>
            <w:noWrap/>
            <w:vAlign w:val="bottom"/>
            <w:hideMark/>
          </w:tcPr>
          <w:p w14:paraId="3DBA130B"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283" w:type="dxa"/>
            <w:tcBorders>
              <w:top w:val="nil"/>
              <w:left w:val="nil"/>
              <w:right w:val="nil"/>
            </w:tcBorders>
            <w:shd w:val="clear" w:color="auto" w:fill="auto"/>
            <w:noWrap/>
            <w:vAlign w:val="bottom"/>
            <w:hideMark/>
          </w:tcPr>
          <w:p w14:paraId="26796DF5"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right w:val="nil"/>
            </w:tcBorders>
            <w:shd w:val="clear" w:color="auto" w:fill="auto"/>
            <w:noWrap/>
            <w:vAlign w:val="bottom"/>
            <w:hideMark/>
          </w:tcPr>
          <w:p w14:paraId="1B7C0521"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284" w:type="dxa"/>
            <w:tcBorders>
              <w:top w:val="nil"/>
              <w:left w:val="nil"/>
              <w:right w:val="nil"/>
            </w:tcBorders>
            <w:shd w:val="clear" w:color="auto" w:fill="auto"/>
            <w:noWrap/>
            <w:vAlign w:val="bottom"/>
            <w:hideMark/>
          </w:tcPr>
          <w:p w14:paraId="7FDD9482"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right w:val="nil"/>
            </w:tcBorders>
            <w:shd w:val="clear" w:color="auto" w:fill="auto"/>
            <w:noWrap/>
            <w:vAlign w:val="bottom"/>
            <w:hideMark/>
          </w:tcPr>
          <w:p w14:paraId="7297310A"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305" w:type="dxa"/>
            <w:tcBorders>
              <w:top w:val="nil"/>
              <w:left w:val="nil"/>
              <w:right w:val="nil"/>
            </w:tcBorders>
            <w:shd w:val="clear" w:color="auto" w:fill="auto"/>
            <w:noWrap/>
            <w:vAlign w:val="bottom"/>
            <w:hideMark/>
          </w:tcPr>
          <w:p w14:paraId="2D41498A"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right w:val="nil"/>
            </w:tcBorders>
            <w:shd w:val="clear" w:color="auto" w:fill="auto"/>
            <w:noWrap/>
            <w:vAlign w:val="bottom"/>
            <w:hideMark/>
          </w:tcPr>
          <w:p w14:paraId="3CAF052E"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992" w:type="dxa"/>
            <w:tcBorders>
              <w:top w:val="nil"/>
              <w:left w:val="nil"/>
              <w:right w:val="nil"/>
            </w:tcBorders>
            <w:shd w:val="clear" w:color="auto" w:fill="auto"/>
            <w:noWrap/>
            <w:vAlign w:val="bottom"/>
            <w:hideMark/>
          </w:tcPr>
          <w:p w14:paraId="21668B95"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261" w:type="dxa"/>
            <w:tcBorders>
              <w:top w:val="nil"/>
              <w:left w:val="nil"/>
              <w:right w:val="nil"/>
            </w:tcBorders>
            <w:shd w:val="clear" w:color="auto" w:fill="auto"/>
            <w:noWrap/>
            <w:vAlign w:val="bottom"/>
            <w:hideMark/>
          </w:tcPr>
          <w:p w14:paraId="76058CBF"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right w:val="nil"/>
            </w:tcBorders>
            <w:shd w:val="clear" w:color="auto" w:fill="auto"/>
            <w:noWrap/>
            <w:vAlign w:val="bottom"/>
            <w:hideMark/>
          </w:tcPr>
          <w:p w14:paraId="4DF56F60"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932" w:type="dxa"/>
            <w:tcBorders>
              <w:top w:val="nil"/>
              <w:left w:val="nil"/>
              <w:right w:val="nil"/>
            </w:tcBorders>
            <w:shd w:val="clear" w:color="auto" w:fill="auto"/>
            <w:noWrap/>
            <w:vAlign w:val="bottom"/>
            <w:hideMark/>
          </w:tcPr>
          <w:p w14:paraId="5BBE969B"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283" w:type="dxa"/>
            <w:tcBorders>
              <w:top w:val="nil"/>
              <w:left w:val="nil"/>
              <w:right w:val="nil"/>
            </w:tcBorders>
            <w:shd w:val="clear" w:color="auto" w:fill="auto"/>
            <w:noWrap/>
            <w:vAlign w:val="bottom"/>
            <w:hideMark/>
          </w:tcPr>
          <w:p w14:paraId="39A4A541"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right w:val="nil"/>
            </w:tcBorders>
            <w:shd w:val="clear" w:color="auto" w:fill="auto"/>
            <w:noWrap/>
            <w:vAlign w:val="bottom"/>
            <w:hideMark/>
          </w:tcPr>
          <w:p w14:paraId="7C648C7F"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c>
          <w:tcPr>
            <w:tcW w:w="914" w:type="dxa"/>
            <w:tcBorders>
              <w:top w:val="nil"/>
              <w:left w:val="nil"/>
              <w:right w:val="nil"/>
            </w:tcBorders>
            <w:shd w:val="clear" w:color="auto" w:fill="auto"/>
            <w:noWrap/>
            <w:vAlign w:val="bottom"/>
            <w:hideMark/>
          </w:tcPr>
          <w:p w14:paraId="386ED4D4" w14:textId="77777777" w:rsidR="00467C2F" w:rsidRPr="000912EF" w:rsidRDefault="00467C2F" w:rsidP="00BE13FC">
            <w:pPr>
              <w:jc w:val="center"/>
              <w:rPr>
                <w:rFonts w:eastAsia="Times New Roman"/>
                <w:color w:val="000000"/>
                <w:sz w:val="22"/>
                <w:szCs w:val="22"/>
              </w:rPr>
            </w:pPr>
            <w:r w:rsidRPr="000912EF">
              <w:rPr>
                <w:rFonts w:eastAsia="Times New Roman"/>
                <w:color w:val="000000"/>
                <w:sz w:val="22"/>
                <w:szCs w:val="22"/>
              </w:rPr>
              <w:t> </w:t>
            </w:r>
          </w:p>
        </w:tc>
      </w:tr>
      <w:tr w:rsidR="00467C2F" w:rsidRPr="000912EF" w14:paraId="2FF7F6D3" w14:textId="77777777" w:rsidTr="0031315C">
        <w:trPr>
          <w:trHeight w:val="300"/>
        </w:trPr>
        <w:tc>
          <w:tcPr>
            <w:tcW w:w="851" w:type="dxa"/>
            <w:tcBorders>
              <w:top w:val="nil"/>
              <w:left w:val="nil"/>
              <w:bottom w:val="nil"/>
              <w:right w:val="nil"/>
            </w:tcBorders>
            <w:shd w:val="clear" w:color="auto" w:fill="auto"/>
            <w:noWrap/>
            <w:vAlign w:val="bottom"/>
            <w:hideMark/>
          </w:tcPr>
          <w:p w14:paraId="687370D0" w14:textId="450C6528"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3" w:type="dxa"/>
            <w:tcBorders>
              <w:top w:val="nil"/>
              <w:left w:val="nil"/>
              <w:bottom w:val="nil"/>
              <w:right w:val="nil"/>
            </w:tcBorders>
            <w:shd w:val="clear" w:color="auto" w:fill="auto"/>
            <w:noWrap/>
            <w:vAlign w:val="bottom"/>
            <w:hideMark/>
          </w:tcPr>
          <w:p w14:paraId="2FBBCF5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530D955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4" w:type="dxa"/>
            <w:tcBorders>
              <w:top w:val="nil"/>
              <w:left w:val="nil"/>
              <w:bottom w:val="nil"/>
              <w:right w:val="nil"/>
            </w:tcBorders>
            <w:shd w:val="clear" w:color="auto" w:fill="auto"/>
            <w:noWrap/>
            <w:vAlign w:val="bottom"/>
            <w:hideMark/>
          </w:tcPr>
          <w:p w14:paraId="4B2723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799A4C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1C52EE7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492F6F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171.50</w:t>
            </w:r>
          </w:p>
        </w:tc>
        <w:tc>
          <w:tcPr>
            <w:tcW w:w="992" w:type="dxa"/>
            <w:tcBorders>
              <w:top w:val="nil"/>
              <w:left w:val="nil"/>
              <w:bottom w:val="nil"/>
              <w:right w:val="nil"/>
            </w:tcBorders>
            <w:shd w:val="clear" w:color="auto" w:fill="auto"/>
            <w:noWrap/>
            <w:vAlign w:val="bottom"/>
            <w:hideMark/>
          </w:tcPr>
          <w:p w14:paraId="051A24C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171.5</w:t>
            </w:r>
          </w:p>
        </w:tc>
        <w:tc>
          <w:tcPr>
            <w:tcW w:w="261" w:type="dxa"/>
            <w:tcBorders>
              <w:top w:val="nil"/>
              <w:left w:val="nil"/>
              <w:bottom w:val="nil"/>
              <w:right w:val="nil"/>
            </w:tcBorders>
            <w:shd w:val="clear" w:color="auto" w:fill="auto"/>
            <w:noWrap/>
            <w:vAlign w:val="bottom"/>
            <w:hideMark/>
          </w:tcPr>
          <w:p w14:paraId="57008F3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B84584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6.50</w:t>
            </w:r>
          </w:p>
        </w:tc>
        <w:tc>
          <w:tcPr>
            <w:tcW w:w="932" w:type="dxa"/>
            <w:tcBorders>
              <w:top w:val="nil"/>
              <w:left w:val="nil"/>
              <w:bottom w:val="nil"/>
              <w:right w:val="nil"/>
            </w:tcBorders>
            <w:shd w:val="clear" w:color="auto" w:fill="auto"/>
            <w:noWrap/>
            <w:vAlign w:val="bottom"/>
            <w:hideMark/>
          </w:tcPr>
          <w:p w14:paraId="2F3A6C7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6.5</w:t>
            </w:r>
          </w:p>
        </w:tc>
        <w:tc>
          <w:tcPr>
            <w:tcW w:w="283" w:type="dxa"/>
            <w:tcBorders>
              <w:top w:val="nil"/>
              <w:left w:val="nil"/>
              <w:bottom w:val="nil"/>
              <w:right w:val="nil"/>
            </w:tcBorders>
            <w:shd w:val="clear" w:color="auto" w:fill="auto"/>
            <w:noWrap/>
            <w:vAlign w:val="bottom"/>
            <w:hideMark/>
          </w:tcPr>
          <w:p w14:paraId="6F5FC33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7D0A803" w14:textId="328028B2" w:rsidR="00467C2F" w:rsidRPr="00467C2F" w:rsidRDefault="00467C2F" w:rsidP="00467C2F">
            <w:pPr>
              <w:jc w:val="center"/>
              <w:rPr>
                <w:rFonts w:eastAsia="Times New Roman"/>
                <w:color w:val="000000"/>
                <w:sz w:val="22"/>
                <w:szCs w:val="22"/>
              </w:rPr>
            </w:pPr>
            <w:r w:rsidRPr="00467C2F">
              <w:rPr>
                <w:color w:val="000000"/>
                <w:sz w:val="22"/>
                <w:szCs w:val="22"/>
              </w:rPr>
              <w:t>49.00</w:t>
            </w:r>
          </w:p>
        </w:tc>
        <w:tc>
          <w:tcPr>
            <w:tcW w:w="914" w:type="dxa"/>
            <w:tcBorders>
              <w:top w:val="nil"/>
              <w:left w:val="nil"/>
              <w:bottom w:val="nil"/>
              <w:right w:val="nil"/>
            </w:tcBorders>
            <w:shd w:val="clear" w:color="auto" w:fill="auto"/>
            <w:noWrap/>
            <w:vAlign w:val="bottom"/>
            <w:hideMark/>
          </w:tcPr>
          <w:p w14:paraId="2ACA5A53" w14:textId="22056BFC" w:rsidR="00467C2F" w:rsidRPr="00467C2F" w:rsidRDefault="00467C2F" w:rsidP="00467C2F">
            <w:pPr>
              <w:jc w:val="center"/>
              <w:rPr>
                <w:rFonts w:eastAsia="Times New Roman"/>
                <w:color w:val="000000"/>
                <w:sz w:val="22"/>
                <w:szCs w:val="22"/>
              </w:rPr>
            </w:pPr>
            <w:r w:rsidRPr="00467C2F">
              <w:rPr>
                <w:color w:val="000000"/>
                <w:sz w:val="22"/>
                <w:szCs w:val="22"/>
              </w:rPr>
              <w:t>49.00</w:t>
            </w:r>
          </w:p>
        </w:tc>
      </w:tr>
      <w:tr w:rsidR="00467C2F" w:rsidRPr="000912EF" w14:paraId="64F66879" w14:textId="77777777" w:rsidTr="0031315C">
        <w:trPr>
          <w:trHeight w:val="300"/>
        </w:trPr>
        <w:tc>
          <w:tcPr>
            <w:tcW w:w="851" w:type="dxa"/>
            <w:tcBorders>
              <w:top w:val="nil"/>
              <w:left w:val="nil"/>
              <w:bottom w:val="nil"/>
              <w:right w:val="nil"/>
            </w:tcBorders>
            <w:shd w:val="clear" w:color="auto" w:fill="auto"/>
            <w:noWrap/>
            <w:vAlign w:val="bottom"/>
            <w:hideMark/>
          </w:tcPr>
          <w:p w14:paraId="56C4B9DE" w14:textId="747AB1D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3" w:type="dxa"/>
            <w:tcBorders>
              <w:top w:val="nil"/>
              <w:left w:val="nil"/>
              <w:bottom w:val="nil"/>
              <w:right w:val="nil"/>
            </w:tcBorders>
            <w:shd w:val="clear" w:color="auto" w:fill="auto"/>
            <w:noWrap/>
            <w:vAlign w:val="bottom"/>
            <w:hideMark/>
          </w:tcPr>
          <w:p w14:paraId="541B62D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39ABF99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15922E9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412BE9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7E27396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1D19F8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125.00</w:t>
            </w:r>
          </w:p>
        </w:tc>
        <w:tc>
          <w:tcPr>
            <w:tcW w:w="992" w:type="dxa"/>
            <w:tcBorders>
              <w:top w:val="nil"/>
              <w:left w:val="nil"/>
              <w:bottom w:val="nil"/>
              <w:right w:val="nil"/>
            </w:tcBorders>
            <w:shd w:val="clear" w:color="auto" w:fill="auto"/>
            <w:noWrap/>
            <w:vAlign w:val="bottom"/>
            <w:hideMark/>
          </w:tcPr>
          <w:p w14:paraId="21E29F3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125</w:t>
            </w:r>
          </w:p>
        </w:tc>
        <w:tc>
          <w:tcPr>
            <w:tcW w:w="261" w:type="dxa"/>
            <w:tcBorders>
              <w:top w:val="nil"/>
              <w:left w:val="nil"/>
              <w:bottom w:val="nil"/>
              <w:right w:val="nil"/>
            </w:tcBorders>
            <w:shd w:val="clear" w:color="auto" w:fill="auto"/>
            <w:noWrap/>
            <w:vAlign w:val="bottom"/>
            <w:hideMark/>
          </w:tcPr>
          <w:p w14:paraId="0E01F2C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BCB2C7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932" w:type="dxa"/>
            <w:tcBorders>
              <w:top w:val="nil"/>
              <w:left w:val="nil"/>
              <w:bottom w:val="nil"/>
              <w:right w:val="nil"/>
            </w:tcBorders>
            <w:shd w:val="clear" w:color="auto" w:fill="auto"/>
            <w:noWrap/>
            <w:vAlign w:val="bottom"/>
            <w:hideMark/>
          </w:tcPr>
          <w:p w14:paraId="3C765E6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3" w:type="dxa"/>
            <w:tcBorders>
              <w:top w:val="nil"/>
              <w:left w:val="nil"/>
              <w:bottom w:val="nil"/>
              <w:right w:val="nil"/>
            </w:tcBorders>
            <w:shd w:val="clear" w:color="auto" w:fill="auto"/>
            <w:noWrap/>
            <w:vAlign w:val="bottom"/>
            <w:hideMark/>
          </w:tcPr>
          <w:p w14:paraId="240F4DB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7A25FC5C" w14:textId="4D5C9A76" w:rsidR="00467C2F" w:rsidRPr="00467C2F" w:rsidRDefault="00467C2F" w:rsidP="00467C2F">
            <w:pPr>
              <w:jc w:val="center"/>
              <w:rPr>
                <w:rFonts w:eastAsia="Times New Roman"/>
                <w:color w:val="000000"/>
                <w:sz w:val="22"/>
                <w:szCs w:val="22"/>
              </w:rPr>
            </w:pPr>
            <w:r w:rsidRPr="00467C2F">
              <w:rPr>
                <w:color w:val="000000"/>
                <w:sz w:val="22"/>
                <w:szCs w:val="22"/>
              </w:rPr>
              <w:t>3.00</w:t>
            </w:r>
          </w:p>
        </w:tc>
        <w:tc>
          <w:tcPr>
            <w:tcW w:w="914" w:type="dxa"/>
            <w:tcBorders>
              <w:top w:val="nil"/>
              <w:left w:val="nil"/>
              <w:bottom w:val="nil"/>
              <w:right w:val="nil"/>
            </w:tcBorders>
            <w:shd w:val="clear" w:color="auto" w:fill="auto"/>
            <w:noWrap/>
            <w:vAlign w:val="bottom"/>
            <w:hideMark/>
          </w:tcPr>
          <w:p w14:paraId="1E4F582D" w14:textId="20F5102F" w:rsidR="00467C2F" w:rsidRPr="00467C2F" w:rsidRDefault="00467C2F" w:rsidP="00467C2F">
            <w:pPr>
              <w:jc w:val="center"/>
              <w:rPr>
                <w:rFonts w:eastAsia="Times New Roman"/>
                <w:color w:val="000000"/>
                <w:sz w:val="22"/>
                <w:szCs w:val="22"/>
              </w:rPr>
            </w:pPr>
            <w:r w:rsidRPr="00467C2F">
              <w:rPr>
                <w:color w:val="000000"/>
                <w:sz w:val="22"/>
                <w:szCs w:val="22"/>
              </w:rPr>
              <w:t>3.00</w:t>
            </w:r>
          </w:p>
        </w:tc>
      </w:tr>
      <w:tr w:rsidR="00467C2F" w:rsidRPr="000912EF" w14:paraId="676E11B0" w14:textId="77777777" w:rsidTr="0031315C">
        <w:trPr>
          <w:trHeight w:val="300"/>
        </w:trPr>
        <w:tc>
          <w:tcPr>
            <w:tcW w:w="851" w:type="dxa"/>
            <w:tcBorders>
              <w:top w:val="nil"/>
              <w:left w:val="nil"/>
              <w:bottom w:val="nil"/>
              <w:right w:val="nil"/>
            </w:tcBorders>
            <w:shd w:val="clear" w:color="auto" w:fill="auto"/>
            <w:noWrap/>
            <w:vAlign w:val="bottom"/>
            <w:hideMark/>
          </w:tcPr>
          <w:p w14:paraId="5C12D7A7" w14:textId="40A1F9B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w:t>
            </w:r>
          </w:p>
        </w:tc>
        <w:tc>
          <w:tcPr>
            <w:tcW w:w="283" w:type="dxa"/>
            <w:tcBorders>
              <w:top w:val="nil"/>
              <w:left w:val="nil"/>
              <w:bottom w:val="nil"/>
              <w:right w:val="nil"/>
            </w:tcBorders>
            <w:shd w:val="clear" w:color="auto" w:fill="auto"/>
            <w:noWrap/>
            <w:vAlign w:val="bottom"/>
            <w:hideMark/>
          </w:tcPr>
          <w:p w14:paraId="59E7F88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3335811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4" w:type="dxa"/>
            <w:tcBorders>
              <w:top w:val="nil"/>
              <w:left w:val="nil"/>
              <w:bottom w:val="nil"/>
              <w:right w:val="nil"/>
            </w:tcBorders>
            <w:shd w:val="clear" w:color="auto" w:fill="auto"/>
            <w:noWrap/>
            <w:vAlign w:val="bottom"/>
            <w:hideMark/>
          </w:tcPr>
          <w:p w14:paraId="26A5745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46C2D0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0.99</w:t>
            </w:r>
          </w:p>
        </w:tc>
        <w:tc>
          <w:tcPr>
            <w:tcW w:w="305" w:type="dxa"/>
            <w:tcBorders>
              <w:top w:val="nil"/>
              <w:left w:val="nil"/>
              <w:bottom w:val="nil"/>
              <w:right w:val="nil"/>
            </w:tcBorders>
            <w:shd w:val="clear" w:color="auto" w:fill="auto"/>
            <w:noWrap/>
            <w:vAlign w:val="bottom"/>
            <w:hideMark/>
          </w:tcPr>
          <w:p w14:paraId="35084B1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A34D01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67.00</w:t>
            </w:r>
          </w:p>
        </w:tc>
        <w:tc>
          <w:tcPr>
            <w:tcW w:w="992" w:type="dxa"/>
            <w:tcBorders>
              <w:top w:val="nil"/>
              <w:left w:val="nil"/>
              <w:bottom w:val="nil"/>
              <w:right w:val="nil"/>
            </w:tcBorders>
            <w:shd w:val="clear" w:color="auto" w:fill="auto"/>
            <w:noWrap/>
            <w:vAlign w:val="bottom"/>
            <w:hideMark/>
          </w:tcPr>
          <w:p w14:paraId="772031C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67</w:t>
            </w:r>
          </w:p>
        </w:tc>
        <w:tc>
          <w:tcPr>
            <w:tcW w:w="261" w:type="dxa"/>
            <w:tcBorders>
              <w:top w:val="nil"/>
              <w:left w:val="nil"/>
              <w:bottom w:val="nil"/>
              <w:right w:val="nil"/>
            </w:tcBorders>
            <w:shd w:val="clear" w:color="auto" w:fill="auto"/>
            <w:noWrap/>
            <w:vAlign w:val="bottom"/>
            <w:hideMark/>
          </w:tcPr>
          <w:p w14:paraId="2921E82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14D3B94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2.50</w:t>
            </w:r>
          </w:p>
        </w:tc>
        <w:tc>
          <w:tcPr>
            <w:tcW w:w="932" w:type="dxa"/>
            <w:tcBorders>
              <w:top w:val="nil"/>
              <w:left w:val="nil"/>
              <w:bottom w:val="nil"/>
              <w:right w:val="nil"/>
            </w:tcBorders>
            <w:shd w:val="clear" w:color="auto" w:fill="auto"/>
            <w:noWrap/>
            <w:vAlign w:val="bottom"/>
            <w:hideMark/>
          </w:tcPr>
          <w:p w14:paraId="1977602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w:t>
            </w:r>
          </w:p>
        </w:tc>
        <w:tc>
          <w:tcPr>
            <w:tcW w:w="283" w:type="dxa"/>
            <w:tcBorders>
              <w:top w:val="nil"/>
              <w:left w:val="nil"/>
              <w:bottom w:val="nil"/>
              <w:right w:val="nil"/>
            </w:tcBorders>
            <w:shd w:val="clear" w:color="auto" w:fill="auto"/>
            <w:noWrap/>
            <w:vAlign w:val="bottom"/>
            <w:hideMark/>
          </w:tcPr>
          <w:p w14:paraId="13AFF0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5FB9FE73" w14:textId="090898E2" w:rsidR="00467C2F" w:rsidRPr="00467C2F" w:rsidRDefault="00467C2F" w:rsidP="00467C2F">
            <w:pPr>
              <w:jc w:val="center"/>
              <w:rPr>
                <w:rFonts w:eastAsia="Times New Roman"/>
                <w:color w:val="000000"/>
                <w:sz w:val="22"/>
                <w:szCs w:val="22"/>
              </w:rPr>
            </w:pPr>
            <w:r w:rsidRPr="00467C2F">
              <w:rPr>
                <w:color w:val="000000"/>
                <w:sz w:val="22"/>
                <w:szCs w:val="22"/>
              </w:rPr>
              <w:t>6.00</w:t>
            </w:r>
          </w:p>
        </w:tc>
        <w:tc>
          <w:tcPr>
            <w:tcW w:w="914" w:type="dxa"/>
            <w:tcBorders>
              <w:top w:val="nil"/>
              <w:left w:val="nil"/>
              <w:bottom w:val="nil"/>
              <w:right w:val="nil"/>
            </w:tcBorders>
            <w:shd w:val="clear" w:color="auto" w:fill="auto"/>
            <w:noWrap/>
            <w:vAlign w:val="bottom"/>
            <w:hideMark/>
          </w:tcPr>
          <w:p w14:paraId="7D635984" w14:textId="739BF20E" w:rsidR="00467C2F" w:rsidRPr="00467C2F" w:rsidRDefault="00467C2F" w:rsidP="00467C2F">
            <w:pPr>
              <w:jc w:val="center"/>
              <w:rPr>
                <w:rFonts w:eastAsia="Times New Roman"/>
                <w:color w:val="000000"/>
                <w:sz w:val="22"/>
                <w:szCs w:val="22"/>
              </w:rPr>
            </w:pPr>
            <w:r w:rsidRPr="00467C2F">
              <w:rPr>
                <w:color w:val="000000"/>
                <w:sz w:val="22"/>
                <w:szCs w:val="22"/>
              </w:rPr>
              <w:t>6.00</w:t>
            </w:r>
          </w:p>
        </w:tc>
      </w:tr>
      <w:tr w:rsidR="00467C2F" w:rsidRPr="000912EF" w14:paraId="16D91376" w14:textId="77777777" w:rsidTr="0031315C">
        <w:trPr>
          <w:trHeight w:val="300"/>
        </w:trPr>
        <w:tc>
          <w:tcPr>
            <w:tcW w:w="851" w:type="dxa"/>
            <w:tcBorders>
              <w:top w:val="nil"/>
              <w:left w:val="nil"/>
              <w:bottom w:val="nil"/>
              <w:right w:val="nil"/>
            </w:tcBorders>
            <w:shd w:val="clear" w:color="auto" w:fill="auto"/>
            <w:noWrap/>
            <w:vAlign w:val="bottom"/>
            <w:hideMark/>
          </w:tcPr>
          <w:p w14:paraId="04A98D25" w14:textId="7ACBB2EC"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w:t>
            </w:r>
          </w:p>
        </w:tc>
        <w:tc>
          <w:tcPr>
            <w:tcW w:w="283" w:type="dxa"/>
            <w:tcBorders>
              <w:top w:val="nil"/>
              <w:left w:val="nil"/>
              <w:bottom w:val="nil"/>
              <w:right w:val="nil"/>
            </w:tcBorders>
            <w:shd w:val="clear" w:color="auto" w:fill="auto"/>
            <w:noWrap/>
            <w:vAlign w:val="bottom"/>
            <w:hideMark/>
          </w:tcPr>
          <w:p w14:paraId="77986FB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E03F22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39</w:t>
            </w:r>
          </w:p>
        </w:tc>
        <w:tc>
          <w:tcPr>
            <w:tcW w:w="284" w:type="dxa"/>
            <w:tcBorders>
              <w:top w:val="nil"/>
              <w:left w:val="nil"/>
              <w:bottom w:val="nil"/>
              <w:right w:val="nil"/>
            </w:tcBorders>
            <w:shd w:val="clear" w:color="auto" w:fill="auto"/>
            <w:noWrap/>
            <w:vAlign w:val="bottom"/>
            <w:hideMark/>
          </w:tcPr>
          <w:p w14:paraId="686D1D6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D0CE4F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0.06</w:t>
            </w:r>
          </w:p>
        </w:tc>
        <w:tc>
          <w:tcPr>
            <w:tcW w:w="305" w:type="dxa"/>
            <w:tcBorders>
              <w:top w:val="nil"/>
              <w:left w:val="nil"/>
              <w:bottom w:val="nil"/>
              <w:right w:val="nil"/>
            </w:tcBorders>
            <w:shd w:val="clear" w:color="auto" w:fill="auto"/>
            <w:noWrap/>
            <w:vAlign w:val="bottom"/>
            <w:hideMark/>
          </w:tcPr>
          <w:p w14:paraId="32B8793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A0F60F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114.69</w:t>
            </w:r>
          </w:p>
        </w:tc>
        <w:tc>
          <w:tcPr>
            <w:tcW w:w="992" w:type="dxa"/>
            <w:tcBorders>
              <w:top w:val="nil"/>
              <w:left w:val="nil"/>
              <w:bottom w:val="nil"/>
              <w:right w:val="nil"/>
            </w:tcBorders>
            <w:shd w:val="clear" w:color="auto" w:fill="auto"/>
            <w:noWrap/>
            <w:vAlign w:val="bottom"/>
            <w:hideMark/>
          </w:tcPr>
          <w:p w14:paraId="6B07B4B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104</w:t>
            </w:r>
          </w:p>
        </w:tc>
        <w:tc>
          <w:tcPr>
            <w:tcW w:w="261" w:type="dxa"/>
            <w:tcBorders>
              <w:top w:val="nil"/>
              <w:left w:val="nil"/>
              <w:bottom w:val="nil"/>
              <w:right w:val="nil"/>
            </w:tcBorders>
            <w:shd w:val="clear" w:color="auto" w:fill="auto"/>
            <w:noWrap/>
            <w:vAlign w:val="bottom"/>
            <w:hideMark/>
          </w:tcPr>
          <w:p w14:paraId="21AD2AF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B565F6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2.90</w:t>
            </w:r>
          </w:p>
        </w:tc>
        <w:tc>
          <w:tcPr>
            <w:tcW w:w="932" w:type="dxa"/>
            <w:tcBorders>
              <w:top w:val="nil"/>
              <w:left w:val="nil"/>
              <w:bottom w:val="nil"/>
              <w:right w:val="nil"/>
            </w:tcBorders>
            <w:shd w:val="clear" w:color="auto" w:fill="auto"/>
            <w:noWrap/>
            <w:vAlign w:val="bottom"/>
            <w:hideMark/>
          </w:tcPr>
          <w:p w14:paraId="0B97078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3C088B5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2ED6D636" w14:textId="2E45869B" w:rsidR="00467C2F" w:rsidRPr="00467C2F" w:rsidRDefault="00467C2F" w:rsidP="00467C2F">
            <w:pPr>
              <w:jc w:val="center"/>
              <w:rPr>
                <w:rFonts w:eastAsia="Times New Roman"/>
                <w:color w:val="000000"/>
                <w:sz w:val="22"/>
                <w:szCs w:val="22"/>
              </w:rPr>
            </w:pPr>
            <w:r w:rsidRPr="00467C2F">
              <w:rPr>
                <w:color w:val="000000"/>
                <w:sz w:val="22"/>
                <w:szCs w:val="22"/>
              </w:rPr>
              <w:t>31.77</w:t>
            </w:r>
          </w:p>
        </w:tc>
        <w:tc>
          <w:tcPr>
            <w:tcW w:w="914" w:type="dxa"/>
            <w:tcBorders>
              <w:top w:val="nil"/>
              <w:left w:val="nil"/>
              <w:bottom w:val="nil"/>
              <w:right w:val="nil"/>
            </w:tcBorders>
            <w:shd w:val="clear" w:color="auto" w:fill="auto"/>
            <w:noWrap/>
            <w:vAlign w:val="bottom"/>
            <w:hideMark/>
          </w:tcPr>
          <w:p w14:paraId="02E49948" w14:textId="2E688539" w:rsidR="00467C2F" w:rsidRPr="00467C2F" w:rsidRDefault="00467C2F" w:rsidP="00467C2F">
            <w:pPr>
              <w:jc w:val="center"/>
              <w:rPr>
                <w:rFonts w:eastAsia="Times New Roman"/>
                <w:color w:val="000000"/>
                <w:sz w:val="22"/>
                <w:szCs w:val="22"/>
              </w:rPr>
            </w:pPr>
            <w:r w:rsidRPr="00467C2F">
              <w:rPr>
                <w:color w:val="000000"/>
                <w:sz w:val="22"/>
                <w:szCs w:val="22"/>
              </w:rPr>
              <w:t>37.00</w:t>
            </w:r>
          </w:p>
        </w:tc>
      </w:tr>
      <w:tr w:rsidR="00467C2F" w:rsidRPr="000912EF" w14:paraId="5B5D6492" w14:textId="77777777" w:rsidTr="0031315C">
        <w:trPr>
          <w:trHeight w:val="300"/>
        </w:trPr>
        <w:tc>
          <w:tcPr>
            <w:tcW w:w="851" w:type="dxa"/>
            <w:tcBorders>
              <w:top w:val="nil"/>
              <w:left w:val="nil"/>
              <w:bottom w:val="nil"/>
              <w:right w:val="nil"/>
            </w:tcBorders>
            <w:shd w:val="clear" w:color="auto" w:fill="auto"/>
            <w:noWrap/>
            <w:vAlign w:val="bottom"/>
            <w:hideMark/>
          </w:tcPr>
          <w:p w14:paraId="20CC411B" w14:textId="3AF043DF"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14</w:t>
            </w:r>
          </w:p>
        </w:tc>
        <w:tc>
          <w:tcPr>
            <w:tcW w:w="283" w:type="dxa"/>
            <w:tcBorders>
              <w:top w:val="nil"/>
              <w:left w:val="nil"/>
              <w:bottom w:val="nil"/>
              <w:right w:val="nil"/>
            </w:tcBorders>
            <w:shd w:val="clear" w:color="auto" w:fill="auto"/>
            <w:noWrap/>
            <w:vAlign w:val="bottom"/>
            <w:hideMark/>
          </w:tcPr>
          <w:p w14:paraId="56EA6BD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7A39134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4" w:type="dxa"/>
            <w:tcBorders>
              <w:top w:val="nil"/>
              <w:left w:val="nil"/>
              <w:bottom w:val="nil"/>
              <w:right w:val="nil"/>
            </w:tcBorders>
            <w:shd w:val="clear" w:color="auto" w:fill="auto"/>
            <w:noWrap/>
            <w:vAlign w:val="bottom"/>
            <w:hideMark/>
          </w:tcPr>
          <w:p w14:paraId="7AA5F07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4B063B4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0.53</w:t>
            </w:r>
          </w:p>
        </w:tc>
        <w:tc>
          <w:tcPr>
            <w:tcW w:w="305" w:type="dxa"/>
            <w:tcBorders>
              <w:top w:val="nil"/>
              <w:left w:val="nil"/>
              <w:bottom w:val="nil"/>
              <w:right w:val="nil"/>
            </w:tcBorders>
            <w:shd w:val="clear" w:color="auto" w:fill="auto"/>
            <w:noWrap/>
            <w:vAlign w:val="bottom"/>
            <w:hideMark/>
          </w:tcPr>
          <w:p w14:paraId="491CE1F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416A6E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102.25</w:t>
            </w:r>
          </w:p>
        </w:tc>
        <w:tc>
          <w:tcPr>
            <w:tcW w:w="992" w:type="dxa"/>
            <w:tcBorders>
              <w:top w:val="nil"/>
              <w:left w:val="nil"/>
              <w:bottom w:val="nil"/>
              <w:right w:val="nil"/>
            </w:tcBorders>
            <w:shd w:val="clear" w:color="auto" w:fill="auto"/>
            <w:noWrap/>
            <w:vAlign w:val="bottom"/>
            <w:hideMark/>
          </w:tcPr>
          <w:p w14:paraId="240D359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85.5</w:t>
            </w:r>
          </w:p>
        </w:tc>
        <w:tc>
          <w:tcPr>
            <w:tcW w:w="261" w:type="dxa"/>
            <w:tcBorders>
              <w:top w:val="nil"/>
              <w:left w:val="nil"/>
              <w:bottom w:val="nil"/>
              <w:right w:val="nil"/>
            </w:tcBorders>
            <w:shd w:val="clear" w:color="auto" w:fill="auto"/>
            <w:noWrap/>
            <w:vAlign w:val="bottom"/>
            <w:hideMark/>
          </w:tcPr>
          <w:p w14:paraId="29CDEE0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C32166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2.75</w:t>
            </w:r>
          </w:p>
        </w:tc>
        <w:tc>
          <w:tcPr>
            <w:tcW w:w="932" w:type="dxa"/>
            <w:tcBorders>
              <w:top w:val="nil"/>
              <w:left w:val="nil"/>
              <w:bottom w:val="nil"/>
              <w:right w:val="nil"/>
            </w:tcBorders>
            <w:shd w:val="clear" w:color="auto" w:fill="auto"/>
            <w:noWrap/>
            <w:vAlign w:val="bottom"/>
            <w:hideMark/>
          </w:tcPr>
          <w:p w14:paraId="08934C2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w:t>
            </w:r>
          </w:p>
        </w:tc>
        <w:tc>
          <w:tcPr>
            <w:tcW w:w="283" w:type="dxa"/>
            <w:tcBorders>
              <w:top w:val="nil"/>
              <w:left w:val="nil"/>
              <w:bottom w:val="nil"/>
              <w:right w:val="nil"/>
            </w:tcBorders>
            <w:shd w:val="clear" w:color="auto" w:fill="auto"/>
            <w:noWrap/>
            <w:vAlign w:val="bottom"/>
            <w:hideMark/>
          </w:tcPr>
          <w:p w14:paraId="15DD7E5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D4480FB" w14:textId="0507CF9F" w:rsidR="00467C2F" w:rsidRPr="00467C2F" w:rsidRDefault="00467C2F" w:rsidP="00467C2F">
            <w:pPr>
              <w:jc w:val="center"/>
              <w:rPr>
                <w:rFonts w:eastAsia="Times New Roman"/>
                <w:color w:val="000000"/>
                <w:sz w:val="22"/>
                <w:szCs w:val="22"/>
              </w:rPr>
            </w:pPr>
            <w:r w:rsidRPr="00467C2F">
              <w:rPr>
                <w:color w:val="000000"/>
                <w:sz w:val="22"/>
                <w:szCs w:val="22"/>
              </w:rPr>
              <w:t>24.25</w:t>
            </w:r>
          </w:p>
        </w:tc>
        <w:tc>
          <w:tcPr>
            <w:tcW w:w="914" w:type="dxa"/>
            <w:tcBorders>
              <w:top w:val="nil"/>
              <w:left w:val="nil"/>
              <w:bottom w:val="nil"/>
              <w:right w:val="nil"/>
            </w:tcBorders>
            <w:shd w:val="clear" w:color="auto" w:fill="auto"/>
            <w:noWrap/>
            <w:vAlign w:val="bottom"/>
            <w:hideMark/>
          </w:tcPr>
          <w:p w14:paraId="781511EB" w14:textId="1D96BD7E" w:rsidR="00467C2F" w:rsidRPr="00467C2F" w:rsidRDefault="00467C2F" w:rsidP="00467C2F">
            <w:pPr>
              <w:jc w:val="center"/>
              <w:rPr>
                <w:rFonts w:eastAsia="Times New Roman"/>
                <w:color w:val="000000"/>
                <w:sz w:val="22"/>
                <w:szCs w:val="22"/>
              </w:rPr>
            </w:pPr>
            <w:r w:rsidRPr="00467C2F">
              <w:rPr>
                <w:color w:val="000000"/>
                <w:sz w:val="22"/>
                <w:szCs w:val="22"/>
              </w:rPr>
              <w:t>24.50</w:t>
            </w:r>
          </w:p>
        </w:tc>
      </w:tr>
      <w:tr w:rsidR="00467C2F" w:rsidRPr="000912EF" w14:paraId="15037BE4" w14:textId="77777777" w:rsidTr="0031315C">
        <w:trPr>
          <w:trHeight w:val="300"/>
        </w:trPr>
        <w:tc>
          <w:tcPr>
            <w:tcW w:w="851" w:type="dxa"/>
            <w:tcBorders>
              <w:top w:val="nil"/>
              <w:left w:val="nil"/>
              <w:bottom w:val="nil"/>
              <w:right w:val="nil"/>
            </w:tcBorders>
            <w:shd w:val="clear" w:color="auto" w:fill="auto"/>
            <w:noWrap/>
            <w:vAlign w:val="bottom"/>
            <w:hideMark/>
          </w:tcPr>
          <w:p w14:paraId="28E82D27" w14:textId="248857A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15</w:t>
            </w:r>
          </w:p>
        </w:tc>
        <w:tc>
          <w:tcPr>
            <w:tcW w:w="283" w:type="dxa"/>
            <w:tcBorders>
              <w:top w:val="nil"/>
              <w:left w:val="nil"/>
              <w:bottom w:val="nil"/>
              <w:right w:val="nil"/>
            </w:tcBorders>
            <w:shd w:val="clear" w:color="auto" w:fill="auto"/>
            <w:noWrap/>
            <w:vAlign w:val="bottom"/>
            <w:hideMark/>
          </w:tcPr>
          <w:p w14:paraId="6E18EB2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4D02745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4" w:type="dxa"/>
            <w:tcBorders>
              <w:top w:val="nil"/>
              <w:left w:val="nil"/>
              <w:bottom w:val="nil"/>
              <w:right w:val="nil"/>
            </w:tcBorders>
            <w:shd w:val="clear" w:color="auto" w:fill="auto"/>
            <w:noWrap/>
            <w:vAlign w:val="bottom"/>
            <w:hideMark/>
          </w:tcPr>
          <w:p w14:paraId="7236DFF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E3BBC5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0.41</w:t>
            </w:r>
          </w:p>
        </w:tc>
        <w:tc>
          <w:tcPr>
            <w:tcW w:w="305" w:type="dxa"/>
            <w:tcBorders>
              <w:top w:val="nil"/>
              <w:left w:val="nil"/>
              <w:bottom w:val="nil"/>
              <w:right w:val="nil"/>
            </w:tcBorders>
            <w:shd w:val="clear" w:color="auto" w:fill="auto"/>
            <w:noWrap/>
            <w:vAlign w:val="bottom"/>
            <w:hideMark/>
          </w:tcPr>
          <w:p w14:paraId="14B4F76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D83DAD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112.40</w:t>
            </w:r>
          </w:p>
        </w:tc>
        <w:tc>
          <w:tcPr>
            <w:tcW w:w="992" w:type="dxa"/>
            <w:tcBorders>
              <w:top w:val="nil"/>
              <w:left w:val="nil"/>
              <w:bottom w:val="nil"/>
              <w:right w:val="nil"/>
            </w:tcBorders>
            <w:shd w:val="clear" w:color="auto" w:fill="auto"/>
            <w:noWrap/>
            <w:vAlign w:val="bottom"/>
            <w:hideMark/>
          </w:tcPr>
          <w:p w14:paraId="466E912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61</w:t>
            </w:r>
          </w:p>
        </w:tc>
        <w:tc>
          <w:tcPr>
            <w:tcW w:w="261" w:type="dxa"/>
            <w:tcBorders>
              <w:top w:val="nil"/>
              <w:left w:val="nil"/>
              <w:bottom w:val="nil"/>
              <w:right w:val="nil"/>
            </w:tcBorders>
            <w:shd w:val="clear" w:color="auto" w:fill="auto"/>
            <w:noWrap/>
            <w:vAlign w:val="bottom"/>
            <w:hideMark/>
          </w:tcPr>
          <w:p w14:paraId="1AC3E13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67A480A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3.80</w:t>
            </w:r>
          </w:p>
        </w:tc>
        <w:tc>
          <w:tcPr>
            <w:tcW w:w="932" w:type="dxa"/>
            <w:tcBorders>
              <w:top w:val="nil"/>
              <w:left w:val="nil"/>
              <w:bottom w:val="nil"/>
              <w:right w:val="nil"/>
            </w:tcBorders>
            <w:shd w:val="clear" w:color="auto" w:fill="auto"/>
            <w:noWrap/>
            <w:vAlign w:val="bottom"/>
            <w:hideMark/>
          </w:tcPr>
          <w:p w14:paraId="2CE7856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48F6270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2644D4A6" w14:textId="76E9E8CC" w:rsidR="00467C2F" w:rsidRPr="00467C2F" w:rsidRDefault="00467C2F" w:rsidP="00467C2F">
            <w:pPr>
              <w:jc w:val="center"/>
              <w:rPr>
                <w:rFonts w:eastAsia="Times New Roman"/>
                <w:color w:val="000000"/>
                <w:sz w:val="22"/>
                <w:szCs w:val="22"/>
              </w:rPr>
            </w:pPr>
            <w:r w:rsidRPr="00467C2F">
              <w:rPr>
                <w:color w:val="000000"/>
                <w:sz w:val="22"/>
                <w:szCs w:val="22"/>
              </w:rPr>
              <w:t>15.40</w:t>
            </w:r>
          </w:p>
        </w:tc>
        <w:tc>
          <w:tcPr>
            <w:tcW w:w="914" w:type="dxa"/>
            <w:tcBorders>
              <w:top w:val="nil"/>
              <w:left w:val="nil"/>
              <w:bottom w:val="nil"/>
              <w:right w:val="nil"/>
            </w:tcBorders>
            <w:shd w:val="clear" w:color="auto" w:fill="auto"/>
            <w:noWrap/>
            <w:vAlign w:val="bottom"/>
            <w:hideMark/>
          </w:tcPr>
          <w:p w14:paraId="399E9D40" w14:textId="53FCCE6F" w:rsidR="00467C2F" w:rsidRPr="00467C2F" w:rsidRDefault="00467C2F" w:rsidP="00467C2F">
            <w:pPr>
              <w:jc w:val="center"/>
              <w:rPr>
                <w:rFonts w:eastAsia="Times New Roman"/>
                <w:color w:val="000000"/>
                <w:sz w:val="22"/>
                <w:szCs w:val="22"/>
              </w:rPr>
            </w:pPr>
            <w:r w:rsidRPr="00467C2F">
              <w:rPr>
                <w:color w:val="000000"/>
                <w:sz w:val="22"/>
                <w:szCs w:val="22"/>
              </w:rPr>
              <w:t>7.00</w:t>
            </w:r>
          </w:p>
        </w:tc>
      </w:tr>
      <w:tr w:rsidR="00467C2F" w:rsidRPr="000912EF" w14:paraId="304CDB9E" w14:textId="77777777" w:rsidTr="0031315C">
        <w:trPr>
          <w:trHeight w:val="300"/>
        </w:trPr>
        <w:tc>
          <w:tcPr>
            <w:tcW w:w="851" w:type="dxa"/>
            <w:tcBorders>
              <w:top w:val="nil"/>
              <w:left w:val="nil"/>
              <w:bottom w:val="nil"/>
              <w:right w:val="nil"/>
            </w:tcBorders>
            <w:shd w:val="clear" w:color="auto" w:fill="auto"/>
            <w:noWrap/>
            <w:vAlign w:val="bottom"/>
            <w:hideMark/>
          </w:tcPr>
          <w:p w14:paraId="41B492EC" w14:textId="6535975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16</w:t>
            </w:r>
          </w:p>
        </w:tc>
        <w:tc>
          <w:tcPr>
            <w:tcW w:w="283" w:type="dxa"/>
            <w:tcBorders>
              <w:top w:val="nil"/>
              <w:left w:val="nil"/>
              <w:bottom w:val="nil"/>
              <w:right w:val="nil"/>
            </w:tcBorders>
            <w:shd w:val="clear" w:color="auto" w:fill="auto"/>
            <w:noWrap/>
            <w:vAlign w:val="bottom"/>
            <w:hideMark/>
          </w:tcPr>
          <w:p w14:paraId="4775514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7ABD1A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43BE6D5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7B75262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5844881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824EA7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215.00</w:t>
            </w:r>
          </w:p>
        </w:tc>
        <w:tc>
          <w:tcPr>
            <w:tcW w:w="992" w:type="dxa"/>
            <w:tcBorders>
              <w:top w:val="nil"/>
              <w:left w:val="nil"/>
              <w:bottom w:val="nil"/>
              <w:right w:val="nil"/>
            </w:tcBorders>
            <w:shd w:val="clear" w:color="auto" w:fill="auto"/>
            <w:noWrap/>
            <w:vAlign w:val="bottom"/>
            <w:hideMark/>
          </w:tcPr>
          <w:p w14:paraId="1B448FF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215</w:t>
            </w:r>
          </w:p>
        </w:tc>
        <w:tc>
          <w:tcPr>
            <w:tcW w:w="261" w:type="dxa"/>
            <w:tcBorders>
              <w:top w:val="nil"/>
              <w:left w:val="nil"/>
              <w:bottom w:val="nil"/>
              <w:right w:val="nil"/>
            </w:tcBorders>
            <w:shd w:val="clear" w:color="auto" w:fill="auto"/>
            <w:noWrap/>
            <w:vAlign w:val="bottom"/>
            <w:hideMark/>
          </w:tcPr>
          <w:p w14:paraId="3054707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326B6EB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6.00</w:t>
            </w:r>
          </w:p>
        </w:tc>
        <w:tc>
          <w:tcPr>
            <w:tcW w:w="932" w:type="dxa"/>
            <w:tcBorders>
              <w:top w:val="nil"/>
              <w:left w:val="nil"/>
              <w:bottom w:val="nil"/>
              <w:right w:val="nil"/>
            </w:tcBorders>
            <w:shd w:val="clear" w:color="auto" w:fill="auto"/>
            <w:noWrap/>
            <w:vAlign w:val="bottom"/>
            <w:hideMark/>
          </w:tcPr>
          <w:p w14:paraId="5E83CC2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3" w:type="dxa"/>
            <w:tcBorders>
              <w:top w:val="nil"/>
              <w:left w:val="nil"/>
              <w:bottom w:val="nil"/>
              <w:right w:val="nil"/>
            </w:tcBorders>
            <w:shd w:val="clear" w:color="auto" w:fill="auto"/>
            <w:noWrap/>
            <w:vAlign w:val="bottom"/>
            <w:hideMark/>
          </w:tcPr>
          <w:p w14:paraId="013CEF2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9AFA155" w14:textId="160F7F80" w:rsidR="00467C2F" w:rsidRPr="00467C2F" w:rsidRDefault="00467C2F" w:rsidP="00467C2F">
            <w:pPr>
              <w:jc w:val="center"/>
              <w:rPr>
                <w:rFonts w:eastAsia="Times New Roman"/>
                <w:color w:val="000000"/>
                <w:sz w:val="22"/>
                <w:szCs w:val="22"/>
              </w:rPr>
            </w:pPr>
            <w:r w:rsidRPr="00467C2F">
              <w:rPr>
                <w:color w:val="000000"/>
                <w:sz w:val="22"/>
                <w:szCs w:val="22"/>
              </w:rPr>
              <w:t>100.00</w:t>
            </w:r>
          </w:p>
        </w:tc>
        <w:tc>
          <w:tcPr>
            <w:tcW w:w="914" w:type="dxa"/>
            <w:tcBorders>
              <w:top w:val="nil"/>
              <w:left w:val="nil"/>
              <w:bottom w:val="nil"/>
              <w:right w:val="nil"/>
            </w:tcBorders>
            <w:shd w:val="clear" w:color="auto" w:fill="auto"/>
            <w:noWrap/>
            <w:vAlign w:val="bottom"/>
            <w:hideMark/>
          </w:tcPr>
          <w:p w14:paraId="01CCFE85" w14:textId="47A6CDE5" w:rsidR="00467C2F" w:rsidRPr="00467C2F" w:rsidRDefault="00467C2F" w:rsidP="00467C2F">
            <w:pPr>
              <w:jc w:val="center"/>
              <w:rPr>
                <w:rFonts w:eastAsia="Times New Roman"/>
                <w:color w:val="000000"/>
                <w:sz w:val="22"/>
                <w:szCs w:val="22"/>
              </w:rPr>
            </w:pPr>
            <w:r w:rsidRPr="00467C2F">
              <w:rPr>
                <w:color w:val="000000"/>
                <w:sz w:val="22"/>
                <w:szCs w:val="22"/>
              </w:rPr>
              <w:t>100.00</w:t>
            </w:r>
          </w:p>
        </w:tc>
      </w:tr>
      <w:tr w:rsidR="00467C2F" w:rsidRPr="000912EF" w14:paraId="6A4A8AD9" w14:textId="77777777" w:rsidTr="0031315C">
        <w:trPr>
          <w:trHeight w:val="300"/>
        </w:trPr>
        <w:tc>
          <w:tcPr>
            <w:tcW w:w="851" w:type="dxa"/>
            <w:tcBorders>
              <w:top w:val="nil"/>
              <w:left w:val="nil"/>
              <w:bottom w:val="nil"/>
              <w:right w:val="nil"/>
            </w:tcBorders>
            <w:shd w:val="clear" w:color="auto" w:fill="auto"/>
            <w:noWrap/>
            <w:vAlign w:val="bottom"/>
            <w:hideMark/>
          </w:tcPr>
          <w:p w14:paraId="0F920D70" w14:textId="63802F6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17</w:t>
            </w:r>
          </w:p>
        </w:tc>
        <w:tc>
          <w:tcPr>
            <w:tcW w:w="283" w:type="dxa"/>
            <w:tcBorders>
              <w:top w:val="nil"/>
              <w:left w:val="nil"/>
              <w:bottom w:val="nil"/>
              <w:right w:val="nil"/>
            </w:tcBorders>
            <w:shd w:val="clear" w:color="auto" w:fill="auto"/>
            <w:noWrap/>
            <w:vAlign w:val="bottom"/>
            <w:hideMark/>
          </w:tcPr>
          <w:p w14:paraId="711A4A0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896E9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70987F8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560A5B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07C187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66846A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34.00</w:t>
            </w:r>
          </w:p>
        </w:tc>
        <w:tc>
          <w:tcPr>
            <w:tcW w:w="992" w:type="dxa"/>
            <w:tcBorders>
              <w:top w:val="nil"/>
              <w:left w:val="nil"/>
              <w:bottom w:val="nil"/>
              <w:right w:val="nil"/>
            </w:tcBorders>
            <w:shd w:val="clear" w:color="auto" w:fill="auto"/>
            <w:noWrap/>
            <w:vAlign w:val="bottom"/>
            <w:hideMark/>
          </w:tcPr>
          <w:p w14:paraId="096AA76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w:t>
            </w:r>
          </w:p>
        </w:tc>
        <w:tc>
          <w:tcPr>
            <w:tcW w:w="261" w:type="dxa"/>
            <w:tcBorders>
              <w:top w:val="nil"/>
              <w:left w:val="nil"/>
              <w:bottom w:val="nil"/>
              <w:right w:val="nil"/>
            </w:tcBorders>
            <w:shd w:val="clear" w:color="auto" w:fill="auto"/>
            <w:noWrap/>
            <w:vAlign w:val="bottom"/>
            <w:hideMark/>
          </w:tcPr>
          <w:p w14:paraId="5BA5834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7AAC2C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932" w:type="dxa"/>
            <w:tcBorders>
              <w:top w:val="nil"/>
              <w:left w:val="nil"/>
              <w:bottom w:val="nil"/>
              <w:right w:val="nil"/>
            </w:tcBorders>
            <w:shd w:val="clear" w:color="auto" w:fill="auto"/>
            <w:noWrap/>
            <w:vAlign w:val="bottom"/>
            <w:hideMark/>
          </w:tcPr>
          <w:p w14:paraId="6CFEAFF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3" w:type="dxa"/>
            <w:tcBorders>
              <w:top w:val="nil"/>
              <w:left w:val="nil"/>
              <w:bottom w:val="nil"/>
              <w:right w:val="nil"/>
            </w:tcBorders>
            <w:shd w:val="clear" w:color="auto" w:fill="auto"/>
            <w:noWrap/>
            <w:vAlign w:val="bottom"/>
            <w:hideMark/>
          </w:tcPr>
          <w:p w14:paraId="01B1A42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6F209D0" w14:textId="45A6AA75" w:rsidR="00467C2F" w:rsidRPr="00467C2F" w:rsidRDefault="00467C2F" w:rsidP="00467C2F">
            <w:pPr>
              <w:jc w:val="center"/>
              <w:rPr>
                <w:rFonts w:eastAsia="Times New Roman"/>
                <w:color w:val="000000"/>
                <w:sz w:val="22"/>
                <w:szCs w:val="22"/>
              </w:rPr>
            </w:pPr>
            <w:r w:rsidRPr="00467C2F">
              <w:rPr>
                <w:color w:val="000000"/>
                <w:sz w:val="22"/>
                <w:szCs w:val="22"/>
              </w:rPr>
              <w:t>7.00</w:t>
            </w:r>
          </w:p>
        </w:tc>
        <w:tc>
          <w:tcPr>
            <w:tcW w:w="914" w:type="dxa"/>
            <w:tcBorders>
              <w:top w:val="nil"/>
              <w:left w:val="nil"/>
              <w:bottom w:val="nil"/>
              <w:right w:val="nil"/>
            </w:tcBorders>
            <w:shd w:val="clear" w:color="auto" w:fill="auto"/>
            <w:noWrap/>
            <w:vAlign w:val="bottom"/>
            <w:hideMark/>
          </w:tcPr>
          <w:p w14:paraId="5E6F2E28" w14:textId="48619AE5" w:rsidR="00467C2F" w:rsidRPr="00467C2F" w:rsidRDefault="00467C2F" w:rsidP="00467C2F">
            <w:pPr>
              <w:jc w:val="center"/>
              <w:rPr>
                <w:rFonts w:eastAsia="Times New Roman"/>
                <w:color w:val="000000"/>
                <w:sz w:val="22"/>
                <w:szCs w:val="22"/>
              </w:rPr>
            </w:pPr>
            <w:r w:rsidRPr="00467C2F">
              <w:rPr>
                <w:color w:val="000000"/>
                <w:sz w:val="22"/>
                <w:szCs w:val="22"/>
              </w:rPr>
              <w:t>7.00</w:t>
            </w:r>
          </w:p>
        </w:tc>
      </w:tr>
      <w:tr w:rsidR="00467C2F" w:rsidRPr="000912EF" w14:paraId="720124BF" w14:textId="77777777" w:rsidTr="0031315C">
        <w:trPr>
          <w:trHeight w:val="300"/>
        </w:trPr>
        <w:tc>
          <w:tcPr>
            <w:tcW w:w="851" w:type="dxa"/>
            <w:tcBorders>
              <w:top w:val="nil"/>
              <w:left w:val="nil"/>
              <w:bottom w:val="nil"/>
              <w:right w:val="nil"/>
            </w:tcBorders>
            <w:shd w:val="clear" w:color="auto" w:fill="auto"/>
            <w:noWrap/>
            <w:vAlign w:val="bottom"/>
            <w:hideMark/>
          </w:tcPr>
          <w:p w14:paraId="48BD8A43" w14:textId="641302DC"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20</w:t>
            </w:r>
          </w:p>
        </w:tc>
        <w:tc>
          <w:tcPr>
            <w:tcW w:w="283" w:type="dxa"/>
            <w:tcBorders>
              <w:top w:val="nil"/>
              <w:left w:val="nil"/>
              <w:bottom w:val="nil"/>
              <w:right w:val="nil"/>
            </w:tcBorders>
            <w:shd w:val="clear" w:color="auto" w:fill="auto"/>
            <w:noWrap/>
            <w:vAlign w:val="bottom"/>
            <w:hideMark/>
          </w:tcPr>
          <w:p w14:paraId="2A6E079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5A2681E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w:t>
            </w:r>
          </w:p>
        </w:tc>
        <w:tc>
          <w:tcPr>
            <w:tcW w:w="284" w:type="dxa"/>
            <w:tcBorders>
              <w:top w:val="nil"/>
              <w:left w:val="nil"/>
              <w:bottom w:val="nil"/>
              <w:right w:val="nil"/>
            </w:tcBorders>
            <w:shd w:val="clear" w:color="auto" w:fill="auto"/>
            <w:noWrap/>
            <w:vAlign w:val="bottom"/>
            <w:hideMark/>
          </w:tcPr>
          <w:p w14:paraId="125338E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DBB3E5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0.32</w:t>
            </w:r>
          </w:p>
        </w:tc>
        <w:tc>
          <w:tcPr>
            <w:tcW w:w="305" w:type="dxa"/>
            <w:tcBorders>
              <w:top w:val="nil"/>
              <w:left w:val="nil"/>
              <w:bottom w:val="nil"/>
              <w:right w:val="nil"/>
            </w:tcBorders>
            <w:shd w:val="clear" w:color="auto" w:fill="auto"/>
            <w:noWrap/>
            <w:vAlign w:val="bottom"/>
            <w:hideMark/>
          </w:tcPr>
          <w:p w14:paraId="3353D84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29C6CD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108.63</w:t>
            </w:r>
          </w:p>
        </w:tc>
        <w:tc>
          <w:tcPr>
            <w:tcW w:w="992" w:type="dxa"/>
            <w:tcBorders>
              <w:top w:val="nil"/>
              <w:left w:val="nil"/>
              <w:bottom w:val="nil"/>
              <w:right w:val="nil"/>
            </w:tcBorders>
            <w:shd w:val="clear" w:color="auto" w:fill="auto"/>
            <w:noWrap/>
            <w:vAlign w:val="bottom"/>
            <w:hideMark/>
          </w:tcPr>
          <w:p w14:paraId="360745A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96</w:t>
            </w:r>
          </w:p>
        </w:tc>
        <w:tc>
          <w:tcPr>
            <w:tcW w:w="261" w:type="dxa"/>
            <w:tcBorders>
              <w:top w:val="nil"/>
              <w:left w:val="nil"/>
              <w:bottom w:val="nil"/>
              <w:right w:val="nil"/>
            </w:tcBorders>
            <w:shd w:val="clear" w:color="auto" w:fill="auto"/>
            <w:noWrap/>
            <w:vAlign w:val="bottom"/>
            <w:hideMark/>
          </w:tcPr>
          <w:p w14:paraId="5008B6B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956858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3.25</w:t>
            </w:r>
          </w:p>
        </w:tc>
        <w:tc>
          <w:tcPr>
            <w:tcW w:w="932" w:type="dxa"/>
            <w:tcBorders>
              <w:top w:val="nil"/>
              <w:left w:val="nil"/>
              <w:bottom w:val="nil"/>
              <w:right w:val="nil"/>
            </w:tcBorders>
            <w:shd w:val="clear" w:color="auto" w:fill="auto"/>
            <w:noWrap/>
            <w:vAlign w:val="bottom"/>
            <w:hideMark/>
          </w:tcPr>
          <w:p w14:paraId="074CD62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w:t>
            </w:r>
          </w:p>
        </w:tc>
        <w:tc>
          <w:tcPr>
            <w:tcW w:w="283" w:type="dxa"/>
            <w:tcBorders>
              <w:top w:val="nil"/>
              <w:left w:val="nil"/>
              <w:bottom w:val="nil"/>
              <w:right w:val="nil"/>
            </w:tcBorders>
            <w:shd w:val="clear" w:color="auto" w:fill="auto"/>
            <w:noWrap/>
            <w:vAlign w:val="bottom"/>
            <w:hideMark/>
          </w:tcPr>
          <w:p w14:paraId="29C118E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FE4EAE5" w14:textId="49439F70" w:rsidR="00467C2F" w:rsidRPr="00467C2F" w:rsidRDefault="00467C2F" w:rsidP="00467C2F">
            <w:pPr>
              <w:jc w:val="center"/>
              <w:rPr>
                <w:rFonts w:eastAsia="Times New Roman"/>
                <w:color w:val="000000"/>
                <w:sz w:val="22"/>
                <w:szCs w:val="22"/>
              </w:rPr>
            </w:pPr>
            <w:r w:rsidRPr="00467C2F">
              <w:rPr>
                <w:color w:val="000000"/>
                <w:sz w:val="22"/>
                <w:szCs w:val="22"/>
              </w:rPr>
              <w:t>25.88</w:t>
            </w:r>
          </w:p>
        </w:tc>
        <w:tc>
          <w:tcPr>
            <w:tcW w:w="914" w:type="dxa"/>
            <w:tcBorders>
              <w:top w:val="nil"/>
              <w:left w:val="nil"/>
              <w:bottom w:val="nil"/>
              <w:right w:val="nil"/>
            </w:tcBorders>
            <w:shd w:val="clear" w:color="auto" w:fill="auto"/>
            <w:noWrap/>
            <w:vAlign w:val="bottom"/>
            <w:hideMark/>
          </w:tcPr>
          <w:p w14:paraId="3C144E00" w14:textId="18A7451C" w:rsidR="00467C2F" w:rsidRPr="00467C2F" w:rsidRDefault="00467C2F" w:rsidP="00467C2F">
            <w:pPr>
              <w:jc w:val="center"/>
              <w:rPr>
                <w:rFonts w:eastAsia="Times New Roman"/>
                <w:color w:val="000000"/>
                <w:sz w:val="22"/>
                <w:szCs w:val="22"/>
              </w:rPr>
            </w:pPr>
            <w:r w:rsidRPr="00467C2F">
              <w:rPr>
                <w:color w:val="000000"/>
                <w:sz w:val="22"/>
                <w:szCs w:val="22"/>
              </w:rPr>
              <w:t>28.00</w:t>
            </w:r>
          </w:p>
        </w:tc>
      </w:tr>
      <w:tr w:rsidR="00467C2F" w:rsidRPr="000912EF" w14:paraId="65F6FF63" w14:textId="77777777" w:rsidTr="0031315C">
        <w:trPr>
          <w:trHeight w:val="300"/>
        </w:trPr>
        <w:tc>
          <w:tcPr>
            <w:tcW w:w="851" w:type="dxa"/>
            <w:tcBorders>
              <w:top w:val="nil"/>
              <w:left w:val="nil"/>
              <w:bottom w:val="nil"/>
              <w:right w:val="nil"/>
            </w:tcBorders>
            <w:shd w:val="clear" w:color="auto" w:fill="auto"/>
            <w:noWrap/>
            <w:vAlign w:val="bottom"/>
            <w:hideMark/>
          </w:tcPr>
          <w:p w14:paraId="30EBAFEB" w14:textId="32B659F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21</w:t>
            </w:r>
          </w:p>
        </w:tc>
        <w:tc>
          <w:tcPr>
            <w:tcW w:w="283" w:type="dxa"/>
            <w:tcBorders>
              <w:top w:val="nil"/>
              <w:left w:val="nil"/>
              <w:bottom w:val="nil"/>
              <w:right w:val="nil"/>
            </w:tcBorders>
            <w:shd w:val="clear" w:color="auto" w:fill="auto"/>
            <w:noWrap/>
            <w:vAlign w:val="bottom"/>
            <w:hideMark/>
          </w:tcPr>
          <w:p w14:paraId="5CC8A00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7AF848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437C2F6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0E33154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58C4FC1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809003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187.00</w:t>
            </w:r>
          </w:p>
        </w:tc>
        <w:tc>
          <w:tcPr>
            <w:tcW w:w="992" w:type="dxa"/>
            <w:tcBorders>
              <w:top w:val="nil"/>
              <w:left w:val="nil"/>
              <w:bottom w:val="nil"/>
              <w:right w:val="nil"/>
            </w:tcBorders>
            <w:shd w:val="clear" w:color="auto" w:fill="auto"/>
            <w:noWrap/>
            <w:vAlign w:val="bottom"/>
            <w:hideMark/>
          </w:tcPr>
          <w:p w14:paraId="2C5AE8D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187</w:t>
            </w:r>
          </w:p>
        </w:tc>
        <w:tc>
          <w:tcPr>
            <w:tcW w:w="261" w:type="dxa"/>
            <w:tcBorders>
              <w:top w:val="nil"/>
              <w:left w:val="nil"/>
              <w:bottom w:val="nil"/>
              <w:right w:val="nil"/>
            </w:tcBorders>
            <w:shd w:val="clear" w:color="auto" w:fill="auto"/>
            <w:noWrap/>
            <w:vAlign w:val="bottom"/>
            <w:hideMark/>
          </w:tcPr>
          <w:p w14:paraId="36A47C2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F3B55B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3.00</w:t>
            </w:r>
          </w:p>
        </w:tc>
        <w:tc>
          <w:tcPr>
            <w:tcW w:w="932" w:type="dxa"/>
            <w:tcBorders>
              <w:top w:val="nil"/>
              <w:left w:val="nil"/>
              <w:bottom w:val="nil"/>
              <w:right w:val="nil"/>
            </w:tcBorders>
            <w:shd w:val="clear" w:color="auto" w:fill="auto"/>
            <w:noWrap/>
            <w:vAlign w:val="bottom"/>
            <w:hideMark/>
          </w:tcPr>
          <w:p w14:paraId="0253D86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65A26EA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237B6765" w14:textId="1DF8259E" w:rsidR="00467C2F" w:rsidRPr="00467C2F" w:rsidRDefault="00467C2F" w:rsidP="00467C2F">
            <w:pPr>
              <w:jc w:val="center"/>
              <w:rPr>
                <w:rFonts w:eastAsia="Times New Roman"/>
                <w:color w:val="000000"/>
                <w:sz w:val="22"/>
                <w:szCs w:val="22"/>
              </w:rPr>
            </w:pPr>
            <w:r w:rsidRPr="00467C2F">
              <w:rPr>
                <w:color w:val="000000"/>
                <w:sz w:val="22"/>
                <w:szCs w:val="22"/>
              </w:rPr>
              <w:t>5.00</w:t>
            </w:r>
          </w:p>
        </w:tc>
        <w:tc>
          <w:tcPr>
            <w:tcW w:w="914" w:type="dxa"/>
            <w:tcBorders>
              <w:top w:val="nil"/>
              <w:left w:val="nil"/>
              <w:bottom w:val="nil"/>
              <w:right w:val="nil"/>
            </w:tcBorders>
            <w:shd w:val="clear" w:color="auto" w:fill="auto"/>
            <w:noWrap/>
            <w:vAlign w:val="bottom"/>
            <w:hideMark/>
          </w:tcPr>
          <w:p w14:paraId="503A41B1" w14:textId="361730C2" w:rsidR="00467C2F" w:rsidRPr="00467C2F" w:rsidRDefault="00467C2F" w:rsidP="00467C2F">
            <w:pPr>
              <w:jc w:val="center"/>
              <w:rPr>
                <w:rFonts w:eastAsia="Times New Roman"/>
                <w:color w:val="000000"/>
                <w:sz w:val="22"/>
                <w:szCs w:val="22"/>
              </w:rPr>
            </w:pPr>
            <w:r w:rsidRPr="00467C2F">
              <w:rPr>
                <w:color w:val="000000"/>
                <w:sz w:val="22"/>
                <w:szCs w:val="22"/>
              </w:rPr>
              <w:t>5.00</w:t>
            </w:r>
          </w:p>
        </w:tc>
      </w:tr>
      <w:tr w:rsidR="00467C2F" w:rsidRPr="000912EF" w14:paraId="1DA08D6D" w14:textId="77777777" w:rsidTr="0031315C">
        <w:trPr>
          <w:trHeight w:val="300"/>
        </w:trPr>
        <w:tc>
          <w:tcPr>
            <w:tcW w:w="851" w:type="dxa"/>
            <w:tcBorders>
              <w:top w:val="nil"/>
              <w:left w:val="nil"/>
              <w:bottom w:val="nil"/>
              <w:right w:val="nil"/>
            </w:tcBorders>
            <w:shd w:val="clear" w:color="auto" w:fill="auto"/>
            <w:noWrap/>
            <w:vAlign w:val="bottom"/>
            <w:hideMark/>
          </w:tcPr>
          <w:p w14:paraId="4FB05BDF" w14:textId="1A4076B8"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23</w:t>
            </w:r>
          </w:p>
        </w:tc>
        <w:tc>
          <w:tcPr>
            <w:tcW w:w="283" w:type="dxa"/>
            <w:tcBorders>
              <w:top w:val="nil"/>
              <w:left w:val="nil"/>
              <w:bottom w:val="nil"/>
              <w:right w:val="nil"/>
            </w:tcBorders>
            <w:shd w:val="clear" w:color="auto" w:fill="auto"/>
            <w:noWrap/>
            <w:vAlign w:val="bottom"/>
            <w:hideMark/>
          </w:tcPr>
          <w:p w14:paraId="3BC14AD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161B36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1C2BB22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535E968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6EC190E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2E08D3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87.00</w:t>
            </w:r>
          </w:p>
        </w:tc>
        <w:tc>
          <w:tcPr>
            <w:tcW w:w="992" w:type="dxa"/>
            <w:tcBorders>
              <w:top w:val="nil"/>
              <w:left w:val="nil"/>
              <w:bottom w:val="nil"/>
              <w:right w:val="nil"/>
            </w:tcBorders>
            <w:shd w:val="clear" w:color="auto" w:fill="auto"/>
            <w:noWrap/>
            <w:vAlign w:val="bottom"/>
            <w:hideMark/>
          </w:tcPr>
          <w:p w14:paraId="4B97344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87</w:t>
            </w:r>
          </w:p>
        </w:tc>
        <w:tc>
          <w:tcPr>
            <w:tcW w:w="261" w:type="dxa"/>
            <w:tcBorders>
              <w:top w:val="nil"/>
              <w:left w:val="nil"/>
              <w:bottom w:val="nil"/>
              <w:right w:val="nil"/>
            </w:tcBorders>
            <w:shd w:val="clear" w:color="auto" w:fill="auto"/>
            <w:noWrap/>
            <w:vAlign w:val="bottom"/>
            <w:hideMark/>
          </w:tcPr>
          <w:p w14:paraId="02BE515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A42D7C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5.00</w:t>
            </w:r>
          </w:p>
        </w:tc>
        <w:tc>
          <w:tcPr>
            <w:tcW w:w="932" w:type="dxa"/>
            <w:tcBorders>
              <w:top w:val="nil"/>
              <w:left w:val="nil"/>
              <w:bottom w:val="nil"/>
              <w:right w:val="nil"/>
            </w:tcBorders>
            <w:shd w:val="clear" w:color="auto" w:fill="auto"/>
            <w:noWrap/>
            <w:vAlign w:val="bottom"/>
            <w:hideMark/>
          </w:tcPr>
          <w:p w14:paraId="515E074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3" w:type="dxa"/>
            <w:tcBorders>
              <w:top w:val="nil"/>
              <w:left w:val="nil"/>
              <w:bottom w:val="nil"/>
              <w:right w:val="nil"/>
            </w:tcBorders>
            <w:shd w:val="clear" w:color="auto" w:fill="auto"/>
            <w:noWrap/>
            <w:vAlign w:val="bottom"/>
            <w:hideMark/>
          </w:tcPr>
          <w:p w14:paraId="1F4B036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BCEEFAC" w14:textId="4B124F64" w:rsidR="00467C2F" w:rsidRPr="00467C2F" w:rsidRDefault="00467C2F" w:rsidP="00467C2F">
            <w:pPr>
              <w:jc w:val="center"/>
              <w:rPr>
                <w:rFonts w:eastAsia="Times New Roman"/>
                <w:color w:val="000000"/>
                <w:sz w:val="22"/>
                <w:szCs w:val="22"/>
              </w:rPr>
            </w:pPr>
            <w:r w:rsidRPr="00467C2F">
              <w:rPr>
                <w:color w:val="000000"/>
                <w:sz w:val="22"/>
                <w:szCs w:val="22"/>
              </w:rPr>
              <w:t>29.00</w:t>
            </w:r>
          </w:p>
        </w:tc>
        <w:tc>
          <w:tcPr>
            <w:tcW w:w="914" w:type="dxa"/>
            <w:tcBorders>
              <w:top w:val="nil"/>
              <w:left w:val="nil"/>
              <w:bottom w:val="nil"/>
              <w:right w:val="nil"/>
            </w:tcBorders>
            <w:shd w:val="clear" w:color="auto" w:fill="auto"/>
            <w:noWrap/>
            <w:vAlign w:val="bottom"/>
            <w:hideMark/>
          </w:tcPr>
          <w:p w14:paraId="6CCD5E1E" w14:textId="6E966227" w:rsidR="00467C2F" w:rsidRPr="00467C2F" w:rsidRDefault="00467C2F" w:rsidP="00467C2F">
            <w:pPr>
              <w:jc w:val="center"/>
              <w:rPr>
                <w:rFonts w:eastAsia="Times New Roman"/>
                <w:color w:val="000000"/>
                <w:sz w:val="22"/>
                <w:szCs w:val="22"/>
              </w:rPr>
            </w:pPr>
            <w:r w:rsidRPr="00467C2F">
              <w:rPr>
                <w:color w:val="000000"/>
                <w:sz w:val="22"/>
                <w:szCs w:val="22"/>
              </w:rPr>
              <w:t>29.00</w:t>
            </w:r>
          </w:p>
        </w:tc>
      </w:tr>
      <w:tr w:rsidR="00467C2F" w:rsidRPr="000912EF" w14:paraId="1EB3963F" w14:textId="77777777" w:rsidTr="0031315C">
        <w:trPr>
          <w:trHeight w:val="300"/>
        </w:trPr>
        <w:tc>
          <w:tcPr>
            <w:tcW w:w="851" w:type="dxa"/>
            <w:tcBorders>
              <w:top w:val="nil"/>
              <w:left w:val="nil"/>
              <w:bottom w:val="nil"/>
              <w:right w:val="nil"/>
            </w:tcBorders>
            <w:shd w:val="clear" w:color="auto" w:fill="auto"/>
            <w:noWrap/>
            <w:vAlign w:val="bottom"/>
            <w:hideMark/>
          </w:tcPr>
          <w:p w14:paraId="335E510F" w14:textId="2FDA8E6B"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24</w:t>
            </w:r>
          </w:p>
        </w:tc>
        <w:tc>
          <w:tcPr>
            <w:tcW w:w="283" w:type="dxa"/>
            <w:tcBorders>
              <w:top w:val="nil"/>
              <w:left w:val="nil"/>
              <w:bottom w:val="nil"/>
              <w:right w:val="nil"/>
            </w:tcBorders>
            <w:shd w:val="clear" w:color="auto" w:fill="auto"/>
            <w:noWrap/>
            <w:vAlign w:val="bottom"/>
            <w:hideMark/>
          </w:tcPr>
          <w:p w14:paraId="44588AB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3CE2EE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67EB068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E66270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0.84</w:t>
            </w:r>
          </w:p>
        </w:tc>
        <w:tc>
          <w:tcPr>
            <w:tcW w:w="305" w:type="dxa"/>
            <w:tcBorders>
              <w:top w:val="nil"/>
              <w:left w:val="nil"/>
              <w:bottom w:val="nil"/>
              <w:right w:val="nil"/>
            </w:tcBorders>
            <w:shd w:val="clear" w:color="auto" w:fill="auto"/>
            <w:noWrap/>
            <w:vAlign w:val="bottom"/>
            <w:hideMark/>
          </w:tcPr>
          <w:p w14:paraId="6FF359E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5CC0AF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453.00</w:t>
            </w:r>
          </w:p>
        </w:tc>
        <w:tc>
          <w:tcPr>
            <w:tcW w:w="992" w:type="dxa"/>
            <w:tcBorders>
              <w:top w:val="nil"/>
              <w:left w:val="nil"/>
              <w:bottom w:val="nil"/>
              <w:right w:val="nil"/>
            </w:tcBorders>
            <w:shd w:val="clear" w:color="auto" w:fill="auto"/>
            <w:noWrap/>
            <w:vAlign w:val="bottom"/>
            <w:hideMark/>
          </w:tcPr>
          <w:p w14:paraId="5FCE8EA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239</w:t>
            </w:r>
          </w:p>
        </w:tc>
        <w:tc>
          <w:tcPr>
            <w:tcW w:w="261" w:type="dxa"/>
            <w:tcBorders>
              <w:top w:val="nil"/>
              <w:left w:val="nil"/>
              <w:bottom w:val="nil"/>
              <w:right w:val="nil"/>
            </w:tcBorders>
            <w:shd w:val="clear" w:color="auto" w:fill="auto"/>
            <w:noWrap/>
            <w:vAlign w:val="bottom"/>
            <w:hideMark/>
          </w:tcPr>
          <w:p w14:paraId="1243C1D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C6F08E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4.67</w:t>
            </w:r>
          </w:p>
        </w:tc>
        <w:tc>
          <w:tcPr>
            <w:tcW w:w="932" w:type="dxa"/>
            <w:tcBorders>
              <w:top w:val="nil"/>
              <w:left w:val="nil"/>
              <w:bottom w:val="nil"/>
              <w:right w:val="nil"/>
            </w:tcBorders>
            <w:shd w:val="clear" w:color="auto" w:fill="auto"/>
            <w:noWrap/>
            <w:vAlign w:val="bottom"/>
            <w:hideMark/>
          </w:tcPr>
          <w:p w14:paraId="5AB6470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1DD0F7E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74C3DAAB" w14:textId="4E916B8F" w:rsidR="00467C2F" w:rsidRPr="00467C2F" w:rsidRDefault="00467C2F" w:rsidP="00467C2F">
            <w:pPr>
              <w:jc w:val="center"/>
              <w:rPr>
                <w:rFonts w:eastAsia="Times New Roman"/>
                <w:color w:val="000000"/>
                <w:sz w:val="22"/>
                <w:szCs w:val="22"/>
              </w:rPr>
            </w:pPr>
            <w:r w:rsidRPr="00467C2F">
              <w:rPr>
                <w:color w:val="000000"/>
                <w:sz w:val="22"/>
                <w:szCs w:val="22"/>
              </w:rPr>
              <w:t>29.00</w:t>
            </w:r>
          </w:p>
        </w:tc>
        <w:tc>
          <w:tcPr>
            <w:tcW w:w="914" w:type="dxa"/>
            <w:tcBorders>
              <w:top w:val="nil"/>
              <w:left w:val="nil"/>
              <w:bottom w:val="nil"/>
              <w:right w:val="nil"/>
            </w:tcBorders>
            <w:shd w:val="clear" w:color="auto" w:fill="auto"/>
            <w:noWrap/>
            <w:vAlign w:val="bottom"/>
            <w:hideMark/>
          </w:tcPr>
          <w:p w14:paraId="18A8CC55" w14:textId="5060E268" w:rsidR="00467C2F" w:rsidRPr="00467C2F" w:rsidRDefault="00467C2F" w:rsidP="00467C2F">
            <w:pPr>
              <w:jc w:val="center"/>
              <w:rPr>
                <w:rFonts w:eastAsia="Times New Roman"/>
                <w:color w:val="000000"/>
                <w:sz w:val="22"/>
                <w:szCs w:val="22"/>
              </w:rPr>
            </w:pPr>
            <w:r w:rsidRPr="00467C2F">
              <w:rPr>
                <w:color w:val="000000"/>
                <w:sz w:val="22"/>
                <w:szCs w:val="22"/>
              </w:rPr>
              <w:t>41.00</w:t>
            </w:r>
          </w:p>
        </w:tc>
      </w:tr>
      <w:tr w:rsidR="00467C2F" w:rsidRPr="000912EF" w14:paraId="24FB6734" w14:textId="77777777" w:rsidTr="0031315C">
        <w:trPr>
          <w:trHeight w:val="300"/>
        </w:trPr>
        <w:tc>
          <w:tcPr>
            <w:tcW w:w="851" w:type="dxa"/>
            <w:tcBorders>
              <w:top w:val="nil"/>
              <w:left w:val="nil"/>
              <w:bottom w:val="nil"/>
              <w:right w:val="nil"/>
            </w:tcBorders>
            <w:shd w:val="clear" w:color="auto" w:fill="auto"/>
            <w:noWrap/>
            <w:vAlign w:val="bottom"/>
            <w:hideMark/>
          </w:tcPr>
          <w:p w14:paraId="6A97BFA8" w14:textId="629A3144"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w:t>
            </w:r>
          </w:p>
        </w:tc>
        <w:tc>
          <w:tcPr>
            <w:tcW w:w="283" w:type="dxa"/>
            <w:tcBorders>
              <w:top w:val="nil"/>
              <w:left w:val="nil"/>
              <w:bottom w:val="nil"/>
              <w:right w:val="nil"/>
            </w:tcBorders>
            <w:shd w:val="clear" w:color="auto" w:fill="auto"/>
            <w:noWrap/>
            <w:vAlign w:val="bottom"/>
            <w:hideMark/>
          </w:tcPr>
          <w:p w14:paraId="5AA088E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5BB06C2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1A318EB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7A3C38E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735FC18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B8FEFC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280.00</w:t>
            </w:r>
          </w:p>
        </w:tc>
        <w:tc>
          <w:tcPr>
            <w:tcW w:w="992" w:type="dxa"/>
            <w:tcBorders>
              <w:top w:val="nil"/>
              <w:left w:val="nil"/>
              <w:bottom w:val="nil"/>
              <w:right w:val="nil"/>
            </w:tcBorders>
            <w:shd w:val="clear" w:color="auto" w:fill="auto"/>
            <w:noWrap/>
            <w:vAlign w:val="bottom"/>
            <w:hideMark/>
          </w:tcPr>
          <w:p w14:paraId="1BEF2EE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280</w:t>
            </w:r>
          </w:p>
        </w:tc>
        <w:tc>
          <w:tcPr>
            <w:tcW w:w="261" w:type="dxa"/>
            <w:tcBorders>
              <w:top w:val="nil"/>
              <w:left w:val="nil"/>
              <w:bottom w:val="nil"/>
              <w:right w:val="nil"/>
            </w:tcBorders>
            <w:shd w:val="clear" w:color="auto" w:fill="auto"/>
            <w:noWrap/>
            <w:vAlign w:val="bottom"/>
            <w:hideMark/>
          </w:tcPr>
          <w:p w14:paraId="41E79DA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6D96DC1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4.00</w:t>
            </w:r>
          </w:p>
        </w:tc>
        <w:tc>
          <w:tcPr>
            <w:tcW w:w="932" w:type="dxa"/>
            <w:tcBorders>
              <w:top w:val="nil"/>
              <w:left w:val="nil"/>
              <w:bottom w:val="nil"/>
              <w:right w:val="nil"/>
            </w:tcBorders>
            <w:shd w:val="clear" w:color="auto" w:fill="auto"/>
            <w:noWrap/>
            <w:vAlign w:val="bottom"/>
            <w:hideMark/>
          </w:tcPr>
          <w:p w14:paraId="4F8542F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46666F4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2C781BB" w14:textId="42351C2A" w:rsidR="00467C2F" w:rsidRPr="00467C2F" w:rsidRDefault="00467C2F" w:rsidP="00467C2F">
            <w:pPr>
              <w:jc w:val="center"/>
              <w:rPr>
                <w:rFonts w:eastAsia="Times New Roman"/>
                <w:color w:val="000000"/>
                <w:sz w:val="22"/>
                <w:szCs w:val="22"/>
              </w:rPr>
            </w:pPr>
            <w:r w:rsidRPr="00467C2F">
              <w:rPr>
                <w:color w:val="000000"/>
                <w:sz w:val="22"/>
                <w:szCs w:val="22"/>
              </w:rPr>
              <w:t>88.00</w:t>
            </w:r>
          </w:p>
        </w:tc>
        <w:tc>
          <w:tcPr>
            <w:tcW w:w="914" w:type="dxa"/>
            <w:tcBorders>
              <w:top w:val="nil"/>
              <w:left w:val="nil"/>
              <w:bottom w:val="nil"/>
              <w:right w:val="nil"/>
            </w:tcBorders>
            <w:shd w:val="clear" w:color="auto" w:fill="auto"/>
            <w:noWrap/>
            <w:vAlign w:val="bottom"/>
            <w:hideMark/>
          </w:tcPr>
          <w:p w14:paraId="1AC8D0B5" w14:textId="1027D16E" w:rsidR="00467C2F" w:rsidRPr="00467C2F" w:rsidRDefault="00467C2F" w:rsidP="00467C2F">
            <w:pPr>
              <w:jc w:val="center"/>
              <w:rPr>
                <w:rFonts w:eastAsia="Times New Roman"/>
                <w:color w:val="000000"/>
                <w:sz w:val="22"/>
                <w:szCs w:val="22"/>
              </w:rPr>
            </w:pPr>
            <w:r w:rsidRPr="00467C2F">
              <w:rPr>
                <w:color w:val="000000"/>
                <w:sz w:val="22"/>
                <w:szCs w:val="22"/>
              </w:rPr>
              <w:t>88.00</w:t>
            </w:r>
          </w:p>
        </w:tc>
      </w:tr>
      <w:tr w:rsidR="00467C2F" w:rsidRPr="000912EF" w14:paraId="743A9CC5" w14:textId="77777777" w:rsidTr="0031315C">
        <w:trPr>
          <w:trHeight w:val="300"/>
        </w:trPr>
        <w:tc>
          <w:tcPr>
            <w:tcW w:w="851" w:type="dxa"/>
            <w:tcBorders>
              <w:top w:val="nil"/>
              <w:left w:val="nil"/>
              <w:bottom w:val="nil"/>
              <w:right w:val="nil"/>
            </w:tcBorders>
            <w:shd w:val="clear" w:color="auto" w:fill="auto"/>
            <w:noWrap/>
            <w:vAlign w:val="bottom"/>
            <w:hideMark/>
          </w:tcPr>
          <w:p w14:paraId="5BB2F940" w14:textId="3FC8A9D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w:t>
            </w:r>
          </w:p>
        </w:tc>
        <w:tc>
          <w:tcPr>
            <w:tcW w:w="283" w:type="dxa"/>
            <w:tcBorders>
              <w:top w:val="nil"/>
              <w:left w:val="nil"/>
              <w:bottom w:val="nil"/>
              <w:right w:val="nil"/>
            </w:tcBorders>
            <w:shd w:val="clear" w:color="auto" w:fill="auto"/>
            <w:noWrap/>
            <w:vAlign w:val="bottom"/>
            <w:hideMark/>
          </w:tcPr>
          <w:p w14:paraId="7C10F16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3109DE8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4" w:type="dxa"/>
            <w:tcBorders>
              <w:top w:val="nil"/>
              <w:left w:val="nil"/>
              <w:bottom w:val="nil"/>
              <w:right w:val="nil"/>
            </w:tcBorders>
            <w:shd w:val="clear" w:color="auto" w:fill="auto"/>
            <w:noWrap/>
            <w:vAlign w:val="bottom"/>
            <w:hideMark/>
          </w:tcPr>
          <w:p w14:paraId="62A9A57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13EE08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0.29</w:t>
            </w:r>
          </w:p>
        </w:tc>
        <w:tc>
          <w:tcPr>
            <w:tcW w:w="305" w:type="dxa"/>
            <w:tcBorders>
              <w:top w:val="nil"/>
              <w:left w:val="nil"/>
              <w:bottom w:val="nil"/>
              <w:right w:val="nil"/>
            </w:tcBorders>
            <w:shd w:val="clear" w:color="auto" w:fill="auto"/>
            <w:noWrap/>
            <w:vAlign w:val="bottom"/>
            <w:hideMark/>
          </w:tcPr>
          <w:p w14:paraId="0438DB1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439A36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202.25</w:t>
            </w:r>
          </w:p>
        </w:tc>
        <w:tc>
          <w:tcPr>
            <w:tcW w:w="992" w:type="dxa"/>
            <w:tcBorders>
              <w:top w:val="nil"/>
              <w:left w:val="nil"/>
              <w:bottom w:val="nil"/>
              <w:right w:val="nil"/>
            </w:tcBorders>
            <w:shd w:val="clear" w:color="auto" w:fill="auto"/>
            <w:noWrap/>
            <w:vAlign w:val="bottom"/>
            <w:hideMark/>
          </w:tcPr>
          <w:p w14:paraId="023D5F3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131.5</w:t>
            </w:r>
          </w:p>
        </w:tc>
        <w:tc>
          <w:tcPr>
            <w:tcW w:w="261" w:type="dxa"/>
            <w:tcBorders>
              <w:top w:val="nil"/>
              <w:left w:val="nil"/>
              <w:bottom w:val="nil"/>
              <w:right w:val="nil"/>
            </w:tcBorders>
            <w:shd w:val="clear" w:color="auto" w:fill="auto"/>
            <w:noWrap/>
            <w:vAlign w:val="bottom"/>
            <w:hideMark/>
          </w:tcPr>
          <w:p w14:paraId="0779689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7AE2C8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4.50</w:t>
            </w:r>
          </w:p>
        </w:tc>
        <w:tc>
          <w:tcPr>
            <w:tcW w:w="932" w:type="dxa"/>
            <w:tcBorders>
              <w:top w:val="nil"/>
              <w:left w:val="nil"/>
              <w:bottom w:val="nil"/>
              <w:right w:val="nil"/>
            </w:tcBorders>
            <w:shd w:val="clear" w:color="auto" w:fill="auto"/>
            <w:noWrap/>
            <w:vAlign w:val="bottom"/>
            <w:hideMark/>
          </w:tcPr>
          <w:p w14:paraId="4FEEB59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4.5</w:t>
            </w:r>
          </w:p>
        </w:tc>
        <w:tc>
          <w:tcPr>
            <w:tcW w:w="283" w:type="dxa"/>
            <w:tcBorders>
              <w:top w:val="nil"/>
              <w:left w:val="nil"/>
              <w:bottom w:val="nil"/>
              <w:right w:val="nil"/>
            </w:tcBorders>
            <w:shd w:val="clear" w:color="auto" w:fill="auto"/>
            <w:noWrap/>
            <w:vAlign w:val="bottom"/>
            <w:hideMark/>
          </w:tcPr>
          <w:p w14:paraId="13BA014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1CFF84D" w14:textId="7BE2B15D" w:rsidR="00467C2F" w:rsidRPr="00467C2F" w:rsidRDefault="00467C2F" w:rsidP="00467C2F">
            <w:pPr>
              <w:jc w:val="center"/>
              <w:rPr>
                <w:rFonts w:eastAsia="Times New Roman"/>
                <w:color w:val="000000"/>
                <w:sz w:val="22"/>
                <w:szCs w:val="22"/>
              </w:rPr>
            </w:pPr>
            <w:r w:rsidRPr="00467C2F">
              <w:rPr>
                <w:color w:val="000000"/>
                <w:sz w:val="22"/>
                <w:szCs w:val="22"/>
              </w:rPr>
              <w:t>36.25</w:t>
            </w:r>
          </w:p>
        </w:tc>
        <w:tc>
          <w:tcPr>
            <w:tcW w:w="914" w:type="dxa"/>
            <w:tcBorders>
              <w:top w:val="nil"/>
              <w:left w:val="nil"/>
              <w:bottom w:val="nil"/>
              <w:right w:val="nil"/>
            </w:tcBorders>
            <w:shd w:val="clear" w:color="auto" w:fill="auto"/>
            <w:noWrap/>
            <w:vAlign w:val="bottom"/>
            <w:hideMark/>
          </w:tcPr>
          <w:p w14:paraId="02759750" w14:textId="2641A7A2" w:rsidR="00467C2F" w:rsidRPr="00467C2F" w:rsidRDefault="00467C2F" w:rsidP="00467C2F">
            <w:pPr>
              <w:jc w:val="center"/>
              <w:rPr>
                <w:rFonts w:eastAsia="Times New Roman"/>
                <w:color w:val="000000"/>
                <w:sz w:val="22"/>
                <w:szCs w:val="22"/>
              </w:rPr>
            </w:pPr>
            <w:r w:rsidRPr="00467C2F">
              <w:rPr>
                <w:color w:val="000000"/>
                <w:sz w:val="22"/>
                <w:szCs w:val="22"/>
              </w:rPr>
              <w:t>30.50</w:t>
            </w:r>
          </w:p>
        </w:tc>
      </w:tr>
      <w:tr w:rsidR="00467C2F" w:rsidRPr="000912EF" w14:paraId="4CDC21E5" w14:textId="77777777" w:rsidTr="0031315C">
        <w:trPr>
          <w:trHeight w:val="300"/>
        </w:trPr>
        <w:tc>
          <w:tcPr>
            <w:tcW w:w="851" w:type="dxa"/>
            <w:tcBorders>
              <w:top w:val="nil"/>
              <w:left w:val="nil"/>
              <w:bottom w:val="nil"/>
              <w:right w:val="nil"/>
            </w:tcBorders>
            <w:shd w:val="clear" w:color="auto" w:fill="auto"/>
            <w:noWrap/>
            <w:vAlign w:val="bottom"/>
            <w:hideMark/>
          </w:tcPr>
          <w:p w14:paraId="079D2111" w14:textId="626A6215"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27</w:t>
            </w:r>
          </w:p>
        </w:tc>
        <w:tc>
          <w:tcPr>
            <w:tcW w:w="283" w:type="dxa"/>
            <w:tcBorders>
              <w:top w:val="nil"/>
              <w:left w:val="nil"/>
              <w:bottom w:val="nil"/>
              <w:right w:val="nil"/>
            </w:tcBorders>
            <w:shd w:val="clear" w:color="auto" w:fill="auto"/>
            <w:noWrap/>
            <w:vAlign w:val="bottom"/>
            <w:hideMark/>
          </w:tcPr>
          <w:p w14:paraId="320A382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4D192C1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4" w:type="dxa"/>
            <w:tcBorders>
              <w:top w:val="nil"/>
              <w:left w:val="nil"/>
              <w:bottom w:val="nil"/>
              <w:right w:val="nil"/>
            </w:tcBorders>
            <w:shd w:val="clear" w:color="auto" w:fill="auto"/>
            <w:noWrap/>
            <w:vAlign w:val="bottom"/>
            <w:hideMark/>
          </w:tcPr>
          <w:p w14:paraId="59BDA58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5B8516B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0.60</w:t>
            </w:r>
          </w:p>
        </w:tc>
        <w:tc>
          <w:tcPr>
            <w:tcW w:w="305" w:type="dxa"/>
            <w:tcBorders>
              <w:top w:val="nil"/>
              <w:left w:val="nil"/>
              <w:bottom w:val="nil"/>
              <w:right w:val="nil"/>
            </w:tcBorders>
            <w:shd w:val="clear" w:color="auto" w:fill="auto"/>
            <w:noWrap/>
            <w:vAlign w:val="bottom"/>
            <w:hideMark/>
          </w:tcPr>
          <w:p w14:paraId="1BC489E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DEB113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93.00</w:t>
            </w:r>
          </w:p>
        </w:tc>
        <w:tc>
          <w:tcPr>
            <w:tcW w:w="992" w:type="dxa"/>
            <w:tcBorders>
              <w:top w:val="nil"/>
              <w:left w:val="nil"/>
              <w:bottom w:val="nil"/>
              <w:right w:val="nil"/>
            </w:tcBorders>
            <w:shd w:val="clear" w:color="auto" w:fill="auto"/>
            <w:noWrap/>
            <w:vAlign w:val="bottom"/>
            <w:hideMark/>
          </w:tcPr>
          <w:p w14:paraId="1E009B4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93</w:t>
            </w:r>
          </w:p>
        </w:tc>
        <w:tc>
          <w:tcPr>
            <w:tcW w:w="261" w:type="dxa"/>
            <w:tcBorders>
              <w:top w:val="nil"/>
              <w:left w:val="nil"/>
              <w:bottom w:val="nil"/>
              <w:right w:val="nil"/>
            </w:tcBorders>
            <w:shd w:val="clear" w:color="auto" w:fill="auto"/>
            <w:noWrap/>
            <w:vAlign w:val="bottom"/>
            <w:hideMark/>
          </w:tcPr>
          <w:p w14:paraId="185228B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22F0F59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3.50</w:t>
            </w:r>
          </w:p>
        </w:tc>
        <w:tc>
          <w:tcPr>
            <w:tcW w:w="932" w:type="dxa"/>
            <w:tcBorders>
              <w:top w:val="nil"/>
              <w:left w:val="nil"/>
              <w:bottom w:val="nil"/>
              <w:right w:val="nil"/>
            </w:tcBorders>
            <w:shd w:val="clear" w:color="auto" w:fill="auto"/>
            <w:noWrap/>
            <w:vAlign w:val="bottom"/>
            <w:hideMark/>
          </w:tcPr>
          <w:p w14:paraId="110A2DB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3.5</w:t>
            </w:r>
          </w:p>
        </w:tc>
        <w:tc>
          <w:tcPr>
            <w:tcW w:w="283" w:type="dxa"/>
            <w:tcBorders>
              <w:top w:val="nil"/>
              <w:left w:val="nil"/>
              <w:bottom w:val="nil"/>
              <w:right w:val="nil"/>
            </w:tcBorders>
            <w:shd w:val="clear" w:color="auto" w:fill="auto"/>
            <w:noWrap/>
            <w:vAlign w:val="bottom"/>
            <w:hideMark/>
          </w:tcPr>
          <w:p w14:paraId="4E87D3F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BDB7D73" w14:textId="45DE573C" w:rsidR="00467C2F" w:rsidRPr="00467C2F" w:rsidRDefault="00467C2F" w:rsidP="00467C2F">
            <w:pPr>
              <w:jc w:val="center"/>
              <w:rPr>
                <w:rFonts w:eastAsia="Times New Roman"/>
                <w:color w:val="000000"/>
                <w:sz w:val="22"/>
                <w:szCs w:val="22"/>
              </w:rPr>
            </w:pPr>
            <w:r w:rsidRPr="00467C2F">
              <w:rPr>
                <w:color w:val="000000"/>
                <w:sz w:val="22"/>
                <w:szCs w:val="22"/>
              </w:rPr>
              <w:t>66.00</w:t>
            </w:r>
          </w:p>
        </w:tc>
        <w:tc>
          <w:tcPr>
            <w:tcW w:w="914" w:type="dxa"/>
            <w:tcBorders>
              <w:top w:val="nil"/>
              <w:left w:val="nil"/>
              <w:bottom w:val="nil"/>
              <w:right w:val="nil"/>
            </w:tcBorders>
            <w:shd w:val="clear" w:color="auto" w:fill="auto"/>
            <w:noWrap/>
            <w:vAlign w:val="bottom"/>
            <w:hideMark/>
          </w:tcPr>
          <w:p w14:paraId="3E6892FF" w14:textId="52715F85" w:rsidR="00467C2F" w:rsidRPr="00467C2F" w:rsidRDefault="00467C2F" w:rsidP="00467C2F">
            <w:pPr>
              <w:jc w:val="center"/>
              <w:rPr>
                <w:rFonts w:eastAsia="Times New Roman"/>
                <w:color w:val="000000"/>
                <w:sz w:val="22"/>
                <w:szCs w:val="22"/>
              </w:rPr>
            </w:pPr>
            <w:r w:rsidRPr="00467C2F">
              <w:rPr>
                <w:color w:val="000000"/>
                <w:sz w:val="22"/>
                <w:szCs w:val="22"/>
              </w:rPr>
              <w:t>66.00</w:t>
            </w:r>
          </w:p>
        </w:tc>
      </w:tr>
      <w:tr w:rsidR="00467C2F" w:rsidRPr="000912EF" w14:paraId="1981FE8F" w14:textId="77777777" w:rsidTr="0031315C">
        <w:trPr>
          <w:trHeight w:val="285"/>
        </w:trPr>
        <w:tc>
          <w:tcPr>
            <w:tcW w:w="851" w:type="dxa"/>
            <w:tcBorders>
              <w:top w:val="nil"/>
              <w:left w:val="nil"/>
              <w:bottom w:val="nil"/>
              <w:right w:val="nil"/>
            </w:tcBorders>
            <w:shd w:val="clear" w:color="auto" w:fill="auto"/>
            <w:noWrap/>
            <w:vAlign w:val="bottom"/>
            <w:hideMark/>
          </w:tcPr>
          <w:p w14:paraId="340D1F31" w14:textId="3386B8E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28</w:t>
            </w:r>
          </w:p>
        </w:tc>
        <w:tc>
          <w:tcPr>
            <w:tcW w:w="283" w:type="dxa"/>
            <w:tcBorders>
              <w:top w:val="nil"/>
              <w:left w:val="nil"/>
              <w:bottom w:val="nil"/>
              <w:right w:val="nil"/>
            </w:tcBorders>
            <w:shd w:val="clear" w:color="auto" w:fill="auto"/>
            <w:noWrap/>
            <w:vAlign w:val="bottom"/>
            <w:hideMark/>
          </w:tcPr>
          <w:p w14:paraId="76725BD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C3A140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265</w:t>
            </w:r>
          </w:p>
        </w:tc>
        <w:tc>
          <w:tcPr>
            <w:tcW w:w="284" w:type="dxa"/>
            <w:tcBorders>
              <w:top w:val="nil"/>
              <w:left w:val="nil"/>
              <w:bottom w:val="nil"/>
              <w:right w:val="nil"/>
            </w:tcBorders>
            <w:shd w:val="clear" w:color="auto" w:fill="auto"/>
            <w:noWrap/>
            <w:vAlign w:val="bottom"/>
            <w:hideMark/>
          </w:tcPr>
          <w:p w14:paraId="7B204BE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10CCF8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0.10</w:t>
            </w:r>
          </w:p>
        </w:tc>
        <w:tc>
          <w:tcPr>
            <w:tcW w:w="305" w:type="dxa"/>
            <w:tcBorders>
              <w:top w:val="nil"/>
              <w:left w:val="nil"/>
              <w:bottom w:val="nil"/>
              <w:right w:val="nil"/>
            </w:tcBorders>
            <w:shd w:val="clear" w:color="auto" w:fill="auto"/>
            <w:noWrap/>
            <w:vAlign w:val="bottom"/>
            <w:hideMark/>
          </w:tcPr>
          <w:p w14:paraId="0383777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58BEEB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94.79</w:t>
            </w:r>
          </w:p>
        </w:tc>
        <w:tc>
          <w:tcPr>
            <w:tcW w:w="992" w:type="dxa"/>
            <w:tcBorders>
              <w:top w:val="nil"/>
              <w:left w:val="nil"/>
              <w:bottom w:val="nil"/>
              <w:right w:val="nil"/>
            </w:tcBorders>
            <w:shd w:val="clear" w:color="auto" w:fill="auto"/>
            <w:noWrap/>
            <w:vAlign w:val="bottom"/>
            <w:hideMark/>
          </w:tcPr>
          <w:p w14:paraId="4452E44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53</w:t>
            </w:r>
          </w:p>
        </w:tc>
        <w:tc>
          <w:tcPr>
            <w:tcW w:w="261" w:type="dxa"/>
            <w:tcBorders>
              <w:top w:val="nil"/>
              <w:left w:val="nil"/>
              <w:bottom w:val="nil"/>
              <w:right w:val="nil"/>
            </w:tcBorders>
            <w:shd w:val="clear" w:color="auto" w:fill="auto"/>
            <w:noWrap/>
            <w:vAlign w:val="bottom"/>
            <w:hideMark/>
          </w:tcPr>
          <w:p w14:paraId="3B0CA8A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6FADCF6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2.07</w:t>
            </w:r>
          </w:p>
        </w:tc>
        <w:tc>
          <w:tcPr>
            <w:tcW w:w="932" w:type="dxa"/>
            <w:tcBorders>
              <w:top w:val="nil"/>
              <w:left w:val="nil"/>
              <w:bottom w:val="nil"/>
              <w:right w:val="nil"/>
            </w:tcBorders>
            <w:shd w:val="clear" w:color="auto" w:fill="auto"/>
            <w:noWrap/>
            <w:vAlign w:val="bottom"/>
            <w:hideMark/>
          </w:tcPr>
          <w:p w14:paraId="79F97A2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3" w:type="dxa"/>
            <w:tcBorders>
              <w:top w:val="nil"/>
              <w:left w:val="nil"/>
              <w:bottom w:val="nil"/>
              <w:right w:val="nil"/>
            </w:tcBorders>
            <w:shd w:val="clear" w:color="auto" w:fill="auto"/>
            <w:noWrap/>
            <w:vAlign w:val="bottom"/>
            <w:hideMark/>
          </w:tcPr>
          <w:p w14:paraId="72CF1F5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EF19D2E" w14:textId="7622CD05" w:rsidR="00467C2F" w:rsidRPr="00467C2F" w:rsidRDefault="00467C2F" w:rsidP="00467C2F">
            <w:pPr>
              <w:jc w:val="center"/>
              <w:rPr>
                <w:rFonts w:eastAsia="Times New Roman"/>
                <w:color w:val="000000"/>
                <w:sz w:val="22"/>
                <w:szCs w:val="22"/>
              </w:rPr>
            </w:pPr>
            <w:r w:rsidRPr="00467C2F">
              <w:rPr>
                <w:color w:val="000000"/>
                <w:sz w:val="22"/>
                <w:szCs w:val="22"/>
              </w:rPr>
              <w:t>14.73</w:t>
            </w:r>
          </w:p>
        </w:tc>
        <w:tc>
          <w:tcPr>
            <w:tcW w:w="914" w:type="dxa"/>
            <w:tcBorders>
              <w:top w:val="nil"/>
              <w:left w:val="nil"/>
              <w:bottom w:val="nil"/>
              <w:right w:val="nil"/>
            </w:tcBorders>
            <w:shd w:val="clear" w:color="auto" w:fill="auto"/>
            <w:noWrap/>
            <w:vAlign w:val="bottom"/>
            <w:hideMark/>
          </w:tcPr>
          <w:p w14:paraId="6627A215" w14:textId="0B5769E9" w:rsidR="00467C2F" w:rsidRPr="00467C2F" w:rsidRDefault="00467C2F" w:rsidP="00467C2F">
            <w:pPr>
              <w:jc w:val="center"/>
              <w:rPr>
                <w:rFonts w:eastAsia="Times New Roman"/>
                <w:color w:val="000000"/>
                <w:sz w:val="22"/>
                <w:szCs w:val="22"/>
              </w:rPr>
            </w:pPr>
            <w:r w:rsidRPr="00467C2F">
              <w:rPr>
                <w:color w:val="000000"/>
                <w:sz w:val="22"/>
                <w:szCs w:val="22"/>
              </w:rPr>
              <w:t>3.00</w:t>
            </w:r>
          </w:p>
        </w:tc>
      </w:tr>
      <w:tr w:rsidR="00467C2F" w:rsidRPr="000912EF" w14:paraId="7967A925" w14:textId="77777777" w:rsidTr="0031315C">
        <w:trPr>
          <w:trHeight w:val="300"/>
        </w:trPr>
        <w:tc>
          <w:tcPr>
            <w:tcW w:w="851" w:type="dxa"/>
            <w:tcBorders>
              <w:top w:val="nil"/>
              <w:left w:val="nil"/>
              <w:bottom w:val="nil"/>
              <w:right w:val="nil"/>
            </w:tcBorders>
            <w:shd w:val="clear" w:color="auto" w:fill="auto"/>
            <w:noWrap/>
            <w:vAlign w:val="bottom"/>
            <w:hideMark/>
          </w:tcPr>
          <w:p w14:paraId="2B0F8240" w14:textId="7BEB4232"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29</w:t>
            </w:r>
          </w:p>
        </w:tc>
        <w:tc>
          <w:tcPr>
            <w:tcW w:w="283" w:type="dxa"/>
            <w:tcBorders>
              <w:top w:val="nil"/>
              <w:left w:val="nil"/>
              <w:bottom w:val="nil"/>
              <w:right w:val="nil"/>
            </w:tcBorders>
            <w:shd w:val="clear" w:color="auto" w:fill="auto"/>
            <w:noWrap/>
            <w:vAlign w:val="bottom"/>
            <w:hideMark/>
          </w:tcPr>
          <w:p w14:paraId="0D04A3F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6134F5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4" w:type="dxa"/>
            <w:tcBorders>
              <w:top w:val="nil"/>
              <w:left w:val="nil"/>
              <w:bottom w:val="nil"/>
              <w:right w:val="nil"/>
            </w:tcBorders>
            <w:shd w:val="clear" w:color="auto" w:fill="auto"/>
            <w:noWrap/>
            <w:vAlign w:val="bottom"/>
            <w:hideMark/>
          </w:tcPr>
          <w:p w14:paraId="2DD6915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B91C7C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0.29</w:t>
            </w:r>
          </w:p>
        </w:tc>
        <w:tc>
          <w:tcPr>
            <w:tcW w:w="305" w:type="dxa"/>
            <w:tcBorders>
              <w:top w:val="nil"/>
              <w:left w:val="nil"/>
              <w:bottom w:val="nil"/>
              <w:right w:val="nil"/>
            </w:tcBorders>
            <w:shd w:val="clear" w:color="auto" w:fill="auto"/>
            <w:noWrap/>
            <w:vAlign w:val="bottom"/>
            <w:hideMark/>
          </w:tcPr>
          <w:p w14:paraId="42AA516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B02693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169.60</w:t>
            </w:r>
          </w:p>
        </w:tc>
        <w:tc>
          <w:tcPr>
            <w:tcW w:w="992" w:type="dxa"/>
            <w:tcBorders>
              <w:top w:val="nil"/>
              <w:left w:val="nil"/>
              <w:bottom w:val="nil"/>
              <w:right w:val="nil"/>
            </w:tcBorders>
            <w:shd w:val="clear" w:color="auto" w:fill="auto"/>
            <w:noWrap/>
            <w:vAlign w:val="bottom"/>
            <w:hideMark/>
          </w:tcPr>
          <w:p w14:paraId="468A1ED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113</w:t>
            </w:r>
          </w:p>
        </w:tc>
        <w:tc>
          <w:tcPr>
            <w:tcW w:w="261" w:type="dxa"/>
            <w:tcBorders>
              <w:top w:val="nil"/>
              <w:left w:val="nil"/>
              <w:bottom w:val="nil"/>
              <w:right w:val="nil"/>
            </w:tcBorders>
            <w:shd w:val="clear" w:color="auto" w:fill="auto"/>
            <w:noWrap/>
            <w:vAlign w:val="bottom"/>
            <w:hideMark/>
          </w:tcPr>
          <w:p w14:paraId="3BCD239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7DB7F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4.00</w:t>
            </w:r>
          </w:p>
        </w:tc>
        <w:tc>
          <w:tcPr>
            <w:tcW w:w="932" w:type="dxa"/>
            <w:tcBorders>
              <w:top w:val="nil"/>
              <w:left w:val="nil"/>
              <w:bottom w:val="nil"/>
              <w:right w:val="nil"/>
            </w:tcBorders>
            <w:shd w:val="clear" w:color="auto" w:fill="auto"/>
            <w:noWrap/>
            <w:vAlign w:val="bottom"/>
            <w:hideMark/>
          </w:tcPr>
          <w:p w14:paraId="4AA7A5B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3" w:type="dxa"/>
            <w:tcBorders>
              <w:top w:val="nil"/>
              <w:left w:val="nil"/>
              <w:bottom w:val="nil"/>
              <w:right w:val="nil"/>
            </w:tcBorders>
            <w:shd w:val="clear" w:color="auto" w:fill="auto"/>
            <w:noWrap/>
            <w:vAlign w:val="bottom"/>
            <w:hideMark/>
          </w:tcPr>
          <w:p w14:paraId="1C8E44B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8EDE58A" w14:textId="1F6BC2E3" w:rsidR="00467C2F" w:rsidRPr="00467C2F" w:rsidRDefault="00467C2F" w:rsidP="00467C2F">
            <w:pPr>
              <w:jc w:val="center"/>
              <w:rPr>
                <w:rFonts w:eastAsia="Times New Roman"/>
                <w:color w:val="000000"/>
                <w:sz w:val="22"/>
                <w:szCs w:val="22"/>
              </w:rPr>
            </w:pPr>
            <w:r w:rsidRPr="00467C2F">
              <w:rPr>
                <w:color w:val="000000"/>
                <w:sz w:val="22"/>
                <w:szCs w:val="22"/>
              </w:rPr>
              <w:t>43.80</w:t>
            </w:r>
          </w:p>
        </w:tc>
        <w:tc>
          <w:tcPr>
            <w:tcW w:w="914" w:type="dxa"/>
            <w:tcBorders>
              <w:top w:val="nil"/>
              <w:left w:val="nil"/>
              <w:bottom w:val="nil"/>
              <w:right w:val="nil"/>
            </w:tcBorders>
            <w:shd w:val="clear" w:color="auto" w:fill="auto"/>
            <w:noWrap/>
            <w:vAlign w:val="bottom"/>
            <w:hideMark/>
          </w:tcPr>
          <w:p w14:paraId="798B8B30" w14:textId="380A3DA2" w:rsidR="00467C2F" w:rsidRPr="00467C2F" w:rsidRDefault="00467C2F" w:rsidP="00467C2F">
            <w:pPr>
              <w:jc w:val="center"/>
              <w:rPr>
                <w:rFonts w:eastAsia="Times New Roman"/>
                <w:color w:val="000000"/>
                <w:sz w:val="22"/>
                <w:szCs w:val="22"/>
              </w:rPr>
            </w:pPr>
            <w:r w:rsidRPr="00467C2F">
              <w:rPr>
                <w:color w:val="000000"/>
                <w:sz w:val="22"/>
                <w:szCs w:val="22"/>
              </w:rPr>
              <w:t>42.00</w:t>
            </w:r>
          </w:p>
        </w:tc>
      </w:tr>
      <w:tr w:rsidR="00467C2F" w:rsidRPr="000912EF" w14:paraId="18825814" w14:textId="77777777" w:rsidTr="0031315C">
        <w:trPr>
          <w:trHeight w:val="300"/>
        </w:trPr>
        <w:tc>
          <w:tcPr>
            <w:tcW w:w="851" w:type="dxa"/>
            <w:tcBorders>
              <w:top w:val="nil"/>
              <w:left w:val="nil"/>
              <w:bottom w:val="nil"/>
              <w:right w:val="nil"/>
            </w:tcBorders>
            <w:shd w:val="clear" w:color="auto" w:fill="auto"/>
            <w:noWrap/>
            <w:vAlign w:val="bottom"/>
            <w:hideMark/>
          </w:tcPr>
          <w:p w14:paraId="18D0E243" w14:textId="408B38A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30</w:t>
            </w:r>
          </w:p>
        </w:tc>
        <w:tc>
          <w:tcPr>
            <w:tcW w:w="283" w:type="dxa"/>
            <w:tcBorders>
              <w:top w:val="nil"/>
              <w:left w:val="nil"/>
              <w:bottom w:val="nil"/>
              <w:right w:val="nil"/>
            </w:tcBorders>
            <w:shd w:val="clear" w:color="auto" w:fill="auto"/>
            <w:noWrap/>
            <w:vAlign w:val="bottom"/>
            <w:hideMark/>
          </w:tcPr>
          <w:p w14:paraId="2084D48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2D9C44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4" w:type="dxa"/>
            <w:tcBorders>
              <w:top w:val="nil"/>
              <w:left w:val="nil"/>
              <w:bottom w:val="nil"/>
              <w:right w:val="nil"/>
            </w:tcBorders>
            <w:shd w:val="clear" w:color="auto" w:fill="auto"/>
            <w:noWrap/>
            <w:vAlign w:val="bottom"/>
            <w:hideMark/>
          </w:tcPr>
          <w:p w14:paraId="174C19C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5D85F1C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0.38</w:t>
            </w:r>
          </w:p>
        </w:tc>
        <w:tc>
          <w:tcPr>
            <w:tcW w:w="305" w:type="dxa"/>
            <w:tcBorders>
              <w:top w:val="nil"/>
              <w:left w:val="nil"/>
              <w:bottom w:val="nil"/>
              <w:right w:val="nil"/>
            </w:tcBorders>
            <w:shd w:val="clear" w:color="auto" w:fill="auto"/>
            <w:noWrap/>
            <w:vAlign w:val="bottom"/>
            <w:hideMark/>
          </w:tcPr>
          <w:p w14:paraId="7698931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64FBD9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131.67</w:t>
            </w:r>
          </w:p>
        </w:tc>
        <w:tc>
          <w:tcPr>
            <w:tcW w:w="992" w:type="dxa"/>
            <w:tcBorders>
              <w:top w:val="nil"/>
              <w:left w:val="nil"/>
              <w:bottom w:val="nil"/>
              <w:right w:val="nil"/>
            </w:tcBorders>
            <w:shd w:val="clear" w:color="auto" w:fill="auto"/>
            <w:noWrap/>
            <w:vAlign w:val="bottom"/>
            <w:hideMark/>
          </w:tcPr>
          <w:p w14:paraId="4C29E50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144.5</w:t>
            </w:r>
          </w:p>
        </w:tc>
        <w:tc>
          <w:tcPr>
            <w:tcW w:w="261" w:type="dxa"/>
            <w:tcBorders>
              <w:top w:val="nil"/>
              <w:left w:val="nil"/>
              <w:bottom w:val="nil"/>
              <w:right w:val="nil"/>
            </w:tcBorders>
            <w:shd w:val="clear" w:color="auto" w:fill="auto"/>
            <w:noWrap/>
            <w:vAlign w:val="bottom"/>
            <w:hideMark/>
          </w:tcPr>
          <w:p w14:paraId="7E4367A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AED2B8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3.50</w:t>
            </w:r>
          </w:p>
        </w:tc>
        <w:tc>
          <w:tcPr>
            <w:tcW w:w="932" w:type="dxa"/>
            <w:tcBorders>
              <w:top w:val="nil"/>
              <w:left w:val="nil"/>
              <w:bottom w:val="nil"/>
              <w:right w:val="nil"/>
            </w:tcBorders>
            <w:shd w:val="clear" w:color="auto" w:fill="auto"/>
            <w:noWrap/>
            <w:vAlign w:val="bottom"/>
            <w:hideMark/>
          </w:tcPr>
          <w:p w14:paraId="77AC494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3.5</w:t>
            </w:r>
          </w:p>
        </w:tc>
        <w:tc>
          <w:tcPr>
            <w:tcW w:w="283" w:type="dxa"/>
            <w:tcBorders>
              <w:top w:val="nil"/>
              <w:left w:val="nil"/>
              <w:bottom w:val="nil"/>
              <w:right w:val="nil"/>
            </w:tcBorders>
            <w:shd w:val="clear" w:color="auto" w:fill="auto"/>
            <w:noWrap/>
            <w:vAlign w:val="bottom"/>
            <w:hideMark/>
          </w:tcPr>
          <w:p w14:paraId="278474F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F884D40" w14:textId="646E7AE4" w:rsidR="00467C2F" w:rsidRPr="00467C2F" w:rsidRDefault="00467C2F" w:rsidP="00467C2F">
            <w:pPr>
              <w:jc w:val="center"/>
              <w:rPr>
                <w:rFonts w:eastAsia="Times New Roman"/>
                <w:color w:val="000000"/>
                <w:sz w:val="22"/>
                <w:szCs w:val="22"/>
              </w:rPr>
            </w:pPr>
            <w:r w:rsidRPr="00467C2F">
              <w:rPr>
                <w:color w:val="000000"/>
                <w:sz w:val="22"/>
                <w:szCs w:val="22"/>
              </w:rPr>
              <w:t>38.17</w:t>
            </w:r>
          </w:p>
        </w:tc>
        <w:tc>
          <w:tcPr>
            <w:tcW w:w="914" w:type="dxa"/>
            <w:tcBorders>
              <w:top w:val="nil"/>
              <w:left w:val="nil"/>
              <w:bottom w:val="nil"/>
              <w:right w:val="nil"/>
            </w:tcBorders>
            <w:shd w:val="clear" w:color="auto" w:fill="auto"/>
            <w:noWrap/>
            <w:vAlign w:val="bottom"/>
            <w:hideMark/>
          </w:tcPr>
          <w:p w14:paraId="4B084D17" w14:textId="696AC818" w:rsidR="00467C2F" w:rsidRPr="00467C2F" w:rsidRDefault="00467C2F" w:rsidP="00467C2F">
            <w:pPr>
              <w:jc w:val="center"/>
              <w:rPr>
                <w:rFonts w:eastAsia="Times New Roman"/>
                <w:color w:val="000000"/>
                <w:sz w:val="22"/>
                <w:szCs w:val="22"/>
              </w:rPr>
            </w:pPr>
            <w:r w:rsidRPr="00467C2F">
              <w:rPr>
                <w:color w:val="000000"/>
                <w:sz w:val="22"/>
                <w:szCs w:val="22"/>
              </w:rPr>
              <w:t>41.50</w:t>
            </w:r>
          </w:p>
        </w:tc>
      </w:tr>
      <w:tr w:rsidR="00467C2F" w:rsidRPr="000912EF" w14:paraId="1D01BDF9" w14:textId="77777777" w:rsidTr="0031315C">
        <w:trPr>
          <w:trHeight w:val="300"/>
        </w:trPr>
        <w:tc>
          <w:tcPr>
            <w:tcW w:w="851" w:type="dxa"/>
            <w:tcBorders>
              <w:top w:val="nil"/>
              <w:left w:val="nil"/>
              <w:bottom w:val="nil"/>
              <w:right w:val="nil"/>
            </w:tcBorders>
            <w:shd w:val="clear" w:color="auto" w:fill="auto"/>
            <w:noWrap/>
            <w:vAlign w:val="bottom"/>
            <w:hideMark/>
          </w:tcPr>
          <w:p w14:paraId="5B79C03F" w14:textId="416C0E3B"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31</w:t>
            </w:r>
          </w:p>
        </w:tc>
        <w:tc>
          <w:tcPr>
            <w:tcW w:w="283" w:type="dxa"/>
            <w:tcBorders>
              <w:top w:val="nil"/>
              <w:left w:val="nil"/>
              <w:bottom w:val="nil"/>
              <w:right w:val="nil"/>
            </w:tcBorders>
            <w:shd w:val="clear" w:color="auto" w:fill="auto"/>
            <w:noWrap/>
            <w:vAlign w:val="bottom"/>
            <w:hideMark/>
          </w:tcPr>
          <w:p w14:paraId="68D1079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361C98A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0219EB8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76C98B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0.35</w:t>
            </w:r>
          </w:p>
        </w:tc>
        <w:tc>
          <w:tcPr>
            <w:tcW w:w="305" w:type="dxa"/>
            <w:tcBorders>
              <w:top w:val="nil"/>
              <w:left w:val="nil"/>
              <w:bottom w:val="nil"/>
              <w:right w:val="nil"/>
            </w:tcBorders>
            <w:shd w:val="clear" w:color="auto" w:fill="auto"/>
            <w:noWrap/>
            <w:vAlign w:val="bottom"/>
            <w:hideMark/>
          </w:tcPr>
          <w:p w14:paraId="5C2B910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E68982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111.67</w:t>
            </w:r>
          </w:p>
        </w:tc>
        <w:tc>
          <w:tcPr>
            <w:tcW w:w="992" w:type="dxa"/>
            <w:tcBorders>
              <w:top w:val="nil"/>
              <w:left w:val="nil"/>
              <w:bottom w:val="nil"/>
              <w:right w:val="nil"/>
            </w:tcBorders>
            <w:shd w:val="clear" w:color="auto" w:fill="auto"/>
            <w:noWrap/>
            <w:vAlign w:val="bottom"/>
            <w:hideMark/>
          </w:tcPr>
          <w:p w14:paraId="5DA1263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111</w:t>
            </w:r>
          </w:p>
        </w:tc>
        <w:tc>
          <w:tcPr>
            <w:tcW w:w="261" w:type="dxa"/>
            <w:tcBorders>
              <w:top w:val="nil"/>
              <w:left w:val="nil"/>
              <w:bottom w:val="nil"/>
              <w:right w:val="nil"/>
            </w:tcBorders>
            <w:shd w:val="clear" w:color="auto" w:fill="auto"/>
            <w:noWrap/>
            <w:vAlign w:val="bottom"/>
            <w:hideMark/>
          </w:tcPr>
          <w:p w14:paraId="0A44125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07FEE2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4.67</w:t>
            </w:r>
          </w:p>
        </w:tc>
        <w:tc>
          <w:tcPr>
            <w:tcW w:w="932" w:type="dxa"/>
            <w:tcBorders>
              <w:top w:val="nil"/>
              <w:left w:val="nil"/>
              <w:bottom w:val="nil"/>
              <w:right w:val="nil"/>
            </w:tcBorders>
            <w:shd w:val="clear" w:color="auto" w:fill="auto"/>
            <w:noWrap/>
            <w:vAlign w:val="bottom"/>
            <w:hideMark/>
          </w:tcPr>
          <w:p w14:paraId="76DFBBC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3" w:type="dxa"/>
            <w:tcBorders>
              <w:top w:val="nil"/>
              <w:left w:val="nil"/>
              <w:bottom w:val="nil"/>
              <w:right w:val="nil"/>
            </w:tcBorders>
            <w:shd w:val="clear" w:color="auto" w:fill="auto"/>
            <w:noWrap/>
            <w:vAlign w:val="bottom"/>
            <w:hideMark/>
          </w:tcPr>
          <w:p w14:paraId="0034E13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7B10647" w14:textId="569AC6E5" w:rsidR="00467C2F" w:rsidRPr="00467C2F" w:rsidRDefault="00467C2F" w:rsidP="00467C2F">
            <w:pPr>
              <w:jc w:val="center"/>
              <w:rPr>
                <w:rFonts w:eastAsia="Times New Roman"/>
                <w:color w:val="000000"/>
                <w:sz w:val="22"/>
                <w:szCs w:val="22"/>
              </w:rPr>
            </w:pPr>
            <w:r w:rsidRPr="00467C2F">
              <w:rPr>
                <w:color w:val="000000"/>
                <w:sz w:val="22"/>
                <w:szCs w:val="22"/>
              </w:rPr>
              <w:t>27.67</w:t>
            </w:r>
          </w:p>
        </w:tc>
        <w:tc>
          <w:tcPr>
            <w:tcW w:w="914" w:type="dxa"/>
            <w:tcBorders>
              <w:top w:val="nil"/>
              <w:left w:val="nil"/>
              <w:bottom w:val="nil"/>
              <w:right w:val="nil"/>
            </w:tcBorders>
            <w:shd w:val="clear" w:color="auto" w:fill="auto"/>
            <w:noWrap/>
            <w:vAlign w:val="bottom"/>
            <w:hideMark/>
          </w:tcPr>
          <w:p w14:paraId="2D4A789C" w14:textId="5CE467B9" w:rsidR="00467C2F" w:rsidRPr="00467C2F" w:rsidRDefault="00467C2F" w:rsidP="00467C2F">
            <w:pPr>
              <w:jc w:val="center"/>
              <w:rPr>
                <w:rFonts w:eastAsia="Times New Roman"/>
                <w:color w:val="000000"/>
                <w:sz w:val="22"/>
                <w:szCs w:val="22"/>
              </w:rPr>
            </w:pPr>
            <w:r w:rsidRPr="00467C2F">
              <w:rPr>
                <w:color w:val="000000"/>
                <w:sz w:val="22"/>
                <w:szCs w:val="22"/>
              </w:rPr>
              <w:t>30.00</w:t>
            </w:r>
          </w:p>
        </w:tc>
      </w:tr>
      <w:tr w:rsidR="00467C2F" w:rsidRPr="000912EF" w14:paraId="3440A0CB" w14:textId="77777777" w:rsidTr="0031315C">
        <w:trPr>
          <w:trHeight w:val="300"/>
        </w:trPr>
        <w:tc>
          <w:tcPr>
            <w:tcW w:w="851" w:type="dxa"/>
            <w:tcBorders>
              <w:top w:val="nil"/>
              <w:left w:val="nil"/>
              <w:bottom w:val="nil"/>
              <w:right w:val="nil"/>
            </w:tcBorders>
            <w:shd w:val="clear" w:color="auto" w:fill="auto"/>
            <w:noWrap/>
            <w:vAlign w:val="bottom"/>
            <w:hideMark/>
          </w:tcPr>
          <w:p w14:paraId="66E1C4B8" w14:textId="7053E0CF"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32</w:t>
            </w:r>
          </w:p>
        </w:tc>
        <w:tc>
          <w:tcPr>
            <w:tcW w:w="283" w:type="dxa"/>
            <w:tcBorders>
              <w:top w:val="nil"/>
              <w:left w:val="nil"/>
              <w:bottom w:val="nil"/>
              <w:right w:val="nil"/>
            </w:tcBorders>
            <w:shd w:val="clear" w:color="auto" w:fill="auto"/>
            <w:noWrap/>
            <w:vAlign w:val="bottom"/>
            <w:hideMark/>
          </w:tcPr>
          <w:p w14:paraId="7E44C56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F571BC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4" w:type="dxa"/>
            <w:tcBorders>
              <w:top w:val="nil"/>
              <w:left w:val="nil"/>
              <w:bottom w:val="nil"/>
              <w:right w:val="nil"/>
            </w:tcBorders>
            <w:shd w:val="clear" w:color="auto" w:fill="auto"/>
            <w:noWrap/>
            <w:vAlign w:val="bottom"/>
            <w:hideMark/>
          </w:tcPr>
          <w:p w14:paraId="3BD15CD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9E44D4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0.65</w:t>
            </w:r>
          </w:p>
        </w:tc>
        <w:tc>
          <w:tcPr>
            <w:tcW w:w="305" w:type="dxa"/>
            <w:tcBorders>
              <w:top w:val="nil"/>
              <w:left w:val="nil"/>
              <w:bottom w:val="nil"/>
              <w:right w:val="nil"/>
            </w:tcBorders>
            <w:shd w:val="clear" w:color="auto" w:fill="auto"/>
            <w:noWrap/>
            <w:vAlign w:val="bottom"/>
            <w:hideMark/>
          </w:tcPr>
          <w:p w14:paraId="767538B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A0EA15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72.50</w:t>
            </w:r>
          </w:p>
        </w:tc>
        <w:tc>
          <w:tcPr>
            <w:tcW w:w="992" w:type="dxa"/>
            <w:tcBorders>
              <w:top w:val="nil"/>
              <w:left w:val="nil"/>
              <w:bottom w:val="nil"/>
              <w:right w:val="nil"/>
            </w:tcBorders>
            <w:shd w:val="clear" w:color="auto" w:fill="auto"/>
            <w:noWrap/>
            <w:vAlign w:val="bottom"/>
            <w:hideMark/>
          </w:tcPr>
          <w:p w14:paraId="6E50A26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72.5</w:t>
            </w:r>
          </w:p>
        </w:tc>
        <w:tc>
          <w:tcPr>
            <w:tcW w:w="261" w:type="dxa"/>
            <w:tcBorders>
              <w:top w:val="nil"/>
              <w:left w:val="nil"/>
              <w:bottom w:val="nil"/>
              <w:right w:val="nil"/>
            </w:tcBorders>
            <w:shd w:val="clear" w:color="auto" w:fill="auto"/>
            <w:noWrap/>
            <w:vAlign w:val="bottom"/>
            <w:hideMark/>
          </w:tcPr>
          <w:p w14:paraId="2672554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B3E705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3.00</w:t>
            </w:r>
          </w:p>
        </w:tc>
        <w:tc>
          <w:tcPr>
            <w:tcW w:w="932" w:type="dxa"/>
            <w:tcBorders>
              <w:top w:val="nil"/>
              <w:left w:val="nil"/>
              <w:bottom w:val="nil"/>
              <w:right w:val="nil"/>
            </w:tcBorders>
            <w:shd w:val="clear" w:color="auto" w:fill="auto"/>
            <w:noWrap/>
            <w:vAlign w:val="bottom"/>
            <w:hideMark/>
          </w:tcPr>
          <w:p w14:paraId="7567A00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2372124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A3394B1" w14:textId="4EAD296C" w:rsidR="00467C2F" w:rsidRPr="00467C2F" w:rsidRDefault="00467C2F" w:rsidP="00467C2F">
            <w:pPr>
              <w:jc w:val="center"/>
              <w:rPr>
                <w:rFonts w:eastAsia="Times New Roman"/>
                <w:color w:val="000000"/>
                <w:sz w:val="22"/>
                <w:szCs w:val="22"/>
              </w:rPr>
            </w:pPr>
            <w:r w:rsidRPr="00467C2F">
              <w:rPr>
                <w:color w:val="000000"/>
                <w:sz w:val="22"/>
                <w:szCs w:val="22"/>
              </w:rPr>
              <w:t>26.50</w:t>
            </w:r>
          </w:p>
        </w:tc>
        <w:tc>
          <w:tcPr>
            <w:tcW w:w="914" w:type="dxa"/>
            <w:tcBorders>
              <w:top w:val="nil"/>
              <w:left w:val="nil"/>
              <w:bottom w:val="nil"/>
              <w:right w:val="nil"/>
            </w:tcBorders>
            <w:shd w:val="clear" w:color="auto" w:fill="auto"/>
            <w:noWrap/>
            <w:vAlign w:val="bottom"/>
            <w:hideMark/>
          </w:tcPr>
          <w:p w14:paraId="57DC29E8" w14:textId="04C763FF" w:rsidR="00467C2F" w:rsidRPr="00467C2F" w:rsidRDefault="00467C2F" w:rsidP="00467C2F">
            <w:pPr>
              <w:jc w:val="center"/>
              <w:rPr>
                <w:rFonts w:eastAsia="Times New Roman"/>
                <w:color w:val="000000"/>
                <w:sz w:val="22"/>
                <w:szCs w:val="22"/>
              </w:rPr>
            </w:pPr>
            <w:r w:rsidRPr="00467C2F">
              <w:rPr>
                <w:color w:val="000000"/>
                <w:sz w:val="22"/>
                <w:szCs w:val="22"/>
              </w:rPr>
              <w:t>26.50</w:t>
            </w:r>
          </w:p>
        </w:tc>
      </w:tr>
      <w:tr w:rsidR="00467C2F" w:rsidRPr="000912EF" w14:paraId="0AC8AFC2" w14:textId="77777777" w:rsidTr="0031315C">
        <w:trPr>
          <w:trHeight w:val="300"/>
        </w:trPr>
        <w:tc>
          <w:tcPr>
            <w:tcW w:w="851" w:type="dxa"/>
            <w:tcBorders>
              <w:top w:val="nil"/>
              <w:left w:val="nil"/>
              <w:bottom w:val="nil"/>
              <w:right w:val="nil"/>
            </w:tcBorders>
            <w:shd w:val="clear" w:color="auto" w:fill="auto"/>
            <w:noWrap/>
            <w:vAlign w:val="bottom"/>
            <w:hideMark/>
          </w:tcPr>
          <w:p w14:paraId="2E655AB9" w14:textId="3644B458"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33</w:t>
            </w:r>
          </w:p>
        </w:tc>
        <w:tc>
          <w:tcPr>
            <w:tcW w:w="283" w:type="dxa"/>
            <w:tcBorders>
              <w:top w:val="nil"/>
              <w:left w:val="nil"/>
              <w:bottom w:val="nil"/>
              <w:right w:val="nil"/>
            </w:tcBorders>
            <w:shd w:val="clear" w:color="auto" w:fill="auto"/>
            <w:noWrap/>
            <w:vAlign w:val="bottom"/>
            <w:hideMark/>
          </w:tcPr>
          <w:p w14:paraId="01562FE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279138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w:t>
            </w:r>
          </w:p>
        </w:tc>
        <w:tc>
          <w:tcPr>
            <w:tcW w:w="284" w:type="dxa"/>
            <w:tcBorders>
              <w:top w:val="nil"/>
              <w:left w:val="nil"/>
              <w:bottom w:val="nil"/>
              <w:right w:val="nil"/>
            </w:tcBorders>
            <w:shd w:val="clear" w:color="auto" w:fill="auto"/>
            <w:noWrap/>
            <w:vAlign w:val="bottom"/>
            <w:hideMark/>
          </w:tcPr>
          <w:p w14:paraId="59EDFA2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9A1A71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0.23</w:t>
            </w:r>
          </w:p>
        </w:tc>
        <w:tc>
          <w:tcPr>
            <w:tcW w:w="305" w:type="dxa"/>
            <w:tcBorders>
              <w:top w:val="nil"/>
              <w:left w:val="nil"/>
              <w:bottom w:val="nil"/>
              <w:right w:val="nil"/>
            </w:tcBorders>
            <w:shd w:val="clear" w:color="auto" w:fill="auto"/>
            <w:noWrap/>
            <w:vAlign w:val="bottom"/>
            <w:hideMark/>
          </w:tcPr>
          <w:p w14:paraId="69950FA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68646C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259.86</w:t>
            </w:r>
          </w:p>
        </w:tc>
        <w:tc>
          <w:tcPr>
            <w:tcW w:w="992" w:type="dxa"/>
            <w:tcBorders>
              <w:top w:val="nil"/>
              <w:left w:val="nil"/>
              <w:bottom w:val="nil"/>
              <w:right w:val="nil"/>
            </w:tcBorders>
            <w:shd w:val="clear" w:color="auto" w:fill="auto"/>
            <w:noWrap/>
            <w:vAlign w:val="bottom"/>
            <w:hideMark/>
          </w:tcPr>
          <w:p w14:paraId="3855C9E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118</w:t>
            </w:r>
          </w:p>
        </w:tc>
        <w:tc>
          <w:tcPr>
            <w:tcW w:w="261" w:type="dxa"/>
            <w:tcBorders>
              <w:top w:val="nil"/>
              <w:left w:val="nil"/>
              <w:bottom w:val="nil"/>
              <w:right w:val="nil"/>
            </w:tcBorders>
            <w:shd w:val="clear" w:color="auto" w:fill="auto"/>
            <w:noWrap/>
            <w:vAlign w:val="bottom"/>
            <w:hideMark/>
          </w:tcPr>
          <w:p w14:paraId="4E2EC68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3832AA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3.29</w:t>
            </w:r>
          </w:p>
        </w:tc>
        <w:tc>
          <w:tcPr>
            <w:tcW w:w="932" w:type="dxa"/>
            <w:tcBorders>
              <w:top w:val="nil"/>
              <w:left w:val="nil"/>
              <w:bottom w:val="nil"/>
              <w:right w:val="nil"/>
            </w:tcBorders>
            <w:shd w:val="clear" w:color="auto" w:fill="auto"/>
            <w:noWrap/>
            <w:vAlign w:val="bottom"/>
            <w:hideMark/>
          </w:tcPr>
          <w:p w14:paraId="0A08C51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0D7E4E5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190158E" w14:textId="1176346E" w:rsidR="00467C2F" w:rsidRPr="00467C2F" w:rsidRDefault="00467C2F" w:rsidP="00467C2F">
            <w:pPr>
              <w:jc w:val="center"/>
              <w:rPr>
                <w:rFonts w:eastAsia="Times New Roman"/>
                <w:color w:val="000000"/>
                <w:sz w:val="22"/>
                <w:szCs w:val="22"/>
              </w:rPr>
            </w:pPr>
            <w:r w:rsidRPr="00467C2F">
              <w:rPr>
                <w:color w:val="000000"/>
                <w:sz w:val="22"/>
                <w:szCs w:val="22"/>
              </w:rPr>
              <w:t>39.57</w:t>
            </w:r>
          </w:p>
        </w:tc>
        <w:tc>
          <w:tcPr>
            <w:tcW w:w="914" w:type="dxa"/>
            <w:tcBorders>
              <w:top w:val="nil"/>
              <w:left w:val="nil"/>
              <w:bottom w:val="nil"/>
              <w:right w:val="nil"/>
            </w:tcBorders>
            <w:shd w:val="clear" w:color="auto" w:fill="auto"/>
            <w:noWrap/>
            <w:vAlign w:val="bottom"/>
            <w:hideMark/>
          </w:tcPr>
          <w:p w14:paraId="4F97BA08" w14:textId="1CDBC5EC" w:rsidR="00467C2F" w:rsidRPr="00467C2F" w:rsidRDefault="00467C2F" w:rsidP="00467C2F">
            <w:pPr>
              <w:jc w:val="center"/>
              <w:rPr>
                <w:rFonts w:eastAsia="Times New Roman"/>
                <w:color w:val="000000"/>
                <w:sz w:val="22"/>
                <w:szCs w:val="22"/>
              </w:rPr>
            </w:pPr>
            <w:r w:rsidRPr="00467C2F">
              <w:rPr>
                <w:color w:val="000000"/>
                <w:sz w:val="22"/>
                <w:szCs w:val="22"/>
              </w:rPr>
              <w:t>52.00</w:t>
            </w:r>
          </w:p>
        </w:tc>
      </w:tr>
      <w:tr w:rsidR="00467C2F" w:rsidRPr="000912EF" w14:paraId="02B37101" w14:textId="77777777" w:rsidTr="0031315C">
        <w:trPr>
          <w:trHeight w:val="300"/>
        </w:trPr>
        <w:tc>
          <w:tcPr>
            <w:tcW w:w="851" w:type="dxa"/>
            <w:tcBorders>
              <w:top w:val="nil"/>
              <w:left w:val="nil"/>
              <w:bottom w:val="nil"/>
              <w:right w:val="nil"/>
            </w:tcBorders>
            <w:shd w:val="clear" w:color="auto" w:fill="auto"/>
            <w:noWrap/>
            <w:vAlign w:val="bottom"/>
            <w:hideMark/>
          </w:tcPr>
          <w:p w14:paraId="500B59B3" w14:textId="0CEA8AC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w:t>
            </w:r>
          </w:p>
        </w:tc>
        <w:tc>
          <w:tcPr>
            <w:tcW w:w="283" w:type="dxa"/>
            <w:tcBorders>
              <w:top w:val="nil"/>
              <w:left w:val="nil"/>
              <w:bottom w:val="nil"/>
              <w:right w:val="nil"/>
            </w:tcBorders>
            <w:shd w:val="clear" w:color="auto" w:fill="auto"/>
            <w:noWrap/>
            <w:vAlign w:val="bottom"/>
            <w:hideMark/>
          </w:tcPr>
          <w:p w14:paraId="5E7D190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035AB5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4" w:type="dxa"/>
            <w:tcBorders>
              <w:top w:val="nil"/>
              <w:left w:val="nil"/>
              <w:bottom w:val="nil"/>
              <w:right w:val="nil"/>
            </w:tcBorders>
            <w:shd w:val="clear" w:color="auto" w:fill="auto"/>
            <w:noWrap/>
            <w:vAlign w:val="bottom"/>
            <w:hideMark/>
          </w:tcPr>
          <w:p w14:paraId="25FBBA6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452A839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0.23</w:t>
            </w:r>
          </w:p>
        </w:tc>
        <w:tc>
          <w:tcPr>
            <w:tcW w:w="305" w:type="dxa"/>
            <w:tcBorders>
              <w:top w:val="nil"/>
              <w:left w:val="nil"/>
              <w:bottom w:val="nil"/>
              <w:right w:val="nil"/>
            </w:tcBorders>
            <w:shd w:val="clear" w:color="auto" w:fill="auto"/>
            <w:noWrap/>
            <w:vAlign w:val="bottom"/>
            <w:hideMark/>
          </w:tcPr>
          <w:p w14:paraId="0B072A5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CF060C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134.40</w:t>
            </w:r>
          </w:p>
        </w:tc>
        <w:tc>
          <w:tcPr>
            <w:tcW w:w="992" w:type="dxa"/>
            <w:tcBorders>
              <w:top w:val="nil"/>
              <w:left w:val="nil"/>
              <w:bottom w:val="nil"/>
              <w:right w:val="nil"/>
            </w:tcBorders>
            <w:shd w:val="clear" w:color="auto" w:fill="auto"/>
            <w:noWrap/>
            <w:vAlign w:val="bottom"/>
            <w:hideMark/>
          </w:tcPr>
          <w:p w14:paraId="1CBDF1A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103</w:t>
            </w:r>
          </w:p>
        </w:tc>
        <w:tc>
          <w:tcPr>
            <w:tcW w:w="261" w:type="dxa"/>
            <w:tcBorders>
              <w:top w:val="nil"/>
              <w:left w:val="nil"/>
              <w:bottom w:val="nil"/>
              <w:right w:val="nil"/>
            </w:tcBorders>
            <w:shd w:val="clear" w:color="auto" w:fill="auto"/>
            <w:noWrap/>
            <w:vAlign w:val="bottom"/>
            <w:hideMark/>
          </w:tcPr>
          <w:p w14:paraId="3DECB6C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3D2D276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4.80</w:t>
            </w:r>
          </w:p>
        </w:tc>
        <w:tc>
          <w:tcPr>
            <w:tcW w:w="932" w:type="dxa"/>
            <w:tcBorders>
              <w:top w:val="nil"/>
              <w:left w:val="nil"/>
              <w:bottom w:val="nil"/>
              <w:right w:val="nil"/>
            </w:tcBorders>
            <w:shd w:val="clear" w:color="auto" w:fill="auto"/>
            <w:noWrap/>
            <w:vAlign w:val="bottom"/>
            <w:hideMark/>
          </w:tcPr>
          <w:p w14:paraId="084E0B0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3" w:type="dxa"/>
            <w:tcBorders>
              <w:top w:val="nil"/>
              <w:left w:val="nil"/>
              <w:bottom w:val="nil"/>
              <w:right w:val="nil"/>
            </w:tcBorders>
            <w:shd w:val="clear" w:color="auto" w:fill="auto"/>
            <w:noWrap/>
            <w:vAlign w:val="bottom"/>
            <w:hideMark/>
          </w:tcPr>
          <w:p w14:paraId="3509557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21FCAB5" w14:textId="21D4D9CE" w:rsidR="00467C2F" w:rsidRPr="00467C2F" w:rsidRDefault="00467C2F" w:rsidP="00467C2F">
            <w:pPr>
              <w:jc w:val="center"/>
              <w:rPr>
                <w:rFonts w:eastAsia="Times New Roman"/>
                <w:color w:val="000000"/>
                <w:sz w:val="22"/>
                <w:szCs w:val="22"/>
              </w:rPr>
            </w:pPr>
            <w:r w:rsidRPr="00467C2F">
              <w:rPr>
                <w:color w:val="000000"/>
                <w:sz w:val="22"/>
                <w:szCs w:val="22"/>
              </w:rPr>
              <w:t>62.00</w:t>
            </w:r>
          </w:p>
        </w:tc>
        <w:tc>
          <w:tcPr>
            <w:tcW w:w="914" w:type="dxa"/>
            <w:tcBorders>
              <w:top w:val="nil"/>
              <w:left w:val="nil"/>
              <w:bottom w:val="nil"/>
              <w:right w:val="nil"/>
            </w:tcBorders>
            <w:shd w:val="clear" w:color="auto" w:fill="auto"/>
            <w:noWrap/>
            <w:vAlign w:val="bottom"/>
            <w:hideMark/>
          </w:tcPr>
          <w:p w14:paraId="58B068DB" w14:textId="65807A8E" w:rsidR="00467C2F" w:rsidRPr="00467C2F" w:rsidRDefault="00467C2F" w:rsidP="00467C2F">
            <w:pPr>
              <w:jc w:val="center"/>
              <w:rPr>
                <w:rFonts w:eastAsia="Times New Roman"/>
                <w:color w:val="000000"/>
                <w:sz w:val="22"/>
                <w:szCs w:val="22"/>
              </w:rPr>
            </w:pPr>
            <w:r w:rsidRPr="00467C2F">
              <w:rPr>
                <w:color w:val="000000"/>
                <w:sz w:val="22"/>
                <w:szCs w:val="22"/>
              </w:rPr>
              <w:t>60.00</w:t>
            </w:r>
          </w:p>
        </w:tc>
      </w:tr>
      <w:tr w:rsidR="00467C2F" w:rsidRPr="000912EF" w14:paraId="38C8C861" w14:textId="77777777" w:rsidTr="0031315C">
        <w:trPr>
          <w:trHeight w:val="235"/>
        </w:trPr>
        <w:tc>
          <w:tcPr>
            <w:tcW w:w="851" w:type="dxa"/>
            <w:tcBorders>
              <w:top w:val="nil"/>
              <w:left w:val="nil"/>
              <w:bottom w:val="nil"/>
              <w:right w:val="nil"/>
            </w:tcBorders>
            <w:shd w:val="clear" w:color="auto" w:fill="auto"/>
            <w:noWrap/>
            <w:vAlign w:val="bottom"/>
            <w:hideMark/>
          </w:tcPr>
          <w:p w14:paraId="3902E5DE" w14:textId="7C370324"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35</w:t>
            </w:r>
          </w:p>
        </w:tc>
        <w:tc>
          <w:tcPr>
            <w:tcW w:w="283" w:type="dxa"/>
            <w:tcBorders>
              <w:top w:val="nil"/>
              <w:left w:val="nil"/>
              <w:bottom w:val="nil"/>
              <w:right w:val="nil"/>
            </w:tcBorders>
            <w:shd w:val="clear" w:color="auto" w:fill="auto"/>
            <w:noWrap/>
            <w:vAlign w:val="bottom"/>
            <w:hideMark/>
          </w:tcPr>
          <w:p w14:paraId="3F39397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15E3D1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38</w:t>
            </w:r>
          </w:p>
        </w:tc>
        <w:tc>
          <w:tcPr>
            <w:tcW w:w="284" w:type="dxa"/>
            <w:tcBorders>
              <w:top w:val="nil"/>
              <w:left w:val="nil"/>
              <w:bottom w:val="nil"/>
              <w:right w:val="nil"/>
            </w:tcBorders>
            <w:shd w:val="clear" w:color="auto" w:fill="auto"/>
            <w:noWrap/>
            <w:vAlign w:val="bottom"/>
            <w:hideMark/>
          </w:tcPr>
          <w:p w14:paraId="675B1B7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D3951D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0.08</w:t>
            </w:r>
          </w:p>
        </w:tc>
        <w:tc>
          <w:tcPr>
            <w:tcW w:w="305" w:type="dxa"/>
            <w:tcBorders>
              <w:top w:val="nil"/>
              <w:left w:val="nil"/>
              <w:bottom w:val="nil"/>
              <w:right w:val="nil"/>
            </w:tcBorders>
            <w:shd w:val="clear" w:color="auto" w:fill="auto"/>
            <w:noWrap/>
            <w:vAlign w:val="bottom"/>
            <w:hideMark/>
          </w:tcPr>
          <w:p w14:paraId="0B06568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D31C78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88.89</w:t>
            </w:r>
          </w:p>
        </w:tc>
        <w:tc>
          <w:tcPr>
            <w:tcW w:w="992" w:type="dxa"/>
            <w:tcBorders>
              <w:top w:val="nil"/>
              <w:left w:val="nil"/>
              <w:bottom w:val="nil"/>
              <w:right w:val="nil"/>
            </w:tcBorders>
            <w:shd w:val="clear" w:color="auto" w:fill="auto"/>
            <w:noWrap/>
            <w:vAlign w:val="bottom"/>
            <w:hideMark/>
          </w:tcPr>
          <w:p w14:paraId="49BFEA5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84.5</w:t>
            </w:r>
          </w:p>
        </w:tc>
        <w:tc>
          <w:tcPr>
            <w:tcW w:w="261" w:type="dxa"/>
            <w:tcBorders>
              <w:top w:val="nil"/>
              <w:left w:val="nil"/>
              <w:bottom w:val="nil"/>
              <w:right w:val="nil"/>
            </w:tcBorders>
            <w:shd w:val="clear" w:color="auto" w:fill="auto"/>
            <w:noWrap/>
            <w:vAlign w:val="bottom"/>
            <w:hideMark/>
          </w:tcPr>
          <w:p w14:paraId="628D1DA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AB8B0D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2.74</w:t>
            </w:r>
          </w:p>
        </w:tc>
        <w:tc>
          <w:tcPr>
            <w:tcW w:w="932" w:type="dxa"/>
            <w:tcBorders>
              <w:top w:val="nil"/>
              <w:left w:val="nil"/>
              <w:bottom w:val="nil"/>
              <w:right w:val="nil"/>
            </w:tcBorders>
            <w:shd w:val="clear" w:color="auto" w:fill="auto"/>
            <w:noWrap/>
            <w:vAlign w:val="bottom"/>
            <w:hideMark/>
          </w:tcPr>
          <w:p w14:paraId="7A661CD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3A6E8A4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3DBAA12D" w14:textId="0BE98665" w:rsidR="00467C2F" w:rsidRPr="00467C2F" w:rsidRDefault="00467C2F" w:rsidP="00467C2F">
            <w:pPr>
              <w:jc w:val="center"/>
              <w:rPr>
                <w:rFonts w:eastAsia="Times New Roman"/>
                <w:color w:val="000000"/>
                <w:sz w:val="22"/>
                <w:szCs w:val="22"/>
              </w:rPr>
            </w:pPr>
            <w:r w:rsidRPr="00467C2F">
              <w:rPr>
                <w:color w:val="000000"/>
                <w:sz w:val="22"/>
                <w:szCs w:val="22"/>
              </w:rPr>
              <w:t>29.55</w:t>
            </w:r>
          </w:p>
        </w:tc>
        <w:tc>
          <w:tcPr>
            <w:tcW w:w="914" w:type="dxa"/>
            <w:tcBorders>
              <w:top w:val="nil"/>
              <w:left w:val="nil"/>
              <w:bottom w:val="nil"/>
              <w:right w:val="nil"/>
            </w:tcBorders>
            <w:shd w:val="clear" w:color="auto" w:fill="auto"/>
            <w:noWrap/>
            <w:vAlign w:val="bottom"/>
            <w:hideMark/>
          </w:tcPr>
          <w:p w14:paraId="3BC612B7" w14:textId="4AA6CDEE" w:rsidR="00467C2F" w:rsidRPr="00467C2F" w:rsidRDefault="00467C2F" w:rsidP="00467C2F">
            <w:pPr>
              <w:jc w:val="center"/>
              <w:rPr>
                <w:rFonts w:eastAsia="Times New Roman"/>
                <w:color w:val="000000"/>
                <w:sz w:val="22"/>
                <w:szCs w:val="22"/>
              </w:rPr>
            </w:pPr>
            <w:r w:rsidRPr="00467C2F">
              <w:rPr>
                <w:color w:val="000000"/>
                <w:sz w:val="22"/>
                <w:szCs w:val="22"/>
              </w:rPr>
              <w:t>36.00</w:t>
            </w:r>
          </w:p>
        </w:tc>
      </w:tr>
      <w:tr w:rsidR="00467C2F" w:rsidRPr="000912EF" w14:paraId="26A0D6AE" w14:textId="77777777" w:rsidTr="0031315C">
        <w:trPr>
          <w:trHeight w:val="300"/>
        </w:trPr>
        <w:tc>
          <w:tcPr>
            <w:tcW w:w="851" w:type="dxa"/>
            <w:tcBorders>
              <w:top w:val="nil"/>
              <w:left w:val="nil"/>
              <w:bottom w:val="nil"/>
              <w:right w:val="nil"/>
            </w:tcBorders>
            <w:shd w:val="clear" w:color="auto" w:fill="auto"/>
            <w:noWrap/>
            <w:vAlign w:val="bottom"/>
            <w:hideMark/>
          </w:tcPr>
          <w:p w14:paraId="09BBF92C" w14:textId="22E87395"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36</w:t>
            </w:r>
          </w:p>
        </w:tc>
        <w:tc>
          <w:tcPr>
            <w:tcW w:w="283" w:type="dxa"/>
            <w:tcBorders>
              <w:top w:val="nil"/>
              <w:left w:val="nil"/>
              <w:bottom w:val="nil"/>
              <w:right w:val="nil"/>
            </w:tcBorders>
            <w:shd w:val="clear" w:color="auto" w:fill="auto"/>
            <w:noWrap/>
            <w:vAlign w:val="bottom"/>
            <w:hideMark/>
          </w:tcPr>
          <w:p w14:paraId="0B52CED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2D627B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63</w:t>
            </w:r>
          </w:p>
        </w:tc>
        <w:tc>
          <w:tcPr>
            <w:tcW w:w="284" w:type="dxa"/>
            <w:tcBorders>
              <w:top w:val="nil"/>
              <w:left w:val="nil"/>
              <w:bottom w:val="nil"/>
              <w:right w:val="nil"/>
            </w:tcBorders>
            <w:shd w:val="clear" w:color="auto" w:fill="auto"/>
            <w:noWrap/>
            <w:vAlign w:val="bottom"/>
            <w:hideMark/>
          </w:tcPr>
          <w:p w14:paraId="6CBE328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57A554D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0.11</w:t>
            </w:r>
          </w:p>
        </w:tc>
        <w:tc>
          <w:tcPr>
            <w:tcW w:w="305" w:type="dxa"/>
            <w:tcBorders>
              <w:top w:val="nil"/>
              <w:left w:val="nil"/>
              <w:bottom w:val="nil"/>
              <w:right w:val="nil"/>
            </w:tcBorders>
            <w:shd w:val="clear" w:color="auto" w:fill="auto"/>
            <w:noWrap/>
            <w:vAlign w:val="bottom"/>
            <w:hideMark/>
          </w:tcPr>
          <w:p w14:paraId="7CB486F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4AA507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136.57</w:t>
            </w:r>
          </w:p>
        </w:tc>
        <w:tc>
          <w:tcPr>
            <w:tcW w:w="992" w:type="dxa"/>
            <w:tcBorders>
              <w:top w:val="nil"/>
              <w:left w:val="nil"/>
              <w:bottom w:val="nil"/>
              <w:right w:val="nil"/>
            </w:tcBorders>
            <w:shd w:val="clear" w:color="auto" w:fill="auto"/>
            <w:noWrap/>
            <w:vAlign w:val="bottom"/>
            <w:hideMark/>
          </w:tcPr>
          <w:p w14:paraId="04DD37E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111</w:t>
            </w:r>
          </w:p>
        </w:tc>
        <w:tc>
          <w:tcPr>
            <w:tcW w:w="261" w:type="dxa"/>
            <w:tcBorders>
              <w:top w:val="nil"/>
              <w:left w:val="nil"/>
              <w:bottom w:val="nil"/>
              <w:right w:val="nil"/>
            </w:tcBorders>
            <w:shd w:val="clear" w:color="auto" w:fill="auto"/>
            <w:noWrap/>
            <w:vAlign w:val="bottom"/>
            <w:hideMark/>
          </w:tcPr>
          <w:p w14:paraId="35B6508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2E3BA94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3.24</w:t>
            </w:r>
          </w:p>
        </w:tc>
        <w:tc>
          <w:tcPr>
            <w:tcW w:w="932" w:type="dxa"/>
            <w:tcBorders>
              <w:top w:val="nil"/>
              <w:left w:val="nil"/>
              <w:bottom w:val="nil"/>
              <w:right w:val="nil"/>
            </w:tcBorders>
            <w:shd w:val="clear" w:color="auto" w:fill="auto"/>
            <w:noWrap/>
            <w:vAlign w:val="bottom"/>
            <w:hideMark/>
          </w:tcPr>
          <w:p w14:paraId="41D8D92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370FDCB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76939572" w14:textId="40607A52" w:rsidR="00467C2F" w:rsidRPr="00467C2F" w:rsidRDefault="00467C2F" w:rsidP="00467C2F">
            <w:pPr>
              <w:jc w:val="center"/>
              <w:rPr>
                <w:rFonts w:eastAsia="Times New Roman"/>
                <w:color w:val="000000"/>
                <w:sz w:val="22"/>
                <w:szCs w:val="22"/>
              </w:rPr>
            </w:pPr>
            <w:r w:rsidRPr="00467C2F">
              <w:rPr>
                <w:color w:val="000000"/>
                <w:sz w:val="22"/>
                <w:szCs w:val="22"/>
              </w:rPr>
              <w:t>31.35</w:t>
            </w:r>
          </w:p>
        </w:tc>
        <w:tc>
          <w:tcPr>
            <w:tcW w:w="914" w:type="dxa"/>
            <w:tcBorders>
              <w:top w:val="nil"/>
              <w:left w:val="nil"/>
              <w:bottom w:val="nil"/>
              <w:right w:val="nil"/>
            </w:tcBorders>
            <w:shd w:val="clear" w:color="auto" w:fill="auto"/>
            <w:noWrap/>
            <w:vAlign w:val="bottom"/>
            <w:hideMark/>
          </w:tcPr>
          <w:p w14:paraId="16D93A5E" w14:textId="3B61683B" w:rsidR="00467C2F" w:rsidRPr="00467C2F" w:rsidRDefault="00467C2F" w:rsidP="00467C2F">
            <w:pPr>
              <w:jc w:val="center"/>
              <w:rPr>
                <w:rFonts w:eastAsia="Times New Roman"/>
                <w:color w:val="000000"/>
                <w:sz w:val="22"/>
                <w:szCs w:val="22"/>
              </w:rPr>
            </w:pPr>
            <w:r w:rsidRPr="00467C2F">
              <w:rPr>
                <w:color w:val="000000"/>
                <w:sz w:val="22"/>
                <w:szCs w:val="22"/>
              </w:rPr>
              <w:t>32.00</w:t>
            </w:r>
          </w:p>
        </w:tc>
      </w:tr>
      <w:tr w:rsidR="00467C2F" w:rsidRPr="000912EF" w14:paraId="74C9810D" w14:textId="77777777" w:rsidTr="0031315C">
        <w:trPr>
          <w:trHeight w:val="300"/>
        </w:trPr>
        <w:tc>
          <w:tcPr>
            <w:tcW w:w="851" w:type="dxa"/>
            <w:tcBorders>
              <w:top w:val="nil"/>
              <w:left w:val="nil"/>
              <w:bottom w:val="nil"/>
              <w:right w:val="nil"/>
            </w:tcBorders>
            <w:shd w:val="clear" w:color="auto" w:fill="auto"/>
            <w:noWrap/>
            <w:vAlign w:val="bottom"/>
            <w:hideMark/>
          </w:tcPr>
          <w:p w14:paraId="0358A356" w14:textId="0A24A88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37</w:t>
            </w:r>
          </w:p>
        </w:tc>
        <w:tc>
          <w:tcPr>
            <w:tcW w:w="283" w:type="dxa"/>
            <w:tcBorders>
              <w:top w:val="nil"/>
              <w:left w:val="nil"/>
              <w:bottom w:val="nil"/>
              <w:right w:val="nil"/>
            </w:tcBorders>
            <w:shd w:val="clear" w:color="auto" w:fill="auto"/>
            <w:noWrap/>
            <w:vAlign w:val="bottom"/>
            <w:hideMark/>
          </w:tcPr>
          <w:p w14:paraId="7A7ED0B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E19D85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w:t>
            </w:r>
          </w:p>
        </w:tc>
        <w:tc>
          <w:tcPr>
            <w:tcW w:w="284" w:type="dxa"/>
            <w:tcBorders>
              <w:top w:val="nil"/>
              <w:left w:val="nil"/>
              <w:bottom w:val="nil"/>
              <w:right w:val="nil"/>
            </w:tcBorders>
            <w:shd w:val="clear" w:color="auto" w:fill="auto"/>
            <w:noWrap/>
            <w:vAlign w:val="bottom"/>
            <w:hideMark/>
          </w:tcPr>
          <w:p w14:paraId="708D761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7DF9481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0.91</w:t>
            </w:r>
          </w:p>
        </w:tc>
        <w:tc>
          <w:tcPr>
            <w:tcW w:w="305" w:type="dxa"/>
            <w:tcBorders>
              <w:top w:val="nil"/>
              <w:left w:val="nil"/>
              <w:bottom w:val="nil"/>
              <w:right w:val="nil"/>
            </w:tcBorders>
            <w:shd w:val="clear" w:color="auto" w:fill="auto"/>
            <w:noWrap/>
            <w:vAlign w:val="bottom"/>
            <w:hideMark/>
          </w:tcPr>
          <w:p w14:paraId="5F50A46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3BFE6D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146.00</w:t>
            </w:r>
          </w:p>
        </w:tc>
        <w:tc>
          <w:tcPr>
            <w:tcW w:w="992" w:type="dxa"/>
            <w:tcBorders>
              <w:top w:val="nil"/>
              <w:left w:val="nil"/>
              <w:bottom w:val="nil"/>
              <w:right w:val="nil"/>
            </w:tcBorders>
            <w:shd w:val="clear" w:color="auto" w:fill="auto"/>
            <w:noWrap/>
            <w:vAlign w:val="bottom"/>
            <w:hideMark/>
          </w:tcPr>
          <w:p w14:paraId="6407EE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101</w:t>
            </w:r>
          </w:p>
        </w:tc>
        <w:tc>
          <w:tcPr>
            <w:tcW w:w="261" w:type="dxa"/>
            <w:tcBorders>
              <w:top w:val="nil"/>
              <w:left w:val="nil"/>
              <w:bottom w:val="nil"/>
              <w:right w:val="nil"/>
            </w:tcBorders>
            <w:shd w:val="clear" w:color="auto" w:fill="auto"/>
            <w:noWrap/>
            <w:vAlign w:val="bottom"/>
            <w:hideMark/>
          </w:tcPr>
          <w:p w14:paraId="1F45F1B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95637D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3.40</w:t>
            </w:r>
          </w:p>
        </w:tc>
        <w:tc>
          <w:tcPr>
            <w:tcW w:w="932" w:type="dxa"/>
            <w:tcBorders>
              <w:top w:val="nil"/>
              <w:left w:val="nil"/>
              <w:bottom w:val="nil"/>
              <w:right w:val="nil"/>
            </w:tcBorders>
            <w:shd w:val="clear" w:color="auto" w:fill="auto"/>
            <w:noWrap/>
            <w:vAlign w:val="bottom"/>
            <w:hideMark/>
          </w:tcPr>
          <w:p w14:paraId="5BA92ED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3.5</w:t>
            </w:r>
          </w:p>
        </w:tc>
        <w:tc>
          <w:tcPr>
            <w:tcW w:w="283" w:type="dxa"/>
            <w:tcBorders>
              <w:top w:val="nil"/>
              <w:left w:val="nil"/>
              <w:bottom w:val="nil"/>
              <w:right w:val="nil"/>
            </w:tcBorders>
            <w:shd w:val="clear" w:color="auto" w:fill="auto"/>
            <w:noWrap/>
            <w:vAlign w:val="bottom"/>
            <w:hideMark/>
          </w:tcPr>
          <w:p w14:paraId="0475B72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32FF5776" w14:textId="60CD7517" w:rsidR="00467C2F" w:rsidRPr="00467C2F" w:rsidRDefault="00467C2F" w:rsidP="00467C2F">
            <w:pPr>
              <w:jc w:val="center"/>
              <w:rPr>
                <w:rFonts w:eastAsia="Times New Roman"/>
                <w:color w:val="000000"/>
                <w:sz w:val="22"/>
                <w:szCs w:val="22"/>
              </w:rPr>
            </w:pPr>
            <w:r w:rsidRPr="00467C2F">
              <w:rPr>
                <w:color w:val="000000"/>
                <w:sz w:val="22"/>
                <w:szCs w:val="22"/>
              </w:rPr>
              <w:t>40.60</w:t>
            </w:r>
          </w:p>
        </w:tc>
        <w:tc>
          <w:tcPr>
            <w:tcW w:w="914" w:type="dxa"/>
            <w:tcBorders>
              <w:top w:val="nil"/>
              <w:left w:val="nil"/>
              <w:bottom w:val="nil"/>
              <w:right w:val="nil"/>
            </w:tcBorders>
            <w:shd w:val="clear" w:color="auto" w:fill="auto"/>
            <w:noWrap/>
            <w:vAlign w:val="bottom"/>
            <w:hideMark/>
          </w:tcPr>
          <w:p w14:paraId="08CB27FB" w14:textId="64C2397F" w:rsidR="00467C2F" w:rsidRPr="00467C2F" w:rsidRDefault="00467C2F" w:rsidP="00467C2F">
            <w:pPr>
              <w:jc w:val="center"/>
              <w:rPr>
                <w:rFonts w:eastAsia="Times New Roman"/>
                <w:color w:val="000000"/>
                <w:sz w:val="22"/>
                <w:szCs w:val="22"/>
              </w:rPr>
            </w:pPr>
            <w:r w:rsidRPr="00467C2F">
              <w:rPr>
                <w:color w:val="000000"/>
                <w:sz w:val="22"/>
                <w:szCs w:val="22"/>
              </w:rPr>
              <w:t>48.00</w:t>
            </w:r>
          </w:p>
        </w:tc>
      </w:tr>
      <w:tr w:rsidR="00467C2F" w:rsidRPr="000912EF" w14:paraId="1865A23E" w14:textId="77777777" w:rsidTr="0031315C">
        <w:trPr>
          <w:trHeight w:val="267"/>
        </w:trPr>
        <w:tc>
          <w:tcPr>
            <w:tcW w:w="851" w:type="dxa"/>
            <w:tcBorders>
              <w:top w:val="nil"/>
              <w:left w:val="nil"/>
              <w:bottom w:val="nil"/>
              <w:right w:val="nil"/>
            </w:tcBorders>
            <w:shd w:val="clear" w:color="auto" w:fill="auto"/>
            <w:noWrap/>
            <w:vAlign w:val="bottom"/>
            <w:hideMark/>
          </w:tcPr>
          <w:p w14:paraId="7168CAC1" w14:textId="778C847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38</w:t>
            </w:r>
          </w:p>
        </w:tc>
        <w:tc>
          <w:tcPr>
            <w:tcW w:w="283" w:type="dxa"/>
            <w:tcBorders>
              <w:top w:val="nil"/>
              <w:left w:val="nil"/>
              <w:bottom w:val="nil"/>
              <w:right w:val="nil"/>
            </w:tcBorders>
            <w:shd w:val="clear" w:color="auto" w:fill="auto"/>
            <w:noWrap/>
            <w:vAlign w:val="bottom"/>
            <w:hideMark/>
          </w:tcPr>
          <w:p w14:paraId="5C3731D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4C7FFC5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64</w:t>
            </w:r>
          </w:p>
        </w:tc>
        <w:tc>
          <w:tcPr>
            <w:tcW w:w="284" w:type="dxa"/>
            <w:tcBorders>
              <w:top w:val="nil"/>
              <w:left w:val="nil"/>
              <w:bottom w:val="nil"/>
              <w:right w:val="nil"/>
            </w:tcBorders>
            <w:shd w:val="clear" w:color="auto" w:fill="auto"/>
            <w:noWrap/>
            <w:vAlign w:val="bottom"/>
            <w:hideMark/>
          </w:tcPr>
          <w:p w14:paraId="64FF88E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A33680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0.09</w:t>
            </w:r>
          </w:p>
        </w:tc>
        <w:tc>
          <w:tcPr>
            <w:tcW w:w="305" w:type="dxa"/>
            <w:tcBorders>
              <w:top w:val="nil"/>
              <w:left w:val="nil"/>
              <w:bottom w:val="nil"/>
              <w:right w:val="nil"/>
            </w:tcBorders>
            <w:shd w:val="clear" w:color="auto" w:fill="auto"/>
            <w:noWrap/>
            <w:vAlign w:val="bottom"/>
            <w:hideMark/>
          </w:tcPr>
          <w:p w14:paraId="612A75C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4F678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103.05</w:t>
            </w:r>
          </w:p>
        </w:tc>
        <w:tc>
          <w:tcPr>
            <w:tcW w:w="992" w:type="dxa"/>
            <w:tcBorders>
              <w:top w:val="nil"/>
              <w:left w:val="nil"/>
              <w:bottom w:val="nil"/>
              <w:right w:val="nil"/>
            </w:tcBorders>
            <w:shd w:val="clear" w:color="auto" w:fill="auto"/>
            <w:noWrap/>
            <w:vAlign w:val="bottom"/>
            <w:hideMark/>
          </w:tcPr>
          <w:p w14:paraId="6E89865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84.5</w:t>
            </w:r>
          </w:p>
        </w:tc>
        <w:tc>
          <w:tcPr>
            <w:tcW w:w="261" w:type="dxa"/>
            <w:tcBorders>
              <w:top w:val="nil"/>
              <w:left w:val="nil"/>
              <w:bottom w:val="nil"/>
              <w:right w:val="nil"/>
            </w:tcBorders>
            <w:shd w:val="clear" w:color="auto" w:fill="auto"/>
            <w:noWrap/>
            <w:vAlign w:val="bottom"/>
            <w:hideMark/>
          </w:tcPr>
          <w:p w14:paraId="2CF4AA6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13AEF3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2.67</w:t>
            </w:r>
          </w:p>
        </w:tc>
        <w:tc>
          <w:tcPr>
            <w:tcW w:w="932" w:type="dxa"/>
            <w:tcBorders>
              <w:top w:val="nil"/>
              <w:left w:val="nil"/>
              <w:bottom w:val="nil"/>
              <w:right w:val="nil"/>
            </w:tcBorders>
            <w:shd w:val="clear" w:color="auto" w:fill="auto"/>
            <w:noWrap/>
            <w:vAlign w:val="bottom"/>
            <w:hideMark/>
          </w:tcPr>
          <w:p w14:paraId="0CF6EB3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3" w:type="dxa"/>
            <w:tcBorders>
              <w:top w:val="nil"/>
              <w:left w:val="nil"/>
              <w:bottom w:val="nil"/>
              <w:right w:val="nil"/>
            </w:tcBorders>
            <w:shd w:val="clear" w:color="auto" w:fill="auto"/>
            <w:noWrap/>
            <w:vAlign w:val="bottom"/>
            <w:hideMark/>
          </w:tcPr>
          <w:p w14:paraId="77AB651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5520CB5" w14:textId="6253E9FB" w:rsidR="00467C2F" w:rsidRPr="00467C2F" w:rsidRDefault="00467C2F" w:rsidP="00467C2F">
            <w:pPr>
              <w:jc w:val="center"/>
              <w:rPr>
                <w:rFonts w:eastAsia="Times New Roman"/>
                <w:color w:val="000000"/>
                <w:sz w:val="22"/>
                <w:szCs w:val="22"/>
              </w:rPr>
            </w:pPr>
            <w:r w:rsidRPr="00467C2F">
              <w:rPr>
                <w:color w:val="000000"/>
                <w:sz w:val="22"/>
                <w:szCs w:val="22"/>
              </w:rPr>
              <w:t>28.50</w:t>
            </w:r>
          </w:p>
        </w:tc>
        <w:tc>
          <w:tcPr>
            <w:tcW w:w="914" w:type="dxa"/>
            <w:tcBorders>
              <w:top w:val="nil"/>
              <w:left w:val="nil"/>
              <w:bottom w:val="nil"/>
              <w:right w:val="nil"/>
            </w:tcBorders>
            <w:shd w:val="clear" w:color="auto" w:fill="auto"/>
            <w:noWrap/>
            <w:vAlign w:val="bottom"/>
            <w:hideMark/>
          </w:tcPr>
          <w:p w14:paraId="37BE3E37" w14:textId="021EED91" w:rsidR="00467C2F" w:rsidRPr="00467C2F" w:rsidRDefault="00467C2F" w:rsidP="00467C2F">
            <w:pPr>
              <w:jc w:val="center"/>
              <w:rPr>
                <w:rFonts w:eastAsia="Times New Roman"/>
                <w:color w:val="000000"/>
                <w:sz w:val="22"/>
                <w:szCs w:val="22"/>
              </w:rPr>
            </w:pPr>
            <w:r w:rsidRPr="00467C2F">
              <w:rPr>
                <w:color w:val="000000"/>
                <w:sz w:val="22"/>
                <w:szCs w:val="22"/>
              </w:rPr>
              <w:t>28.00</w:t>
            </w:r>
          </w:p>
        </w:tc>
      </w:tr>
      <w:tr w:rsidR="00467C2F" w:rsidRPr="000912EF" w14:paraId="78041496" w14:textId="77777777" w:rsidTr="0031315C">
        <w:trPr>
          <w:trHeight w:val="300"/>
        </w:trPr>
        <w:tc>
          <w:tcPr>
            <w:tcW w:w="851" w:type="dxa"/>
            <w:tcBorders>
              <w:top w:val="nil"/>
              <w:left w:val="nil"/>
              <w:bottom w:val="nil"/>
              <w:right w:val="nil"/>
            </w:tcBorders>
            <w:shd w:val="clear" w:color="auto" w:fill="auto"/>
            <w:noWrap/>
            <w:vAlign w:val="bottom"/>
            <w:hideMark/>
          </w:tcPr>
          <w:p w14:paraId="0E0DEB56" w14:textId="73B85843"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39</w:t>
            </w:r>
          </w:p>
        </w:tc>
        <w:tc>
          <w:tcPr>
            <w:tcW w:w="283" w:type="dxa"/>
            <w:tcBorders>
              <w:top w:val="nil"/>
              <w:left w:val="nil"/>
              <w:bottom w:val="nil"/>
              <w:right w:val="nil"/>
            </w:tcBorders>
            <w:shd w:val="clear" w:color="auto" w:fill="auto"/>
            <w:noWrap/>
            <w:vAlign w:val="bottom"/>
            <w:hideMark/>
          </w:tcPr>
          <w:p w14:paraId="4709E84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221DCA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4" w:type="dxa"/>
            <w:tcBorders>
              <w:top w:val="nil"/>
              <w:left w:val="nil"/>
              <w:bottom w:val="nil"/>
              <w:right w:val="nil"/>
            </w:tcBorders>
            <w:shd w:val="clear" w:color="auto" w:fill="auto"/>
            <w:noWrap/>
            <w:vAlign w:val="bottom"/>
            <w:hideMark/>
          </w:tcPr>
          <w:p w14:paraId="481B47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59A2B3E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0.48</w:t>
            </w:r>
          </w:p>
        </w:tc>
        <w:tc>
          <w:tcPr>
            <w:tcW w:w="305" w:type="dxa"/>
            <w:tcBorders>
              <w:top w:val="nil"/>
              <w:left w:val="nil"/>
              <w:bottom w:val="nil"/>
              <w:right w:val="nil"/>
            </w:tcBorders>
            <w:shd w:val="clear" w:color="auto" w:fill="auto"/>
            <w:noWrap/>
            <w:vAlign w:val="bottom"/>
            <w:hideMark/>
          </w:tcPr>
          <w:p w14:paraId="51DC5AD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D96C81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110.17</w:t>
            </w:r>
          </w:p>
        </w:tc>
        <w:tc>
          <w:tcPr>
            <w:tcW w:w="992" w:type="dxa"/>
            <w:tcBorders>
              <w:top w:val="nil"/>
              <w:left w:val="nil"/>
              <w:bottom w:val="nil"/>
              <w:right w:val="nil"/>
            </w:tcBorders>
            <w:shd w:val="clear" w:color="auto" w:fill="auto"/>
            <w:noWrap/>
            <w:vAlign w:val="bottom"/>
            <w:hideMark/>
          </w:tcPr>
          <w:p w14:paraId="6C872B9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109</w:t>
            </w:r>
          </w:p>
        </w:tc>
        <w:tc>
          <w:tcPr>
            <w:tcW w:w="261" w:type="dxa"/>
            <w:tcBorders>
              <w:top w:val="nil"/>
              <w:left w:val="nil"/>
              <w:bottom w:val="nil"/>
              <w:right w:val="nil"/>
            </w:tcBorders>
            <w:shd w:val="clear" w:color="auto" w:fill="auto"/>
            <w:noWrap/>
            <w:vAlign w:val="bottom"/>
            <w:hideMark/>
          </w:tcPr>
          <w:p w14:paraId="189F344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2EA4DF6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3.33</w:t>
            </w:r>
          </w:p>
        </w:tc>
        <w:tc>
          <w:tcPr>
            <w:tcW w:w="932" w:type="dxa"/>
            <w:tcBorders>
              <w:top w:val="nil"/>
              <w:left w:val="nil"/>
              <w:bottom w:val="nil"/>
              <w:right w:val="nil"/>
            </w:tcBorders>
            <w:shd w:val="clear" w:color="auto" w:fill="auto"/>
            <w:noWrap/>
            <w:vAlign w:val="bottom"/>
            <w:hideMark/>
          </w:tcPr>
          <w:p w14:paraId="061B764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6695E9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201C335C" w14:textId="54215EAB" w:rsidR="00467C2F" w:rsidRPr="00467C2F" w:rsidRDefault="00467C2F" w:rsidP="00467C2F">
            <w:pPr>
              <w:jc w:val="center"/>
              <w:rPr>
                <w:rFonts w:eastAsia="Times New Roman"/>
                <w:color w:val="000000"/>
                <w:sz w:val="22"/>
                <w:szCs w:val="22"/>
              </w:rPr>
            </w:pPr>
            <w:r w:rsidRPr="00467C2F">
              <w:rPr>
                <w:color w:val="000000"/>
                <w:sz w:val="22"/>
                <w:szCs w:val="22"/>
              </w:rPr>
              <w:t>49.67</w:t>
            </w:r>
          </w:p>
        </w:tc>
        <w:tc>
          <w:tcPr>
            <w:tcW w:w="914" w:type="dxa"/>
            <w:tcBorders>
              <w:top w:val="nil"/>
              <w:left w:val="nil"/>
              <w:bottom w:val="nil"/>
              <w:right w:val="nil"/>
            </w:tcBorders>
            <w:shd w:val="clear" w:color="auto" w:fill="auto"/>
            <w:noWrap/>
            <w:vAlign w:val="bottom"/>
            <w:hideMark/>
          </w:tcPr>
          <w:p w14:paraId="74EB0AA3" w14:textId="600D27AF" w:rsidR="00467C2F" w:rsidRPr="00467C2F" w:rsidRDefault="00467C2F" w:rsidP="00467C2F">
            <w:pPr>
              <w:jc w:val="center"/>
              <w:rPr>
                <w:rFonts w:eastAsia="Times New Roman"/>
                <w:color w:val="000000"/>
                <w:sz w:val="22"/>
                <w:szCs w:val="22"/>
              </w:rPr>
            </w:pPr>
            <w:r w:rsidRPr="00467C2F">
              <w:rPr>
                <w:color w:val="000000"/>
                <w:sz w:val="22"/>
                <w:szCs w:val="22"/>
              </w:rPr>
              <w:t>55.50</w:t>
            </w:r>
          </w:p>
        </w:tc>
      </w:tr>
      <w:tr w:rsidR="00467C2F" w:rsidRPr="000912EF" w14:paraId="49B0E4A2" w14:textId="77777777" w:rsidTr="0031315C">
        <w:trPr>
          <w:trHeight w:val="300"/>
        </w:trPr>
        <w:tc>
          <w:tcPr>
            <w:tcW w:w="851" w:type="dxa"/>
            <w:tcBorders>
              <w:top w:val="nil"/>
              <w:left w:val="nil"/>
              <w:bottom w:val="nil"/>
              <w:right w:val="nil"/>
            </w:tcBorders>
            <w:shd w:val="clear" w:color="auto" w:fill="auto"/>
            <w:noWrap/>
            <w:vAlign w:val="bottom"/>
            <w:hideMark/>
          </w:tcPr>
          <w:p w14:paraId="4F96A49E" w14:textId="1BB73F89"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40</w:t>
            </w:r>
          </w:p>
        </w:tc>
        <w:tc>
          <w:tcPr>
            <w:tcW w:w="283" w:type="dxa"/>
            <w:tcBorders>
              <w:top w:val="nil"/>
              <w:left w:val="nil"/>
              <w:bottom w:val="nil"/>
              <w:right w:val="nil"/>
            </w:tcBorders>
            <w:shd w:val="clear" w:color="auto" w:fill="auto"/>
            <w:noWrap/>
            <w:vAlign w:val="bottom"/>
            <w:hideMark/>
          </w:tcPr>
          <w:p w14:paraId="6136316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77129E8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2059686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10727E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2A91FB9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D6DBEA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76.00</w:t>
            </w:r>
          </w:p>
        </w:tc>
        <w:tc>
          <w:tcPr>
            <w:tcW w:w="992" w:type="dxa"/>
            <w:tcBorders>
              <w:top w:val="nil"/>
              <w:left w:val="nil"/>
              <w:bottom w:val="nil"/>
              <w:right w:val="nil"/>
            </w:tcBorders>
            <w:shd w:val="clear" w:color="auto" w:fill="auto"/>
            <w:noWrap/>
            <w:vAlign w:val="bottom"/>
            <w:hideMark/>
          </w:tcPr>
          <w:p w14:paraId="3638BF2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76</w:t>
            </w:r>
          </w:p>
        </w:tc>
        <w:tc>
          <w:tcPr>
            <w:tcW w:w="261" w:type="dxa"/>
            <w:tcBorders>
              <w:top w:val="nil"/>
              <w:left w:val="nil"/>
              <w:bottom w:val="nil"/>
              <w:right w:val="nil"/>
            </w:tcBorders>
            <w:shd w:val="clear" w:color="auto" w:fill="auto"/>
            <w:noWrap/>
            <w:vAlign w:val="bottom"/>
            <w:hideMark/>
          </w:tcPr>
          <w:p w14:paraId="3A09050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71254D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2.00</w:t>
            </w:r>
          </w:p>
        </w:tc>
        <w:tc>
          <w:tcPr>
            <w:tcW w:w="932" w:type="dxa"/>
            <w:tcBorders>
              <w:top w:val="nil"/>
              <w:left w:val="nil"/>
              <w:bottom w:val="nil"/>
              <w:right w:val="nil"/>
            </w:tcBorders>
            <w:shd w:val="clear" w:color="auto" w:fill="auto"/>
            <w:noWrap/>
            <w:vAlign w:val="bottom"/>
            <w:hideMark/>
          </w:tcPr>
          <w:p w14:paraId="654E065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3" w:type="dxa"/>
            <w:tcBorders>
              <w:top w:val="nil"/>
              <w:left w:val="nil"/>
              <w:bottom w:val="nil"/>
              <w:right w:val="nil"/>
            </w:tcBorders>
            <w:shd w:val="clear" w:color="auto" w:fill="auto"/>
            <w:noWrap/>
            <w:vAlign w:val="bottom"/>
            <w:hideMark/>
          </w:tcPr>
          <w:p w14:paraId="7D55F49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59565E0" w14:textId="3AC4620F" w:rsidR="00467C2F" w:rsidRPr="00467C2F" w:rsidRDefault="00467C2F" w:rsidP="00467C2F">
            <w:pPr>
              <w:jc w:val="center"/>
              <w:rPr>
                <w:rFonts w:eastAsia="Times New Roman"/>
                <w:color w:val="000000"/>
                <w:sz w:val="22"/>
                <w:szCs w:val="22"/>
              </w:rPr>
            </w:pPr>
            <w:r w:rsidRPr="00467C2F">
              <w:rPr>
                <w:color w:val="000000"/>
                <w:sz w:val="22"/>
                <w:szCs w:val="22"/>
              </w:rPr>
              <w:t>43.00</w:t>
            </w:r>
          </w:p>
        </w:tc>
        <w:tc>
          <w:tcPr>
            <w:tcW w:w="914" w:type="dxa"/>
            <w:tcBorders>
              <w:top w:val="nil"/>
              <w:left w:val="nil"/>
              <w:bottom w:val="nil"/>
              <w:right w:val="nil"/>
            </w:tcBorders>
            <w:shd w:val="clear" w:color="auto" w:fill="auto"/>
            <w:noWrap/>
            <w:vAlign w:val="bottom"/>
            <w:hideMark/>
          </w:tcPr>
          <w:p w14:paraId="2F72298D" w14:textId="47EE4AC5" w:rsidR="00467C2F" w:rsidRPr="00467C2F" w:rsidRDefault="00467C2F" w:rsidP="00467C2F">
            <w:pPr>
              <w:jc w:val="center"/>
              <w:rPr>
                <w:rFonts w:eastAsia="Times New Roman"/>
                <w:color w:val="000000"/>
                <w:sz w:val="22"/>
                <w:szCs w:val="22"/>
              </w:rPr>
            </w:pPr>
            <w:r w:rsidRPr="00467C2F">
              <w:rPr>
                <w:color w:val="000000"/>
                <w:sz w:val="22"/>
                <w:szCs w:val="22"/>
              </w:rPr>
              <w:t>43.00</w:t>
            </w:r>
          </w:p>
        </w:tc>
      </w:tr>
      <w:tr w:rsidR="00467C2F" w:rsidRPr="000912EF" w14:paraId="495D9156" w14:textId="77777777" w:rsidTr="0031315C">
        <w:trPr>
          <w:trHeight w:val="300"/>
        </w:trPr>
        <w:tc>
          <w:tcPr>
            <w:tcW w:w="851" w:type="dxa"/>
            <w:tcBorders>
              <w:top w:val="nil"/>
              <w:left w:val="nil"/>
              <w:bottom w:val="nil"/>
              <w:right w:val="nil"/>
            </w:tcBorders>
            <w:shd w:val="clear" w:color="auto" w:fill="auto"/>
            <w:noWrap/>
            <w:vAlign w:val="bottom"/>
            <w:hideMark/>
          </w:tcPr>
          <w:p w14:paraId="223FEF99" w14:textId="072F9831"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44</w:t>
            </w:r>
          </w:p>
        </w:tc>
        <w:tc>
          <w:tcPr>
            <w:tcW w:w="283" w:type="dxa"/>
            <w:tcBorders>
              <w:top w:val="nil"/>
              <w:left w:val="nil"/>
              <w:bottom w:val="nil"/>
              <w:right w:val="nil"/>
            </w:tcBorders>
            <w:shd w:val="clear" w:color="auto" w:fill="auto"/>
            <w:noWrap/>
            <w:vAlign w:val="bottom"/>
            <w:hideMark/>
          </w:tcPr>
          <w:p w14:paraId="09D784C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C0D384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4" w:type="dxa"/>
            <w:tcBorders>
              <w:top w:val="nil"/>
              <w:left w:val="nil"/>
              <w:bottom w:val="nil"/>
              <w:right w:val="nil"/>
            </w:tcBorders>
            <w:shd w:val="clear" w:color="auto" w:fill="auto"/>
            <w:noWrap/>
            <w:vAlign w:val="bottom"/>
            <w:hideMark/>
          </w:tcPr>
          <w:p w14:paraId="1234FD4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5E5151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0.49</w:t>
            </w:r>
          </w:p>
        </w:tc>
        <w:tc>
          <w:tcPr>
            <w:tcW w:w="305" w:type="dxa"/>
            <w:tcBorders>
              <w:top w:val="nil"/>
              <w:left w:val="nil"/>
              <w:bottom w:val="nil"/>
              <w:right w:val="nil"/>
            </w:tcBorders>
            <w:shd w:val="clear" w:color="auto" w:fill="auto"/>
            <w:noWrap/>
            <w:vAlign w:val="bottom"/>
            <w:hideMark/>
          </w:tcPr>
          <w:p w14:paraId="1067B33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553B30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202.50</w:t>
            </w:r>
          </w:p>
        </w:tc>
        <w:tc>
          <w:tcPr>
            <w:tcW w:w="992" w:type="dxa"/>
            <w:tcBorders>
              <w:top w:val="nil"/>
              <w:left w:val="nil"/>
              <w:bottom w:val="nil"/>
              <w:right w:val="nil"/>
            </w:tcBorders>
            <w:shd w:val="clear" w:color="auto" w:fill="auto"/>
            <w:noWrap/>
            <w:vAlign w:val="bottom"/>
            <w:hideMark/>
          </w:tcPr>
          <w:p w14:paraId="2707F02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112.5</w:t>
            </w:r>
          </w:p>
        </w:tc>
        <w:tc>
          <w:tcPr>
            <w:tcW w:w="261" w:type="dxa"/>
            <w:tcBorders>
              <w:top w:val="nil"/>
              <w:left w:val="nil"/>
              <w:bottom w:val="nil"/>
              <w:right w:val="nil"/>
            </w:tcBorders>
            <w:shd w:val="clear" w:color="auto" w:fill="auto"/>
            <w:noWrap/>
            <w:vAlign w:val="bottom"/>
            <w:hideMark/>
          </w:tcPr>
          <w:p w14:paraId="7694F57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B9A96C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1.50</w:t>
            </w:r>
          </w:p>
        </w:tc>
        <w:tc>
          <w:tcPr>
            <w:tcW w:w="932" w:type="dxa"/>
            <w:tcBorders>
              <w:top w:val="nil"/>
              <w:left w:val="nil"/>
              <w:bottom w:val="nil"/>
              <w:right w:val="nil"/>
            </w:tcBorders>
            <w:shd w:val="clear" w:color="auto" w:fill="auto"/>
            <w:noWrap/>
            <w:vAlign w:val="bottom"/>
            <w:hideMark/>
          </w:tcPr>
          <w:p w14:paraId="0497062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3" w:type="dxa"/>
            <w:tcBorders>
              <w:top w:val="nil"/>
              <w:left w:val="nil"/>
              <w:bottom w:val="nil"/>
              <w:right w:val="nil"/>
            </w:tcBorders>
            <w:shd w:val="clear" w:color="auto" w:fill="auto"/>
            <w:noWrap/>
            <w:vAlign w:val="bottom"/>
            <w:hideMark/>
          </w:tcPr>
          <w:p w14:paraId="30D46A1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5FF7300D" w14:textId="6C5FC732" w:rsidR="00467C2F" w:rsidRPr="00467C2F" w:rsidRDefault="00467C2F" w:rsidP="00467C2F">
            <w:pPr>
              <w:jc w:val="center"/>
              <w:rPr>
                <w:rFonts w:eastAsia="Times New Roman"/>
                <w:color w:val="000000"/>
                <w:sz w:val="22"/>
                <w:szCs w:val="22"/>
              </w:rPr>
            </w:pPr>
            <w:r w:rsidRPr="00467C2F">
              <w:rPr>
                <w:color w:val="000000"/>
                <w:sz w:val="22"/>
                <w:szCs w:val="22"/>
              </w:rPr>
              <w:t>21.00</w:t>
            </w:r>
          </w:p>
        </w:tc>
        <w:tc>
          <w:tcPr>
            <w:tcW w:w="914" w:type="dxa"/>
            <w:tcBorders>
              <w:top w:val="nil"/>
              <w:left w:val="nil"/>
              <w:bottom w:val="nil"/>
              <w:right w:val="nil"/>
            </w:tcBorders>
            <w:shd w:val="clear" w:color="auto" w:fill="auto"/>
            <w:noWrap/>
            <w:vAlign w:val="bottom"/>
            <w:hideMark/>
          </w:tcPr>
          <w:p w14:paraId="28FB3CF0" w14:textId="5809B347" w:rsidR="00467C2F" w:rsidRPr="00467C2F" w:rsidRDefault="00467C2F" w:rsidP="00467C2F">
            <w:pPr>
              <w:jc w:val="center"/>
              <w:rPr>
                <w:rFonts w:eastAsia="Times New Roman"/>
                <w:color w:val="000000"/>
                <w:sz w:val="22"/>
                <w:szCs w:val="22"/>
              </w:rPr>
            </w:pPr>
            <w:r w:rsidRPr="00467C2F">
              <w:rPr>
                <w:color w:val="000000"/>
                <w:sz w:val="22"/>
                <w:szCs w:val="22"/>
              </w:rPr>
              <w:t>20.00</w:t>
            </w:r>
          </w:p>
        </w:tc>
      </w:tr>
      <w:tr w:rsidR="00467C2F" w:rsidRPr="000912EF" w14:paraId="6A5B30C2" w14:textId="77777777" w:rsidTr="0031315C">
        <w:trPr>
          <w:trHeight w:val="300"/>
        </w:trPr>
        <w:tc>
          <w:tcPr>
            <w:tcW w:w="851" w:type="dxa"/>
            <w:tcBorders>
              <w:top w:val="nil"/>
              <w:left w:val="nil"/>
              <w:bottom w:val="nil"/>
              <w:right w:val="nil"/>
            </w:tcBorders>
            <w:shd w:val="clear" w:color="auto" w:fill="auto"/>
            <w:noWrap/>
            <w:vAlign w:val="bottom"/>
            <w:hideMark/>
          </w:tcPr>
          <w:p w14:paraId="259D7B64" w14:textId="63C00196"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45</w:t>
            </w:r>
          </w:p>
        </w:tc>
        <w:tc>
          <w:tcPr>
            <w:tcW w:w="283" w:type="dxa"/>
            <w:tcBorders>
              <w:top w:val="nil"/>
              <w:left w:val="nil"/>
              <w:bottom w:val="nil"/>
              <w:right w:val="nil"/>
            </w:tcBorders>
            <w:shd w:val="clear" w:color="auto" w:fill="auto"/>
            <w:noWrap/>
            <w:vAlign w:val="bottom"/>
            <w:hideMark/>
          </w:tcPr>
          <w:p w14:paraId="25937B6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5F2E51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724C14D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BC8B31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0.52</w:t>
            </w:r>
          </w:p>
        </w:tc>
        <w:tc>
          <w:tcPr>
            <w:tcW w:w="305" w:type="dxa"/>
            <w:tcBorders>
              <w:top w:val="nil"/>
              <w:left w:val="nil"/>
              <w:bottom w:val="nil"/>
              <w:right w:val="nil"/>
            </w:tcBorders>
            <w:shd w:val="clear" w:color="auto" w:fill="auto"/>
            <w:noWrap/>
            <w:vAlign w:val="bottom"/>
            <w:hideMark/>
          </w:tcPr>
          <w:p w14:paraId="0D8AF5F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70B97C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150.33</w:t>
            </w:r>
          </w:p>
        </w:tc>
        <w:tc>
          <w:tcPr>
            <w:tcW w:w="992" w:type="dxa"/>
            <w:tcBorders>
              <w:top w:val="nil"/>
              <w:left w:val="nil"/>
              <w:bottom w:val="nil"/>
              <w:right w:val="nil"/>
            </w:tcBorders>
            <w:shd w:val="clear" w:color="auto" w:fill="auto"/>
            <w:noWrap/>
            <w:vAlign w:val="bottom"/>
            <w:hideMark/>
          </w:tcPr>
          <w:p w14:paraId="02CB190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108</w:t>
            </w:r>
          </w:p>
        </w:tc>
        <w:tc>
          <w:tcPr>
            <w:tcW w:w="261" w:type="dxa"/>
            <w:tcBorders>
              <w:top w:val="nil"/>
              <w:left w:val="nil"/>
              <w:bottom w:val="nil"/>
              <w:right w:val="nil"/>
            </w:tcBorders>
            <w:shd w:val="clear" w:color="auto" w:fill="auto"/>
            <w:noWrap/>
            <w:vAlign w:val="bottom"/>
            <w:hideMark/>
          </w:tcPr>
          <w:p w14:paraId="448B993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3A8219B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5.00</w:t>
            </w:r>
          </w:p>
        </w:tc>
        <w:tc>
          <w:tcPr>
            <w:tcW w:w="932" w:type="dxa"/>
            <w:tcBorders>
              <w:top w:val="nil"/>
              <w:left w:val="nil"/>
              <w:bottom w:val="nil"/>
              <w:right w:val="nil"/>
            </w:tcBorders>
            <w:shd w:val="clear" w:color="auto" w:fill="auto"/>
            <w:noWrap/>
            <w:vAlign w:val="bottom"/>
            <w:hideMark/>
          </w:tcPr>
          <w:p w14:paraId="2C20810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3" w:type="dxa"/>
            <w:tcBorders>
              <w:top w:val="nil"/>
              <w:left w:val="nil"/>
              <w:bottom w:val="nil"/>
              <w:right w:val="nil"/>
            </w:tcBorders>
            <w:shd w:val="clear" w:color="auto" w:fill="auto"/>
            <w:noWrap/>
            <w:vAlign w:val="bottom"/>
            <w:hideMark/>
          </w:tcPr>
          <w:p w14:paraId="7603C32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963DEC2" w14:textId="7117B307" w:rsidR="00467C2F" w:rsidRPr="00467C2F" w:rsidRDefault="00467C2F" w:rsidP="00467C2F">
            <w:pPr>
              <w:jc w:val="center"/>
              <w:rPr>
                <w:rFonts w:eastAsia="Times New Roman"/>
                <w:color w:val="000000"/>
                <w:sz w:val="22"/>
                <w:szCs w:val="22"/>
              </w:rPr>
            </w:pPr>
            <w:r w:rsidRPr="00467C2F">
              <w:rPr>
                <w:color w:val="000000"/>
                <w:sz w:val="22"/>
                <w:szCs w:val="22"/>
              </w:rPr>
              <w:t>54.33</w:t>
            </w:r>
          </w:p>
        </w:tc>
        <w:tc>
          <w:tcPr>
            <w:tcW w:w="914" w:type="dxa"/>
            <w:tcBorders>
              <w:top w:val="nil"/>
              <w:left w:val="nil"/>
              <w:bottom w:val="nil"/>
              <w:right w:val="nil"/>
            </w:tcBorders>
            <w:shd w:val="clear" w:color="auto" w:fill="auto"/>
            <w:noWrap/>
            <w:vAlign w:val="bottom"/>
            <w:hideMark/>
          </w:tcPr>
          <w:p w14:paraId="5765758B" w14:textId="23C1FAD2" w:rsidR="00467C2F" w:rsidRPr="00467C2F" w:rsidRDefault="00467C2F" w:rsidP="00467C2F">
            <w:pPr>
              <w:jc w:val="center"/>
              <w:rPr>
                <w:rFonts w:eastAsia="Times New Roman"/>
                <w:color w:val="000000"/>
                <w:sz w:val="22"/>
                <w:szCs w:val="22"/>
              </w:rPr>
            </w:pPr>
            <w:r w:rsidRPr="00467C2F">
              <w:rPr>
                <w:color w:val="000000"/>
                <w:sz w:val="22"/>
                <w:szCs w:val="22"/>
              </w:rPr>
              <w:t>54.00</w:t>
            </w:r>
          </w:p>
        </w:tc>
      </w:tr>
      <w:tr w:rsidR="00467C2F" w:rsidRPr="000912EF" w14:paraId="3AAEF729" w14:textId="77777777" w:rsidTr="0031315C">
        <w:trPr>
          <w:trHeight w:val="300"/>
        </w:trPr>
        <w:tc>
          <w:tcPr>
            <w:tcW w:w="851" w:type="dxa"/>
            <w:tcBorders>
              <w:top w:val="nil"/>
              <w:left w:val="nil"/>
              <w:bottom w:val="nil"/>
              <w:right w:val="nil"/>
            </w:tcBorders>
            <w:shd w:val="clear" w:color="auto" w:fill="auto"/>
            <w:noWrap/>
            <w:vAlign w:val="bottom"/>
            <w:hideMark/>
          </w:tcPr>
          <w:p w14:paraId="476A6575" w14:textId="36C0F69F"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47</w:t>
            </w:r>
          </w:p>
        </w:tc>
        <w:tc>
          <w:tcPr>
            <w:tcW w:w="283" w:type="dxa"/>
            <w:tcBorders>
              <w:top w:val="nil"/>
              <w:left w:val="nil"/>
              <w:bottom w:val="nil"/>
              <w:right w:val="nil"/>
            </w:tcBorders>
            <w:shd w:val="clear" w:color="auto" w:fill="auto"/>
            <w:noWrap/>
            <w:vAlign w:val="bottom"/>
            <w:hideMark/>
          </w:tcPr>
          <w:p w14:paraId="57C3115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717C4C2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488189E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C94E6F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0.42</w:t>
            </w:r>
          </w:p>
        </w:tc>
        <w:tc>
          <w:tcPr>
            <w:tcW w:w="305" w:type="dxa"/>
            <w:tcBorders>
              <w:top w:val="nil"/>
              <w:left w:val="nil"/>
              <w:bottom w:val="nil"/>
              <w:right w:val="nil"/>
            </w:tcBorders>
            <w:shd w:val="clear" w:color="auto" w:fill="auto"/>
            <w:noWrap/>
            <w:vAlign w:val="bottom"/>
            <w:hideMark/>
          </w:tcPr>
          <w:p w14:paraId="676E8A5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6BD42C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415.33</w:t>
            </w:r>
          </w:p>
        </w:tc>
        <w:tc>
          <w:tcPr>
            <w:tcW w:w="992" w:type="dxa"/>
            <w:tcBorders>
              <w:top w:val="nil"/>
              <w:left w:val="nil"/>
              <w:bottom w:val="nil"/>
              <w:right w:val="nil"/>
            </w:tcBorders>
            <w:shd w:val="clear" w:color="auto" w:fill="auto"/>
            <w:noWrap/>
            <w:vAlign w:val="bottom"/>
            <w:hideMark/>
          </w:tcPr>
          <w:p w14:paraId="75B7C81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519</w:t>
            </w:r>
          </w:p>
        </w:tc>
        <w:tc>
          <w:tcPr>
            <w:tcW w:w="261" w:type="dxa"/>
            <w:tcBorders>
              <w:top w:val="nil"/>
              <w:left w:val="nil"/>
              <w:bottom w:val="nil"/>
              <w:right w:val="nil"/>
            </w:tcBorders>
            <w:shd w:val="clear" w:color="auto" w:fill="auto"/>
            <w:noWrap/>
            <w:vAlign w:val="bottom"/>
            <w:hideMark/>
          </w:tcPr>
          <w:p w14:paraId="26835D7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18A4781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3.33</w:t>
            </w:r>
          </w:p>
        </w:tc>
        <w:tc>
          <w:tcPr>
            <w:tcW w:w="932" w:type="dxa"/>
            <w:tcBorders>
              <w:top w:val="nil"/>
              <w:left w:val="nil"/>
              <w:bottom w:val="nil"/>
              <w:right w:val="nil"/>
            </w:tcBorders>
            <w:shd w:val="clear" w:color="auto" w:fill="auto"/>
            <w:noWrap/>
            <w:vAlign w:val="bottom"/>
            <w:hideMark/>
          </w:tcPr>
          <w:p w14:paraId="78A0D5F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3" w:type="dxa"/>
            <w:tcBorders>
              <w:top w:val="nil"/>
              <w:left w:val="nil"/>
              <w:bottom w:val="nil"/>
              <w:right w:val="nil"/>
            </w:tcBorders>
            <w:shd w:val="clear" w:color="auto" w:fill="auto"/>
            <w:noWrap/>
            <w:vAlign w:val="bottom"/>
            <w:hideMark/>
          </w:tcPr>
          <w:p w14:paraId="4D3E228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3BE6F60" w14:textId="4BE053CE" w:rsidR="00467C2F" w:rsidRPr="00467C2F" w:rsidRDefault="00467C2F" w:rsidP="00467C2F">
            <w:pPr>
              <w:jc w:val="center"/>
              <w:rPr>
                <w:rFonts w:eastAsia="Times New Roman"/>
                <w:color w:val="000000"/>
                <w:sz w:val="22"/>
                <w:szCs w:val="22"/>
              </w:rPr>
            </w:pPr>
            <w:r w:rsidRPr="00467C2F">
              <w:rPr>
                <w:color w:val="000000"/>
                <w:sz w:val="22"/>
                <w:szCs w:val="22"/>
              </w:rPr>
              <w:t>33.00</w:t>
            </w:r>
          </w:p>
        </w:tc>
        <w:tc>
          <w:tcPr>
            <w:tcW w:w="914" w:type="dxa"/>
            <w:tcBorders>
              <w:top w:val="nil"/>
              <w:left w:val="nil"/>
              <w:bottom w:val="nil"/>
              <w:right w:val="nil"/>
            </w:tcBorders>
            <w:shd w:val="clear" w:color="auto" w:fill="auto"/>
            <w:noWrap/>
            <w:vAlign w:val="bottom"/>
            <w:hideMark/>
          </w:tcPr>
          <w:p w14:paraId="1BC39EC7" w14:textId="5828F80D" w:rsidR="00467C2F" w:rsidRPr="00467C2F" w:rsidRDefault="00467C2F" w:rsidP="00467C2F">
            <w:pPr>
              <w:jc w:val="center"/>
              <w:rPr>
                <w:rFonts w:eastAsia="Times New Roman"/>
                <w:color w:val="000000"/>
                <w:sz w:val="22"/>
                <w:szCs w:val="22"/>
              </w:rPr>
            </w:pPr>
            <w:r w:rsidRPr="00467C2F">
              <w:rPr>
                <w:color w:val="000000"/>
                <w:sz w:val="22"/>
                <w:szCs w:val="22"/>
              </w:rPr>
              <w:t>38.00</w:t>
            </w:r>
          </w:p>
        </w:tc>
      </w:tr>
      <w:tr w:rsidR="00467C2F" w:rsidRPr="000912EF" w14:paraId="04C75198" w14:textId="77777777" w:rsidTr="0031315C">
        <w:trPr>
          <w:trHeight w:val="300"/>
        </w:trPr>
        <w:tc>
          <w:tcPr>
            <w:tcW w:w="851" w:type="dxa"/>
            <w:tcBorders>
              <w:top w:val="nil"/>
              <w:left w:val="nil"/>
              <w:bottom w:val="nil"/>
              <w:right w:val="nil"/>
            </w:tcBorders>
            <w:shd w:val="clear" w:color="auto" w:fill="auto"/>
            <w:noWrap/>
            <w:vAlign w:val="bottom"/>
            <w:hideMark/>
          </w:tcPr>
          <w:p w14:paraId="654CA294" w14:textId="64CAEE68"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48</w:t>
            </w:r>
          </w:p>
        </w:tc>
        <w:tc>
          <w:tcPr>
            <w:tcW w:w="283" w:type="dxa"/>
            <w:tcBorders>
              <w:top w:val="nil"/>
              <w:left w:val="nil"/>
              <w:bottom w:val="nil"/>
              <w:right w:val="nil"/>
            </w:tcBorders>
            <w:shd w:val="clear" w:color="auto" w:fill="auto"/>
            <w:noWrap/>
            <w:vAlign w:val="bottom"/>
            <w:hideMark/>
          </w:tcPr>
          <w:p w14:paraId="4805FAE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8785D4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17</w:t>
            </w:r>
          </w:p>
        </w:tc>
        <w:tc>
          <w:tcPr>
            <w:tcW w:w="284" w:type="dxa"/>
            <w:tcBorders>
              <w:top w:val="nil"/>
              <w:left w:val="nil"/>
              <w:bottom w:val="nil"/>
              <w:right w:val="nil"/>
            </w:tcBorders>
            <w:shd w:val="clear" w:color="auto" w:fill="auto"/>
            <w:noWrap/>
            <w:vAlign w:val="bottom"/>
            <w:hideMark/>
          </w:tcPr>
          <w:p w14:paraId="2C9EED9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80EA02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0.19</w:t>
            </w:r>
          </w:p>
        </w:tc>
        <w:tc>
          <w:tcPr>
            <w:tcW w:w="305" w:type="dxa"/>
            <w:tcBorders>
              <w:top w:val="nil"/>
              <w:left w:val="nil"/>
              <w:bottom w:val="nil"/>
              <w:right w:val="nil"/>
            </w:tcBorders>
            <w:shd w:val="clear" w:color="auto" w:fill="auto"/>
            <w:noWrap/>
            <w:vAlign w:val="bottom"/>
            <w:hideMark/>
          </w:tcPr>
          <w:p w14:paraId="142335F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5D9FBE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162.41</w:t>
            </w:r>
          </w:p>
        </w:tc>
        <w:tc>
          <w:tcPr>
            <w:tcW w:w="992" w:type="dxa"/>
            <w:tcBorders>
              <w:top w:val="nil"/>
              <w:left w:val="nil"/>
              <w:bottom w:val="nil"/>
              <w:right w:val="nil"/>
            </w:tcBorders>
            <w:shd w:val="clear" w:color="auto" w:fill="auto"/>
            <w:noWrap/>
            <w:vAlign w:val="bottom"/>
            <w:hideMark/>
          </w:tcPr>
          <w:p w14:paraId="36A0B49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109</w:t>
            </w:r>
          </w:p>
        </w:tc>
        <w:tc>
          <w:tcPr>
            <w:tcW w:w="261" w:type="dxa"/>
            <w:tcBorders>
              <w:top w:val="nil"/>
              <w:left w:val="nil"/>
              <w:bottom w:val="nil"/>
              <w:right w:val="nil"/>
            </w:tcBorders>
            <w:shd w:val="clear" w:color="auto" w:fill="auto"/>
            <w:noWrap/>
            <w:vAlign w:val="bottom"/>
            <w:hideMark/>
          </w:tcPr>
          <w:p w14:paraId="4E3CD42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EA2D69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3.41</w:t>
            </w:r>
          </w:p>
        </w:tc>
        <w:tc>
          <w:tcPr>
            <w:tcW w:w="932" w:type="dxa"/>
            <w:tcBorders>
              <w:top w:val="nil"/>
              <w:left w:val="nil"/>
              <w:bottom w:val="nil"/>
              <w:right w:val="nil"/>
            </w:tcBorders>
            <w:shd w:val="clear" w:color="auto" w:fill="auto"/>
            <w:noWrap/>
            <w:vAlign w:val="bottom"/>
            <w:hideMark/>
          </w:tcPr>
          <w:p w14:paraId="180E7E0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7F06787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36491CFE" w14:textId="628CB13D" w:rsidR="00467C2F" w:rsidRPr="00467C2F" w:rsidRDefault="00467C2F" w:rsidP="00467C2F">
            <w:pPr>
              <w:jc w:val="center"/>
              <w:rPr>
                <w:rFonts w:eastAsia="Times New Roman"/>
                <w:color w:val="000000"/>
                <w:sz w:val="22"/>
                <w:szCs w:val="22"/>
              </w:rPr>
            </w:pPr>
            <w:r w:rsidRPr="00467C2F">
              <w:rPr>
                <w:color w:val="000000"/>
                <w:sz w:val="22"/>
                <w:szCs w:val="22"/>
              </w:rPr>
              <w:t>39.88</w:t>
            </w:r>
          </w:p>
        </w:tc>
        <w:tc>
          <w:tcPr>
            <w:tcW w:w="914" w:type="dxa"/>
            <w:tcBorders>
              <w:top w:val="nil"/>
              <w:left w:val="nil"/>
              <w:bottom w:val="nil"/>
              <w:right w:val="nil"/>
            </w:tcBorders>
            <w:shd w:val="clear" w:color="auto" w:fill="auto"/>
            <w:noWrap/>
            <w:vAlign w:val="bottom"/>
            <w:hideMark/>
          </w:tcPr>
          <w:p w14:paraId="2DE9FE23" w14:textId="0444F72B" w:rsidR="00467C2F" w:rsidRPr="00467C2F" w:rsidRDefault="00467C2F" w:rsidP="00467C2F">
            <w:pPr>
              <w:jc w:val="center"/>
              <w:rPr>
                <w:rFonts w:eastAsia="Times New Roman"/>
                <w:color w:val="000000"/>
                <w:sz w:val="22"/>
                <w:szCs w:val="22"/>
              </w:rPr>
            </w:pPr>
            <w:r w:rsidRPr="00467C2F">
              <w:rPr>
                <w:color w:val="000000"/>
                <w:sz w:val="22"/>
                <w:szCs w:val="22"/>
              </w:rPr>
              <w:t>46.00</w:t>
            </w:r>
          </w:p>
        </w:tc>
      </w:tr>
      <w:tr w:rsidR="00467C2F" w:rsidRPr="000912EF" w14:paraId="7BADF6F8" w14:textId="77777777" w:rsidTr="0031315C">
        <w:trPr>
          <w:trHeight w:val="300"/>
        </w:trPr>
        <w:tc>
          <w:tcPr>
            <w:tcW w:w="851" w:type="dxa"/>
            <w:tcBorders>
              <w:top w:val="nil"/>
              <w:left w:val="nil"/>
              <w:bottom w:val="nil"/>
              <w:right w:val="nil"/>
            </w:tcBorders>
            <w:shd w:val="clear" w:color="auto" w:fill="auto"/>
            <w:noWrap/>
            <w:vAlign w:val="bottom"/>
            <w:hideMark/>
          </w:tcPr>
          <w:p w14:paraId="6D91F5A1" w14:textId="081E0F7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49</w:t>
            </w:r>
          </w:p>
        </w:tc>
        <w:tc>
          <w:tcPr>
            <w:tcW w:w="283" w:type="dxa"/>
            <w:tcBorders>
              <w:top w:val="nil"/>
              <w:left w:val="nil"/>
              <w:bottom w:val="nil"/>
              <w:right w:val="nil"/>
            </w:tcBorders>
            <w:shd w:val="clear" w:color="auto" w:fill="auto"/>
            <w:noWrap/>
            <w:vAlign w:val="bottom"/>
            <w:hideMark/>
          </w:tcPr>
          <w:p w14:paraId="1389114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C68D14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w:t>
            </w:r>
          </w:p>
        </w:tc>
        <w:tc>
          <w:tcPr>
            <w:tcW w:w="284" w:type="dxa"/>
            <w:tcBorders>
              <w:top w:val="nil"/>
              <w:left w:val="nil"/>
              <w:bottom w:val="nil"/>
              <w:right w:val="nil"/>
            </w:tcBorders>
            <w:shd w:val="clear" w:color="auto" w:fill="auto"/>
            <w:noWrap/>
            <w:vAlign w:val="bottom"/>
            <w:hideMark/>
          </w:tcPr>
          <w:p w14:paraId="2C3217C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8C78FA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0.35</w:t>
            </w:r>
          </w:p>
        </w:tc>
        <w:tc>
          <w:tcPr>
            <w:tcW w:w="305" w:type="dxa"/>
            <w:tcBorders>
              <w:top w:val="nil"/>
              <w:left w:val="nil"/>
              <w:bottom w:val="nil"/>
              <w:right w:val="nil"/>
            </w:tcBorders>
            <w:shd w:val="clear" w:color="auto" w:fill="auto"/>
            <w:noWrap/>
            <w:vAlign w:val="bottom"/>
            <w:hideMark/>
          </w:tcPr>
          <w:p w14:paraId="3ADEC96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FE0E55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129.44</w:t>
            </w:r>
          </w:p>
        </w:tc>
        <w:tc>
          <w:tcPr>
            <w:tcW w:w="992" w:type="dxa"/>
            <w:tcBorders>
              <w:top w:val="nil"/>
              <w:left w:val="nil"/>
              <w:bottom w:val="nil"/>
              <w:right w:val="nil"/>
            </w:tcBorders>
            <w:shd w:val="clear" w:color="auto" w:fill="auto"/>
            <w:noWrap/>
            <w:vAlign w:val="bottom"/>
            <w:hideMark/>
          </w:tcPr>
          <w:p w14:paraId="41CBC0B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88</w:t>
            </w:r>
          </w:p>
        </w:tc>
        <w:tc>
          <w:tcPr>
            <w:tcW w:w="261" w:type="dxa"/>
            <w:tcBorders>
              <w:top w:val="nil"/>
              <w:left w:val="nil"/>
              <w:bottom w:val="nil"/>
              <w:right w:val="nil"/>
            </w:tcBorders>
            <w:shd w:val="clear" w:color="auto" w:fill="auto"/>
            <w:noWrap/>
            <w:vAlign w:val="bottom"/>
            <w:hideMark/>
          </w:tcPr>
          <w:p w14:paraId="40ACA1C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39C6B70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3.00</w:t>
            </w:r>
          </w:p>
        </w:tc>
        <w:tc>
          <w:tcPr>
            <w:tcW w:w="932" w:type="dxa"/>
            <w:tcBorders>
              <w:top w:val="nil"/>
              <w:left w:val="nil"/>
              <w:bottom w:val="nil"/>
              <w:right w:val="nil"/>
            </w:tcBorders>
            <w:shd w:val="clear" w:color="auto" w:fill="auto"/>
            <w:noWrap/>
            <w:vAlign w:val="bottom"/>
            <w:hideMark/>
          </w:tcPr>
          <w:p w14:paraId="1767F3F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0A07FB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F387473" w14:textId="64EFC623" w:rsidR="00467C2F" w:rsidRPr="00467C2F" w:rsidRDefault="00467C2F" w:rsidP="00467C2F">
            <w:pPr>
              <w:jc w:val="center"/>
              <w:rPr>
                <w:rFonts w:eastAsia="Times New Roman"/>
                <w:color w:val="000000"/>
                <w:sz w:val="22"/>
                <w:szCs w:val="22"/>
              </w:rPr>
            </w:pPr>
            <w:r w:rsidRPr="00467C2F">
              <w:rPr>
                <w:color w:val="000000"/>
                <w:sz w:val="22"/>
                <w:szCs w:val="22"/>
              </w:rPr>
              <w:t>34.00</w:t>
            </w:r>
          </w:p>
        </w:tc>
        <w:tc>
          <w:tcPr>
            <w:tcW w:w="914" w:type="dxa"/>
            <w:tcBorders>
              <w:top w:val="nil"/>
              <w:left w:val="nil"/>
              <w:bottom w:val="nil"/>
              <w:right w:val="nil"/>
            </w:tcBorders>
            <w:shd w:val="clear" w:color="auto" w:fill="auto"/>
            <w:noWrap/>
            <w:vAlign w:val="bottom"/>
            <w:hideMark/>
          </w:tcPr>
          <w:p w14:paraId="63D84A79" w14:textId="5D2FA6C7" w:rsidR="00467C2F" w:rsidRPr="00467C2F" w:rsidRDefault="00467C2F" w:rsidP="00467C2F">
            <w:pPr>
              <w:jc w:val="center"/>
              <w:rPr>
                <w:rFonts w:eastAsia="Times New Roman"/>
                <w:color w:val="000000"/>
                <w:sz w:val="22"/>
                <w:szCs w:val="22"/>
              </w:rPr>
            </w:pPr>
            <w:r w:rsidRPr="00467C2F">
              <w:rPr>
                <w:color w:val="000000"/>
                <w:sz w:val="22"/>
                <w:szCs w:val="22"/>
              </w:rPr>
              <w:t>37.00</w:t>
            </w:r>
          </w:p>
        </w:tc>
      </w:tr>
      <w:tr w:rsidR="00467C2F" w:rsidRPr="000912EF" w14:paraId="176B70B7" w14:textId="77777777" w:rsidTr="0031315C">
        <w:trPr>
          <w:trHeight w:val="300"/>
        </w:trPr>
        <w:tc>
          <w:tcPr>
            <w:tcW w:w="851" w:type="dxa"/>
            <w:tcBorders>
              <w:top w:val="nil"/>
              <w:left w:val="nil"/>
              <w:bottom w:val="nil"/>
              <w:right w:val="nil"/>
            </w:tcBorders>
            <w:shd w:val="clear" w:color="auto" w:fill="auto"/>
            <w:noWrap/>
            <w:vAlign w:val="bottom"/>
            <w:hideMark/>
          </w:tcPr>
          <w:p w14:paraId="5BE88154" w14:textId="63B6217D"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50</w:t>
            </w:r>
          </w:p>
        </w:tc>
        <w:tc>
          <w:tcPr>
            <w:tcW w:w="283" w:type="dxa"/>
            <w:tcBorders>
              <w:top w:val="nil"/>
              <w:left w:val="nil"/>
              <w:bottom w:val="nil"/>
              <w:right w:val="nil"/>
            </w:tcBorders>
            <w:shd w:val="clear" w:color="auto" w:fill="auto"/>
            <w:noWrap/>
            <w:vAlign w:val="bottom"/>
            <w:hideMark/>
          </w:tcPr>
          <w:p w14:paraId="01B6497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492CF47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14</w:t>
            </w:r>
          </w:p>
        </w:tc>
        <w:tc>
          <w:tcPr>
            <w:tcW w:w="284" w:type="dxa"/>
            <w:tcBorders>
              <w:top w:val="nil"/>
              <w:left w:val="nil"/>
              <w:bottom w:val="nil"/>
              <w:right w:val="nil"/>
            </w:tcBorders>
            <w:shd w:val="clear" w:color="auto" w:fill="auto"/>
            <w:noWrap/>
            <w:vAlign w:val="bottom"/>
            <w:hideMark/>
          </w:tcPr>
          <w:p w14:paraId="5CAAF60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5ACA2D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0.14</w:t>
            </w:r>
          </w:p>
        </w:tc>
        <w:tc>
          <w:tcPr>
            <w:tcW w:w="305" w:type="dxa"/>
            <w:tcBorders>
              <w:top w:val="nil"/>
              <w:left w:val="nil"/>
              <w:bottom w:val="nil"/>
              <w:right w:val="nil"/>
            </w:tcBorders>
            <w:shd w:val="clear" w:color="auto" w:fill="auto"/>
            <w:noWrap/>
            <w:vAlign w:val="bottom"/>
            <w:hideMark/>
          </w:tcPr>
          <w:p w14:paraId="6AEFCC1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C75CB8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265.93</w:t>
            </w:r>
          </w:p>
        </w:tc>
        <w:tc>
          <w:tcPr>
            <w:tcW w:w="992" w:type="dxa"/>
            <w:tcBorders>
              <w:top w:val="nil"/>
              <w:left w:val="nil"/>
              <w:bottom w:val="nil"/>
              <w:right w:val="nil"/>
            </w:tcBorders>
            <w:shd w:val="clear" w:color="auto" w:fill="auto"/>
            <w:noWrap/>
            <w:vAlign w:val="bottom"/>
            <w:hideMark/>
          </w:tcPr>
          <w:p w14:paraId="1E0EAC6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97.5</w:t>
            </w:r>
          </w:p>
        </w:tc>
        <w:tc>
          <w:tcPr>
            <w:tcW w:w="261" w:type="dxa"/>
            <w:tcBorders>
              <w:top w:val="nil"/>
              <w:left w:val="nil"/>
              <w:bottom w:val="nil"/>
              <w:right w:val="nil"/>
            </w:tcBorders>
            <w:shd w:val="clear" w:color="auto" w:fill="auto"/>
            <w:noWrap/>
            <w:vAlign w:val="bottom"/>
            <w:hideMark/>
          </w:tcPr>
          <w:p w14:paraId="33F9A10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AA32B5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3.64</w:t>
            </w:r>
          </w:p>
        </w:tc>
        <w:tc>
          <w:tcPr>
            <w:tcW w:w="932" w:type="dxa"/>
            <w:tcBorders>
              <w:top w:val="nil"/>
              <w:left w:val="nil"/>
              <w:bottom w:val="nil"/>
              <w:right w:val="nil"/>
            </w:tcBorders>
            <w:shd w:val="clear" w:color="auto" w:fill="auto"/>
            <w:noWrap/>
            <w:vAlign w:val="bottom"/>
            <w:hideMark/>
          </w:tcPr>
          <w:p w14:paraId="30C2590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3" w:type="dxa"/>
            <w:tcBorders>
              <w:top w:val="nil"/>
              <w:left w:val="nil"/>
              <w:bottom w:val="nil"/>
              <w:right w:val="nil"/>
            </w:tcBorders>
            <w:shd w:val="clear" w:color="auto" w:fill="auto"/>
            <w:noWrap/>
            <w:vAlign w:val="bottom"/>
            <w:hideMark/>
          </w:tcPr>
          <w:p w14:paraId="2ADD889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FCE64D9" w14:textId="622DA0B9" w:rsidR="00467C2F" w:rsidRPr="00467C2F" w:rsidRDefault="00467C2F" w:rsidP="00467C2F">
            <w:pPr>
              <w:jc w:val="center"/>
              <w:rPr>
                <w:rFonts w:eastAsia="Times New Roman"/>
                <w:color w:val="000000"/>
                <w:sz w:val="22"/>
                <w:szCs w:val="22"/>
              </w:rPr>
            </w:pPr>
            <w:r w:rsidRPr="00467C2F">
              <w:rPr>
                <w:color w:val="000000"/>
                <w:sz w:val="22"/>
                <w:szCs w:val="22"/>
              </w:rPr>
              <w:t>30.36</w:t>
            </w:r>
          </w:p>
        </w:tc>
        <w:tc>
          <w:tcPr>
            <w:tcW w:w="914" w:type="dxa"/>
            <w:tcBorders>
              <w:top w:val="nil"/>
              <w:left w:val="nil"/>
              <w:bottom w:val="nil"/>
              <w:right w:val="nil"/>
            </w:tcBorders>
            <w:shd w:val="clear" w:color="auto" w:fill="auto"/>
            <w:noWrap/>
            <w:vAlign w:val="bottom"/>
            <w:hideMark/>
          </w:tcPr>
          <w:p w14:paraId="7BFF97B2" w14:textId="13815568" w:rsidR="00467C2F" w:rsidRPr="00467C2F" w:rsidRDefault="00467C2F" w:rsidP="00467C2F">
            <w:pPr>
              <w:jc w:val="center"/>
              <w:rPr>
                <w:rFonts w:eastAsia="Times New Roman"/>
                <w:color w:val="000000"/>
                <w:sz w:val="22"/>
                <w:szCs w:val="22"/>
              </w:rPr>
            </w:pPr>
            <w:r w:rsidRPr="00467C2F">
              <w:rPr>
                <w:color w:val="000000"/>
                <w:sz w:val="22"/>
                <w:szCs w:val="22"/>
              </w:rPr>
              <w:t>31.00</w:t>
            </w:r>
          </w:p>
        </w:tc>
      </w:tr>
      <w:tr w:rsidR="00467C2F" w:rsidRPr="000912EF" w14:paraId="4AA2EF58" w14:textId="77777777" w:rsidTr="0031315C">
        <w:trPr>
          <w:trHeight w:val="300"/>
        </w:trPr>
        <w:tc>
          <w:tcPr>
            <w:tcW w:w="851" w:type="dxa"/>
            <w:tcBorders>
              <w:top w:val="nil"/>
              <w:left w:val="nil"/>
              <w:bottom w:val="nil"/>
              <w:right w:val="nil"/>
            </w:tcBorders>
            <w:shd w:val="clear" w:color="auto" w:fill="auto"/>
            <w:noWrap/>
            <w:vAlign w:val="bottom"/>
            <w:hideMark/>
          </w:tcPr>
          <w:p w14:paraId="0FCFE96F" w14:textId="06660959"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51</w:t>
            </w:r>
          </w:p>
        </w:tc>
        <w:tc>
          <w:tcPr>
            <w:tcW w:w="283" w:type="dxa"/>
            <w:tcBorders>
              <w:top w:val="nil"/>
              <w:left w:val="nil"/>
              <w:bottom w:val="nil"/>
              <w:right w:val="nil"/>
            </w:tcBorders>
            <w:shd w:val="clear" w:color="auto" w:fill="auto"/>
            <w:noWrap/>
            <w:vAlign w:val="bottom"/>
            <w:hideMark/>
          </w:tcPr>
          <w:p w14:paraId="363B0FB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2D6581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4" w:type="dxa"/>
            <w:tcBorders>
              <w:top w:val="nil"/>
              <w:left w:val="nil"/>
              <w:bottom w:val="nil"/>
              <w:right w:val="nil"/>
            </w:tcBorders>
            <w:shd w:val="clear" w:color="auto" w:fill="auto"/>
            <w:noWrap/>
            <w:vAlign w:val="bottom"/>
            <w:hideMark/>
          </w:tcPr>
          <w:p w14:paraId="43FD385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466B22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0.36</w:t>
            </w:r>
          </w:p>
        </w:tc>
        <w:tc>
          <w:tcPr>
            <w:tcW w:w="305" w:type="dxa"/>
            <w:tcBorders>
              <w:top w:val="nil"/>
              <w:left w:val="nil"/>
              <w:bottom w:val="nil"/>
              <w:right w:val="nil"/>
            </w:tcBorders>
            <w:shd w:val="clear" w:color="auto" w:fill="auto"/>
            <w:noWrap/>
            <w:vAlign w:val="bottom"/>
            <w:hideMark/>
          </w:tcPr>
          <w:p w14:paraId="52CE430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DED9BB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205.17</w:t>
            </w:r>
          </w:p>
        </w:tc>
        <w:tc>
          <w:tcPr>
            <w:tcW w:w="992" w:type="dxa"/>
            <w:tcBorders>
              <w:top w:val="nil"/>
              <w:left w:val="nil"/>
              <w:bottom w:val="nil"/>
              <w:right w:val="nil"/>
            </w:tcBorders>
            <w:shd w:val="clear" w:color="auto" w:fill="auto"/>
            <w:noWrap/>
            <w:vAlign w:val="bottom"/>
            <w:hideMark/>
          </w:tcPr>
          <w:p w14:paraId="2F7A815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138</w:t>
            </w:r>
          </w:p>
        </w:tc>
        <w:tc>
          <w:tcPr>
            <w:tcW w:w="261" w:type="dxa"/>
            <w:tcBorders>
              <w:top w:val="nil"/>
              <w:left w:val="nil"/>
              <w:bottom w:val="nil"/>
              <w:right w:val="nil"/>
            </w:tcBorders>
            <w:shd w:val="clear" w:color="auto" w:fill="auto"/>
            <w:noWrap/>
            <w:vAlign w:val="bottom"/>
            <w:hideMark/>
          </w:tcPr>
          <w:p w14:paraId="09C178C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E42E8F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4.50</w:t>
            </w:r>
          </w:p>
        </w:tc>
        <w:tc>
          <w:tcPr>
            <w:tcW w:w="932" w:type="dxa"/>
            <w:tcBorders>
              <w:top w:val="nil"/>
              <w:left w:val="nil"/>
              <w:bottom w:val="nil"/>
              <w:right w:val="nil"/>
            </w:tcBorders>
            <w:shd w:val="clear" w:color="auto" w:fill="auto"/>
            <w:noWrap/>
            <w:vAlign w:val="bottom"/>
            <w:hideMark/>
          </w:tcPr>
          <w:p w14:paraId="47EF5B6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4.5</w:t>
            </w:r>
          </w:p>
        </w:tc>
        <w:tc>
          <w:tcPr>
            <w:tcW w:w="283" w:type="dxa"/>
            <w:tcBorders>
              <w:top w:val="nil"/>
              <w:left w:val="nil"/>
              <w:bottom w:val="nil"/>
              <w:right w:val="nil"/>
            </w:tcBorders>
            <w:shd w:val="clear" w:color="auto" w:fill="auto"/>
            <w:noWrap/>
            <w:vAlign w:val="bottom"/>
            <w:hideMark/>
          </w:tcPr>
          <w:p w14:paraId="4492C0A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CF4D97F" w14:textId="46548911" w:rsidR="00467C2F" w:rsidRPr="00467C2F" w:rsidRDefault="00467C2F" w:rsidP="00467C2F">
            <w:pPr>
              <w:jc w:val="center"/>
              <w:rPr>
                <w:rFonts w:eastAsia="Times New Roman"/>
                <w:color w:val="000000"/>
                <w:sz w:val="22"/>
                <w:szCs w:val="22"/>
              </w:rPr>
            </w:pPr>
            <w:r w:rsidRPr="00467C2F">
              <w:rPr>
                <w:color w:val="000000"/>
                <w:sz w:val="22"/>
                <w:szCs w:val="22"/>
              </w:rPr>
              <w:t>51.67</w:t>
            </w:r>
          </w:p>
        </w:tc>
        <w:tc>
          <w:tcPr>
            <w:tcW w:w="914" w:type="dxa"/>
            <w:tcBorders>
              <w:top w:val="nil"/>
              <w:left w:val="nil"/>
              <w:bottom w:val="nil"/>
              <w:right w:val="nil"/>
            </w:tcBorders>
            <w:shd w:val="clear" w:color="auto" w:fill="auto"/>
            <w:noWrap/>
            <w:vAlign w:val="bottom"/>
            <w:hideMark/>
          </w:tcPr>
          <w:p w14:paraId="6848C463" w14:textId="5D043B5B" w:rsidR="00467C2F" w:rsidRPr="00467C2F" w:rsidRDefault="00467C2F" w:rsidP="00467C2F">
            <w:pPr>
              <w:jc w:val="center"/>
              <w:rPr>
                <w:rFonts w:eastAsia="Times New Roman"/>
                <w:color w:val="000000"/>
                <w:sz w:val="22"/>
                <w:szCs w:val="22"/>
              </w:rPr>
            </w:pPr>
            <w:r w:rsidRPr="00467C2F">
              <w:rPr>
                <w:color w:val="000000"/>
                <w:sz w:val="22"/>
                <w:szCs w:val="22"/>
              </w:rPr>
              <w:t>54.00</w:t>
            </w:r>
          </w:p>
        </w:tc>
      </w:tr>
      <w:tr w:rsidR="00467C2F" w:rsidRPr="000912EF" w14:paraId="0B6A432D" w14:textId="77777777" w:rsidTr="0031315C">
        <w:trPr>
          <w:trHeight w:val="300"/>
        </w:trPr>
        <w:tc>
          <w:tcPr>
            <w:tcW w:w="851" w:type="dxa"/>
            <w:tcBorders>
              <w:top w:val="nil"/>
              <w:left w:val="nil"/>
              <w:bottom w:val="nil"/>
              <w:right w:val="nil"/>
            </w:tcBorders>
            <w:shd w:val="clear" w:color="auto" w:fill="auto"/>
            <w:noWrap/>
            <w:vAlign w:val="bottom"/>
            <w:hideMark/>
          </w:tcPr>
          <w:p w14:paraId="67C4D397" w14:textId="2631BBF4"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52</w:t>
            </w:r>
          </w:p>
        </w:tc>
        <w:tc>
          <w:tcPr>
            <w:tcW w:w="283" w:type="dxa"/>
            <w:tcBorders>
              <w:top w:val="nil"/>
              <w:left w:val="nil"/>
              <w:bottom w:val="nil"/>
              <w:right w:val="nil"/>
            </w:tcBorders>
            <w:shd w:val="clear" w:color="auto" w:fill="auto"/>
            <w:noWrap/>
            <w:vAlign w:val="bottom"/>
            <w:hideMark/>
          </w:tcPr>
          <w:p w14:paraId="04F632C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7406DDD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w:t>
            </w:r>
          </w:p>
        </w:tc>
        <w:tc>
          <w:tcPr>
            <w:tcW w:w="284" w:type="dxa"/>
            <w:tcBorders>
              <w:top w:val="nil"/>
              <w:left w:val="nil"/>
              <w:bottom w:val="nil"/>
              <w:right w:val="nil"/>
            </w:tcBorders>
            <w:shd w:val="clear" w:color="auto" w:fill="auto"/>
            <w:noWrap/>
            <w:vAlign w:val="bottom"/>
            <w:hideMark/>
          </w:tcPr>
          <w:p w14:paraId="4679BAB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46FC626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0.62</w:t>
            </w:r>
          </w:p>
        </w:tc>
        <w:tc>
          <w:tcPr>
            <w:tcW w:w="305" w:type="dxa"/>
            <w:tcBorders>
              <w:top w:val="nil"/>
              <w:left w:val="nil"/>
              <w:bottom w:val="nil"/>
              <w:right w:val="nil"/>
            </w:tcBorders>
            <w:shd w:val="clear" w:color="auto" w:fill="auto"/>
            <w:noWrap/>
            <w:vAlign w:val="bottom"/>
            <w:hideMark/>
          </w:tcPr>
          <w:p w14:paraId="5B571F0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84DDF5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127.00</w:t>
            </w:r>
          </w:p>
        </w:tc>
        <w:tc>
          <w:tcPr>
            <w:tcW w:w="992" w:type="dxa"/>
            <w:tcBorders>
              <w:top w:val="nil"/>
              <w:left w:val="nil"/>
              <w:bottom w:val="nil"/>
              <w:right w:val="nil"/>
            </w:tcBorders>
            <w:shd w:val="clear" w:color="auto" w:fill="auto"/>
            <w:noWrap/>
            <w:vAlign w:val="bottom"/>
            <w:hideMark/>
          </w:tcPr>
          <w:p w14:paraId="1E7E660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127</w:t>
            </w:r>
          </w:p>
        </w:tc>
        <w:tc>
          <w:tcPr>
            <w:tcW w:w="261" w:type="dxa"/>
            <w:tcBorders>
              <w:top w:val="nil"/>
              <w:left w:val="nil"/>
              <w:bottom w:val="nil"/>
              <w:right w:val="nil"/>
            </w:tcBorders>
            <w:shd w:val="clear" w:color="auto" w:fill="auto"/>
            <w:noWrap/>
            <w:vAlign w:val="bottom"/>
            <w:hideMark/>
          </w:tcPr>
          <w:p w14:paraId="721DB8D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949122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4.00</w:t>
            </w:r>
          </w:p>
        </w:tc>
        <w:tc>
          <w:tcPr>
            <w:tcW w:w="932" w:type="dxa"/>
            <w:tcBorders>
              <w:top w:val="nil"/>
              <w:left w:val="nil"/>
              <w:bottom w:val="nil"/>
              <w:right w:val="nil"/>
            </w:tcBorders>
            <w:shd w:val="clear" w:color="auto" w:fill="auto"/>
            <w:noWrap/>
            <w:vAlign w:val="bottom"/>
            <w:hideMark/>
          </w:tcPr>
          <w:p w14:paraId="034B552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7C0E053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0EBFA16" w14:textId="434C93DC" w:rsidR="00467C2F" w:rsidRPr="00467C2F" w:rsidRDefault="00467C2F" w:rsidP="00467C2F">
            <w:pPr>
              <w:jc w:val="center"/>
              <w:rPr>
                <w:rFonts w:eastAsia="Times New Roman"/>
                <w:color w:val="000000"/>
                <w:sz w:val="22"/>
                <w:szCs w:val="22"/>
              </w:rPr>
            </w:pPr>
            <w:r w:rsidRPr="00467C2F">
              <w:rPr>
                <w:color w:val="000000"/>
                <w:sz w:val="22"/>
                <w:szCs w:val="22"/>
              </w:rPr>
              <w:t>20.50</w:t>
            </w:r>
          </w:p>
        </w:tc>
        <w:tc>
          <w:tcPr>
            <w:tcW w:w="914" w:type="dxa"/>
            <w:tcBorders>
              <w:top w:val="nil"/>
              <w:left w:val="nil"/>
              <w:bottom w:val="nil"/>
              <w:right w:val="nil"/>
            </w:tcBorders>
            <w:shd w:val="clear" w:color="auto" w:fill="auto"/>
            <w:noWrap/>
            <w:vAlign w:val="bottom"/>
            <w:hideMark/>
          </w:tcPr>
          <w:p w14:paraId="37E5F163" w14:textId="64FBAD3C" w:rsidR="00467C2F" w:rsidRPr="00467C2F" w:rsidRDefault="00467C2F" w:rsidP="00467C2F">
            <w:pPr>
              <w:jc w:val="center"/>
              <w:rPr>
                <w:rFonts w:eastAsia="Times New Roman"/>
                <w:color w:val="000000"/>
                <w:sz w:val="22"/>
                <w:szCs w:val="22"/>
              </w:rPr>
            </w:pPr>
            <w:r w:rsidRPr="00467C2F">
              <w:rPr>
                <w:color w:val="000000"/>
                <w:sz w:val="22"/>
                <w:szCs w:val="22"/>
              </w:rPr>
              <w:t>20.50</w:t>
            </w:r>
          </w:p>
        </w:tc>
      </w:tr>
      <w:tr w:rsidR="00467C2F" w:rsidRPr="000912EF" w14:paraId="447789D7" w14:textId="77777777" w:rsidTr="0031315C">
        <w:trPr>
          <w:trHeight w:val="300"/>
        </w:trPr>
        <w:tc>
          <w:tcPr>
            <w:tcW w:w="851" w:type="dxa"/>
            <w:tcBorders>
              <w:top w:val="nil"/>
              <w:left w:val="nil"/>
              <w:bottom w:val="nil"/>
              <w:right w:val="nil"/>
            </w:tcBorders>
            <w:shd w:val="clear" w:color="auto" w:fill="auto"/>
            <w:noWrap/>
            <w:vAlign w:val="bottom"/>
            <w:hideMark/>
          </w:tcPr>
          <w:p w14:paraId="069FD185" w14:textId="2F6C3360"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53</w:t>
            </w:r>
          </w:p>
        </w:tc>
        <w:tc>
          <w:tcPr>
            <w:tcW w:w="283" w:type="dxa"/>
            <w:tcBorders>
              <w:top w:val="nil"/>
              <w:left w:val="nil"/>
              <w:bottom w:val="nil"/>
              <w:right w:val="nil"/>
            </w:tcBorders>
            <w:shd w:val="clear" w:color="auto" w:fill="auto"/>
            <w:noWrap/>
            <w:vAlign w:val="bottom"/>
            <w:hideMark/>
          </w:tcPr>
          <w:p w14:paraId="3C35895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CE1FCD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34AE573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F55BEC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0.85</w:t>
            </w:r>
          </w:p>
        </w:tc>
        <w:tc>
          <w:tcPr>
            <w:tcW w:w="305" w:type="dxa"/>
            <w:tcBorders>
              <w:top w:val="nil"/>
              <w:left w:val="nil"/>
              <w:bottom w:val="nil"/>
              <w:right w:val="nil"/>
            </w:tcBorders>
            <w:shd w:val="clear" w:color="auto" w:fill="auto"/>
            <w:noWrap/>
            <w:vAlign w:val="bottom"/>
            <w:hideMark/>
          </w:tcPr>
          <w:p w14:paraId="3784257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39F26C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68.33</w:t>
            </w:r>
          </w:p>
        </w:tc>
        <w:tc>
          <w:tcPr>
            <w:tcW w:w="992" w:type="dxa"/>
            <w:tcBorders>
              <w:top w:val="nil"/>
              <w:left w:val="nil"/>
              <w:bottom w:val="nil"/>
              <w:right w:val="nil"/>
            </w:tcBorders>
            <w:shd w:val="clear" w:color="auto" w:fill="auto"/>
            <w:noWrap/>
            <w:vAlign w:val="bottom"/>
            <w:hideMark/>
          </w:tcPr>
          <w:p w14:paraId="6B9F1EC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84</w:t>
            </w:r>
          </w:p>
        </w:tc>
        <w:tc>
          <w:tcPr>
            <w:tcW w:w="261" w:type="dxa"/>
            <w:tcBorders>
              <w:top w:val="nil"/>
              <w:left w:val="nil"/>
              <w:bottom w:val="nil"/>
              <w:right w:val="nil"/>
            </w:tcBorders>
            <w:shd w:val="clear" w:color="auto" w:fill="auto"/>
            <w:noWrap/>
            <w:vAlign w:val="bottom"/>
            <w:hideMark/>
          </w:tcPr>
          <w:p w14:paraId="526D39A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34A52E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3.33</w:t>
            </w:r>
          </w:p>
        </w:tc>
        <w:tc>
          <w:tcPr>
            <w:tcW w:w="932" w:type="dxa"/>
            <w:tcBorders>
              <w:top w:val="nil"/>
              <w:left w:val="nil"/>
              <w:bottom w:val="nil"/>
              <w:right w:val="nil"/>
            </w:tcBorders>
            <w:shd w:val="clear" w:color="auto" w:fill="auto"/>
            <w:noWrap/>
            <w:vAlign w:val="bottom"/>
            <w:hideMark/>
          </w:tcPr>
          <w:p w14:paraId="155C26F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0B4F958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728B7BD" w14:textId="7D318C85" w:rsidR="00467C2F" w:rsidRPr="00467C2F" w:rsidRDefault="00467C2F" w:rsidP="00467C2F">
            <w:pPr>
              <w:jc w:val="center"/>
              <w:rPr>
                <w:rFonts w:eastAsia="Times New Roman"/>
                <w:color w:val="000000"/>
                <w:sz w:val="22"/>
                <w:szCs w:val="22"/>
              </w:rPr>
            </w:pPr>
            <w:r w:rsidRPr="00467C2F">
              <w:rPr>
                <w:color w:val="000000"/>
                <w:sz w:val="22"/>
                <w:szCs w:val="22"/>
              </w:rPr>
              <w:t>36.00</w:t>
            </w:r>
          </w:p>
        </w:tc>
        <w:tc>
          <w:tcPr>
            <w:tcW w:w="914" w:type="dxa"/>
            <w:tcBorders>
              <w:top w:val="nil"/>
              <w:left w:val="nil"/>
              <w:bottom w:val="nil"/>
              <w:right w:val="nil"/>
            </w:tcBorders>
            <w:shd w:val="clear" w:color="auto" w:fill="auto"/>
            <w:noWrap/>
            <w:vAlign w:val="bottom"/>
            <w:hideMark/>
          </w:tcPr>
          <w:p w14:paraId="401D70A7" w14:textId="2FAA32D0" w:rsidR="00467C2F" w:rsidRPr="00467C2F" w:rsidRDefault="00467C2F" w:rsidP="00467C2F">
            <w:pPr>
              <w:jc w:val="center"/>
              <w:rPr>
                <w:rFonts w:eastAsia="Times New Roman"/>
                <w:color w:val="000000"/>
                <w:sz w:val="22"/>
                <w:szCs w:val="22"/>
              </w:rPr>
            </w:pPr>
            <w:r w:rsidRPr="00467C2F">
              <w:rPr>
                <w:color w:val="000000"/>
                <w:sz w:val="22"/>
                <w:szCs w:val="22"/>
              </w:rPr>
              <w:t>40.00</w:t>
            </w:r>
          </w:p>
        </w:tc>
      </w:tr>
      <w:tr w:rsidR="00467C2F" w:rsidRPr="000912EF" w14:paraId="4927B5F9" w14:textId="77777777" w:rsidTr="0031315C">
        <w:trPr>
          <w:trHeight w:val="300"/>
        </w:trPr>
        <w:tc>
          <w:tcPr>
            <w:tcW w:w="851" w:type="dxa"/>
            <w:tcBorders>
              <w:top w:val="nil"/>
              <w:left w:val="nil"/>
              <w:bottom w:val="nil"/>
              <w:right w:val="nil"/>
            </w:tcBorders>
            <w:shd w:val="clear" w:color="auto" w:fill="auto"/>
            <w:noWrap/>
            <w:vAlign w:val="bottom"/>
            <w:hideMark/>
          </w:tcPr>
          <w:p w14:paraId="38EFC869" w14:textId="3EC89288"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lastRenderedPageBreak/>
              <w:t>54</w:t>
            </w:r>
          </w:p>
        </w:tc>
        <w:tc>
          <w:tcPr>
            <w:tcW w:w="283" w:type="dxa"/>
            <w:tcBorders>
              <w:top w:val="nil"/>
              <w:left w:val="nil"/>
              <w:bottom w:val="nil"/>
              <w:right w:val="nil"/>
            </w:tcBorders>
            <w:shd w:val="clear" w:color="auto" w:fill="auto"/>
            <w:noWrap/>
            <w:vAlign w:val="bottom"/>
            <w:hideMark/>
          </w:tcPr>
          <w:p w14:paraId="61E82CA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306BC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6</w:t>
            </w:r>
          </w:p>
        </w:tc>
        <w:tc>
          <w:tcPr>
            <w:tcW w:w="284" w:type="dxa"/>
            <w:tcBorders>
              <w:top w:val="nil"/>
              <w:left w:val="nil"/>
              <w:bottom w:val="nil"/>
              <w:right w:val="nil"/>
            </w:tcBorders>
            <w:shd w:val="clear" w:color="auto" w:fill="auto"/>
            <w:noWrap/>
            <w:vAlign w:val="bottom"/>
            <w:hideMark/>
          </w:tcPr>
          <w:p w14:paraId="546AB6F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CFAF2A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0.27</w:t>
            </w:r>
          </w:p>
        </w:tc>
        <w:tc>
          <w:tcPr>
            <w:tcW w:w="305" w:type="dxa"/>
            <w:tcBorders>
              <w:top w:val="nil"/>
              <w:left w:val="nil"/>
              <w:bottom w:val="nil"/>
              <w:right w:val="nil"/>
            </w:tcBorders>
            <w:shd w:val="clear" w:color="auto" w:fill="auto"/>
            <w:noWrap/>
            <w:vAlign w:val="bottom"/>
            <w:hideMark/>
          </w:tcPr>
          <w:p w14:paraId="623CF73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7E407E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92.17</w:t>
            </w:r>
          </w:p>
        </w:tc>
        <w:tc>
          <w:tcPr>
            <w:tcW w:w="992" w:type="dxa"/>
            <w:tcBorders>
              <w:top w:val="nil"/>
              <w:left w:val="nil"/>
              <w:bottom w:val="nil"/>
              <w:right w:val="nil"/>
            </w:tcBorders>
            <w:shd w:val="clear" w:color="auto" w:fill="auto"/>
            <w:noWrap/>
            <w:vAlign w:val="bottom"/>
            <w:hideMark/>
          </w:tcPr>
          <w:p w14:paraId="6210722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86.5</w:t>
            </w:r>
          </w:p>
        </w:tc>
        <w:tc>
          <w:tcPr>
            <w:tcW w:w="261" w:type="dxa"/>
            <w:tcBorders>
              <w:top w:val="nil"/>
              <w:left w:val="nil"/>
              <w:bottom w:val="nil"/>
              <w:right w:val="nil"/>
            </w:tcBorders>
            <w:shd w:val="clear" w:color="auto" w:fill="auto"/>
            <w:noWrap/>
            <w:vAlign w:val="bottom"/>
            <w:hideMark/>
          </w:tcPr>
          <w:p w14:paraId="2BF8FDD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A2F049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2.67</w:t>
            </w:r>
          </w:p>
        </w:tc>
        <w:tc>
          <w:tcPr>
            <w:tcW w:w="932" w:type="dxa"/>
            <w:tcBorders>
              <w:top w:val="nil"/>
              <w:left w:val="nil"/>
              <w:bottom w:val="nil"/>
              <w:right w:val="nil"/>
            </w:tcBorders>
            <w:shd w:val="clear" w:color="auto" w:fill="auto"/>
            <w:noWrap/>
            <w:vAlign w:val="bottom"/>
            <w:hideMark/>
          </w:tcPr>
          <w:p w14:paraId="48D0B6E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0A059AC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40F9C7D" w14:textId="252CB494" w:rsidR="00467C2F" w:rsidRPr="00467C2F" w:rsidRDefault="00467C2F" w:rsidP="00467C2F">
            <w:pPr>
              <w:jc w:val="center"/>
              <w:rPr>
                <w:rFonts w:eastAsia="Times New Roman"/>
                <w:color w:val="000000"/>
                <w:sz w:val="22"/>
                <w:szCs w:val="22"/>
              </w:rPr>
            </w:pPr>
            <w:r w:rsidRPr="00467C2F">
              <w:rPr>
                <w:color w:val="000000"/>
                <w:sz w:val="22"/>
                <w:szCs w:val="22"/>
              </w:rPr>
              <w:t>34.00</w:t>
            </w:r>
          </w:p>
        </w:tc>
        <w:tc>
          <w:tcPr>
            <w:tcW w:w="914" w:type="dxa"/>
            <w:tcBorders>
              <w:top w:val="nil"/>
              <w:left w:val="nil"/>
              <w:bottom w:val="nil"/>
              <w:right w:val="nil"/>
            </w:tcBorders>
            <w:shd w:val="clear" w:color="auto" w:fill="auto"/>
            <w:noWrap/>
            <w:vAlign w:val="bottom"/>
            <w:hideMark/>
          </w:tcPr>
          <w:p w14:paraId="35F312DF" w14:textId="26379E81" w:rsidR="00467C2F" w:rsidRPr="00467C2F" w:rsidRDefault="00467C2F" w:rsidP="00467C2F">
            <w:pPr>
              <w:jc w:val="center"/>
              <w:rPr>
                <w:rFonts w:eastAsia="Times New Roman"/>
                <w:color w:val="000000"/>
                <w:sz w:val="22"/>
                <w:szCs w:val="22"/>
              </w:rPr>
            </w:pPr>
            <w:r w:rsidRPr="00467C2F">
              <w:rPr>
                <w:color w:val="000000"/>
                <w:sz w:val="22"/>
                <w:szCs w:val="22"/>
              </w:rPr>
              <w:t>36.00</w:t>
            </w:r>
          </w:p>
        </w:tc>
      </w:tr>
      <w:tr w:rsidR="00467C2F" w:rsidRPr="000912EF" w14:paraId="1BE53A0F" w14:textId="77777777" w:rsidTr="0031315C">
        <w:trPr>
          <w:trHeight w:val="300"/>
        </w:trPr>
        <w:tc>
          <w:tcPr>
            <w:tcW w:w="851" w:type="dxa"/>
            <w:tcBorders>
              <w:top w:val="nil"/>
              <w:left w:val="nil"/>
              <w:bottom w:val="nil"/>
              <w:right w:val="nil"/>
            </w:tcBorders>
            <w:shd w:val="clear" w:color="auto" w:fill="auto"/>
            <w:noWrap/>
            <w:vAlign w:val="bottom"/>
            <w:hideMark/>
          </w:tcPr>
          <w:p w14:paraId="137CFDCE" w14:textId="103A4361"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55</w:t>
            </w:r>
          </w:p>
        </w:tc>
        <w:tc>
          <w:tcPr>
            <w:tcW w:w="283" w:type="dxa"/>
            <w:tcBorders>
              <w:top w:val="nil"/>
              <w:left w:val="nil"/>
              <w:bottom w:val="nil"/>
              <w:right w:val="nil"/>
            </w:tcBorders>
            <w:shd w:val="clear" w:color="auto" w:fill="auto"/>
            <w:noWrap/>
            <w:vAlign w:val="bottom"/>
            <w:hideMark/>
          </w:tcPr>
          <w:p w14:paraId="3D21945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4C44928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7DB6962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0ABC7E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0.74</w:t>
            </w:r>
          </w:p>
        </w:tc>
        <w:tc>
          <w:tcPr>
            <w:tcW w:w="305" w:type="dxa"/>
            <w:tcBorders>
              <w:top w:val="nil"/>
              <w:left w:val="nil"/>
              <w:bottom w:val="nil"/>
              <w:right w:val="nil"/>
            </w:tcBorders>
            <w:shd w:val="clear" w:color="auto" w:fill="auto"/>
            <w:noWrap/>
            <w:vAlign w:val="bottom"/>
            <w:hideMark/>
          </w:tcPr>
          <w:p w14:paraId="3920286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1BAE89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177.00</w:t>
            </w:r>
          </w:p>
        </w:tc>
        <w:tc>
          <w:tcPr>
            <w:tcW w:w="992" w:type="dxa"/>
            <w:tcBorders>
              <w:top w:val="nil"/>
              <w:left w:val="nil"/>
              <w:bottom w:val="nil"/>
              <w:right w:val="nil"/>
            </w:tcBorders>
            <w:shd w:val="clear" w:color="auto" w:fill="auto"/>
            <w:noWrap/>
            <w:vAlign w:val="bottom"/>
            <w:hideMark/>
          </w:tcPr>
          <w:p w14:paraId="1A789A6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159</w:t>
            </w:r>
          </w:p>
        </w:tc>
        <w:tc>
          <w:tcPr>
            <w:tcW w:w="261" w:type="dxa"/>
            <w:tcBorders>
              <w:top w:val="nil"/>
              <w:left w:val="nil"/>
              <w:bottom w:val="nil"/>
              <w:right w:val="nil"/>
            </w:tcBorders>
            <w:shd w:val="clear" w:color="auto" w:fill="auto"/>
            <w:noWrap/>
            <w:vAlign w:val="bottom"/>
            <w:hideMark/>
          </w:tcPr>
          <w:p w14:paraId="1FC937B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56A50F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4.00</w:t>
            </w:r>
          </w:p>
        </w:tc>
        <w:tc>
          <w:tcPr>
            <w:tcW w:w="932" w:type="dxa"/>
            <w:tcBorders>
              <w:top w:val="nil"/>
              <w:left w:val="nil"/>
              <w:bottom w:val="nil"/>
              <w:right w:val="nil"/>
            </w:tcBorders>
            <w:shd w:val="clear" w:color="auto" w:fill="auto"/>
            <w:noWrap/>
            <w:vAlign w:val="bottom"/>
            <w:hideMark/>
          </w:tcPr>
          <w:p w14:paraId="5AB0575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3A136F0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69687BB" w14:textId="6C784373" w:rsidR="00467C2F" w:rsidRPr="00467C2F" w:rsidRDefault="00467C2F" w:rsidP="00467C2F">
            <w:pPr>
              <w:jc w:val="center"/>
              <w:rPr>
                <w:rFonts w:eastAsia="Times New Roman"/>
                <w:color w:val="000000"/>
                <w:sz w:val="22"/>
                <w:szCs w:val="22"/>
              </w:rPr>
            </w:pPr>
            <w:r w:rsidRPr="00467C2F">
              <w:rPr>
                <w:color w:val="000000"/>
                <w:sz w:val="22"/>
                <w:szCs w:val="22"/>
              </w:rPr>
              <w:t>47.00</w:t>
            </w:r>
          </w:p>
        </w:tc>
        <w:tc>
          <w:tcPr>
            <w:tcW w:w="914" w:type="dxa"/>
            <w:tcBorders>
              <w:top w:val="nil"/>
              <w:left w:val="nil"/>
              <w:bottom w:val="nil"/>
              <w:right w:val="nil"/>
            </w:tcBorders>
            <w:shd w:val="clear" w:color="auto" w:fill="auto"/>
            <w:noWrap/>
            <w:vAlign w:val="bottom"/>
            <w:hideMark/>
          </w:tcPr>
          <w:p w14:paraId="27E1C8E8" w14:textId="7F197F6C" w:rsidR="00467C2F" w:rsidRPr="00467C2F" w:rsidRDefault="00467C2F" w:rsidP="00467C2F">
            <w:pPr>
              <w:jc w:val="center"/>
              <w:rPr>
                <w:rFonts w:eastAsia="Times New Roman"/>
                <w:color w:val="000000"/>
                <w:sz w:val="22"/>
                <w:szCs w:val="22"/>
              </w:rPr>
            </w:pPr>
            <w:r w:rsidRPr="00467C2F">
              <w:rPr>
                <w:color w:val="000000"/>
                <w:sz w:val="22"/>
                <w:szCs w:val="22"/>
              </w:rPr>
              <w:t>63.00</w:t>
            </w:r>
          </w:p>
        </w:tc>
      </w:tr>
      <w:tr w:rsidR="00467C2F" w:rsidRPr="000912EF" w14:paraId="5790FC45" w14:textId="77777777" w:rsidTr="0031315C">
        <w:trPr>
          <w:trHeight w:val="300"/>
        </w:trPr>
        <w:tc>
          <w:tcPr>
            <w:tcW w:w="851" w:type="dxa"/>
            <w:tcBorders>
              <w:top w:val="nil"/>
              <w:left w:val="nil"/>
              <w:bottom w:val="nil"/>
              <w:right w:val="nil"/>
            </w:tcBorders>
            <w:shd w:val="clear" w:color="auto" w:fill="auto"/>
            <w:noWrap/>
            <w:vAlign w:val="bottom"/>
            <w:hideMark/>
          </w:tcPr>
          <w:p w14:paraId="43F119C1" w14:textId="32D060AC"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56</w:t>
            </w:r>
          </w:p>
        </w:tc>
        <w:tc>
          <w:tcPr>
            <w:tcW w:w="283" w:type="dxa"/>
            <w:tcBorders>
              <w:top w:val="nil"/>
              <w:left w:val="nil"/>
              <w:bottom w:val="nil"/>
              <w:right w:val="nil"/>
            </w:tcBorders>
            <w:shd w:val="clear" w:color="auto" w:fill="auto"/>
            <w:noWrap/>
            <w:vAlign w:val="bottom"/>
            <w:hideMark/>
          </w:tcPr>
          <w:p w14:paraId="1375E5D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CFE619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w:t>
            </w:r>
          </w:p>
        </w:tc>
        <w:tc>
          <w:tcPr>
            <w:tcW w:w="284" w:type="dxa"/>
            <w:tcBorders>
              <w:top w:val="nil"/>
              <w:left w:val="nil"/>
              <w:bottom w:val="nil"/>
              <w:right w:val="nil"/>
            </w:tcBorders>
            <w:shd w:val="clear" w:color="auto" w:fill="auto"/>
            <w:noWrap/>
            <w:vAlign w:val="bottom"/>
            <w:hideMark/>
          </w:tcPr>
          <w:p w14:paraId="35F1949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0FDE8FC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0.25</w:t>
            </w:r>
          </w:p>
        </w:tc>
        <w:tc>
          <w:tcPr>
            <w:tcW w:w="305" w:type="dxa"/>
            <w:tcBorders>
              <w:top w:val="nil"/>
              <w:left w:val="nil"/>
              <w:bottom w:val="nil"/>
              <w:right w:val="nil"/>
            </w:tcBorders>
            <w:shd w:val="clear" w:color="auto" w:fill="auto"/>
            <w:noWrap/>
            <w:vAlign w:val="bottom"/>
            <w:hideMark/>
          </w:tcPr>
          <w:p w14:paraId="683E386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606BE5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111.57</w:t>
            </w:r>
          </w:p>
        </w:tc>
        <w:tc>
          <w:tcPr>
            <w:tcW w:w="992" w:type="dxa"/>
            <w:tcBorders>
              <w:top w:val="nil"/>
              <w:left w:val="nil"/>
              <w:bottom w:val="nil"/>
              <w:right w:val="nil"/>
            </w:tcBorders>
            <w:shd w:val="clear" w:color="auto" w:fill="auto"/>
            <w:noWrap/>
            <w:vAlign w:val="bottom"/>
            <w:hideMark/>
          </w:tcPr>
          <w:p w14:paraId="3BC0807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94</w:t>
            </w:r>
          </w:p>
        </w:tc>
        <w:tc>
          <w:tcPr>
            <w:tcW w:w="261" w:type="dxa"/>
            <w:tcBorders>
              <w:top w:val="nil"/>
              <w:left w:val="nil"/>
              <w:bottom w:val="nil"/>
              <w:right w:val="nil"/>
            </w:tcBorders>
            <w:shd w:val="clear" w:color="auto" w:fill="auto"/>
            <w:noWrap/>
            <w:vAlign w:val="bottom"/>
            <w:hideMark/>
          </w:tcPr>
          <w:p w14:paraId="630D614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1359809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4.86</w:t>
            </w:r>
          </w:p>
        </w:tc>
        <w:tc>
          <w:tcPr>
            <w:tcW w:w="932" w:type="dxa"/>
            <w:tcBorders>
              <w:top w:val="nil"/>
              <w:left w:val="nil"/>
              <w:bottom w:val="nil"/>
              <w:right w:val="nil"/>
            </w:tcBorders>
            <w:shd w:val="clear" w:color="auto" w:fill="auto"/>
            <w:noWrap/>
            <w:vAlign w:val="bottom"/>
            <w:hideMark/>
          </w:tcPr>
          <w:p w14:paraId="6BA5EEC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3" w:type="dxa"/>
            <w:tcBorders>
              <w:top w:val="nil"/>
              <w:left w:val="nil"/>
              <w:bottom w:val="nil"/>
              <w:right w:val="nil"/>
            </w:tcBorders>
            <w:shd w:val="clear" w:color="auto" w:fill="auto"/>
            <w:noWrap/>
            <w:vAlign w:val="bottom"/>
            <w:hideMark/>
          </w:tcPr>
          <w:p w14:paraId="57C51EC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03BA3C5" w14:textId="222FC002" w:rsidR="00467C2F" w:rsidRPr="00467C2F" w:rsidRDefault="00467C2F" w:rsidP="00467C2F">
            <w:pPr>
              <w:jc w:val="center"/>
              <w:rPr>
                <w:rFonts w:eastAsia="Times New Roman"/>
                <w:color w:val="000000"/>
                <w:sz w:val="22"/>
                <w:szCs w:val="22"/>
              </w:rPr>
            </w:pPr>
            <w:r w:rsidRPr="00467C2F">
              <w:rPr>
                <w:color w:val="000000"/>
                <w:sz w:val="22"/>
                <w:szCs w:val="22"/>
              </w:rPr>
              <w:t>50.43</w:t>
            </w:r>
          </w:p>
        </w:tc>
        <w:tc>
          <w:tcPr>
            <w:tcW w:w="914" w:type="dxa"/>
            <w:tcBorders>
              <w:top w:val="nil"/>
              <w:left w:val="nil"/>
              <w:bottom w:val="nil"/>
              <w:right w:val="nil"/>
            </w:tcBorders>
            <w:shd w:val="clear" w:color="auto" w:fill="auto"/>
            <w:noWrap/>
            <w:vAlign w:val="bottom"/>
            <w:hideMark/>
          </w:tcPr>
          <w:p w14:paraId="4B069BBA" w14:textId="6C9F3565" w:rsidR="00467C2F" w:rsidRPr="00467C2F" w:rsidRDefault="00467C2F" w:rsidP="00467C2F">
            <w:pPr>
              <w:jc w:val="center"/>
              <w:rPr>
                <w:rFonts w:eastAsia="Times New Roman"/>
                <w:color w:val="000000"/>
                <w:sz w:val="22"/>
                <w:szCs w:val="22"/>
              </w:rPr>
            </w:pPr>
            <w:r w:rsidRPr="00467C2F">
              <w:rPr>
                <w:color w:val="000000"/>
                <w:sz w:val="22"/>
                <w:szCs w:val="22"/>
              </w:rPr>
              <w:t>59.00</w:t>
            </w:r>
          </w:p>
        </w:tc>
      </w:tr>
      <w:tr w:rsidR="00467C2F" w:rsidRPr="000912EF" w14:paraId="4E7E71DD" w14:textId="77777777" w:rsidTr="0031315C">
        <w:trPr>
          <w:trHeight w:val="300"/>
        </w:trPr>
        <w:tc>
          <w:tcPr>
            <w:tcW w:w="851" w:type="dxa"/>
            <w:tcBorders>
              <w:top w:val="nil"/>
              <w:left w:val="nil"/>
              <w:bottom w:val="nil"/>
              <w:right w:val="nil"/>
            </w:tcBorders>
            <w:shd w:val="clear" w:color="auto" w:fill="auto"/>
            <w:noWrap/>
            <w:vAlign w:val="bottom"/>
            <w:hideMark/>
          </w:tcPr>
          <w:p w14:paraId="702ACAC4" w14:textId="509B30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57</w:t>
            </w:r>
          </w:p>
        </w:tc>
        <w:tc>
          <w:tcPr>
            <w:tcW w:w="283" w:type="dxa"/>
            <w:tcBorders>
              <w:top w:val="nil"/>
              <w:left w:val="nil"/>
              <w:bottom w:val="nil"/>
              <w:right w:val="nil"/>
            </w:tcBorders>
            <w:shd w:val="clear" w:color="auto" w:fill="auto"/>
            <w:noWrap/>
            <w:vAlign w:val="bottom"/>
            <w:hideMark/>
          </w:tcPr>
          <w:p w14:paraId="34B1AA0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ED4ACE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4" w:type="dxa"/>
            <w:tcBorders>
              <w:top w:val="nil"/>
              <w:left w:val="nil"/>
              <w:bottom w:val="nil"/>
              <w:right w:val="nil"/>
            </w:tcBorders>
            <w:shd w:val="clear" w:color="auto" w:fill="auto"/>
            <w:noWrap/>
            <w:vAlign w:val="bottom"/>
            <w:hideMark/>
          </w:tcPr>
          <w:p w14:paraId="5FF9018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EBBED4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0.29</w:t>
            </w:r>
          </w:p>
        </w:tc>
        <w:tc>
          <w:tcPr>
            <w:tcW w:w="305" w:type="dxa"/>
            <w:tcBorders>
              <w:top w:val="nil"/>
              <w:left w:val="nil"/>
              <w:bottom w:val="nil"/>
              <w:right w:val="nil"/>
            </w:tcBorders>
            <w:shd w:val="clear" w:color="auto" w:fill="auto"/>
            <w:noWrap/>
            <w:vAlign w:val="bottom"/>
            <w:hideMark/>
          </w:tcPr>
          <w:p w14:paraId="3A89E1A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6A3AED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155.80</w:t>
            </w:r>
          </w:p>
        </w:tc>
        <w:tc>
          <w:tcPr>
            <w:tcW w:w="992" w:type="dxa"/>
            <w:tcBorders>
              <w:top w:val="nil"/>
              <w:left w:val="nil"/>
              <w:bottom w:val="nil"/>
              <w:right w:val="nil"/>
            </w:tcBorders>
            <w:shd w:val="clear" w:color="auto" w:fill="auto"/>
            <w:noWrap/>
            <w:vAlign w:val="bottom"/>
            <w:hideMark/>
          </w:tcPr>
          <w:p w14:paraId="60777E1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160</w:t>
            </w:r>
          </w:p>
        </w:tc>
        <w:tc>
          <w:tcPr>
            <w:tcW w:w="261" w:type="dxa"/>
            <w:tcBorders>
              <w:top w:val="nil"/>
              <w:left w:val="nil"/>
              <w:bottom w:val="nil"/>
              <w:right w:val="nil"/>
            </w:tcBorders>
            <w:shd w:val="clear" w:color="auto" w:fill="auto"/>
            <w:noWrap/>
            <w:vAlign w:val="bottom"/>
            <w:hideMark/>
          </w:tcPr>
          <w:p w14:paraId="632E231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C04C2D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4.40</w:t>
            </w:r>
          </w:p>
        </w:tc>
        <w:tc>
          <w:tcPr>
            <w:tcW w:w="932" w:type="dxa"/>
            <w:tcBorders>
              <w:top w:val="nil"/>
              <w:left w:val="nil"/>
              <w:bottom w:val="nil"/>
              <w:right w:val="nil"/>
            </w:tcBorders>
            <w:shd w:val="clear" w:color="auto" w:fill="auto"/>
            <w:noWrap/>
            <w:vAlign w:val="bottom"/>
            <w:hideMark/>
          </w:tcPr>
          <w:p w14:paraId="5DB335E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3" w:type="dxa"/>
            <w:tcBorders>
              <w:top w:val="nil"/>
              <w:left w:val="nil"/>
              <w:bottom w:val="nil"/>
              <w:right w:val="nil"/>
            </w:tcBorders>
            <w:shd w:val="clear" w:color="auto" w:fill="auto"/>
            <w:noWrap/>
            <w:vAlign w:val="bottom"/>
            <w:hideMark/>
          </w:tcPr>
          <w:p w14:paraId="3F28A92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5ED1D46" w14:textId="0219DFEB" w:rsidR="00467C2F" w:rsidRPr="00467C2F" w:rsidRDefault="00467C2F" w:rsidP="00467C2F">
            <w:pPr>
              <w:jc w:val="center"/>
              <w:rPr>
                <w:rFonts w:eastAsia="Times New Roman"/>
                <w:color w:val="000000"/>
                <w:sz w:val="22"/>
                <w:szCs w:val="22"/>
              </w:rPr>
            </w:pPr>
            <w:r w:rsidRPr="00467C2F">
              <w:rPr>
                <w:color w:val="000000"/>
                <w:sz w:val="22"/>
                <w:szCs w:val="22"/>
              </w:rPr>
              <w:t>32.40</w:t>
            </w:r>
          </w:p>
        </w:tc>
        <w:tc>
          <w:tcPr>
            <w:tcW w:w="914" w:type="dxa"/>
            <w:tcBorders>
              <w:top w:val="nil"/>
              <w:left w:val="nil"/>
              <w:bottom w:val="nil"/>
              <w:right w:val="nil"/>
            </w:tcBorders>
            <w:shd w:val="clear" w:color="auto" w:fill="auto"/>
            <w:noWrap/>
            <w:vAlign w:val="bottom"/>
            <w:hideMark/>
          </w:tcPr>
          <w:p w14:paraId="4488C871" w14:textId="0C4F1311" w:rsidR="00467C2F" w:rsidRPr="00467C2F" w:rsidRDefault="00467C2F" w:rsidP="00467C2F">
            <w:pPr>
              <w:jc w:val="center"/>
              <w:rPr>
                <w:rFonts w:eastAsia="Times New Roman"/>
                <w:color w:val="000000"/>
                <w:sz w:val="22"/>
                <w:szCs w:val="22"/>
              </w:rPr>
            </w:pPr>
            <w:r w:rsidRPr="00467C2F">
              <w:rPr>
                <w:color w:val="000000"/>
                <w:sz w:val="22"/>
                <w:szCs w:val="22"/>
              </w:rPr>
              <w:t>40.00</w:t>
            </w:r>
          </w:p>
        </w:tc>
      </w:tr>
      <w:tr w:rsidR="00467C2F" w:rsidRPr="000912EF" w14:paraId="0CAF9C72" w14:textId="77777777" w:rsidTr="0031315C">
        <w:trPr>
          <w:trHeight w:val="300"/>
        </w:trPr>
        <w:tc>
          <w:tcPr>
            <w:tcW w:w="851" w:type="dxa"/>
            <w:tcBorders>
              <w:top w:val="nil"/>
              <w:left w:val="nil"/>
              <w:bottom w:val="nil"/>
              <w:right w:val="nil"/>
            </w:tcBorders>
            <w:shd w:val="clear" w:color="auto" w:fill="auto"/>
            <w:noWrap/>
            <w:vAlign w:val="bottom"/>
            <w:hideMark/>
          </w:tcPr>
          <w:p w14:paraId="63E30AD1" w14:textId="4D31D898"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58</w:t>
            </w:r>
          </w:p>
        </w:tc>
        <w:tc>
          <w:tcPr>
            <w:tcW w:w="283" w:type="dxa"/>
            <w:tcBorders>
              <w:top w:val="nil"/>
              <w:left w:val="nil"/>
              <w:bottom w:val="nil"/>
              <w:right w:val="nil"/>
            </w:tcBorders>
            <w:shd w:val="clear" w:color="auto" w:fill="auto"/>
            <w:noWrap/>
            <w:vAlign w:val="bottom"/>
            <w:hideMark/>
          </w:tcPr>
          <w:p w14:paraId="1822E47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DA3A2B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19</w:t>
            </w:r>
          </w:p>
        </w:tc>
        <w:tc>
          <w:tcPr>
            <w:tcW w:w="284" w:type="dxa"/>
            <w:tcBorders>
              <w:top w:val="nil"/>
              <w:left w:val="nil"/>
              <w:bottom w:val="nil"/>
              <w:right w:val="nil"/>
            </w:tcBorders>
            <w:shd w:val="clear" w:color="auto" w:fill="auto"/>
            <w:noWrap/>
            <w:vAlign w:val="bottom"/>
            <w:hideMark/>
          </w:tcPr>
          <w:p w14:paraId="59A524A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2F7B4DD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0.37</w:t>
            </w:r>
          </w:p>
        </w:tc>
        <w:tc>
          <w:tcPr>
            <w:tcW w:w="305" w:type="dxa"/>
            <w:tcBorders>
              <w:top w:val="nil"/>
              <w:left w:val="nil"/>
              <w:bottom w:val="nil"/>
              <w:right w:val="nil"/>
            </w:tcBorders>
            <w:shd w:val="clear" w:color="auto" w:fill="auto"/>
            <w:noWrap/>
            <w:vAlign w:val="bottom"/>
            <w:hideMark/>
          </w:tcPr>
          <w:p w14:paraId="2867108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4F1941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98.05</w:t>
            </w:r>
          </w:p>
        </w:tc>
        <w:tc>
          <w:tcPr>
            <w:tcW w:w="992" w:type="dxa"/>
            <w:tcBorders>
              <w:top w:val="nil"/>
              <w:left w:val="nil"/>
              <w:bottom w:val="nil"/>
              <w:right w:val="nil"/>
            </w:tcBorders>
            <w:shd w:val="clear" w:color="auto" w:fill="auto"/>
            <w:noWrap/>
            <w:vAlign w:val="bottom"/>
            <w:hideMark/>
          </w:tcPr>
          <w:p w14:paraId="12CBCF3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71</w:t>
            </w:r>
          </w:p>
        </w:tc>
        <w:tc>
          <w:tcPr>
            <w:tcW w:w="261" w:type="dxa"/>
            <w:tcBorders>
              <w:top w:val="nil"/>
              <w:left w:val="nil"/>
              <w:bottom w:val="nil"/>
              <w:right w:val="nil"/>
            </w:tcBorders>
            <w:shd w:val="clear" w:color="auto" w:fill="auto"/>
            <w:noWrap/>
            <w:vAlign w:val="bottom"/>
            <w:hideMark/>
          </w:tcPr>
          <w:p w14:paraId="2FD8363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14A3896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3.21</w:t>
            </w:r>
          </w:p>
        </w:tc>
        <w:tc>
          <w:tcPr>
            <w:tcW w:w="932" w:type="dxa"/>
            <w:tcBorders>
              <w:top w:val="nil"/>
              <w:left w:val="nil"/>
              <w:bottom w:val="nil"/>
              <w:right w:val="nil"/>
            </w:tcBorders>
            <w:shd w:val="clear" w:color="auto" w:fill="auto"/>
            <w:noWrap/>
            <w:vAlign w:val="bottom"/>
            <w:hideMark/>
          </w:tcPr>
          <w:p w14:paraId="60DC316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7A61151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7972DBCF" w14:textId="3F095B84" w:rsidR="00467C2F" w:rsidRPr="00467C2F" w:rsidRDefault="00467C2F" w:rsidP="00467C2F">
            <w:pPr>
              <w:jc w:val="center"/>
              <w:rPr>
                <w:rFonts w:eastAsia="Times New Roman"/>
                <w:color w:val="000000"/>
                <w:sz w:val="22"/>
                <w:szCs w:val="22"/>
              </w:rPr>
            </w:pPr>
            <w:r w:rsidRPr="00467C2F">
              <w:rPr>
                <w:color w:val="000000"/>
                <w:sz w:val="22"/>
                <w:szCs w:val="22"/>
              </w:rPr>
              <w:t>39.00</w:t>
            </w:r>
          </w:p>
        </w:tc>
        <w:tc>
          <w:tcPr>
            <w:tcW w:w="914" w:type="dxa"/>
            <w:tcBorders>
              <w:top w:val="nil"/>
              <w:left w:val="nil"/>
              <w:bottom w:val="nil"/>
              <w:right w:val="nil"/>
            </w:tcBorders>
            <w:shd w:val="clear" w:color="auto" w:fill="auto"/>
            <w:noWrap/>
            <w:vAlign w:val="bottom"/>
            <w:hideMark/>
          </w:tcPr>
          <w:p w14:paraId="466786EA" w14:textId="63B5B6C7" w:rsidR="00467C2F" w:rsidRPr="00467C2F" w:rsidRDefault="00467C2F" w:rsidP="00467C2F">
            <w:pPr>
              <w:jc w:val="center"/>
              <w:rPr>
                <w:rFonts w:eastAsia="Times New Roman"/>
                <w:color w:val="000000"/>
                <w:sz w:val="22"/>
                <w:szCs w:val="22"/>
              </w:rPr>
            </w:pPr>
            <w:r w:rsidRPr="00467C2F">
              <w:rPr>
                <w:color w:val="000000"/>
                <w:sz w:val="22"/>
                <w:szCs w:val="22"/>
              </w:rPr>
              <w:t>51.00</w:t>
            </w:r>
          </w:p>
        </w:tc>
      </w:tr>
      <w:tr w:rsidR="00467C2F" w:rsidRPr="000912EF" w14:paraId="4A610AAC" w14:textId="77777777" w:rsidTr="0031315C">
        <w:trPr>
          <w:trHeight w:val="300"/>
        </w:trPr>
        <w:tc>
          <w:tcPr>
            <w:tcW w:w="851" w:type="dxa"/>
            <w:tcBorders>
              <w:top w:val="nil"/>
              <w:left w:val="nil"/>
              <w:bottom w:val="nil"/>
              <w:right w:val="nil"/>
            </w:tcBorders>
            <w:shd w:val="clear" w:color="auto" w:fill="auto"/>
            <w:noWrap/>
            <w:vAlign w:val="bottom"/>
            <w:hideMark/>
          </w:tcPr>
          <w:p w14:paraId="4811884C" w14:textId="4AC0DB9B"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59</w:t>
            </w:r>
          </w:p>
        </w:tc>
        <w:tc>
          <w:tcPr>
            <w:tcW w:w="283" w:type="dxa"/>
            <w:tcBorders>
              <w:top w:val="nil"/>
              <w:left w:val="nil"/>
              <w:bottom w:val="nil"/>
              <w:right w:val="nil"/>
            </w:tcBorders>
            <w:shd w:val="clear" w:color="auto" w:fill="auto"/>
            <w:noWrap/>
            <w:vAlign w:val="bottom"/>
            <w:hideMark/>
          </w:tcPr>
          <w:p w14:paraId="63A69F0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A2EC99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12</w:t>
            </w:r>
          </w:p>
        </w:tc>
        <w:tc>
          <w:tcPr>
            <w:tcW w:w="284" w:type="dxa"/>
            <w:tcBorders>
              <w:top w:val="nil"/>
              <w:left w:val="nil"/>
              <w:bottom w:val="nil"/>
              <w:right w:val="nil"/>
            </w:tcBorders>
            <w:shd w:val="clear" w:color="auto" w:fill="auto"/>
            <w:noWrap/>
            <w:vAlign w:val="bottom"/>
            <w:hideMark/>
          </w:tcPr>
          <w:p w14:paraId="3FF7C89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FD65D6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0.25</w:t>
            </w:r>
          </w:p>
        </w:tc>
        <w:tc>
          <w:tcPr>
            <w:tcW w:w="305" w:type="dxa"/>
            <w:tcBorders>
              <w:top w:val="nil"/>
              <w:left w:val="nil"/>
              <w:bottom w:val="nil"/>
              <w:right w:val="nil"/>
            </w:tcBorders>
            <w:shd w:val="clear" w:color="auto" w:fill="auto"/>
            <w:noWrap/>
            <w:vAlign w:val="bottom"/>
            <w:hideMark/>
          </w:tcPr>
          <w:p w14:paraId="7DCA4CD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4F31A8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168.92</w:t>
            </w:r>
          </w:p>
        </w:tc>
        <w:tc>
          <w:tcPr>
            <w:tcW w:w="992" w:type="dxa"/>
            <w:tcBorders>
              <w:top w:val="nil"/>
              <w:left w:val="nil"/>
              <w:bottom w:val="nil"/>
              <w:right w:val="nil"/>
            </w:tcBorders>
            <w:shd w:val="clear" w:color="auto" w:fill="auto"/>
            <w:noWrap/>
            <w:vAlign w:val="bottom"/>
            <w:hideMark/>
          </w:tcPr>
          <w:p w14:paraId="0D4D133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98.5</w:t>
            </w:r>
          </w:p>
        </w:tc>
        <w:tc>
          <w:tcPr>
            <w:tcW w:w="261" w:type="dxa"/>
            <w:tcBorders>
              <w:top w:val="nil"/>
              <w:left w:val="nil"/>
              <w:bottom w:val="nil"/>
              <w:right w:val="nil"/>
            </w:tcBorders>
            <w:shd w:val="clear" w:color="auto" w:fill="auto"/>
            <w:noWrap/>
            <w:vAlign w:val="bottom"/>
            <w:hideMark/>
          </w:tcPr>
          <w:p w14:paraId="60E6257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837A72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2.83</w:t>
            </w:r>
          </w:p>
        </w:tc>
        <w:tc>
          <w:tcPr>
            <w:tcW w:w="932" w:type="dxa"/>
            <w:tcBorders>
              <w:top w:val="nil"/>
              <w:left w:val="nil"/>
              <w:bottom w:val="nil"/>
              <w:right w:val="nil"/>
            </w:tcBorders>
            <w:shd w:val="clear" w:color="auto" w:fill="auto"/>
            <w:noWrap/>
            <w:vAlign w:val="bottom"/>
            <w:hideMark/>
          </w:tcPr>
          <w:p w14:paraId="0A13B4F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3111697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040844B1" w14:textId="53B31069" w:rsidR="00467C2F" w:rsidRPr="00467C2F" w:rsidRDefault="00467C2F" w:rsidP="00467C2F">
            <w:pPr>
              <w:jc w:val="center"/>
              <w:rPr>
                <w:rFonts w:eastAsia="Times New Roman"/>
                <w:color w:val="000000"/>
                <w:sz w:val="22"/>
                <w:szCs w:val="22"/>
              </w:rPr>
            </w:pPr>
            <w:r w:rsidRPr="00467C2F">
              <w:rPr>
                <w:color w:val="000000"/>
                <w:sz w:val="22"/>
                <w:szCs w:val="22"/>
              </w:rPr>
              <w:t>37.50</w:t>
            </w:r>
          </w:p>
        </w:tc>
        <w:tc>
          <w:tcPr>
            <w:tcW w:w="914" w:type="dxa"/>
            <w:tcBorders>
              <w:top w:val="nil"/>
              <w:left w:val="nil"/>
              <w:bottom w:val="nil"/>
              <w:right w:val="nil"/>
            </w:tcBorders>
            <w:shd w:val="clear" w:color="auto" w:fill="auto"/>
            <w:noWrap/>
            <w:vAlign w:val="bottom"/>
            <w:hideMark/>
          </w:tcPr>
          <w:p w14:paraId="4C3FE5D5" w14:textId="1BD80EEA" w:rsidR="00467C2F" w:rsidRPr="00467C2F" w:rsidRDefault="00467C2F" w:rsidP="00467C2F">
            <w:pPr>
              <w:jc w:val="center"/>
              <w:rPr>
                <w:rFonts w:eastAsia="Times New Roman"/>
                <w:color w:val="000000"/>
                <w:sz w:val="22"/>
                <w:szCs w:val="22"/>
              </w:rPr>
            </w:pPr>
            <w:r w:rsidRPr="00467C2F">
              <w:rPr>
                <w:color w:val="000000"/>
                <w:sz w:val="22"/>
                <w:szCs w:val="22"/>
              </w:rPr>
              <w:t>41.50</w:t>
            </w:r>
          </w:p>
        </w:tc>
      </w:tr>
      <w:tr w:rsidR="00467C2F" w:rsidRPr="000912EF" w14:paraId="423AAFC6" w14:textId="77777777" w:rsidTr="0031315C">
        <w:trPr>
          <w:trHeight w:val="300"/>
        </w:trPr>
        <w:tc>
          <w:tcPr>
            <w:tcW w:w="851" w:type="dxa"/>
            <w:tcBorders>
              <w:top w:val="nil"/>
              <w:left w:val="nil"/>
              <w:bottom w:val="nil"/>
              <w:right w:val="nil"/>
            </w:tcBorders>
            <w:shd w:val="clear" w:color="auto" w:fill="auto"/>
            <w:noWrap/>
            <w:vAlign w:val="bottom"/>
            <w:hideMark/>
          </w:tcPr>
          <w:p w14:paraId="07E350B7" w14:textId="326D07FC"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70</w:t>
            </w:r>
          </w:p>
        </w:tc>
        <w:tc>
          <w:tcPr>
            <w:tcW w:w="283" w:type="dxa"/>
            <w:tcBorders>
              <w:top w:val="nil"/>
              <w:left w:val="nil"/>
              <w:bottom w:val="nil"/>
              <w:right w:val="nil"/>
            </w:tcBorders>
            <w:shd w:val="clear" w:color="auto" w:fill="auto"/>
            <w:noWrap/>
            <w:vAlign w:val="bottom"/>
            <w:hideMark/>
          </w:tcPr>
          <w:p w14:paraId="369C22F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EF7520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4" w:type="dxa"/>
            <w:tcBorders>
              <w:top w:val="nil"/>
              <w:left w:val="nil"/>
              <w:bottom w:val="nil"/>
              <w:right w:val="nil"/>
            </w:tcBorders>
            <w:shd w:val="clear" w:color="auto" w:fill="auto"/>
            <w:noWrap/>
            <w:vAlign w:val="bottom"/>
            <w:hideMark/>
          </w:tcPr>
          <w:p w14:paraId="1113862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350E604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0.83</w:t>
            </w:r>
          </w:p>
        </w:tc>
        <w:tc>
          <w:tcPr>
            <w:tcW w:w="305" w:type="dxa"/>
            <w:tcBorders>
              <w:top w:val="nil"/>
              <w:left w:val="nil"/>
              <w:bottom w:val="nil"/>
              <w:right w:val="nil"/>
            </w:tcBorders>
            <w:shd w:val="clear" w:color="auto" w:fill="auto"/>
            <w:noWrap/>
            <w:vAlign w:val="bottom"/>
            <w:hideMark/>
          </w:tcPr>
          <w:p w14:paraId="03917DE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F97100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72.50</w:t>
            </w:r>
          </w:p>
        </w:tc>
        <w:tc>
          <w:tcPr>
            <w:tcW w:w="992" w:type="dxa"/>
            <w:tcBorders>
              <w:top w:val="nil"/>
              <w:left w:val="nil"/>
              <w:bottom w:val="nil"/>
              <w:right w:val="nil"/>
            </w:tcBorders>
            <w:shd w:val="clear" w:color="auto" w:fill="auto"/>
            <w:noWrap/>
            <w:vAlign w:val="bottom"/>
            <w:hideMark/>
          </w:tcPr>
          <w:p w14:paraId="614DEC7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73.5</w:t>
            </w:r>
          </w:p>
        </w:tc>
        <w:tc>
          <w:tcPr>
            <w:tcW w:w="261" w:type="dxa"/>
            <w:tcBorders>
              <w:top w:val="nil"/>
              <w:left w:val="nil"/>
              <w:bottom w:val="nil"/>
              <w:right w:val="nil"/>
            </w:tcBorders>
            <w:shd w:val="clear" w:color="auto" w:fill="auto"/>
            <w:noWrap/>
            <w:vAlign w:val="bottom"/>
            <w:hideMark/>
          </w:tcPr>
          <w:p w14:paraId="0574DBC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6F215A7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2.50</w:t>
            </w:r>
          </w:p>
        </w:tc>
        <w:tc>
          <w:tcPr>
            <w:tcW w:w="932" w:type="dxa"/>
            <w:tcBorders>
              <w:top w:val="nil"/>
              <w:left w:val="nil"/>
              <w:bottom w:val="nil"/>
              <w:right w:val="nil"/>
            </w:tcBorders>
            <w:shd w:val="clear" w:color="auto" w:fill="auto"/>
            <w:noWrap/>
            <w:vAlign w:val="bottom"/>
            <w:hideMark/>
          </w:tcPr>
          <w:p w14:paraId="6D99090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2.5</w:t>
            </w:r>
          </w:p>
        </w:tc>
        <w:tc>
          <w:tcPr>
            <w:tcW w:w="283" w:type="dxa"/>
            <w:tcBorders>
              <w:top w:val="nil"/>
              <w:left w:val="nil"/>
              <w:bottom w:val="nil"/>
              <w:right w:val="nil"/>
            </w:tcBorders>
            <w:shd w:val="clear" w:color="auto" w:fill="auto"/>
            <w:noWrap/>
            <w:vAlign w:val="bottom"/>
            <w:hideMark/>
          </w:tcPr>
          <w:p w14:paraId="22FD5F5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D3F4CD1" w14:textId="7A0D97F9" w:rsidR="00467C2F" w:rsidRPr="00467C2F" w:rsidRDefault="00467C2F" w:rsidP="00467C2F">
            <w:pPr>
              <w:jc w:val="center"/>
              <w:rPr>
                <w:rFonts w:eastAsia="Times New Roman"/>
                <w:color w:val="000000"/>
                <w:sz w:val="22"/>
                <w:szCs w:val="22"/>
              </w:rPr>
            </w:pPr>
            <w:r w:rsidRPr="00467C2F">
              <w:rPr>
                <w:color w:val="000000"/>
                <w:sz w:val="22"/>
                <w:szCs w:val="22"/>
              </w:rPr>
              <w:t>29.75</w:t>
            </w:r>
          </w:p>
        </w:tc>
        <w:tc>
          <w:tcPr>
            <w:tcW w:w="914" w:type="dxa"/>
            <w:tcBorders>
              <w:top w:val="nil"/>
              <w:left w:val="nil"/>
              <w:bottom w:val="nil"/>
              <w:right w:val="nil"/>
            </w:tcBorders>
            <w:shd w:val="clear" w:color="auto" w:fill="auto"/>
            <w:noWrap/>
            <w:vAlign w:val="bottom"/>
            <w:hideMark/>
          </w:tcPr>
          <w:p w14:paraId="3072E151" w14:textId="733AD0E6" w:rsidR="00467C2F" w:rsidRPr="00467C2F" w:rsidRDefault="00467C2F" w:rsidP="00467C2F">
            <w:pPr>
              <w:jc w:val="center"/>
              <w:rPr>
                <w:rFonts w:eastAsia="Times New Roman"/>
                <w:color w:val="000000"/>
                <w:sz w:val="22"/>
                <w:szCs w:val="22"/>
              </w:rPr>
            </w:pPr>
            <w:r w:rsidRPr="00467C2F">
              <w:rPr>
                <w:color w:val="000000"/>
                <w:sz w:val="22"/>
                <w:szCs w:val="22"/>
              </w:rPr>
              <w:t>19.50</w:t>
            </w:r>
          </w:p>
        </w:tc>
      </w:tr>
      <w:tr w:rsidR="00467C2F" w:rsidRPr="000912EF" w14:paraId="18632B23" w14:textId="77777777" w:rsidTr="0031315C">
        <w:trPr>
          <w:trHeight w:val="300"/>
        </w:trPr>
        <w:tc>
          <w:tcPr>
            <w:tcW w:w="851" w:type="dxa"/>
            <w:tcBorders>
              <w:top w:val="nil"/>
              <w:left w:val="nil"/>
              <w:bottom w:val="nil"/>
              <w:right w:val="nil"/>
            </w:tcBorders>
            <w:shd w:val="clear" w:color="auto" w:fill="auto"/>
            <w:noWrap/>
            <w:vAlign w:val="bottom"/>
            <w:hideMark/>
          </w:tcPr>
          <w:p w14:paraId="6076267B" w14:textId="49AFAADE"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73</w:t>
            </w:r>
          </w:p>
        </w:tc>
        <w:tc>
          <w:tcPr>
            <w:tcW w:w="283" w:type="dxa"/>
            <w:tcBorders>
              <w:top w:val="nil"/>
              <w:left w:val="nil"/>
              <w:bottom w:val="nil"/>
              <w:right w:val="nil"/>
            </w:tcBorders>
            <w:shd w:val="clear" w:color="auto" w:fill="auto"/>
            <w:noWrap/>
            <w:vAlign w:val="bottom"/>
            <w:hideMark/>
          </w:tcPr>
          <w:p w14:paraId="2FAF179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B28228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187</w:t>
            </w:r>
          </w:p>
        </w:tc>
        <w:tc>
          <w:tcPr>
            <w:tcW w:w="284" w:type="dxa"/>
            <w:tcBorders>
              <w:top w:val="nil"/>
              <w:left w:val="nil"/>
              <w:bottom w:val="nil"/>
              <w:right w:val="nil"/>
            </w:tcBorders>
            <w:shd w:val="clear" w:color="auto" w:fill="auto"/>
            <w:noWrap/>
            <w:vAlign w:val="bottom"/>
            <w:hideMark/>
          </w:tcPr>
          <w:p w14:paraId="7DC1F48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14CFBF2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0.04</w:t>
            </w:r>
          </w:p>
        </w:tc>
        <w:tc>
          <w:tcPr>
            <w:tcW w:w="305" w:type="dxa"/>
            <w:tcBorders>
              <w:top w:val="nil"/>
              <w:left w:val="nil"/>
              <w:bottom w:val="nil"/>
              <w:right w:val="nil"/>
            </w:tcBorders>
            <w:shd w:val="clear" w:color="auto" w:fill="auto"/>
            <w:noWrap/>
            <w:vAlign w:val="bottom"/>
            <w:hideMark/>
          </w:tcPr>
          <w:p w14:paraId="00E4433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FF3298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118.79</w:t>
            </w:r>
          </w:p>
        </w:tc>
        <w:tc>
          <w:tcPr>
            <w:tcW w:w="992" w:type="dxa"/>
            <w:tcBorders>
              <w:top w:val="nil"/>
              <w:left w:val="nil"/>
              <w:bottom w:val="nil"/>
              <w:right w:val="nil"/>
            </w:tcBorders>
            <w:shd w:val="clear" w:color="auto" w:fill="auto"/>
            <w:noWrap/>
            <w:vAlign w:val="bottom"/>
            <w:hideMark/>
          </w:tcPr>
          <w:p w14:paraId="3E8C579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93</w:t>
            </w:r>
          </w:p>
        </w:tc>
        <w:tc>
          <w:tcPr>
            <w:tcW w:w="261" w:type="dxa"/>
            <w:tcBorders>
              <w:top w:val="nil"/>
              <w:left w:val="nil"/>
              <w:bottom w:val="nil"/>
              <w:right w:val="nil"/>
            </w:tcBorders>
            <w:shd w:val="clear" w:color="auto" w:fill="auto"/>
            <w:noWrap/>
            <w:vAlign w:val="bottom"/>
            <w:hideMark/>
          </w:tcPr>
          <w:p w14:paraId="2909085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A92765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2.65</w:t>
            </w:r>
          </w:p>
        </w:tc>
        <w:tc>
          <w:tcPr>
            <w:tcW w:w="932" w:type="dxa"/>
            <w:tcBorders>
              <w:top w:val="nil"/>
              <w:left w:val="nil"/>
              <w:bottom w:val="nil"/>
              <w:right w:val="nil"/>
            </w:tcBorders>
            <w:shd w:val="clear" w:color="auto" w:fill="auto"/>
            <w:noWrap/>
            <w:vAlign w:val="bottom"/>
            <w:hideMark/>
          </w:tcPr>
          <w:p w14:paraId="3FD35F1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2AF3F3F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BE3E356" w14:textId="45D3A53B" w:rsidR="00467C2F" w:rsidRPr="00467C2F" w:rsidRDefault="00467C2F" w:rsidP="00467C2F">
            <w:pPr>
              <w:jc w:val="center"/>
              <w:rPr>
                <w:rFonts w:eastAsia="Times New Roman"/>
                <w:color w:val="000000"/>
                <w:sz w:val="22"/>
                <w:szCs w:val="22"/>
              </w:rPr>
            </w:pPr>
            <w:r w:rsidRPr="00467C2F">
              <w:rPr>
                <w:color w:val="000000"/>
                <w:sz w:val="22"/>
                <w:szCs w:val="22"/>
              </w:rPr>
              <w:t>25.59</w:t>
            </w:r>
          </w:p>
        </w:tc>
        <w:tc>
          <w:tcPr>
            <w:tcW w:w="914" w:type="dxa"/>
            <w:tcBorders>
              <w:top w:val="nil"/>
              <w:left w:val="nil"/>
              <w:bottom w:val="nil"/>
              <w:right w:val="nil"/>
            </w:tcBorders>
            <w:shd w:val="clear" w:color="auto" w:fill="auto"/>
            <w:noWrap/>
            <w:vAlign w:val="bottom"/>
            <w:hideMark/>
          </w:tcPr>
          <w:p w14:paraId="20953D73" w14:textId="7009F958" w:rsidR="00467C2F" w:rsidRPr="00467C2F" w:rsidRDefault="00467C2F" w:rsidP="00467C2F">
            <w:pPr>
              <w:jc w:val="center"/>
              <w:rPr>
                <w:rFonts w:eastAsia="Times New Roman"/>
                <w:color w:val="000000"/>
                <w:sz w:val="22"/>
                <w:szCs w:val="22"/>
              </w:rPr>
            </w:pPr>
            <w:r w:rsidRPr="00467C2F">
              <w:rPr>
                <w:color w:val="000000"/>
                <w:sz w:val="22"/>
                <w:szCs w:val="22"/>
              </w:rPr>
              <w:t>21.00</w:t>
            </w:r>
          </w:p>
        </w:tc>
      </w:tr>
      <w:tr w:rsidR="00467C2F" w:rsidRPr="000912EF" w14:paraId="035AC57A" w14:textId="77777777" w:rsidTr="0031315C">
        <w:trPr>
          <w:trHeight w:val="300"/>
        </w:trPr>
        <w:tc>
          <w:tcPr>
            <w:tcW w:w="851" w:type="dxa"/>
            <w:tcBorders>
              <w:top w:val="nil"/>
              <w:left w:val="nil"/>
              <w:bottom w:val="nil"/>
              <w:right w:val="nil"/>
            </w:tcBorders>
            <w:shd w:val="clear" w:color="auto" w:fill="auto"/>
            <w:noWrap/>
            <w:vAlign w:val="bottom"/>
            <w:hideMark/>
          </w:tcPr>
          <w:p w14:paraId="2F7AA6B2" w14:textId="77D98D2D"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75</w:t>
            </w:r>
          </w:p>
        </w:tc>
        <w:tc>
          <w:tcPr>
            <w:tcW w:w="283" w:type="dxa"/>
            <w:tcBorders>
              <w:top w:val="nil"/>
              <w:left w:val="nil"/>
              <w:bottom w:val="nil"/>
              <w:right w:val="nil"/>
            </w:tcBorders>
            <w:shd w:val="clear" w:color="auto" w:fill="auto"/>
            <w:noWrap/>
            <w:vAlign w:val="bottom"/>
            <w:hideMark/>
          </w:tcPr>
          <w:p w14:paraId="0F59D15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03C16FF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2EF143C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78C1019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1F675D8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B7B726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316.00</w:t>
            </w:r>
          </w:p>
        </w:tc>
        <w:tc>
          <w:tcPr>
            <w:tcW w:w="992" w:type="dxa"/>
            <w:tcBorders>
              <w:top w:val="nil"/>
              <w:left w:val="nil"/>
              <w:bottom w:val="nil"/>
              <w:right w:val="nil"/>
            </w:tcBorders>
            <w:shd w:val="clear" w:color="auto" w:fill="auto"/>
            <w:noWrap/>
            <w:vAlign w:val="bottom"/>
            <w:hideMark/>
          </w:tcPr>
          <w:p w14:paraId="29E1F23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316</w:t>
            </w:r>
          </w:p>
        </w:tc>
        <w:tc>
          <w:tcPr>
            <w:tcW w:w="261" w:type="dxa"/>
            <w:tcBorders>
              <w:top w:val="nil"/>
              <w:left w:val="nil"/>
              <w:bottom w:val="nil"/>
              <w:right w:val="nil"/>
            </w:tcBorders>
            <w:shd w:val="clear" w:color="auto" w:fill="auto"/>
            <w:noWrap/>
            <w:vAlign w:val="bottom"/>
            <w:hideMark/>
          </w:tcPr>
          <w:p w14:paraId="5C16761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64BDDE3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7.00</w:t>
            </w:r>
          </w:p>
        </w:tc>
        <w:tc>
          <w:tcPr>
            <w:tcW w:w="932" w:type="dxa"/>
            <w:tcBorders>
              <w:top w:val="nil"/>
              <w:left w:val="nil"/>
              <w:bottom w:val="nil"/>
              <w:right w:val="nil"/>
            </w:tcBorders>
            <w:shd w:val="clear" w:color="auto" w:fill="auto"/>
            <w:noWrap/>
            <w:vAlign w:val="bottom"/>
            <w:hideMark/>
          </w:tcPr>
          <w:p w14:paraId="6303FB1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w:t>
            </w:r>
          </w:p>
        </w:tc>
        <w:tc>
          <w:tcPr>
            <w:tcW w:w="283" w:type="dxa"/>
            <w:tcBorders>
              <w:top w:val="nil"/>
              <w:left w:val="nil"/>
              <w:bottom w:val="nil"/>
              <w:right w:val="nil"/>
            </w:tcBorders>
            <w:shd w:val="clear" w:color="auto" w:fill="auto"/>
            <w:noWrap/>
            <w:vAlign w:val="bottom"/>
            <w:hideMark/>
          </w:tcPr>
          <w:p w14:paraId="2AC38F6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2B60F5D3" w14:textId="5BBB851F" w:rsidR="00467C2F" w:rsidRPr="00467C2F" w:rsidRDefault="00467C2F" w:rsidP="00467C2F">
            <w:pPr>
              <w:jc w:val="center"/>
              <w:rPr>
                <w:rFonts w:eastAsia="Times New Roman"/>
                <w:color w:val="000000"/>
                <w:sz w:val="22"/>
                <w:szCs w:val="22"/>
              </w:rPr>
            </w:pPr>
            <w:r w:rsidRPr="00467C2F">
              <w:rPr>
                <w:color w:val="000000"/>
                <w:sz w:val="22"/>
                <w:szCs w:val="22"/>
              </w:rPr>
              <w:t>76.00</w:t>
            </w:r>
          </w:p>
        </w:tc>
        <w:tc>
          <w:tcPr>
            <w:tcW w:w="914" w:type="dxa"/>
            <w:tcBorders>
              <w:top w:val="nil"/>
              <w:left w:val="nil"/>
              <w:bottom w:val="nil"/>
              <w:right w:val="nil"/>
            </w:tcBorders>
            <w:shd w:val="clear" w:color="auto" w:fill="auto"/>
            <w:noWrap/>
            <w:vAlign w:val="bottom"/>
            <w:hideMark/>
          </w:tcPr>
          <w:p w14:paraId="41C37B37" w14:textId="1FFAE96C" w:rsidR="00467C2F" w:rsidRPr="00467C2F" w:rsidRDefault="00467C2F" w:rsidP="00467C2F">
            <w:pPr>
              <w:jc w:val="center"/>
              <w:rPr>
                <w:rFonts w:eastAsia="Times New Roman"/>
                <w:color w:val="000000"/>
                <w:sz w:val="22"/>
                <w:szCs w:val="22"/>
              </w:rPr>
            </w:pPr>
            <w:r w:rsidRPr="00467C2F">
              <w:rPr>
                <w:color w:val="000000"/>
                <w:sz w:val="22"/>
                <w:szCs w:val="22"/>
              </w:rPr>
              <w:t>76.00</w:t>
            </w:r>
          </w:p>
        </w:tc>
      </w:tr>
      <w:tr w:rsidR="00467C2F" w:rsidRPr="000912EF" w14:paraId="6DAA7114" w14:textId="77777777" w:rsidTr="0031315C">
        <w:trPr>
          <w:trHeight w:val="300"/>
        </w:trPr>
        <w:tc>
          <w:tcPr>
            <w:tcW w:w="851" w:type="dxa"/>
            <w:tcBorders>
              <w:top w:val="nil"/>
              <w:left w:val="nil"/>
              <w:bottom w:val="nil"/>
              <w:right w:val="nil"/>
            </w:tcBorders>
            <w:shd w:val="clear" w:color="auto" w:fill="auto"/>
            <w:noWrap/>
            <w:vAlign w:val="bottom"/>
            <w:hideMark/>
          </w:tcPr>
          <w:p w14:paraId="4C567A4A" w14:textId="682CF68A"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78</w:t>
            </w:r>
          </w:p>
        </w:tc>
        <w:tc>
          <w:tcPr>
            <w:tcW w:w="283" w:type="dxa"/>
            <w:tcBorders>
              <w:top w:val="nil"/>
              <w:left w:val="nil"/>
              <w:bottom w:val="nil"/>
              <w:right w:val="nil"/>
            </w:tcBorders>
            <w:shd w:val="clear" w:color="auto" w:fill="auto"/>
            <w:noWrap/>
            <w:vAlign w:val="bottom"/>
            <w:hideMark/>
          </w:tcPr>
          <w:p w14:paraId="2C9E3FB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4DFF8A0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4" w:type="dxa"/>
            <w:tcBorders>
              <w:top w:val="nil"/>
              <w:left w:val="nil"/>
              <w:bottom w:val="nil"/>
              <w:right w:val="nil"/>
            </w:tcBorders>
            <w:shd w:val="clear" w:color="auto" w:fill="auto"/>
            <w:noWrap/>
            <w:vAlign w:val="bottom"/>
            <w:hideMark/>
          </w:tcPr>
          <w:p w14:paraId="5F5FF98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7FF3891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0.71</w:t>
            </w:r>
          </w:p>
        </w:tc>
        <w:tc>
          <w:tcPr>
            <w:tcW w:w="305" w:type="dxa"/>
            <w:tcBorders>
              <w:top w:val="nil"/>
              <w:left w:val="nil"/>
              <w:bottom w:val="nil"/>
              <w:right w:val="nil"/>
            </w:tcBorders>
            <w:shd w:val="clear" w:color="auto" w:fill="auto"/>
            <w:noWrap/>
            <w:vAlign w:val="bottom"/>
            <w:hideMark/>
          </w:tcPr>
          <w:p w14:paraId="3CDF8FF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7A3221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181.33</w:t>
            </w:r>
          </w:p>
        </w:tc>
        <w:tc>
          <w:tcPr>
            <w:tcW w:w="992" w:type="dxa"/>
            <w:tcBorders>
              <w:top w:val="nil"/>
              <w:left w:val="nil"/>
              <w:bottom w:val="nil"/>
              <w:right w:val="nil"/>
            </w:tcBorders>
            <w:shd w:val="clear" w:color="auto" w:fill="auto"/>
            <w:noWrap/>
            <w:vAlign w:val="bottom"/>
            <w:hideMark/>
          </w:tcPr>
          <w:p w14:paraId="785FB60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186</w:t>
            </w:r>
          </w:p>
        </w:tc>
        <w:tc>
          <w:tcPr>
            <w:tcW w:w="261" w:type="dxa"/>
            <w:tcBorders>
              <w:top w:val="nil"/>
              <w:left w:val="nil"/>
              <w:bottom w:val="nil"/>
              <w:right w:val="nil"/>
            </w:tcBorders>
            <w:shd w:val="clear" w:color="auto" w:fill="auto"/>
            <w:noWrap/>
            <w:vAlign w:val="bottom"/>
            <w:hideMark/>
          </w:tcPr>
          <w:p w14:paraId="0AD6228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3F83B2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4.00</w:t>
            </w:r>
          </w:p>
        </w:tc>
        <w:tc>
          <w:tcPr>
            <w:tcW w:w="932" w:type="dxa"/>
            <w:tcBorders>
              <w:top w:val="nil"/>
              <w:left w:val="nil"/>
              <w:bottom w:val="nil"/>
              <w:right w:val="nil"/>
            </w:tcBorders>
            <w:shd w:val="clear" w:color="auto" w:fill="auto"/>
            <w:noWrap/>
            <w:vAlign w:val="bottom"/>
            <w:hideMark/>
          </w:tcPr>
          <w:p w14:paraId="7501853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4</w:t>
            </w:r>
          </w:p>
        </w:tc>
        <w:tc>
          <w:tcPr>
            <w:tcW w:w="283" w:type="dxa"/>
            <w:tcBorders>
              <w:top w:val="nil"/>
              <w:left w:val="nil"/>
              <w:bottom w:val="nil"/>
              <w:right w:val="nil"/>
            </w:tcBorders>
            <w:shd w:val="clear" w:color="auto" w:fill="auto"/>
            <w:noWrap/>
            <w:vAlign w:val="bottom"/>
            <w:hideMark/>
          </w:tcPr>
          <w:p w14:paraId="5661084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386FED4" w14:textId="2A5BA5EB" w:rsidR="00467C2F" w:rsidRPr="00467C2F" w:rsidRDefault="00467C2F" w:rsidP="00467C2F">
            <w:pPr>
              <w:jc w:val="center"/>
              <w:rPr>
                <w:rFonts w:eastAsia="Times New Roman"/>
                <w:color w:val="000000"/>
                <w:sz w:val="22"/>
                <w:szCs w:val="22"/>
              </w:rPr>
            </w:pPr>
            <w:r w:rsidRPr="00467C2F">
              <w:rPr>
                <w:color w:val="000000"/>
                <w:sz w:val="22"/>
                <w:szCs w:val="22"/>
              </w:rPr>
              <w:t>55.67</w:t>
            </w:r>
          </w:p>
        </w:tc>
        <w:tc>
          <w:tcPr>
            <w:tcW w:w="914" w:type="dxa"/>
            <w:tcBorders>
              <w:top w:val="nil"/>
              <w:left w:val="nil"/>
              <w:bottom w:val="nil"/>
              <w:right w:val="nil"/>
            </w:tcBorders>
            <w:shd w:val="clear" w:color="auto" w:fill="auto"/>
            <w:noWrap/>
            <w:vAlign w:val="bottom"/>
            <w:hideMark/>
          </w:tcPr>
          <w:p w14:paraId="4CEAFAF5" w14:textId="720FEE11" w:rsidR="00467C2F" w:rsidRPr="00467C2F" w:rsidRDefault="00467C2F" w:rsidP="00467C2F">
            <w:pPr>
              <w:jc w:val="center"/>
              <w:rPr>
                <w:rFonts w:eastAsia="Times New Roman"/>
                <w:color w:val="000000"/>
                <w:sz w:val="22"/>
                <w:szCs w:val="22"/>
              </w:rPr>
            </w:pPr>
            <w:r w:rsidRPr="00467C2F">
              <w:rPr>
                <w:color w:val="000000"/>
                <w:sz w:val="22"/>
                <w:szCs w:val="22"/>
              </w:rPr>
              <w:t>55.00</w:t>
            </w:r>
          </w:p>
        </w:tc>
      </w:tr>
      <w:tr w:rsidR="00467C2F" w:rsidRPr="000912EF" w14:paraId="576293BB" w14:textId="77777777" w:rsidTr="0031315C">
        <w:trPr>
          <w:trHeight w:val="300"/>
        </w:trPr>
        <w:tc>
          <w:tcPr>
            <w:tcW w:w="851" w:type="dxa"/>
            <w:tcBorders>
              <w:top w:val="nil"/>
              <w:left w:val="nil"/>
              <w:bottom w:val="nil"/>
              <w:right w:val="nil"/>
            </w:tcBorders>
            <w:shd w:val="clear" w:color="auto" w:fill="auto"/>
            <w:noWrap/>
            <w:vAlign w:val="bottom"/>
            <w:hideMark/>
          </w:tcPr>
          <w:p w14:paraId="3EC0F192" w14:textId="1C3D2DBA"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79</w:t>
            </w:r>
          </w:p>
        </w:tc>
        <w:tc>
          <w:tcPr>
            <w:tcW w:w="283" w:type="dxa"/>
            <w:tcBorders>
              <w:top w:val="nil"/>
              <w:left w:val="nil"/>
              <w:bottom w:val="nil"/>
              <w:right w:val="nil"/>
            </w:tcBorders>
            <w:shd w:val="clear" w:color="auto" w:fill="auto"/>
            <w:noWrap/>
            <w:vAlign w:val="bottom"/>
            <w:hideMark/>
          </w:tcPr>
          <w:p w14:paraId="0B0037B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2265705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w:t>
            </w:r>
          </w:p>
        </w:tc>
        <w:tc>
          <w:tcPr>
            <w:tcW w:w="284" w:type="dxa"/>
            <w:tcBorders>
              <w:top w:val="nil"/>
              <w:left w:val="nil"/>
              <w:bottom w:val="nil"/>
              <w:right w:val="nil"/>
            </w:tcBorders>
            <w:shd w:val="clear" w:color="auto" w:fill="auto"/>
            <w:noWrap/>
            <w:vAlign w:val="bottom"/>
            <w:hideMark/>
          </w:tcPr>
          <w:p w14:paraId="2893C12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4765BF32"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0.57</w:t>
            </w:r>
          </w:p>
        </w:tc>
        <w:tc>
          <w:tcPr>
            <w:tcW w:w="305" w:type="dxa"/>
            <w:tcBorders>
              <w:top w:val="nil"/>
              <w:left w:val="nil"/>
              <w:bottom w:val="nil"/>
              <w:right w:val="nil"/>
            </w:tcBorders>
            <w:shd w:val="clear" w:color="auto" w:fill="auto"/>
            <w:noWrap/>
            <w:vAlign w:val="bottom"/>
            <w:hideMark/>
          </w:tcPr>
          <w:p w14:paraId="2564CCB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70D488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75.43</w:t>
            </w:r>
          </w:p>
        </w:tc>
        <w:tc>
          <w:tcPr>
            <w:tcW w:w="992" w:type="dxa"/>
            <w:tcBorders>
              <w:top w:val="nil"/>
              <w:left w:val="nil"/>
              <w:bottom w:val="nil"/>
              <w:right w:val="nil"/>
            </w:tcBorders>
            <w:shd w:val="clear" w:color="auto" w:fill="auto"/>
            <w:noWrap/>
            <w:vAlign w:val="bottom"/>
            <w:hideMark/>
          </w:tcPr>
          <w:p w14:paraId="43A3BBD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79</w:t>
            </w:r>
          </w:p>
        </w:tc>
        <w:tc>
          <w:tcPr>
            <w:tcW w:w="261" w:type="dxa"/>
            <w:tcBorders>
              <w:top w:val="nil"/>
              <w:left w:val="nil"/>
              <w:bottom w:val="nil"/>
              <w:right w:val="nil"/>
            </w:tcBorders>
            <w:shd w:val="clear" w:color="auto" w:fill="auto"/>
            <w:noWrap/>
            <w:vAlign w:val="bottom"/>
            <w:hideMark/>
          </w:tcPr>
          <w:p w14:paraId="7B6A9A7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43B4EC9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3.43</w:t>
            </w:r>
          </w:p>
        </w:tc>
        <w:tc>
          <w:tcPr>
            <w:tcW w:w="932" w:type="dxa"/>
            <w:tcBorders>
              <w:top w:val="nil"/>
              <w:left w:val="nil"/>
              <w:bottom w:val="nil"/>
              <w:right w:val="nil"/>
            </w:tcBorders>
            <w:shd w:val="clear" w:color="auto" w:fill="auto"/>
            <w:noWrap/>
            <w:vAlign w:val="bottom"/>
            <w:hideMark/>
          </w:tcPr>
          <w:p w14:paraId="0EE57EE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15431FA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B22A73B" w14:textId="1009258D" w:rsidR="00467C2F" w:rsidRPr="00467C2F" w:rsidRDefault="00467C2F" w:rsidP="00467C2F">
            <w:pPr>
              <w:jc w:val="center"/>
              <w:rPr>
                <w:rFonts w:eastAsia="Times New Roman"/>
                <w:color w:val="000000"/>
                <w:sz w:val="22"/>
                <w:szCs w:val="22"/>
              </w:rPr>
            </w:pPr>
            <w:r w:rsidRPr="00467C2F">
              <w:rPr>
                <w:color w:val="000000"/>
                <w:sz w:val="22"/>
                <w:szCs w:val="22"/>
              </w:rPr>
              <w:t>29.71</w:t>
            </w:r>
          </w:p>
        </w:tc>
        <w:tc>
          <w:tcPr>
            <w:tcW w:w="914" w:type="dxa"/>
            <w:tcBorders>
              <w:top w:val="nil"/>
              <w:left w:val="nil"/>
              <w:bottom w:val="nil"/>
              <w:right w:val="nil"/>
            </w:tcBorders>
            <w:shd w:val="clear" w:color="auto" w:fill="auto"/>
            <w:noWrap/>
            <w:vAlign w:val="bottom"/>
            <w:hideMark/>
          </w:tcPr>
          <w:p w14:paraId="0B76608C" w14:textId="09946040" w:rsidR="00467C2F" w:rsidRPr="00467C2F" w:rsidRDefault="00467C2F" w:rsidP="00467C2F">
            <w:pPr>
              <w:jc w:val="center"/>
              <w:rPr>
                <w:rFonts w:eastAsia="Times New Roman"/>
                <w:color w:val="000000"/>
                <w:sz w:val="22"/>
                <w:szCs w:val="22"/>
              </w:rPr>
            </w:pPr>
            <w:r w:rsidRPr="00467C2F">
              <w:rPr>
                <w:color w:val="000000"/>
                <w:sz w:val="22"/>
                <w:szCs w:val="22"/>
              </w:rPr>
              <w:t>29.00</w:t>
            </w:r>
          </w:p>
        </w:tc>
      </w:tr>
      <w:tr w:rsidR="00467C2F" w:rsidRPr="000912EF" w14:paraId="3E69C615" w14:textId="77777777" w:rsidTr="0031315C">
        <w:trPr>
          <w:trHeight w:val="300"/>
        </w:trPr>
        <w:tc>
          <w:tcPr>
            <w:tcW w:w="851" w:type="dxa"/>
            <w:tcBorders>
              <w:top w:val="nil"/>
              <w:left w:val="nil"/>
              <w:bottom w:val="nil"/>
              <w:right w:val="nil"/>
            </w:tcBorders>
            <w:shd w:val="clear" w:color="auto" w:fill="auto"/>
            <w:noWrap/>
            <w:vAlign w:val="bottom"/>
            <w:hideMark/>
          </w:tcPr>
          <w:p w14:paraId="7BCA4199" w14:textId="178CA4A1"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80</w:t>
            </w:r>
          </w:p>
        </w:tc>
        <w:tc>
          <w:tcPr>
            <w:tcW w:w="283" w:type="dxa"/>
            <w:tcBorders>
              <w:top w:val="nil"/>
              <w:left w:val="nil"/>
              <w:bottom w:val="nil"/>
              <w:right w:val="nil"/>
            </w:tcBorders>
            <w:shd w:val="clear" w:color="auto" w:fill="auto"/>
            <w:noWrap/>
            <w:vAlign w:val="bottom"/>
            <w:hideMark/>
          </w:tcPr>
          <w:p w14:paraId="1943948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50A5C1F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22</w:t>
            </w:r>
          </w:p>
        </w:tc>
        <w:tc>
          <w:tcPr>
            <w:tcW w:w="284" w:type="dxa"/>
            <w:tcBorders>
              <w:top w:val="nil"/>
              <w:left w:val="nil"/>
              <w:bottom w:val="nil"/>
              <w:right w:val="nil"/>
            </w:tcBorders>
            <w:shd w:val="clear" w:color="auto" w:fill="auto"/>
            <w:noWrap/>
            <w:vAlign w:val="bottom"/>
            <w:hideMark/>
          </w:tcPr>
          <w:p w14:paraId="020E8F5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039E1DC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0.45</w:t>
            </w:r>
          </w:p>
        </w:tc>
        <w:tc>
          <w:tcPr>
            <w:tcW w:w="305" w:type="dxa"/>
            <w:tcBorders>
              <w:top w:val="nil"/>
              <w:left w:val="nil"/>
              <w:bottom w:val="nil"/>
              <w:right w:val="nil"/>
            </w:tcBorders>
            <w:shd w:val="clear" w:color="auto" w:fill="auto"/>
            <w:noWrap/>
            <w:vAlign w:val="bottom"/>
            <w:hideMark/>
          </w:tcPr>
          <w:p w14:paraId="63E929F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2FBF54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144.50</w:t>
            </w:r>
          </w:p>
        </w:tc>
        <w:tc>
          <w:tcPr>
            <w:tcW w:w="992" w:type="dxa"/>
            <w:tcBorders>
              <w:top w:val="nil"/>
              <w:left w:val="nil"/>
              <w:bottom w:val="nil"/>
              <w:right w:val="nil"/>
            </w:tcBorders>
            <w:shd w:val="clear" w:color="auto" w:fill="auto"/>
            <w:noWrap/>
            <w:vAlign w:val="bottom"/>
            <w:hideMark/>
          </w:tcPr>
          <w:p w14:paraId="16FDD92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90.5</w:t>
            </w:r>
          </w:p>
        </w:tc>
        <w:tc>
          <w:tcPr>
            <w:tcW w:w="261" w:type="dxa"/>
            <w:tcBorders>
              <w:top w:val="nil"/>
              <w:left w:val="nil"/>
              <w:bottom w:val="nil"/>
              <w:right w:val="nil"/>
            </w:tcBorders>
            <w:shd w:val="clear" w:color="auto" w:fill="auto"/>
            <w:noWrap/>
            <w:vAlign w:val="bottom"/>
            <w:hideMark/>
          </w:tcPr>
          <w:p w14:paraId="2380424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0A7C56F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3.41</w:t>
            </w:r>
          </w:p>
        </w:tc>
        <w:tc>
          <w:tcPr>
            <w:tcW w:w="932" w:type="dxa"/>
            <w:tcBorders>
              <w:top w:val="nil"/>
              <w:left w:val="nil"/>
              <w:bottom w:val="nil"/>
              <w:right w:val="nil"/>
            </w:tcBorders>
            <w:shd w:val="clear" w:color="auto" w:fill="auto"/>
            <w:noWrap/>
            <w:vAlign w:val="bottom"/>
            <w:hideMark/>
          </w:tcPr>
          <w:p w14:paraId="5F22320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3DE5212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1A350E37" w14:textId="368DD4AC" w:rsidR="00467C2F" w:rsidRPr="00467C2F" w:rsidRDefault="00467C2F" w:rsidP="00467C2F">
            <w:pPr>
              <w:jc w:val="center"/>
              <w:rPr>
                <w:rFonts w:eastAsia="Times New Roman"/>
                <w:color w:val="000000"/>
                <w:sz w:val="22"/>
                <w:szCs w:val="22"/>
              </w:rPr>
            </w:pPr>
            <w:r w:rsidRPr="00467C2F">
              <w:rPr>
                <w:color w:val="000000"/>
                <w:sz w:val="22"/>
                <w:szCs w:val="22"/>
              </w:rPr>
              <w:t>33.14</w:t>
            </w:r>
          </w:p>
        </w:tc>
        <w:tc>
          <w:tcPr>
            <w:tcW w:w="914" w:type="dxa"/>
            <w:tcBorders>
              <w:top w:val="nil"/>
              <w:left w:val="nil"/>
              <w:bottom w:val="nil"/>
              <w:right w:val="nil"/>
            </w:tcBorders>
            <w:shd w:val="clear" w:color="auto" w:fill="auto"/>
            <w:noWrap/>
            <w:vAlign w:val="bottom"/>
            <w:hideMark/>
          </w:tcPr>
          <w:p w14:paraId="006F06F0" w14:textId="31013CF7" w:rsidR="00467C2F" w:rsidRPr="00467C2F" w:rsidRDefault="00467C2F" w:rsidP="00467C2F">
            <w:pPr>
              <w:jc w:val="center"/>
              <w:rPr>
                <w:rFonts w:eastAsia="Times New Roman"/>
                <w:color w:val="000000"/>
                <w:sz w:val="22"/>
                <w:szCs w:val="22"/>
              </w:rPr>
            </w:pPr>
            <w:r w:rsidRPr="00467C2F">
              <w:rPr>
                <w:color w:val="000000"/>
                <w:sz w:val="22"/>
                <w:szCs w:val="22"/>
              </w:rPr>
              <w:t>24.50</w:t>
            </w:r>
          </w:p>
        </w:tc>
      </w:tr>
      <w:tr w:rsidR="00467C2F" w:rsidRPr="000912EF" w14:paraId="1B53BB29" w14:textId="77777777" w:rsidTr="0031315C">
        <w:trPr>
          <w:trHeight w:val="300"/>
        </w:trPr>
        <w:tc>
          <w:tcPr>
            <w:tcW w:w="851" w:type="dxa"/>
            <w:tcBorders>
              <w:top w:val="nil"/>
              <w:left w:val="nil"/>
              <w:bottom w:val="nil"/>
              <w:right w:val="nil"/>
            </w:tcBorders>
            <w:shd w:val="clear" w:color="auto" w:fill="auto"/>
            <w:noWrap/>
            <w:vAlign w:val="bottom"/>
            <w:hideMark/>
          </w:tcPr>
          <w:p w14:paraId="7AE0E380" w14:textId="63A0F5C4"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82</w:t>
            </w:r>
          </w:p>
        </w:tc>
        <w:tc>
          <w:tcPr>
            <w:tcW w:w="283" w:type="dxa"/>
            <w:tcBorders>
              <w:top w:val="nil"/>
              <w:left w:val="nil"/>
              <w:bottom w:val="nil"/>
              <w:right w:val="nil"/>
            </w:tcBorders>
            <w:shd w:val="clear" w:color="auto" w:fill="auto"/>
            <w:noWrap/>
            <w:vAlign w:val="bottom"/>
            <w:hideMark/>
          </w:tcPr>
          <w:p w14:paraId="2084A2E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1B6B610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4" w:type="dxa"/>
            <w:tcBorders>
              <w:top w:val="nil"/>
              <w:left w:val="nil"/>
              <w:bottom w:val="nil"/>
              <w:right w:val="nil"/>
            </w:tcBorders>
            <w:shd w:val="clear" w:color="auto" w:fill="auto"/>
            <w:noWrap/>
            <w:vAlign w:val="bottom"/>
            <w:hideMark/>
          </w:tcPr>
          <w:p w14:paraId="0174FCF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001A546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0.33</w:t>
            </w:r>
          </w:p>
        </w:tc>
        <w:tc>
          <w:tcPr>
            <w:tcW w:w="305" w:type="dxa"/>
            <w:tcBorders>
              <w:top w:val="nil"/>
              <w:left w:val="nil"/>
              <w:bottom w:val="nil"/>
              <w:right w:val="nil"/>
            </w:tcBorders>
            <w:shd w:val="clear" w:color="auto" w:fill="auto"/>
            <w:noWrap/>
            <w:vAlign w:val="bottom"/>
            <w:hideMark/>
          </w:tcPr>
          <w:p w14:paraId="0D24826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CAB9B5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224.60</w:t>
            </w:r>
          </w:p>
        </w:tc>
        <w:tc>
          <w:tcPr>
            <w:tcW w:w="992" w:type="dxa"/>
            <w:tcBorders>
              <w:top w:val="nil"/>
              <w:left w:val="nil"/>
              <w:bottom w:val="nil"/>
              <w:right w:val="nil"/>
            </w:tcBorders>
            <w:shd w:val="clear" w:color="auto" w:fill="auto"/>
            <w:noWrap/>
            <w:vAlign w:val="bottom"/>
            <w:hideMark/>
          </w:tcPr>
          <w:p w14:paraId="6E735EF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113</w:t>
            </w:r>
          </w:p>
        </w:tc>
        <w:tc>
          <w:tcPr>
            <w:tcW w:w="261" w:type="dxa"/>
            <w:tcBorders>
              <w:top w:val="nil"/>
              <w:left w:val="nil"/>
              <w:bottom w:val="nil"/>
              <w:right w:val="nil"/>
            </w:tcBorders>
            <w:shd w:val="clear" w:color="auto" w:fill="auto"/>
            <w:noWrap/>
            <w:vAlign w:val="bottom"/>
            <w:hideMark/>
          </w:tcPr>
          <w:p w14:paraId="5B0E844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56F5056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3.40</w:t>
            </w:r>
          </w:p>
        </w:tc>
        <w:tc>
          <w:tcPr>
            <w:tcW w:w="932" w:type="dxa"/>
            <w:tcBorders>
              <w:top w:val="nil"/>
              <w:left w:val="nil"/>
              <w:bottom w:val="nil"/>
              <w:right w:val="nil"/>
            </w:tcBorders>
            <w:shd w:val="clear" w:color="auto" w:fill="auto"/>
            <w:noWrap/>
            <w:vAlign w:val="bottom"/>
            <w:hideMark/>
          </w:tcPr>
          <w:p w14:paraId="10DE604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3E2014F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FD09EF8" w14:textId="007B6F7E" w:rsidR="00467C2F" w:rsidRPr="00467C2F" w:rsidRDefault="00467C2F" w:rsidP="00467C2F">
            <w:pPr>
              <w:jc w:val="center"/>
              <w:rPr>
                <w:rFonts w:eastAsia="Times New Roman"/>
                <w:color w:val="000000"/>
                <w:sz w:val="22"/>
                <w:szCs w:val="22"/>
              </w:rPr>
            </w:pPr>
            <w:r w:rsidRPr="00467C2F">
              <w:rPr>
                <w:color w:val="000000"/>
                <w:sz w:val="22"/>
                <w:szCs w:val="22"/>
              </w:rPr>
              <w:t>40.40</w:t>
            </w:r>
          </w:p>
        </w:tc>
        <w:tc>
          <w:tcPr>
            <w:tcW w:w="914" w:type="dxa"/>
            <w:tcBorders>
              <w:top w:val="nil"/>
              <w:left w:val="nil"/>
              <w:bottom w:val="nil"/>
              <w:right w:val="nil"/>
            </w:tcBorders>
            <w:shd w:val="clear" w:color="auto" w:fill="auto"/>
            <w:noWrap/>
            <w:vAlign w:val="bottom"/>
            <w:hideMark/>
          </w:tcPr>
          <w:p w14:paraId="316F7121" w14:textId="08669CFB" w:rsidR="00467C2F" w:rsidRPr="00467C2F" w:rsidRDefault="00467C2F" w:rsidP="00467C2F">
            <w:pPr>
              <w:jc w:val="center"/>
              <w:rPr>
                <w:rFonts w:eastAsia="Times New Roman"/>
                <w:color w:val="000000"/>
                <w:sz w:val="22"/>
                <w:szCs w:val="22"/>
              </w:rPr>
            </w:pPr>
            <w:r w:rsidRPr="00467C2F">
              <w:rPr>
                <w:color w:val="000000"/>
                <w:sz w:val="22"/>
                <w:szCs w:val="22"/>
              </w:rPr>
              <w:t>39.00</w:t>
            </w:r>
          </w:p>
        </w:tc>
      </w:tr>
      <w:tr w:rsidR="00467C2F" w:rsidRPr="000912EF" w14:paraId="486E8D9F" w14:textId="77777777" w:rsidTr="0031315C">
        <w:trPr>
          <w:trHeight w:val="300"/>
        </w:trPr>
        <w:tc>
          <w:tcPr>
            <w:tcW w:w="851" w:type="dxa"/>
            <w:tcBorders>
              <w:top w:val="nil"/>
              <w:left w:val="nil"/>
              <w:bottom w:val="nil"/>
              <w:right w:val="nil"/>
            </w:tcBorders>
            <w:shd w:val="clear" w:color="auto" w:fill="auto"/>
            <w:noWrap/>
            <w:vAlign w:val="bottom"/>
            <w:hideMark/>
          </w:tcPr>
          <w:p w14:paraId="763FC1E6" w14:textId="54E8F75D"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83</w:t>
            </w:r>
          </w:p>
        </w:tc>
        <w:tc>
          <w:tcPr>
            <w:tcW w:w="283" w:type="dxa"/>
            <w:tcBorders>
              <w:top w:val="nil"/>
              <w:left w:val="nil"/>
              <w:bottom w:val="nil"/>
              <w:right w:val="nil"/>
            </w:tcBorders>
            <w:shd w:val="clear" w:color="auto" w:fill="auto"/>
            <w:noWrap/>
            <w:vAlign w:val="bottom"/>
            <w:hideMark/>
          </w:tcPr>
          <w:p w14:paraId="06FE82A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CE6078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w:t>
            </w:r>
          </w:p>
        </w:tc>
        <w:tc>
          <w:tcPr>
            <w:tcW w:w="284" w:type="dxa"/>
            <w:tcBorders>
              <w:top w:val="nil"/>
              <w:left w:val="nil"/>
              <w:bottom w:val="nil"/>
              <w:right w:val="nil"/>
            </w:tcBorders>
            <w:shd w:val="clear" w:color="auto" w:fill="auto"/>
            <w:noWrap/>
            <w:vAlign w:val="bottom"/>
            <w:hideMark/>
          </w:tcPr>
          <w:p w14:paraId="4FBB598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61664C3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1.00</w:t>
            </w:r>
          </w:p>
        </w:tc>
        <w:tc>
          <w:tcPr>
            <w:tcW w:w="305" w:type="dxa"/>
            <w:tcBorders>
              <w:top w:val="nil"/>
              <w:left w:val="nil"/>
              <w:bottom w:val="nil"/>
              <w:right w:val="nil"/>
            </w:tcBorders>
            <w:shd w:val="clear" w:color="auto" w:fill="auto"/>
            <w:noWrap/>
            <w:vAlign w:val="bottom"/>
            <w:hideMark/>
          </w:tcPr>
          <w:p w14:paraId="2C8687F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01BBC9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92.00</w:t>
            </w:r>
          </w:p>
        </w:tc>
        <w:tc>
          <w:tcPr>
            <w:tcW w:w="992" w:type="dxa"/>
            <w:tcBorders>
              <w:top w:val="nil"/>
              <w:left w:val="nil"/>
              <w:bottom w:val="nil"/>
              <w:right w:val="nil"/>
            </w:tcBorders>
            <w:shd w:val="clear" w:color="auto" w:fill="auto"/>
            <w:noWrap/>
            <w:vAlign w:val="bottom"/>
            <w:hideMark/>
          </w:tcPr>
          <w:p w14:paraId="031FCCB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92</w:t>
            </w:r>
          </w:p>
        </w:tc>
        <w:tc>
          <w:tcPr>
            <w:tcW w:w="261" w:type="dxa"/>
            <w:tcBorders>
              <w:top w:val="nil"/>
              <w:left w:val="nil"/>
              <w:bottom w:val="nil"/>
              <w:right w:val="nil"/>
            </w:tcBorders>
            <w:shd w:val="clear" w:color="auto" w:fill="auto"/>
            <w:noWrap/>
            <w:vAlign w:val="bottom"/>
            <w:hideMark/>
          </w:tcPr>
          <w:p w14:paraId="75FD881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1A5A7449"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3.00</w:t>
            </w:r>
          </w:p>
        </w:tc>
        <w:tc>
          <w:tcPr>
            <w:tcW w:w="932" w:type="dxa"/>
            <w:tcBorders>
              <w:top w:val="nil"/>
              <w:left w:val="nil"/>
              <w:bottom w:val="nil"/>
              <w:right w:val="nil"/>
            </w:tcBorders>
            <w:shd w:val="clear" w:color="auto" w:fill="auto"/>
            <w:noWrap/>
            <w:vAlign w:val="bottom"/>
            <w:hideMark/>
          </w:tcPr>
          <w:p w14:paraId="1B2BD93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7C39758F"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435FF9F1" w14:textId="7D0C914B" w:rsidR="00467C2F" w:rsidRPr="00467C2F" w:rsidRDefault="00467C2F" w:rsidP="00467C2F">
            <w:pPr>
              <w:jc w:val="center"/>
              <w:rPr>
                <w:rFonts w:eastAsia="Times New Roman"/>
                <w:color w:val="000000"/>
                <w:sz w:val="22"/>
                <w:szCs w:val="22"/>
              </w:rPr>
            </w:pPr>
            <w:r w:rsidRPr="00467C2F">
              <w:rPr>
                <w:color w:val="000000"/>
                <w:sz w:val="22"/>
                <w:szCs w:val="22"/>
              </w:rPr>
              <w:t>1.00</w:t>
            </w:r>
          </w:p>
        </w:tc>
        <w:tc>
          <w:tcPr>
            <w:tcW w:w="914" w:type="dxa"/>
            <w:tcBorders>
              <w:top w:val="nil"/>
              <w:left w:val="nil"/>
              <w:bottom w:val="nil"/>
              <w:right w:val="nil"/>
            </w:tcBorders>
            <w:shd w:val="clear" w:color="auto" w:fill="auto"/>
            <w:noWrap/>
            <w:vAlign w:val="bottom"/>
            <w:hideMark/>
          </w:tcPr>
          <w:p w14:paraId="54046A4A" w14:textId="67056462" w:rsidR="00467C2F" w:rsidRPr="00467C2F" w:rsidRDefault="00467C2F" w:rsidP="00467C2F">
            <w:pPr>
              <w:jc w:val="center"/>
              <w:rPr>
                <w:rFonts w:eastAsia="Times New Roman"/>
                <w:color w:val="000000"/>
                <w:sz w:val="22"/>
                <w:szCs w:val="22"/>
              </w:rPr>
            </w:pPr>
            <w:r w:rsidRPr="00467C2F">
              <w:rPr>
                <w:color w:val="000000"/>
                <w:sz w:val="22"/>
                <w:szCs w:val="22"/>
              </w:rPr>
              <w:t>1.00</w:t>
            </w:r>
          </w:p>
        </w:tc>
      </w:tr>
      <w:tr w:rsidR="00467C2F" w:rsidRPr="000912EF" w14:paraId="2792B3CD" w14:textId="77777777" w:rsidTr="0031315C">
        <w:trPr>
          <w:trHeight w:val="300"/>
        </w:trPr>
        <w:tc>
          <w:tcPr>
            <w:tcW w:w="851" w:type="dxa"/>
            <w:tcBorders>
              <w:top w:val="nil"/>
              <w:left w:val="nil"/>
              <w:bottom w:val="nil"/>
              <w:right w:val="nil"/>
            </w:tcBorders>
            <w:shd w:val="clear" w:color="auto" w:fill="auto"/>
            <w:noWrap/>
            <w:vAlign w:val="bottom"/>
            <w:hideMark/>
          </w:tcPr>
          <w:p w14:paraId="543BE673" w14:textId="7602DDD6"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87</w:t>
            </w:r>
          </w:p>
        </w:tc>
        <w:tc>
          <w:tcPr>
            <w:tcW w:w="283" w:type="dxa"/>
            <w:tcBorders>
              <w:top w:val="nil"/>
              <w:left w:val="nil"/>
              <w:bottom w:val="nil"/>
              <w:right w:val="nil"/>
            </w:tcBorders>
            <w:shd w:val="clear" w:color="auto" w:fill="auto"/>
            <w:noWrap/>
            <w:vAlign w:val="bottom"/>
            <w:hideMark/>
          </w:tcPr>
          <w:p w14:paraId="1904B3E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nil"/>
              <w:right w:val="nil"/>
            </w:tcBorders>
            <w:shd w:val="clear" w:color="auto" w:fill="auto"/>
            <w:noWrap/>
            <w:vAlign w:val="bottom"/>
            <w:hideMark/>
          </w:tcPr>
          <w:p w14:paraId="64757A0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11</w:t>
            </w:r>
          </w:p>
        </w:tc>
        <w:tc>
          <w:tcPr>
            <w:tcW w:w="284" w:type="dxa"/>
            <w:tcBorders>
              <w:top w:val="nil"/>
              <w:left w:val="nil"/>
              <w:bottom w:val="nil"/>
              <w:right w:val="nil"/>
            </w:tcBorders>
            <w:shd w:val="clear" w:color="auto" w:fill="auto"/>
            <w:noWrap/>
            <w:vAlign w:val="bottom"/>
            <w:hideMark/>
          </w:tcPr>
          <w:p w14:paraId="09D66C35"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nil"/>
              <w:right w:val="nil"/>
            </w:tcBorders>
            <w:shd w:val="clear" w:color="auto" w:fill="auto"/>
            <w:noWrap/>
            <w:vAlign w:val="bottom"/>
            <w:hideMark/>
          </w:tcPr>
          <w:p w14:paraId="0201D9B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0.24</w:t>
            </w:r>
          </w:p>
        </w:tc>
        <w:tc>
          <w:tcPr>
            <w:tcW w:w="305" w:type="dxa"/>
            <w:tcBorders>
              <w:top w:val="nil"/>
              <w:left w:val="nil"/>
              <w:bottom w:val="nil"/>
              <w:right w:val="nil"/>
            </w:tcBorders>
            <w:shd w:val="clear" w:color="auto" w:fill="auto"/>
            <w:noWrap/>
            <w:vAlign w:val="bottom"/>
            <w:hideMark/>
          </w:tcPr>
          <w:p w14:paraId="1C0903C4"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0E22CF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138.18</w:t>
            </w:r>
          </w:p>
        </w:tc>
        <w:tc>
          <w:tcPr>
            <w:tcW w:w="992" w:type="dxa"/>
            <w:tcBorders>
              <w:top w:val="nil"/>
              <w:left w:val="nil"/>
              <w:bottom w:val="nil"/>
              <w:right w:val="nil"/>
            </w:tcBorders>
            <w:shd w:val="clear" w:color="auto" w:fill="auto"/>
            <w:noWrap/>
            <w:vAlign w:val="bottom"/>
            <w:hideMark/>
          </w:tcPr>
          <w:p w14:paraId="1FE45B3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103</w:t>
            </w:r>
          </w:p>
        </w:tc>
        <w:tc>
          <w:tcPr>
            <w:tcW w:w="261" w:type="dxa"/>
            <w:tcBorders>
              <w:top w:val="nil"/>
              <w:left w:val="nil"/>
              <w:bottom w:val="nil"/>
              <w:right w:val="nil"/>
            </w:tcBorders>
            <w:shd w:val="clear" w:color="auto" w:fill="auto"/>
            <w:noWrap/>
            <w:vAlign w:val="bottom"/>
            <w:hideMark/>
          </w:tcPr>
          <w:p w14:paraId="168B67F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nil"/>
              <w:right w:val="nil"/>
            </w:tcBorders>
            <w:shd w:val="clear" w:color="auto" w:fill="auto"/>
            <w:noWrap/>
            <w:vAlign w:val="bottom"/>
            <w:hideMark/>
          </w:tcPr>
          <w:p w14:paraId="7D20C15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3.00</w:t>
            </w:r>
          </w:p>
        </w:tc>
        <w:tc>
          <w:tcPr>
            <w:tcW w:w="932" w:type="dxa"/>
            <w:tcBorders>
              <w:top w:val="nil"/>
              <w:left w:val="nil"/>
              <w:bottom w:val="nil"/>
              <w:right w:val="nil"/>
            </w:tcBorders>
            <w:shd w:val="clear" w:color="auto" w:fill="auto"/>
            <w:noWrap/>
            <w:vAlign w:val="bottom"/>
            <w:hideMark/>
          </w:tcPr>
          <w:p w14:paraId="6CA68A3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nil"/>
              <w:right w:val="nil"/>
            </w:tcBorders>
            <w:shd w:val="clear" w:color="auto" w:fill="auto"/>
            <w:noWrap/>
            <w:vAlign w:val="bottom"/>
            <w:hideMark/>
          </w:tcPr>
          <w:p w14:paraId="4C121968"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nil"/>
              <w:right w:val="nil"/>
            </w:tcBorders>
            <w:shd w:val="clear" w:color="auto" w:fill="auto"/>
            <w:noWrap/>
            <w:vAlign w:val="bottom"/>
            <w:hideMark/>
          </w:tcPr>
          <w:p w14:paraId="6D657D20" w14:textId="2DE77FA1" w:rsidR="00467C2F" w:rsidRPr="00467C2F" w:rsidRDefault="00467C2F" w:rsidP="00467C2F">
            <w:pPr>
              <w:jc w:val="center"/>
              <w:rPr>
                <w:rFonts w:eastAsia="Times New Roman"/>
                <w:color w:val="000000"/>
                <w:sz w:val="22"/>
                <w:szCs w:val="22"/>
              </w:rPr>
            </w:pPr>
            <w:r w:rsidRPr="00467C2F">
              <w:rPr>
                <w:color w:val="000000"/>
                <w:sz w:val="22"/>
                <w:szCs w:val="22"/>
              </w:rPr>
              <w:t>39.82</w:t>
            </w:r>
          </w:p>
        </w:tc>
        <w:tc>
          <w:tcPr>
            <w:tcW w:w="914" w:type="dxa"/>
            <w:tcBorders>
              <w:top w:val="nil"/>
              <w:left w:val="nil"/>
              <w:bottom w:val="nil"/>
              <w:right w:val="nil"/>
            </w:tcBorders>
            <w:shd w:val="clear" w:color="auto" w:fill="auto"/>
            <w:noWrap/>
            <w:vAlign w:val="bottom"/>
            <w:hideMark/>
          </w:tcPr>
          <w:p w14:paraId="697E265D" w14:textId="3A65FF60" w:rsidR="00467C2F" w:rsidRPr="00467C2F" w:rsidRDefault="00467C2F" w:rsidP="00467C2F">
            <w:pPr>
              <w:jc w:val="center"/>
              <w:rPr>
                <w:rFonts w:eastAsia="Times New Roman"/>
                <w:color w:val="000000"/>
                <w:sz w:val="22"/>
                <w:szCs w:val="22"/>
              </w:rPr>
            </w:pPr>
            <w:r w:rsidRPr="00467C2F">
              <w:rPr>
                <w:color w:val="000000"/>
                <w:sz w:val="22"/>
                <w:szCs w:val="22"/>
              </w:rPr>
              <w:t>42.00</w:t>
            </w:r>
          </w:p>
        </w:tc>
      </w:tr>
      <w:tr w:rsidR="00467C2F" w:rsidRPr="000912EF" w14:paraId="190757A9" w14:textId="77777777" w:rsidTr="0031315C">
        <w:trPr>
          <w:trHeight w:val="300"/>
        </w:trPr>
        <w:tc>
          <w:tcPr>
            <w:tcW w:w="851" w:type="dxa"/>
            <w:tcBorders>
              <w:top w:val="nil"/>
              <w:left w:val="nil"/>
              <w:right w:val="nil"/>
            </w:tcBorders>
            <w:shd w:val="clear" w:color="auto" w:fill="auto"/>
            <w:noWrap/>
            <w:vAlign w:val="bottom"/>
            <w:hideMark/>
          </w:tcPr>
          <w:p w14:paraId="4208762C" w14:textId="67E43F8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99</w:t>
            </w:r>
          </w:p>
        </w:tc>
        <w:tc>
          <w:tcPr>
            <w:tcW w:w="283" w:type="dxa"/>
            <w:tcBorders>
              <w:top w:val="nil"/>
              <w:left w:val="nil"/>
              <w:right w:val="nil"/>
            </w:tcBorders>
            <w:shd w:val="clear" w:color="auto" w:fill="auto"/>
            <w:noWrap/>
            <w:vAlign w:val="bottom"/>
            <w:hideMark/>
          </w:tcPr>
          <w:p w14:paraId="59AA4063"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right w:val="nil"/>
            </w:tcBorders>
            <w:shd w:val="clear" w:color="auto" w:fill="auto"/>
            <w:noWrap/>
            <w:vAlign w:val="bottom"/>
            <w:hideMark/>
          </w:tcPr>
          <w:p w14:paraId="7374FDF6"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5</w:t>
            </w:r>
          </w:p>
        </w:tc>
        <w:tc>
          <w:tcPr>
            <w:tcW w:w="284" w:type="dxa"/>
            <w:tcBorders>
              <w:top w:val="nil"/>
              <w:left w:val="nil"/>
              <w:right w:val="nil"/>
            </w:tcBorders>
            <w:shd w:val="clear" w:color="auto" w:fill="auto"/>
            <w:noWrap/>
            <w:vAlign w:val="bottom"/>
            <w:hideMark/>
          </w:tcPr>
          <w:p w14:paraId="6A3FCB10"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right w:val="nil"/>
            </w:tcBorders>
            <w:shd w:val="clear" w:color="auto" w:fill="auto"/>
            <w:noWrap/>
            <w:vAlign w:val="bottom"/>
            <w:hideMark/>
          </w:tcPr>
          <w:p w14:paraId="2C5E1907"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0.67</w:t>
            </w:r>
          </w:p>
        </w:tc>
        <w:tc>
          <w:tcPr>
            <w:tcW w:w="305" w:type="dxa"/>
            <w:tcBorders>
              <w:top w:val="nil"/>
              <w:left w:val="nil"/>
              <w:right w:val="nil"/>
            </w:tcBorders>
            <w:shd w:val="clear" w:color="auto" w:fill="auto"/>
            <w:noWrap/>
            <w:vAlign w:val="bottom"/>
            <w:hideMark/>
          </w:tcPr>
          <w:p w14:paraId="30F2F0D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right w:val="nil"/>
            </w:tcBorders>
            <w:shd w:val="clear" w:color="auto" w:fill="auto"/>
            <w:noWrap/>
            <w:vAlign w:val="bottom"/>
            <w:hideMark/>
          </w:tcPr>
          <w:p w14:paraId="730D6281"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84.40</w:t>
            </w:r>
          </w:p>
        </w:tc>
        <w:tc>
          <w:tcPr>
            <w:tcW w:w="992" w:type="dxa"/>
            <w:tcBorders>
              <w:top w:val="nil"/>
              <w:left w:val="nil"/>
              <w:right w:val="nil"/>
            </w:tcBorders>
            <w:shd w:val="clear" w:color="auto" w:fill="auto"/>
            <w:noWrap/>
            <w:vAlign w:val="bottom"/>
            <w:hideMark/>
          </w:tcPr>
          <w:p w14:paraId="6388F43C"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82</w:t>
            </w:r>
          </w:p>
        </w:tc>
        <w:tc>
          <w:tcPr>
            <w:tcW w:w="261" w:type="dxa"/>
            <w:tcBorders>
              <w:top w:val="nil"/>
              <w:left w:val="nil"/>
              <w:right w:val="nil"/>
            </w:tcBorders>
            <w:shd w:val="clear" w:color="auto" w:fill="auto"/>
            <w:noWrap/>
            <w:vAlign w:val="bottom"/>
            <w:hideMark/>
          </w:tcPr>
          <w:p w14:paraId="180E87ED"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right w:val="nil"/>
            </w:tcBorders>
            <w:shd w:val="clear" w:color="auto" w:fill="auto"/>
            <w:noWrap/>
            <w:vAlign w:val="bottom"/>
            <w:hideMark/>
          </w:tcPr>
          <w:p w14:paraId="008158AE"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2.60</w:t>
            </w:r>
          </w:p>
        </w:tc>
        <w:tc>
          <w:tcPr>
            <w:tcW w:w="932" w:type="dxa"/>
            <w:tcBorders>
              <w:top w:val="nil"/>
              <w:left w:val="nil"/>
              <w:right w:val="nil"/>
            </w:tcBorders>
            <w:shd w:val="clear" w:color="auto" w:fill="auto"/>
            <w:noWrap/>
            <w:vAlign w:val="bottom"/>
            <w:hideMark/>
          </w:tcPr>
          <w:p w14:paraId="7D33CCEB"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right w:val="nil"/>
            </w:tcBorders>
            <w:shd w:val="clear" w:color="auto" w:fill="auto"/>
            <w:noWrap/>
            <w:vAlign w:val="bottom"/>
            <w:hideMark/>
          </w:tcPr>
          <w:p w14:paraId="47495F0A" w14:textId="77777777" w:rsidR="00467C2F" w:rsidRPr="000912EF" w:rsidRDefault="00467C2F" w:rsidP="00467C2F">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right w:val="nil"/>
            </w:tcBorders>
            <w:shd w:val="clear" w:color="auto" w:fill="auto"/>
            <w:noWrap/>
            <w:vAlign w:val="bottom"/>
            <w:hideMark/>
          </w:tcPr>
          <w:p w14:paraId="64CFD7D3" w14:textId="3082D1D6" w:rsidR="00467C2F" w:rsidRPr="00467C2F" w:rsidRDefault="00467C2F" w:rsidP="00467C2F">
            <w:pPr>
              <w:jc w:val="center"/>
              <w:rPr>
                <w:rFonts w:eastAsia="Times New Roman"/>
                <w:color w:val="000000"/>
                <w:sz w:val="22"/>
                <w:szCs w:val="22"/>
              </w:rPr>
            </w:pPr>
            <w:r w:rsidRPr="00467C2F">
              <w:rPr>
                <w:color w:val="000000"/>
                <w:sz w:val="22"/>
                <w:szCs w:val="22"/>
              </w:rPr>
              <w:t>29.00</w:t>
            </w:r>
          </w:p>
        </w:tc>
        <w:tc>
          <w:tcPr>
            <w:tcW w:w="914" w:type="dxa"/>
            <w:tcBorders>
              <w:top w:val="nil"/>
              <w:left w:val="nil"/>
              <w:right w:val="nil"/>
            </w:tcBorders>
            <w:shd w:val="clear" w:color="auto" w:fill="auto"/>
            <w:noWrap/>
            <w:vAlign w:val="bottom"/>
            <w:hideMark/>
          </w:tcPr>
          <w:p w14:paraId="1497A7A6" w14:textId="21DAF48B" w:rsidR="00467C2F" w:rsidRPr="00467C2F" w:rsidRDefault="00467C2F" w:rsidP="00467C2F">
            <w:pPr>
              <w:jc w:val="center"/>
              <w:rPr>
                <w:rFonts w:eastAsia="Times New Roman"/>
                <w:color w:val="000000"/>
                <w:sz w:val="22"/>
                <w:szCs w:val="22"/>
              </w:rPr>
            </w:pPr>
            <w:r w:rsidRPr="00467C2F">
              <w:rPr>
                <w:color w:val="000000"/>
                <w:sz w:val="22"/>
                <w:szCs w:val="22"/>
              </w:rPr>
              <w:t>29.00</w:t>
            </w:r>
          </w:p>
        </w:tc>
      </w:tr>
      <w:tr w:rsidR="00BE13FC" w:rsidRPr="00BE13FC" w14:paraId="081DB3A2" w14:textId="77777777" w:rsidTr="0031315C">
        <w:trPr>
          <w:trHeight w:val="300"/>
        </w:trPr>
        <w:tc>
          <w:tcPr>
            <w:tcW w:w="851" w:type="dxa"/>
            <w:tcBorders>
              <w:top w:val="nil"/>
              <w:left w:val="nil"/>
              <w:bottom w:val="single" w:sz="4" w:space="0" w:color="auto"/>
              <w:right w:val="nil"/>
            </w:tcBorders>
            <w:shd w:val="clear" w:color="auto" w:fill="auto"/>
            <w:noWrap/>
            <w:vAlign w:val="bottom"/>
            <w:hideMark/>
          </w:tcPr>
          <w:p w14:paraId="68FB40A5"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Total</w:t>
            </w:r>
          </w:p>
        </w:tc>
        <w:tc>
          <w:tcPr>
            <w:tcW w:w="283" w:type="dxa"/>
            <w:tcBorders>
              <w:top w:val="nil"/>
              <w:left w:val="nil"/>
              <w:bottom w:val="single" w:sz="4" w:space="0" w:color="auto"/>
              <w:right w:val="nil"/>
            </w:tcBorders>
            <w:shd w:val="clear" w:color="auto" w:fill="auto"/>
            <w:noWrap/>
            <w:vAlign w:val="bottom"/>
            <w:hideMark/>
          </w:tcPr>
          <w:p w14:paraId="09EBF2E2"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567" w:type="dxa"/>
            <w:tcBorders>
              <w:top w:val="nil"/>
              <w:left w:val="nil"/>
              <w:bottom w:val="single" w:sz="4" w:space="0" w:color="auto"/>
              <w:right w:val="nil"/>
            </w:tcBorders>
            <w:shd w:val="clear" w:color="auto" w:fill="auto"/>
            <w:noWrap/>
            <w:vAlign w:val="bottom"/>
            <w:hideMark/>
          </w:tcPr>
          <w:p w14:paraId="3BD172A9"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909</w:t>
            </w:r>
          </w:p>
        </w:tc>
        <w:tc>
          <w:tcPr>
            <w:tcW w:w="284" w:type="dxa"/>
            <w:tcBorders>
              <w:top w:val="nil"/>
              <w:left w:val="nil"/>
              <w:bottom w:val="single" w:sz="4" w:space="0" w:color="auto"/>
              <w:right w:val="nil"/>
            </w:tcBorders>
            <w:shd w:val="clear" w:color="auto" w:fill="auto"/>
            <w:noWrap/>
            <w:vAlign w:val="bottom"/>
            <w:hideMark/>
          </w:tcPr>
          <w:p w14:paraId="6D289DD3"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1255" w:type="dxa"/>
            <w:tcBorders>
              <w:top w:val="nil"/>
              <w:left w:val="nil"/>
              <w:bottom w:val="single" w:sz="4" w:space="0" w:color="auto"/>
              <w:right w:val="nil"/>
            </w:tcBorders>
            <w:shd w:val="clear" w:color="auto" w:fill="auto"/>
            <w:noWrap/>
            <w:vAlign w:val="bottom"/>
            <w:hideMark/>
          </w:tcPr>
          <w:p w14:paraId="4A3B9F16"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0.18</w:t>
            </w:r>
          </w:p>
        </w:tc>
        <w:tc>
          <w:tcPr>
            <w:tcW w:w="305" w:type="dxa"/>
            <w:tcBorders>
              <w:top w:val="nil"/>
              <w:left w:val="nil"/>
              <w:bottom w:val="single" w:sz="4" w:space="0" w:color="auto"/>
              <w:right w:val="nil"/>
            </w:tcBorders>
            <w:shd w:val="clear" w:color="auto" w:fill="auto"/>
            <w:noWrap/>
            <w:vAlign w:val="bottom"/>
            <w:hideMark/>
          </w:tcPr>
          <w:p w14:paraId="6C52FD82"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872" w:type="dxa"/>
            <w:tcBorders>
              <w:top w:val="nil"/>
              <w:left w:val="nil"/>
              <w:bottom w:val="single" w:sz="4" w:space="0" w:color="auto"/>
              <w:right w:val="nil"/>
            </w:tcBorders>
            <w:shd w:val="clear" w:color="auto" w:fill="auto"/>
            <w:noWrap/>
            <w:vAlign w:val="bottom"/>
            <w:hideMark/>
          </w:tcPr>
          <w:p w14:paraId="46D4615B"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120.11</w:t>
            </w:r>
          </w:p>
        </w:tc>
        <w:tc>
          <w:tcPr>
            <w:tcW w:w="992" w:type="dxa"/>
            <w:tcBorders>
              <w:top w:val="nil"/>
              <w:left w:val="nil"/>
              <w:bottom w:val="single" w:sz="4" w:space="0" w:color="auto"/>
              <w:right w:val="nil"/>
            </w:tcBorders>
            <w:shd w:val="clear" w:color="auto" w:fill="auto"/>
            <w:noWrap/>
            <w:vAlign w:val="bottom"/>
            <w:hideMark/>
          </w:tcPr>
          <w:p w14:paraId="5CA7C715"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90</w:t>
            </w:r>
          </w:p>
        </w:tc>
        <w:tc>
          <w:tcPr>
            <w:tcW w:w="261" w:type="dxa"/>
            <w:tcBorders>
              <w:top w:val="nil"/>
              <w:left w:val="nil"/>
              <w:bottom w:val="single" w:sz="4" w:space="0" w:color="auto"/>
              <w:right w:val="nil"/>
            </w:tcBorders>
            <w:shd w:val="clear" w:color="auto" w:fill="auto"/>
            <w:noWrap/>
            <w:vAlign w:val="bottom"/>
            <w:hideMark/>
          </w:tcPr>
          <w:p w14:paraId="2B8D6777"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839" w:type="dxa"/>
            <w:tcBorders>
              <w:top w:val="nil"/>
              <w:left w:val="nil"/>
              <w:bottom w:val="single" w:sz="4" w:space="0" w:color="auto"/>
              <w:right w:val="nil"/>
            </w:tcBorders>
            <w:shd w:val="clear" w:color="auto" w:fill="auto"/>
            <w:noWrap/>
            <w:vAlign w:val="bottom"/>
            <w:hideMark/>
          </w:tcPr>
          <w:p w14:paraId="6AC71D37"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2.77</w:t>
            </w:r>
          </w:p>
        </w:tc>
        <w:tc>
          <w:tcPr>
            <w:tcW w:w="932" w:type="dxa"/>
            <w:tcBorders>
              <w:top w:val="nil"/>
              <w:left w:val="nil"/>
              <w:bottom w:val="single" w:sz="4" w:space="0" w:color="auto"/>
              <w:right w:val="nil"/>
            </w:tcBorders>
            <w:shd w:val="clear" w:color="auto" w:fill="auto"/>
            <w:noWrap/>
            <w:vAlign w:val="bottom"/>
            <w:hideMark/>
          </w:tcPr>
          <w:p w14:paraId="73B8B0C7"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3</w:t>
            </w:r>
          </w:p>
        </w:tc>
        <w:tc>
          <w:tcPr>
            <w:tcW w:w="283" w:type="dxa"/>
            <w:tcBorders>
              <w:top w:val="nil"/>
              <w:left w:val="nil"/>
              <w:bottom w:val="single" w:sz="4" w:space="0" w:color="auto"/>
              <w:right w:val="nil"/>
            </w:tcBorders>
            <w:shd w:val="clear" w:color="auto" w:fill="auto"/>
            <w:noWrap/>
            <w:vAlign w:val="bottom"/>
            <w:hideMark/>
          </w:tcPr>
          <w:p w14:paraId="0F62AE6B" w14:textId="77777777" w:rsidR="00BE13FC" w:rsidRPr="000912EF" w:rsidRDefault="00BE13FC" w:rsidP="00BE13FC">
            <w:pPr>
              <w:jc w:val="center"/>
              <w:rPr>
                <w:rFonts w:eastAsia="Times New Roman"/>
                <w:color w:val="000000"/>
                <w:sz w:val="22"/>
                <w:szCs w:val="22"/>
              </w:rPr>
            </w:pPr>
            <w:r w:rsidRPr="000912EF">
              <w:rPr>
                <w:rFonts w:eastAsia="Times New Roman"/>
                <w:color w:val="000000"/>
                <w:sz w:val="22"/>
                <w:szCs w:val="22"/>
              </w:rPr>
              <w:t> </w:t>
            </w:r>
          </w:p>
        </w:tc>
        <w:tc>
          <w:tcPr>
            <w:tcW w:w="929" w:type="dxa"/>
            <w:tcBorders>
              <w:top w:val="nil"/>
              <w:left w:val="nil"/>
              <w:bottom w:val="single" w:sz="4" w:space="0" w:color="auto"/>
              <w:right w:val="nil"/>
            </w:tcBorders>
            <w:shd w:val="clear" w:color="auto" w:fill="auto"/>
            <w:noWrap/>
            <w:vAlign w:val="bottom"/>
            <w:hideMark/>
          </w:tcPr>
          <w:p w14:paraId="57C9F68B" w14:textId="6F54E4AF" w:rsidR="00BE13FC" w:rsidRPr="000912EF" w:rsidRDefault="00467C2F" w:rsidP="00BE13FC">
            <w:pPr>
              <w:jc w:val="center"/>
              <w:rPr>
                <w:rFonts w:eastAsia="Times New Roman"/>
                <w:color w:val="000000"/>
                <w:sz w:val="22"/>
                <w:szCs w:val="22"/>
              </w:rPr>
            </w:pPr>
            <w:r>
              <w:rPr>
                <w:rFonts w:eastAsia="Times New Roman"/>
                <w:color w:val="000000"/>
                <w:sz w:val="22"/>
                <w:szCs w:val="22"/>
              </w:rPr>
              <w:t>26.63</w:t>
            </w:r>
          </w:p>
        </w:tc>
        <w:tc>
          <w:tcPr>
            <w:tcW w:w="914" w:type="dxa"/>
            <w:tcBorders>
              <w:top w:val="nil"/>
              <w:left w:val="nil"/>
              <w:bottom w:val="single" w:sz="4" w:space="0" w:color="auto"/>
              <w:right w:val="nil"/>
            </w:tcBorders>
            <w:shd w:val="clear" w:color="auto" w:fill="auto"/>
            <w:noWrap/>
            <w:vAlign w:val="bottom"/>
            <w:hideMark/>
          </w:tcPr>
          <w:p w14:paraId="7A040AC2" w14:textId="77777777" w:rsidR="00BE13FC" w:rsidRPr="00BE13FC" w:rsidRDefault="00BE13FC" w:rsidP="00BE13FC">
            <w:pPr>
              <w:jc w:val="center"/>
              <w:rPr>
                <w:rFonts w:eastAsia="Times New Roman"/>
                <w:color w:val="000000"/>
                <w:sz w:val="22"/>
                <w:szCs w:val="22"/>
              </w:rPr>
            </w:pPr>
            <w:r w:rsidRPr="000912EF">
              <w:rPr>
                <w:rFonts w:eastAsia="Times New Roman"/>
                <w:color w:val="000000"/>
                <w:sz w:val="22"/>
                <w:szCs w:val="22"/>
              </w:rPr>
              <w:t>22</w:t>
            </w:r>
          </w:p>
        </w:tc>
      </w:tr>
      <w:tr w:rsidR="00DF185F" w:rsidRPr="00BE13FC" w14:paraId="5C9DA5DE" w14:textId="77777777" w:rsidTr="0031315C">
        <w:trPr>
          <w:trHeight w:val="300"/>
        </w:trPr>
        <w:tc>
          <w:tcPr>
            <w:tcW w:w="9571" w:type="dxa"/>
            <w:gridSpan w:val="14"/>
            <w:tcBorders>
              <w:top w:val="single" w:sz="4" w:space="0" w:color="auto"/>
              <w:left w:val="nil"/>
              <w:bottom w:val="single" w:sz="4" w:space="0" w:color="auto"/>
              <w:right w:val="nil"/>
            </w:tcBorders>
            <w:shd w:val="clear" w:color="auto" w:fill="auto"/>
            <w:noWrap/>
            <w:vAlign w:val="bottom"/>
          </w:tcPr>
          <w:p w14:paraId="740E1DE4" w14:textId="5C1D7917" w:rsidR="00DF185F" w:rsidRPr="000912EF" w:rsidRDefault="00DF185F" w:rsidP="0031315C">
            <w:pPr>
              <w:ind w:firstLine="746"/>
              <w:jc w:val="both"/>
              <w:rPr>
                <w:rFonts w:eastAsia="Times New Roman"/>
                <w:color w:val="000000"/>
                <w:sz w:val="22"/>
                <w:szCs w:val="22"/>
              </w:rPr>
            </w:pPr>
            <w:r w:rsidRPr="00DB3076">
              <w:rPr>
                <w:rFonts w:eastAsia="Times New Roman"/>
                <w:color w:val="000000"/>
                <w:sz w:val="20"/>
                <w:szCs w:val="20"/>
              </w:rPr>
              <w:t xml:space="preserve">This table presents the descriptive statistics of </w:t>
            </w:r>
            <w:r>
              <w:rPr>
                <w:rFonts w:eastAsia="Times New Roman"/>
                <w:color w:val="000000"/>
                <w:sz w:val="20"/>
                <w:szCs w:val="20"/>
              </w:rPr>
              <w:t>SEC review attributes and Herfindahl index by 2-digit</w:t>
            </w:r>
            <w:r w:rsidR="0031315C">
              <w:rPr>
                <w:rFonts w:eastAsia="Times New Roman"/>
                <w:color w:val="000000"/>
                <w:sz w:val="20"/>
                <w:szCs w:val="20"/>
              </w:rPr>
              <w:t>s</w:t>
            </w:r>
            <w:r>
              <w:rPr>
                <w:rFonts w:eastAsia="Times New Roman"/>
                <w:color w:val="000000"/>
                <w:sz w:val="20"/>
                <w:szCs w:val="20"/>
              </w:rPr>
              <w:t xml:space="preserve">-SIC-code industry </w:t>
            </w:r>
            <w:r w:rsidRPr="00DB3076">
              <w:rPr>
                <w:rFonts w:eastAsia="Times New Roman"/>
                <w:color w:val="000000"/>
                <w:sz w:val="20"/>
                <w:szCs w:val="20"/>
              </w:rPr>
              <w:t xml:space="preserve">for our full sample of 909 IPOs between 2005 and 2017. SEC review attributes include </w:t>
            </w:r>
            <w:r w:rsidRPr="00DB3076">
              <w:rPr>
                <w:rFonts w:eastAsia="Times New Roman"/>
                <w:i/>
                <w:color w:val="000000"/>
                <w:sz w:val="20"/>
                <w:szCs w:val="20"/>
              </w:rPr>
              <w:t>Duration, Number of comment letters, Number of comments in initial comment letter.</w:t>
            </w:r>
            <w:r w:rsidRPr="00DB3076">
              <w:rPr>
                <w:rFonts w:eastAsia="Times New Roman"/>
                <w:color w:val="000000"/>
                <w:sz w:val="20"/>
                <w:szCs w:val="20"/>
              </w:rPr>
              <w:t xml:space="preserve"> </w:t>
            </w:r>
            <w:r>
              <w:rPr>
                <w:rFonts w:eastAsia="Times New Roman"/>
                <w:color w:val="000000"/>
                <w:sz w:val="20"/>
                <w:szCs w:val="20"/>
              </w:rPr>
              <w:t>The SEC</w:t>
            </w:r>
            <w:r w:rsidRPr="00DB3076">
              <w:rPr>
                <w:rFonts w:eastAsia="Times New Roman"/>
                <w:color w:val="000000"/>
                <w:sz w:val="20"/>
                <w:szCs w:val="20"/>
              </w:rPr>
              <w:t xml:space="preserve"> characteristics include </w:t>
            </w:r>
            <w:r>
              <w:rPr>
                <w:rFonts w:eastAsia="Times New Roman"/>
                <w:i/>
                <w:color w:val="000000"/>
                <w:sz w:val="20"/>
                <w:szCs w:val="20"/>
              </w:rPr>
              <w:t>Annual Budgets, Job position</w:t>
            </w:r>
            <w:r w:rsidRPr="00DB3076">
              <w:rPr>
                <w:rFonts w:eastAsia="Times New Roman"/>
                <w:i/>
                <w:color w:val="000000"/>
                <w:sz w:val="20"/>
                <w:szCs w:val="20"/>
              </w:rPr>
              <w:t xml:space="preserve">. </w:t>
            </w:r>
          </w:p>
        </w:tc>
      </w:tr>
    </w:tbl>
    <w:p w14:paraId="184AF312" w14:textId="77777777" w:rsidR="00BE13FC" w:rsidRPr="00BE13FC" w:rsidRDefault="00BE13FC" w:rsidP="00BE13FC"/>
    <w:p w14:paraId="4526BA74" w14:textId="5010A480" w:rsidR="00D6323C" w:rsidRDefault="00D6323C" w:rsidP="00C20F6A">
      <w:pPr>
        <w:spacing w:line="360" w:lineRule="auto"/>
        <w:ind w:left="-567"/>
        <w:jc w:val="both"/>
        <w:rPr>
          <w:b/>
        </w:rPr>
      </w:pPr>
    </w:p>
    <w:p w14:paraId="72FB5684" w14:textId="77777777" w:rsidR="00E35016" w:rsidRPr="00D6323C" w:rsidRDefault="00E35016" w:rsidP="00C20F6A">
      <w:pPr>
        <w:spacing w:line="360" w:lineRule="auto"/>
        <w:ind w:left="-567"/>
        <w:jc w:val="both"/>
        <w:rPr>
          <w:b/>
        </w:rPr>
      </w:pPr>
    </w:p>
    <w:sectPr w:rsidR="00E35016" w:rsidRPr="00D6323C" w:rsidSect="0031315C">
      <w:headerReference w:type="default" r:id="rId63"/>
      <w:footerReference w:type="default" r:id="rId64"/>
      <w:pgSz w:w="11906" w:h="16838"/>
      <w:pgMar w:top="426"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6ABE2" w14:textId="77777777" w:rsidR="00564C73" w:rsidRDefault="00564C73" w:rsidP="0027463C">
      <w:r>
        <w:separator/>
      </w:r>
    </w:p>
  </w:endnote>
  <w:endnote w:type="continuationSeparator" w:id="0">
    <w:p w14:paraId="0F4285DB" w14:textId="77777777" w:rsidR="00564C73" w:rsidRDefault="00564C73" w:rsidP="0027463C">
      <w:r>
        <w:continuationSeparator/>
      </w:r>
    </w:p>
  </w:endnote>
  <w:endnote w:type="continuationNotice" w:id="1">
    <w:p w14:paraId="0DFA91DE" w14:textId="77777777" w:rsidR="00564C73" w:rsidRDefault="00564C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754529"/>
      <w:docPartObj>
        <w:docPartGallery w:val="Page Numbers (Bottom of Page)"/>
        <w:docPartUnique/>
      </w:docPartObj>
    </w:sdtPr>
    <w:sdtEndPr>
      <w:rPr>
        <w:noProof/>
      </w:rPr>
    </w:sdtEndPr>
    <w:sdtContent>
      <w:p w14:paraId="6F9C72B9" w14:textId="3764DD91" w:rsidR="00F87A41" w:rsidRDefault="00F87A41">
        <w:pPr>
          <w:pStyle w:val="Footer"/>
          <w:jc w:val="right"/>
        </w:pPr>
        <w:r>
          <w:fldChar w:fldCharType="begin"/>
        </w:r>
        <w:r>
          <w:instrText xml:space="preserve"> PAGE   \* MERGEFORMAT </w:instrText>
        </w:r>
        <w:r>
          <w:fldChar w:fldCharType="separate"/>
        </w:r>
        <w:r w:rsidR="00733ED4">
          <w:rPr>
            <w:noProof/>
          </w:rPr>
          <w:t>63</w:t>
        </w:r>
        <w:r>
          <w:rPr>
            <w:noProof/>
          </w:rPr>
          <w:fldChar w:fldCharType="end"/>
        </w:r>
      </w:p>
    </w:sdtContent>
  </w:sdt>
  <w:p w14:paraId="1A1937D8" w14:textId="6C099E72" w:rsidR="00F87A41" w:rsidRDefault="00F87A41" w:rsidP="7C6069B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05"/>
      <w:gridCol w:w="3205"/>
      <w:gridCol w:w="3205"/>
    </w:tblGrid>
    <w:tr w:rsidR="00F72856" w14:paraId="4725216F" w14:textId="77777777" w:rsidTr="7C6069B1">
      <w:tc>
        <w:tcPr>
          <w:tcW w:w="3205" w:type="dxa"/>
        </w:tcPr>
        <w:p w14:paraId="78A8AD70" w14:textId="4AE185EB" w:rsidR="00F72856" w:rsidRDefault="00F72856" w:rsidP="7C6069B1">
          <w:pPr>
            <w:pStyle w:val="Header"/>
            <w:ind w:left="-115"/>
          </w:pPr>
        </w:p>
      </w:tc>
      <w:tc>
        <w:tcPr>
          <w:tcW w:w="3205" w:type="dxa"/>
        </w:tcPr>
        <w:p w14:paraId="0096EFA4" w14:textId="1792C61A" w:rsidR="00F72856" w:rsidRDefault="00F72856" w:rsidP="7C6069B1">
          <w:pPr>
            <w:pStyle w:val="Header"/>
            <w:jc w:val="center"/>
          </w:pPr>
        </w:p>
      </w:tc>
      <w:tc>
        <w:tcPr>
          <w:tcW w:w="3205" w:type="dxa"/>
        </w:tcPr>
        <w:p w14:paraId="6839E5A5" w14:textId="22032DCF" w:rsidR="00F72856" w:rsidRDefault="00F72856" w:rsidP="7C6069B1">
          <w:pPr>
            <w:pStyle w:val="Header"/>
            <w:ind w:right="-115"/>
            <w:jc w:val="right"/>
          </w:pPr>
        </w:p>
      </w:tc>
    </w:tr>
  </w:tbl>
  <w:p w14:paraId="76324E5D" w14:textId="3FE43166" w:rsidR="00F72856" w:rsidRDefault="00F72856" w:rsidP="7C6069B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51A7FC5F" w14:textId="77777777" w:rsidTr="7C6069B1">
      <w:tc>
        <w:tcPr>
          <w:tcW w:w="4653" w:type="dxa"/>
        </w:tcPr>
        <w:p w14:paraId="0FA6DD20" w14:textId="0F2BD2A3" w:rsidR="00F72856" w:rsidRDefault="00F72856" w:rsidP="7C6069B1">
          <w:pPr>
            <w:pStyle w:val="Header"/>
            <w:ind w:left="-115"/>
          </w:pPr>
        </w:p>
      </w:tc>
      <w:tc>
        <w:tcPr>
          <w:tcW w:w="4653" w:type="dxa"/>
        </w:tcPr>
        <w:p w14:paraId="1B509DC7" w14:textId="1E17C1E5" w:rsidR="00F72856" w:rsidRDefault="00F72856" w:rsidP="7C6069B1">
          <w:pPr>
            <w:pStyle w:val="Header"/>
            <w:jc w:val="center"/>
          </w:pPr>
        </w:p>
      </w:tc>
      <w:tc>
        <w:tcPr>
          <w:tcW w:w="4653" w:type="dxa"/>
        </w:tcPr>
        <w:p w14:paraId="3EEF9E05" w14:textId="3F640348" w:rsidR="00F72856" w:rsidRDefault="00F72856" w:rsidP="7C6069B1">
          <w:pPr>
            <w:pStyle w:val="Header"/>
            <w:ind w:right="-115"/>
            <w:jc w:val="right"/>
          </w:pPr>
        </w:p>
      </w:tc>
    </w:tr>
  </w:tbl>
  <w:p w14:paraId="77416597" w14:textId="4971217B" w:rsidR="00F72856" w:rsidRDefault="00F72856" w:rsidP="7C6069B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05"/>
      <w:gridCol w:w="3205"/>
      <w:gridCol w:w="3205"/>
    </w:tblGrid>
    <w:tr w:rsidR="00F72856" w14:paraId="2E7A1AEC" w14:textId="77777777" w:rsidTr="7C6069B1">
      <w:tc>
        <w:tcPr>
          <w:tcW w:w="3205" w:type="dxa"/>
        </w:tcPr>
        <w:p w14:paraId="3474BF31" w14:textId="1243EB11" w:rsidR="00F72856" w:rsidRDefault="00F72856" w:rsidP="7C6069B1">
          <w:pPr>
            <w:pStyle w:val="Header"/>
            <w:ind w:left="-115"/>
          </w:pPr>
        </w:p>
      </w:tc>
      <w:tc>
        <w:tcPr>
          <w:tcW w:w="3205" w:type="dxa"/>
        </w:tcPr>
        <w:p w14:paraId="2661D692" w14:textId="08F131A5" w:rsidR="00F72856" w:rsidRDefault="00F72856" w:rsidP="7C6069B1">
          <w:pPr>
            <w:pStyle w:val="Header"/>
            <w:jc w:val="center"/>
          </w:pPr>
        </w:p>
      </w:tc>
      <w:tc>
        <w:tcPr>
          <w:tcW w:w="3205" w:type="dxa"/>
        </w:tcPr>
        <w:p w14:paraId="1F1F2142" w14:textId="7E1446AF" w:rsidR="00F72856" w:rsidRDefault="00F72856" w:rsidP="7C6069B1">
          <w:pPr>
            <w:pStyle w:val="Header"/>
            <w:ind w:right="-115"/>
            <w:jc w:val="right"/>
          </w:pPr>
        </w:p>
      </w:tc>
    </w:tr>
  </w:tbl>
  <w:p w14:paraId="0F4AA96B" w14:textId="7DB3DD23" w:rsidR="00F72856" w:rsidRDefault="00F72856" w:rsidP="7C6069B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10A3E074" w14:textId="77777777" w:rsidTr="7C6069B1">
      <w:tc>
        <w:tcPr>
          <w:tcW w:w="3063" w:type="dxa"/>
        </w:tcPr>
        <w:p w14:paraId="5D7ED6DA" w14:textId="5F345526" w:rsidR="00F72856" w:rsidRDefault="00F72856" w:rsidP="7C6069B1">
          <w:pPr>
            <w:pStyle w:val="Header"/>
            <w:ind w:left="-115"/>
          </w:pPr>
        </w:p>
      </w:tc>
      <w:tc>
        <w:tcPr>
          <w:tcW w:w="3063" w:type="dxa"/>
        </w:tcPr>
        <w:p w14:paraId="101A9ACC" w14:textId="6B3839A3" w:rsidR="00F72856" w:rsidRDefault="00F72856" w:rsidP="7C6069B1">
          <w:pPr>
            <w:pStyle w:val="Header"/>
            <w:jc w:val="center"/>
          </w:pPr>
        </w:p>
      </w:tc>
      <w:tc>
        <w:tcPr>
          <w:tcW w:w="3063" w:type="dxa"/>
        </w:tcPr>
        <w:p w14:paraId="79A5D3FD" w14:textId="0127132A" w:rsidR="00F72856" w:rsidRDefault="00F72856" w:rsidP="7C6069B1">
          <w:pPr>
            <w:pStyle w:val="Header"/>
            <w:ind w:right="-115"/>
            <w:jc w:val="right"/>
          </w:pPr>
        </w:p>
      </w:tc>
    </w:tr>
  </w:tbl>
  <w:p w14:paraId="550AC22A" w14:textId="1A11971D" w:rsidR="00F72856" w:rsidRDefault="00F72856" w:rsidP="7C6069B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23C2959C" w14:textId="77777777" w:rsidTr="7C6069B1">
      <w:tc>
        <w:tcPr>
          <w:tcW w:w="3063" w:type="dxa"/>
        </w:tcPr>
        <w:p w14:paraId="6DE88098" w14:textId="7D0E8066" w:rsidR="00F72856" w:rsidRDefault="00F72856" w:rsidP="7C6069B1">
          <w:pPr>
            <w:pStyle w:val="Header"/>
            <w:ind w:left="-115"/>
          </w:pPr>
        </w:p>
      </w:tc>
      <w:tc>
        <w:tcPr>
          <w:tcW w:w="3063" w:type="dxa"/>
        </w:tcPr>
        <w:p w14:paraId="2F07D6F1" w14:textId="0E528318" w:rsidR="00F72856" w:rsidRDefault="00F72856" w:rsidP="7C6069B1">
          <w:pPr>
            <w:pStyle w:val="Header"/>
            <w:jc w:val="center"/>
          </w:pPr>
        </w:p>
      </w:tc>
      <w:tc>
        <w:tcPr>
          <w:tcW w:w="3063" w:type="dxa"/>
        </w:tcPr>
        <w:p w14:paraId="151C1BCF" w14:textId="4A1A3D46" w:rsidR="00F72856" w:rsidRDefault="00F72856" w:rsidP="7C6069B1">
          <w:pPr>
            <w:pStyle w:val="Header"/>
            <w:ind w:right="-115"/>
            <w:jc w:val="right"/>
          </w:pPr>
        </w:p>
      </w:tc>
    </w:tr>
  </w:tbl>
  <w:p w14:paraId="485A8DA3" w14:textId="6947E3E6" w:rsidR="00F72856" w:rsidRDefault="00F72856" w:rsidP="7C6069B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288645E7" w14:textId="77777777" w:rsidTr="7C6069B1">
      <w:tc>
        <w:tcPr>
          <w:tcW w:w="3063" w:type="dxa"/>
        </w:tcPr>
        <w:p w14:paraId="56CEBFB4" w14:textId="1C7235C5" w:rsidR="00F72856" w:rsidRDefault="00F72856" w:rsidP="7C6069B1">
          <w:pPr>
            <w:pStyle w:val="Header"/>
            <w:ind w:left="-115"/>
          </w:pPr>
        </w:p>
      </w:tc>
      <w:tc>
        <w:tcPr>
          <w:tcW w:w="3063" w:type="dxa"/>
        </w:tcPr>
        <w:p w14:paraId="5574C550" w14:textId="41D0EFF5" w:rsidR="00F72856" w:rsidRDefault="00F72856" w:rsidP="7C6069B1">
          <w:pPr>
            <w:pStyle w:val="Header"/>
            <w:jc w:val="center"/>
          </w:pPr>
        </w:p>
      </w:tc>
      <w:tc>
        <w:tcPr>
          <w:tcW w:w="3063" w:type="dxa"/>
        </w:tcPr>
        <w:p w14:paraId="55673DF3" w14:textId="78CD4A80" w:rsidR="00F72856" w:rsidRDefault="00F72856" w:rsidP="7C6069B1">
          <w:pPr>
            <w:pStyle w:val="Header"/>
            <w:ind w:right="-115"/>
            <w:jc w:val="right"/>
          </w:pPr>
        </w:p>
      </w:tc>
    </w:tr>
  </w:tbl>
  <w:p w14:paraId="656342E7" w14:textId="766E8DFB" w:rsidR="00F72856" w:rsidRDefault="00F72856" w:rsidP="7C6069B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87A41" w14:paraId="20BFB213" w14:textId="77777777" w:rsidTr="7C6069B1">
      <w:tc>
        <w:tcPr>
          <w:tcW w:w="3063" w:type="dxa"/>
        </w:tcPr>
        <w:p w14:paraId="18D8A7B0" w14:textId="24754238" w:rsidR="00F87A41" w:rsidRDefault="00F87A41" w:rsidP="7C6069B1">
          <w:pPr>
            <w:pStyle w:val="Header"/>
            <w:ind w:left="-115"/>
          </w:pPr>
        </w:p>
      </w:tc>
      <w:tc>
        <w:tcPr>
          <w:tcW w:w="3063" w:type="dxa"/>
        </w:tcPr>
        <w:p w14:paraId="17BF338D" w14:textId="5BDBC773" w:rsidR="00F87A41" w:rsidRDefault="00F87A41" w:rsidP="7C6069B1">
          <w:pPr>
            <w:pStyle w:val="Header"/>
            <w:jc w:val="center"/>
          </w:pPr>
        </w:p>
      </w:tc>
      <w:tc>
        <w:tcPr>
          <w:tcW w:w="3063" w:type="dxa"/>
        </w:tcPr>
        <w:p w14:paraId="78758FAC" w14:textId="2F191C46" w:rsidR="00F87A41" w:rsidRDefault="00F87A41" w:rsidP="7C6069B1">
          <w:pPr>
            <w:pStyle w:val="Header"/>
            <w:ind w:right="-115"/>
            <w:jc w:val="right"/>
          </w:pPr>
        </w:p>
      </w:tc>
    </w:tr>
  </w:tbl>
  <w:p w14:paraId="0A247BDE" w14:textId="55845428" w:rsidR="00F87A41" w:rsidRDefault="00F87A41" w:rsidP="7C6069B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48787F63" w14:textId="77777777" w:rsidTr="7C6069B1">
      <w:tc>
        <w:tcPr>
          <w:tcW w:w="4653" w:type="dxa"/>
        </w:tcPr>
        <w:p w14:paraId="5734DEA8" w14:textId="59E81E8D" w:rsidR="00F72856" w:rsidRDefault="00F72856" w:rsidP="7C6069B1">
          <w:pPr>
            <w:pStyle w:val="Header"/>
            <w:ind w:left="-115"/>
          </w:pPr>
        </w:p>
      </w:tc>
      <w:tc>
        <w:tcPr>
          <w:tcW w:w="4653" w:type="dxa"/>
        </w:tcPr>
        <w:p w14:paraId="4913064A" w14:textId="7869556A" w:rsidR="00F72856" w:rsidRDefault="00F72856" w:rsidP="7C6069B1">
          <w:pPr>
            <w:pStyle w:val="Header"/>
            <w:jc w:val="center"/>
          </w:pPr>
        </w:p>
      </w:tc>
      <w:tc>
        <w:tcPr>
          <w:tcW w:w="4653" w:type="dxa"/>
        </w:tcPr>
        <w:p w14:paraId="6013E28C" w14:textId="0ECE8562" w:rsidR="00F72856" w:rsidRDefault="00F72856" w:rsidP="7C6069B1">
          <w:pPr>
            <w:pStyle w:val="Header"/>
            <w:ind w:right="-115"/>
            <w:jc w:val="right"/>
          </w:pPr>
        </w:p>
      </w:tc>
    </w:tr>
  </w:tbl>
  <w:p w14:paraId="75A8502B" w14:textId="6270BCF2" w:rsidR="00F72856" w:rsidRDefault="00F72856" w:rsidP="7C6069B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2847F6E5" w14:textId="77777777" w:rsidTr="7C6069B1">
      <w:tc>
        <w:tcPr>
          <w:tcW w:w="3063" w:type="dxa"/>
        </w:tcPr>
        <w:p w14:paraId="4AA2C907" w14:textId="21275E88" w:rsidR="00F72856" w:rsidRDefault="00F72856" w:rsidP="7C6069B1">
          <w:pPr>
            <w:pStyle w:val="Header"/>
            <w:ind w:left="-115"/>
          </w:pPr>
        </w:p>
      </w:tc>
      <w:tc>
        <w:tcPr>
          <w:tcW w:w="3063" w:type="dxa"/>
        </w:tcPr>
        <w:p w14:paraId="689207B0" w14:textId="57B05C43" w:rsidR="00F72856" w:rsidRDefault="00F72856" w:rsidP="7C6069B1">
          <w:pPr>
            <w:pStyle w:val="Header"/>
            <w:jc w:val="center"/>
          </w:pPr>
        </w:p>
      </w:tc>
      <w:tc>
        <w:tcPr>
          <w:tcW w:w="3063" w:type="dxa"/>
        </w:tcPr>
        <w:p w14:paraId="7E58E4B6" w14:textId="0742FD18" w:rsidR="00F72856" w:rsidRDefault="00F72856" w:rsidP="7C6069B1">
          <w:pPr>
            <w:pStyle w:val="Header"/>
            <w:ind w:right="-115"/>
            <w:jc w:val="right"/>
          </w:pPr>
        </w:p>
      </w:tc>
    </w:tr>
  </w:tbl>
  <w:p w14:paraId="7DEA6763" w14:textId="25017728" w:rsidR="00F72856" w:rsidRDefault="00F72856" w:rsidP="7C6069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87A41" w14:paraId="72BBB5A7" w14:textId="77777777" w:rsidTr="7C6069B1">
      <w:tc>
        <w:tcPr>
          <w:tcW w:w="4653" w:type="dxa"/>
        </w:tcPr>
        <w:p w14:paraId="1BB4354D" w14:textId="10A2D9F4" w:rsidR="00F87A41" w:rsidRDefault="00F87A41" w:rsidP="7C6069B1">
          <w:pPr>
            <w:pStyle w:val="Header"/>
            <w:ind w:left="-115"/>
          </w:pPr>
        </w:p>
      </w:tc>
      <w:tc>
        <w:tcPr>
          <w:tcW w:w="4653" w:type="dxa"/>
        </w:tcPr>
        <w:p w14:paraId="2A27933C" w14:textId="3306717B" w:rsidR="00F87A41" w:rsidRDefault="00F87A41" w:rsidP="7C6069B1">
          <w:pPr>
            <w:pStyle w:val="Header"/>
            <w:jc w:val="center"/>
          </w:pPr>
        </w:p>
      </w:tc>
      <w:tc>
        <w:tcPr>
          <w:tcW w:w="4653" w:type="dxa"/>
        </w:tcPr>
        <w:p w14:paraId="3E66DDCB" w14:textId="15270F87" w:rsidR="00F87A41" w:rsidRDefault="00F87A41" w:rsidP="7C6069B1">
          <w:pPr>
            <w:pStyle w:val="Header"/>
            <w:ind w:right="-115"/>
            <w:jc w:val="right"/>
          </w:pPr>
        </w:p>
      </w:tc>
    </w:tr>
  </w:tbl>
  <w:p w14:paraId="6ACD2593" w14:textId="0C2910A1" w:rsidR="00F87A41" w:rsidRDefault="00F87A41" w:rsidP="7C6069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79FBDA24" w14:textId="77777777" w:rsidTr="7C6069B1">
      <w:tc>
        <w:tcPr>
          <w:tcW w:w="4653" w:type="dxa"/>
        </w:tcPr>
        <w:p w14:paraId="2F59BBB8" w14:textId="66031A61" w:rsidR="00F72856" w:rsidRDefault="00F72856" w:rsidP="7C6069B1">
          <w:pPr>
            <w:pStyle w:val="Header"/>
            <w:ind w:left="-115"/>
          </w:pPr>
        </w:p>
      </w:tc>
      <w:tc>
        <w:tcPr>
          <w:tcW w:w="4653" w:type="dxa"/>
        </w:tcPr>
        <w:p w14:paraId="03CA3E38" w14:textId="234492BE" w:rsidR="00F72856" w:rsidRDefault="00F72856" w:rsidP="7C6069B1">
          <w:pPr>
            <w:pStyle w:val="Header"/>
            <w:jc w:val="center"/>
          </w:pPr>
        </w:p>
      </w:tc>
      <w:tc>
        <w:tcPr>
          <w:tcW w:w="4653" w:type="dxa"/>
        </w:tcPr>
        <w:p w14:paraId="13BA3DD5" w14:textId="0E9F858F" w:rsidR="00F72856" w:rsidRDefault="00F72856" w:rsidP="7C6069B1">
          <w:pPr>
            <w:pStyle w:val="Header"/>
            <w:ind w:right="-115"/>
            <w:jc w:val="right"/>
          </w:pPr>
        </w:p>
      </w:tc>
    </w:tr>
  </w:tbl>
  <w:p w14:paraId="50B59C12" w14:textId="72F4DFE9" w:rsidR="00F72856" w:rsidRDefault="00F72856" w:rsidP="7C6069B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363D350E" w14:textId="77777777" w:rsidTr="7C6069B1">
      <w:tc>
        <w:tcPr>
          <w:tcW w:w="4653" w:type="dxa"/>
        </w:tcPr>
        <w:p w14:paraId="389E83BA" w14:textId="5326E3BB" w:rsidR="00F72856" w:rsidRDefault="00F72856" w:rsidP="7C6069B1">
          <w:pPr>
            <w:pStyle w:val="Header"/>
            <w:ind w:left="-115"/>
          </w:pPr>
        </w:p>
      </w:tc>
      <w:tc>
        <w:tcPr>
          <w:tcW w:w="4653" w:type="dxa"/>
        </w:tcPr>
        <w:p w14:paraId="6991255F" w14:textId="14CDA7D1" w:rsidR="00F72856" w:rsidRDefault="00F72856" w:rsidP="7C6069B1">
          <w:pPr>
            <w:pStyle w:val="Header"/>
            <w:jc w:val="center"/>
          </w:pPr>
        </w:p>
      </w:tc>
      <w:tc>
        <w:tcPr>
          <w:tcW w:w="4653" w:type="dxa"/>
        </w:tcPr>
        <w:p w14:paraId="7168A5EF" w14:textId="5ADFE173" w:rsidR="00F72856" w:rsidRDefault="00F72856" w:rsidP="7C6069B1">
          <w:pPr>
            <w:pStyle w:val="Header"/>
            <w:ind w:right="-115"/>
            <w:jc w:val="right"/>
          </w:pPr>
        </w:p>
      </w:tc>
    </w:tr>
  </w:tbl>
  <w:p w14:paraId="6805A66B" w14:textId="39EC77AD" w:rsidR="00F72856" w:rsidRDefault="00F72856" w:rsidP="7C6069B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0F72856" w14:paraId="53AF8B42" w14:textId="77777777" w:rsidTr="7C6069B1">
      <w:tc>
        <w:tcPr>
          <w:tcW w:w="3110" w:type="dxa"/>
        </w:tcPr>
        <w:p w14:paraId="33FC8923" w14:textId="61720002" w:rsidR="00F72856" w:rsidRDefault="00F72856" w:rsidP="7C6069B1">
          <w:pPr>
            <w:pStyle w:val="Header"/>
            <w:ind w:left="-115"/>
          </w:pPr>
        </w:p>
      </w:tc>
      <w:tc>
        <w:tcPr>
          <w:tcW w:w="3110" w:type="dxa"/>
        </w:tcPr>
        <w:p w14:paraId="712AAAC4" w14:textId="3724C334" w:rsidR="00F72856" w:rsidRDefault="00F72856" w:rsidP="7C6069B1">
          <w:pPr>
            <w:pStyle w:val="Header"/>
            <w:jc w:val="center"/>
          </w:pPr>
        </w:p>
      </w:tc>
      <w:tc>
        <w:tcPr>
          <w:tcW w:w="3110" w:type="dxa"/>
        </w:tcPr>
        <w:p w14:paraId="0F18D550" w14:textId="4DEFD6BA" w:rsidR="00F72856" w:rsidRDefault="00F72856" w:rsidP="7C6069B1">
          <w:pPr>
            <w:pStyle w:val="Header"/>
            <w:ind w:right="-115"/>
            <w:jc w:val="right"/>
          </w:pPr>
        </w:p>
      </w:tc>
    </w:tr>
  </w:tbl>
  <w:p w14:paraId="66E2FD55" w14:textId="75797624" w:rsidR="00F72856" w:rsidRDefault="00F72856" w:rsidP="7C6069B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1F561CAD" w14:textId="77777777" w:rsidTr="7C6069B1">
      <w:tc>
        <w:tcPr>
          <w:tcW w:w="4653" w:type="dxa"/>
        </w:tcPr>
        <w:p w14:paraId="37C38B8A" w14:textId="3E09112D" w:rsidR="00F72856" w:rsidRDefault="00F72856" w:rsidP="7C6069B1">
          <w:pPr>
            <w:pStyle w:val="Header"/>
            <w:ind w:left="-115"/>
          </w:pPr>
        </w:p>
      </w:tc>
      <w:tc>
        <w:tcPr>
          <w:tcW w:w="4653" w:type="dxa"/>
        </w:tcPr>
        <w:p w14:paraId="283F5850" w14:textId="48896ABD" w:rsidR="00F72856" w:rsidRDefault="00F72856" w:rsidP="7C6069B1">
          <w:pPr>
            <w:pStyle w:val="Header"/>
            <w:jc w:val="center"/>
          </w:pPr>
        </w:p>
      </w:tc>
      <w:tc>
        <w:tcPr>
          <w:tcW w:w="4653" w:type="dxa"/>
        </w:tcPr>
        <w:p w14:paraId="5AEED590" w14:textId="7D13E4FB" w:rsidR="00F72856" w:rsidRDefault="00F72856" w:rsidP="7C6069B1">
          <w:pPr>
            <w:pStyle w:val="Header"/>
            <w:ind w:right="-115"/>
            <w:jc w:val="right"/>
          </w:pPr>
        </w:p>
      </w:tc>
    </w:tr>
  </w:tbl>
  <w:p w14:paraId="40842AED" w14:textId="2837C247" w:rsidR="00F72856" w:rsidRDefault="00F72856" w:rsidP="7C6069B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733917B8" w14:textId="77777777" w:rsidTr="7C6069B1">
      <w:tc>
        <w:tcPr>
          <w:tcW w:w="4653" w:type="dxa"/>
        </w:tcPr>
        <w:p w14:paraId="41E76C8B" w14:textId="0F13877C" w:rsidR="00F72856" w:rsidRDefault="00F72856" w:rsidP="7C6069B1">
          <w:pPr>
            <w:pStyle w:val="Header"/>
            <w:ind w:left="-115"/>
          </w:pPr>
        </w:p>
      </w:tc>
      <w:tc>
        <w:tcPr>
          <w:tcW w:w="4653" w:type="dxa"/>
        </w:tcPr>
        <w:p w14:paraId="39EE81F1" w14:textId="07CDE2E2" w:rsidR="00F72856" w:rsidRDefault="00F72856" w:rsidP="7C6069B1">
          <w:pPr>
            <w:pStyle w:val="Header"/>
            <w:jc w:val="center"/>
          </w:pPr>
        </w:p>
      </w:tc>
      <w:tc>
        <w:tcPr>
          <w:tcW w:w="4653" w:type="dxa"/>
        </w:tcPr>
        <w:p w14:paraId="3EF446D6" w14:textId="1FCAA8E7" w:rsidR="00F72856" w:rsidRDefault="00F72856" w:rsidP="7C6069B1">
          <w:pPr>
            <w:pStyle w:val="Header"/>
            <w:ind w:right="-115"/>
            <w:jc w:val="right"/>
          </w:pPr>
        </w:p>
      </w:tc>
    </w:tr>
  </w:tbl>
  <w:p w14:paraId="62887FAD" w14:textId="0211ED98" w:rsidR="00F72856" w:rsidRDefault="00F72856" w:rsidP="7C6069B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1FCD936A" w14:textId="77777777" w:rsidTr="7C6069B1">
      <w:tc>
        <w:tcPr>
          <w:tcW w:w="3063" w:type="dxa"/>
        </w:tcPr>
        <w:p w14:paraId="10588F7C" w14:textId="3EEAA763" w:rsidR="00F72856" w:rsidRDefault="00F72856" w:rsidP="7C6069B1">
          <w:pPr>
            <w:pStyle w:val="Header"/>
            <w:ind w:left="-115"/>
          </w:pPr>
        </w:p>
      </w:tc>
      <w:tc>
        <w:tcPr>
          <w:tcW w:w="3063" w:type="dxa"/>
        </w:tcPr>
        <w:p w14:paraId="68D6FC7A" w14:textId="2A204154" w:rsidR="00F72856" w:rsidRDefault="00F72856" w:rsidP="7C6069B1">
          <w:pPr>
            <w:pStyle w:val="Header"/>
            <w:jc w:val="center"/>
          </w:pPr>
        </w:p>
      </w:tc>
      <w:tc>
        <w:tcPr>
          <w:tcW w:w="3063" w:type="dxa"/>
        </w:tcPr>
        <w:p w14:paraId="75CE6073" w14:textId="52092C83" w:rsidR="00F72856" w:rsidRDefault="00F72856" w:rsidP="7C6069B1">
          <w:pPr>
            <w:pStyle w:val="Header"/>
            <w:ind w:right="-115"/>
            <w:jc w:val="right"/>
          </w:pPr>
        </w:p>
      </w:tc>
    </w:tr>
  </w:tbl>
  <w:p w14:paraId="3CB2D3F9" w14:textId="52BD55F8" w:rsidR="00F72856" w:rsidRDefault="00F72856" w:rsidP="7C6069B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3F9B12A3" w14:textId="77777777" w:rsidTr="7C6069B1">
      <w:tc>
        <w:tcPr>
          <w:tcW w:w="4653" w:type="dxa"/>
        </w:tcPr>
        <w:p w14:paraId="34FC0E57" w14:textId="0CD7EB10" w:rsidR="00F72856" w:rsidRDefault="00F72856" w:rsidP="7C6069B1">
          <w:pPr>
            <w:pStyle w:val="Header"/>
            <w:ind w:left="-115"/>
          </w:pPr>
        </w:p>
      </w:tc>
      <w:tc>
        <w:tcPr>
          <w:tcW w:w="4653" w:type="dxa"/>
        </w:tcPr>
        <w:p w14:paraId="2C0D8288" w14:textId="0440C497" w:rsidR="00F72856" w:rsidRDefault="00F72856" w:rsidP="7C6069B1">
          <w:pPr>
            <w:pStyle w:val="Header"/>
            <w:jc w:val="center"/>
          </w:pPr>
        </w:p>
      </w:tc>
      <w:tc>
        <w:tcPr>
          <w:tcW w:w="4653" w:type="dxa"/>
        </w:tcPr>
        <w:p w14:paraId="4318A739" w14:textId="11568D13" w:rsidR="00F72856" w:rsidRDefault="00F72856" w:rsidP="7C6069B1">
          <w:pPr>
            <w:pStyle w:val="Header"/>
            <w:ind w:right="-115"/>
            <w:jc w:val="right"/>
          </w:pPr>
        </w:p>
      </w:tc>
    </w:tr>
  </w:tbl>
  <w:p w14:paraId="401B81DD" w14:textId="06B490F3" w:rsidR="00F72856" w:rsidRDefault="00F72856" w:rsidP="7C6069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624057" w14:textId="77777777" w:rsidR="00564C73" w:rsidRDefault="00564C73" w:rsidP="0027463C">
      <w:r>
        <w:separator/>
      </w:r>
    </w:p>
  </w:footnote>
  <w:footnote w:type="continuationSeparator" w:id="0">
    <w:p w14:paraId="7BCD556F" w14:textId="77777777" w:rsidR="00564C73" w:rsidRDefault="00564C73" w:rsidP="0027463C">
      <w:r>
        <w:continuationSeparator/>
      </w:r>
    </w:p>
  </w:footnote>
  <w:footnote w:type="continuationNotice" w:id="1">
    <w:p w14:paraId="11BBA5DD" w14:textId="77777777" w:rsidR="00564C73" w:rsidRDefault="00564C73"/>
  </w:footnote>
  <w:footnote w:id="2">
    <w:p w14:paraId="6CBF127F" w14:textId="7B9A9053" w:rsidR="00F87A41" w:rsidRDefault="00F87A41" w:rsidP="00AE73A7">
      <w:pPr>
        <w:pStyle w:val="FootnoteText"/>
        <w:jc w:val="both"/>
      </w:pPr>
      <w:r>
        <w:rPr>
          <w:rStyle w:val="FootnoteReference"/>
        </w:rPr>
        <w:footnoteRef/>
      </w:r>
      <w:r>
        <w:t xml:space="preserve"> The market is considered as ‘hot’ by contrasting the moving average MA(4) of the volume of IPOs in each quarter with the historic average of volume of IPOs in all prior quarters from 1975 (</w:t>
      </w:r>
      <w:proofErr w:type="spellStart"/>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w:t>
      </w:r>
      <w:proofErr w:type="spellEnd"/>
      <w:r>
        <w:rPr>
          <w:noProof/>
        </w:rPr>
        <w:t xml:space="preserve"> et al.; 2017)</w:t>
      </w:r>
      <w:r>
        <w:fldChar w:fldCharType="end"/>
      </w:r>
      <w:r>
        <w:t xml:space="preserve"> . If this moving average is 50% higher than above the historical average, the market is categorized as hot.</w:t>
      </w:r>
    </w:p>
  </w:footnote>
  <w:footnote w:id="3">
    <w:p w14:paraId="78A17AD9" w14:textId="77777777" w:rsidR="00F87A41" w:rsidRDefault="00F87A41" w:rsidP="004C543F">
      <w:pPr>
        <w:pStyle w:val="FootnoteText"/>
        <w:jc w:val="both"/>
      </w:pPr>
      <w:r w:rsidRPr="00EC26CF">
        <w:rPr>
          <w:rStyle w:val="FootnoteReference"/>
        </w:rPr>
        <w:footnoteRef/>
      </w:r>
      <w:r>
        <w:t xml:space="preserve"> </w:t>
      </w:r>
      <w:r w:rsidRPr="00F72856">
        <w:t>After the dot-come bubble collapse in 2000, Sarbanes- Oxley and other regulations have introduced which leads to prohibitive compliance costs on emerging growth companies going public regarding money and time wasted (Keating, 2012)</w:t>
      </w:r>
    </w:p>
  </w:footnote>
  <w:footnote w:id="4">
    <w:p w14:paraId="5CA03976" w14:textId="77777777" w:rsidR="00F87A41" w:rsidRDefault="00F87A41" w:rsidP="00DE0368">
      <w:pPr>
        <w:pStyle w:val="FootnoteText"/>
        <w:jc w:val="both"/>
      </w:pPr>
      <w:r w:rsidRPr="0039468F">
        <w:rPr>
          <w:rStyle w:val="FootnoteReference"/>
        </w:rPr>
        <w:footnoteRef/>
      </w:r>
      <w:r>
        <w:t xml:space="preserve"> The market is considered</w:t>
      </w:r>
      <w:r w:rsidRPr="00A44B14">
        <w:t xml:space="preserve"> as ‘hot’ by </w:t>
      </w:r>
      <w:r>
        <w:t>contrasting</w:t>
      </w:r>
      <w:r w:rsidRPr="00A44B14">
        <w:t xml:space="preserve"> the moving average MA(4) of the </w:t>
      </w:r>
      <w:r>
        <w:t xml:space="preserve">volume </w:t>
      </w:r>
      <w:r w:rsidRPr="00A44B14">
        <w:t xml:space="preserve">of IPOs in each quarter with the historic average of </w:t>
      </w:r>
      <w:r>
        <w:t xml:space="preserve">volume </w:t>
      </w:r>
      <w:r w:rsidRPr="00A44B14">
        <w:t xml:space="preserve">of IPOs in all </w:t>
      </w:r>
      <w:r>
        <w:t>prior</w:t>
      </w:r>
      <w:r w:rsidRPr="00A44B14">
        <w:t xml:space="preserve"> quarters from 1975</w:t>
      </w:r>
      <w:r>
        <w:t xml:space="preserve"> (</w:t>
      </w:r>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 xml:space="preserve">Colaco et al.; </w:t>
      </w:r>
      <w:r w:rsidRPr="00667A16">
        <w:rPr>
          <w:noProof/>
        </w:rPr>
        <w:t>2017)</w:t>
      </w:r>
      <w:r>
        <w:fldChar w:fldCharType="end"/>
      </w:r>
      <w:r>
        <w:t xml:space="preserve"> </w:t>
      </w:r>
      <w:r w:rsidRPr="00A44B14">
        <w:t>. If this moving average is</w:t>
      </w:r>
      <w:r>
        <w:t xml:space="preserve"> 50% higher than</w:t>
      </w:r>
      <w:r w:rsidRPr="00A44B14">
        <w:t xml:space="preserve"> above the historical average, </w:t>
      </w:r>
      <w:r>
        <w:t>the market</w:t>
      </w:r>
      <w:r w:rsidRPr="00A44B14">
        <w:t xml:space="preserve"> is </w:t>
      </w:r>
      <w:r>
        <w:t>categorized</w:t>
      </w:r>
      <w:r w:rsidRPr="00A44B14">
        <w:t xml:space="preserve"> as hot.</w:t>
      </w:r>
    </w:p>
  </w:footnote>
  <w:footnote w:id="5">
    <w:p w14:paraId="4B61467E" w14:textId="382F9088" w:rsidR="00F72856" w:rsidRDefault="00F72856" w:rsidP="00375BA9">
      <w:pPr>
        <w:pStyle w:val="FootnoteText"/>
        <w:jc w:val="both"/>
      </w:pPr>
      <w:r w:rsidRPr="00EC26CF">
        <w:rPr>
          <w:rStyle w:val="FootnoteReference"/>
        </w:rPr>
        <w:footnoteRef/>
      </w:r>
      <w:r>
        <w:t xml:space="preserve"> </w:t>
      </w:r>
      <w:r w:rsidRPr="00337B13">
        <w:t xml:space="preserve">The SEC started publishing </w:t>
      </w:r>
      <w:r>
        <w:t xml:space="preserve">the IPO firms’ filings and the SEC </w:t>
      </w:r>
      <w:r w:rsidRPr="00337B13">
        <w:t xml:space="preserve">comment letters from 12 </w:t>
      </w:r>
      <w:proofErr w:type="gramStart"/>
      <w:r w:rsidRPr="00337B13">
        <w:t>May,</w:t>
      </w:r>
      <w:proofErr w:type="gramEnd"/>
      <w:r w:rsidRPr="00337B13">
        <w:t xml:space="preserve"> </w:t>
      </w:r>
      <w:r w:rsidR="00F87A41">
        <w:t>2005</w:t>
      </w:r>
    </w:p>
  </w:footnote>
  <w:footnote w:id="6">
    <w:p w14:paraId="2B6E15D0" w14:textId="0C25E4F2" w:rsidR="00F72856" w:rsidRDefault="00F72856" w:rsidP="00375BA9">
      <w:pPr>
        <w:pStyle w:val="FootnoteText"/>
        <w:jc w:val="both"/>
      </w:pPr>
      <w:r w:rsidRPr="00EC26CF">
        <w:rPr>
          <w:rStyle w:val="FootnoteReference"/>
        </w:rPr>
        <w:footnoteRef/>
      </w:r>
      <w:r>
        <w:t xml:space="preserve"> </w:t>
      </w:r>
      <w:r w:rsidRPr="00337B13">
        <w:t xml:space="preserve">Electronic Data Gathering, Analysis, and Retrieval </w:t>
      </w:r>
      <w:r>
        <w:t>(EDGAR) database is developed by the U.S SEC which contains public firms’ filings required by the SEC, the SEC comment letters and the firms’ correspondence.</w:t>
      </w:r>
    </w:p>
  </w:footnote>
  <w:footnote w:id="7">
    <w:p w14:paraId="6069F371" w14:textId="07CCF828" w:rsidR="00F72856" w:rsidRDefault="00F72856" w:rsidP="00CA4AAD">
      <w:pPr>
        <w:pStyle w:val="FootnoteText"/>
      </w:pPr>
      <w:r w:rsidRPr="00EC26CF">
        <w:rPr>
          <w:rStyle w:val="FootnoteReference"/>
        </w:rPr>
        <w:footnoteRef/>
      </w:r>
      <w:r w:rsidR="00F87A41">
        <w:t xml:space="preserve">  See </w:t>
      </w:r>
      <w:hyperlink r:id="rId1" w:history="1">
        <w:r w:rsidRPr="002449E9">
          <w:rPr>
            <w:rStyle w:val="Hyperlink"/>
          </w:rPr>
          <w:t>https://www.federalpay.org/employees/securities-and-exchange-commission</w:t>
        </w:r>
      </w:hyperlink>
      <w:r>
        <w:t xml:space="preserve"> </w:t>
      </w:r>
    </w:p>
  </w:footnote>
  <w:footnote w:id="8">
    <w:p w14:paraId="62A9750D" w14:textId="7F640B37" w:rsidR="00F87A41" w:rsidRDefault="00F87A41" w:rsidP="00375BA9">
      <w:pPr>
        <w:pStyle w:val="FootnoteText"/>
        <w:jc w:val="both"/>
      </w:pPr>
      <w:r>
        <w:rPr>
          <w:rStyle w:val="FootnoteReference"/>
        </w:rPr>
        <w:footnoteRef/>
      </w:r>
      <w:r>
        <w:t xml:space="preserve"> I examine the integrity of the filing date of S-1 and the effective date of IPOs by also manually collecting the data from EDGAR database for a sample of 300 IPO firms. I identify a similarity rate of 99.2% with the data collected from Thomson Reuters Eikon.</w:t>
      </w:r>
    </w:p>
    <w:p w14:paraId="3C0F2761" w14:textId="77777777" w:rsidR="00F87A41" w:rsidRDefault="00F87A41" w:rsidP="00EF2780">
      <w:pPr>
        <w:pStyle w:val="FootnoteText"/>
        <w:jc w:val="both"/>
      </w:pPr>
    </w:p>
  </w:footnote>
  <w:footnote w:id="9">
    <w:p w14:paraId="676E86A1" w14:textId="30F1A775" w:rsidR="00F87A41" w:rsidRDefault="00F87A41" w:rsidP="007A49E4">
      <w:pPr>
        <w:pStyle w:val="FootnoteText"/>
        <w:ind w:left="426" w:hanging="426"/>
      </w:pPr>
      <w:r>
        <w:rPr>
          <w:rStyle w:val="FootnoteReference"/>
        </w:rPr>
        <w:footnoteRef/>
      </w:r>
      <w:r>
        <w:t xml:space="preserve"> The SEC designates form type </w:t>
      </w:r>
      <w:proofErr w:type="gramStart"/>
      <w:r>
        <w:t>as  “</w:t>
      </w:r>
      <w:proofErr w:type="gramEnd"/>
      <w:r>
        <w:t xml:space="preserve">UPLOAD” for SEC-originated letters </w:t>
      </w:r>
    </w:p>
    <w:p w14:paraId="43FE4557" w14:textId="4B286319" w:rsidR="00F87A41" w:rsidRDefault="00F87A41" w:rsidP="007A49E4">
      <w:pPr>
        <w:pStyle w:val="FootnoteText"/>
        <w:ind w:left="142" w:hanging="142"/>
      </w:pPr>
      <w:r>
        <w:t xml:space="preserve">(See </w:t>
      </w:r>
      <w:hyperlink r:id="rId2" w:history="1">
        <w:r w:rsidRPr="00365910">
          <w:rPr>
            <w:rStyle w:val="Hyperlink"/>
          </w:rPr>
          <w:t>https://www.sec.gov/answers/edgarletters.htm</w:t>
        </w:r>
      </w:hyperlink>
      <w:r>
        <w:t xml:space="preserve"> )</w:t>
      </w:r>
    </w:p>
  </w:footnote>
  <w:footnote w:id="10">
    <w:p w14:paraId="0C28450A" w14:textId="56B6FA92" w:rsidR="00F87A41" w:rsidRDefault="00F87A41" w:rsidP="008518FE">
      <w:pPr>
        <w:pStyle w:val="FootnoteText"/>
        <w:jc w:val="both"/>
      </w:pPr>
      <w:r>
        <w:rPr>
          <w:rStyle w:val="FootnoteReference"/>
        </w:rPr>
        <w:footnoteRef/>
      </w:r>
      <w:r>
        <w:t xml:space="preserve"> In our sample, we have one SEC comment letter not addressing detailed comments </w:t>
      </w:r>
      <w:r>
        <w:rPr>
          <w:lang w:eastAsia="en-US"/>
        </w:rPr>
        <w:t xml:space="preserve">due to numerous </w:t>
      </w:r>
      <w:proofErr w:type="gramStart"/>
      <w:r>
        <w:rPr>
          <w:lang w:eastAsia="en-US"/>
        </w:rPr>
        <w:t>material</w:t>
      </w:r>
      <w:proofErr w:type="gramEnd"/>
      <w:r>
        <w:rPr>
          <w:lang w:eastAsia="en-US"/>
        </w:rPr>
        <w:t xml:space="preserve"> relating to compliance with the SEC regulations. </w:t>
      </w:r>
    </w:p>
  </w:footnote>
  <w:footnote w:id="11">
    <w:p w14:paraId="397A2791" w14:textId="5681488B" w:rsidR="00F87A41" w:rsidRDefault="00F87A41" w:rsidP="00CA4AAD">
      <w:pPr>
        <w:pStyle w:val="FootnoteText"/>
        <w:jc w:val="both"/>
      </w:pPr>
      <w:r w:rsidRPr="0039468F">
        <w:rPr>
          <w:rStyle w:val="FootnoteReference"/>
        </w:rPr>
        <w:footnoteRef/>
      </w:r>
      <w:r>
        <w:rPr>
          <w:vertAlign w:val="superscript"/>
        </w:rPr>
        <w:t>,</w:t>
      </w:r>
      <w:proofErr w:type="gramStart"/>
      <w:r>
        <w:rPr>
          <w:vertAlign w:val="superscript"/>
        </w:rPr>
        <w:t>9</w:t>
      </w:r>
      <w:r>
        <w:t xml:space="preserve">  The</w:t>
      </w:r>
      <w:proofErr w:type="gramEnd"/>
      <w:r>
        <w:t xml:space="preserve"> period of 2012-2017 is not included in the measure of these variables to mitigate the impact of JOBs Act</w:t>
      </w:r>
    </w:p>
  </w:footnote>
  <w:footnote w:id="12">
    <w:p w14:paraId="2F3F8400" w14:textId="77777777" w:rsidR="00F87A41" w:rsidRPr="0039468F" w:rsidRDefault="00F87A41">
      <w:pPr>
        <w:rPr>
          <w:rStyle w:val="FootnoteReference"/>
        </w:rPr>
      </w:pPr>
    </w:p>
    <w:p w14:paraId="7EB199CD" w14:textId="564C7B08" w:rsidR="00F87A41" w:rsidRDefault="00F87A41">
      <w:pPr>
        <w:pStyle w:val="FootnoteText"/>
      </w:pPr>
    </w:p>
  </w:footnote>
  <w:footnote w:id="13">
    <w:p w14:paraId="58AAAAD4" w14:textId="52FCD899" w:rsidR="00F87A41" w:rsidRDefault="00F87A41" w:rsidP="002E566B">
      <w:pPr>
        <w:pStyle w:val="FootnoteText"/>
        <w:jc w:val="both"/>
      </w:pPr>
      <w:r>
        <w:rPr>
          <w:rStyle w:val="FootnoteReference"/>
        </w:rPr>
        <w:footnoteRef/>
      </w:r>
      <w:r>
        <w:t xml:space="preserve"> The market is considered as ‘hot’ by contrasting the moving average MA(4) of the volume of IPOs in each quarter with the historic average of volume of IPOs in all prior quarters from 1975 (</w:t>
      </w:r>
      <w:r>
        <w:fldChar w:fldCharType="begin" w:fldLock="1"/>
      </w:r>
      <w:r>
        <w:instrText>ADDIN CSL_CITATION {"citationItems":[{"id":"ITEM-1","itemData":{"ISSN":"14664364","abstract":"The length of time it takes an IPO firm to go public (called “waiting period”) reflects multiple layers of scrutiny from underwriters, auditors, venture capitalists, institutional investors, and regulators. Accordingly, we show that the waiting period is a good barometer of ex ante uncertainty about future cash flows and that it has predictive power after the firm goes public. We find that firms marked by short waiting periods experience lower underpricing and less uncertainty and superior stock/operating performance in the aftermarket. We also report that smaller firms are taking longer to go public after Sarbanes-Oxley, thus providing justification for the 2012 JOBS Act.","author":[{"dropping-particle":"","family":"Colaco","given":"Hugh M.J.","non-dropping-particle":"","parse-names":false,"suffix":""},{"dropping-particle":"","family":"Cesari","given":"Amedeo","non-dropping-particle":"De","parse-names":false,"suffix":""},{"dropping-particle":"","family":"Hegde","given":"Shantaram P.","non-dropping-particle":"","parse-names":false,"suffix":""}],"container-title":"European Journal of Finance","id":"ITEM-1","issued":{"date-parts":[["2018"]]},"page":"1-34","publisher":"Taylor &amp; Francis","title":"The waiting period of initial public offerings","type":"article-journal","volume":"24"},"uris":["http://www.mendeley.com/documents/?uuid=95155c78-8a06-4b69-8eac-ece6fab1af7b"]}],"mendeley":{"formattedCitation":"(Colaco et al., 2018)","manualFormatting":"Colaco et al.; 2017)","plainTextFormattedCitation":"(Colaco et al., 2018)","previouslyFormattedCitation":"(Colaco et al., 2018)"},"properties":{"noteIndex":0},"schema":"https://github.com/citation-style-language/schema/raw/master/csl-citation.json"}</w:instrText>
      </w:r>
      <w:r>
        <w:fldChar w:fldCharType="separate"/>
      </w:r>
      <w:r>
        <w:rPr>
          <w:noProof/>
        </w:rPr>
        <w:t>Colaco et al.; 2017)</w:t>
      </w:r>
      <w:r>
        <w:fldChar w:fldCharType="end"/>
      </w:r>
      <w:r>
        <w:t xml:space="preserve"> . If this moving average is 50% higher than above the historical average, the market is categorized as hot.</w:t>
      </w:r>
    </w:p>
  </w:footnote>
  <w:footnote w:id="14">
    <w:p w14:paraId="112DCE3E" w14:textId="178AB387" w:rsidR="00F87A41" w:rsidRDefault="00F87A41" w:rsidP="004168EA">
      <w:pPr>
        <w:pStyle w:val="FootnoteText"/>
        <w:jc w:val="both"/>
      </w:pPr>
      <w:r>
        <w:rPr>
          <w:rStyle w:val="FootnoteReference"/>
        </w:rPr>
        <w:footnoteRef/>
      </w:r>
      <w:r>
        <w:t xml:space="preserve"> My sample do not include Office of Financial Services since I exclude IPO firms operating in financial industries as classified by two-digit SIC codes.</w:t>
      </w:r>
    </w:p>
  </w:footnote>
  <w:footnote w:id="15">
    <w:p w14:paraId="4DCDABBA" w14:textId="7AEAEC98" w:rsidR="00F72856" w:rsidRPr="0039248C" w:rsidRDefault="00F72856" w:rsidP="00586F10">
      <w:pPr>
        <w:pStyle w:val="FootnoteText"/>
        <w:jc w:val="both"/>
      </w:pPr>
      <w:r w:rsidRPr="00EC26CF">
        <w:rPr>
          <w:rStyle w:val="FootnoteReference"/>
        </w:rPr>
        <w:footnoteRef/>
      </w:r>
      <w:r>
        <w:t xml:space="preserve"> As for the continuous or discrete variables (including </w:t>
      </w:r>
      <w:r>
        <w:rPr>
          <w:i/>
        </w:rPr>
        <w:t xml:space="preserve">Size, </w:t>
      </w:r>
      <w:r w:rsidR="00F87A41">
        <w:rPr>
          <w:i/>
        </w:rPr>
        <w:t>Sales</w:t>
      </w:r>
      <w:r>
        <w:rPr>
          <w:i/>
        </w:rPr>
        <w:t xml:space="preserve"> growth, Leverage, BM, External financing, Firm age, Segments, </w:t>
      </w:r>
      <w:r w:rsidR="00F87A41">
        <w:rPr>
          <w:i/>
        </w:rPr>
        <w:t>Zscore</w:t>
      </w:r>
      <w:r>
        <w:rPr>
          <w:i/>
        </w:rPr>
        <w:t>, IPOs by industry, Herfindahl index)</w:t>
      </w:r>
      <w:r>
        <w:t xml:space="preserve">, I use median value rather than mean value to discuss the results in order to eliminate statistical noise caused by outliers. As for the binary variable (including </w:t>
      </w:r>
      <w:r>
        <w:rPr>
          <w:i/>
        </w:rPr>
        <w:t xml:space="preserve">Restructuring, M&amp;A firms, Positive earnings, </w:t>
      </w:r>
      <w:r w:rsidR="00F87A41">
        <w:rPr>
          <w:i/>
        </w:rPr>
        <w:t>CEOchairman</w:t>
      </w:r>
      <w:r>
        <w:rPr>
          <w:i/>
        </w:rPr>
        <w:t xml:space="preserve">, JOBs Act, Dodd Frank, Financial crisis, Regulated, Technology, Directors/Chief, Accountant), </w:t>
      </w:r>
      <w:r>
        <w:t>I use mean value to discuss the results.</w:t>
      </w:r>
    </w:p>
  </w:footnote>
  <w:footnote w:id="16">
    <w:p w14:paraId="7216A4CD" w14:textId="1C937225" w:rsidR="00F72856" w:rsidRDefault="00F72856" w:rsidP="00E04EEB">
      <w:pPr>
        <w:pStyle w:val="FootnoteText"/>
        <w:jc w:val="both"/>
      </w:pPr>
      <w:r w:rsidRPr="00EC26CF">
        <w:rPr>
          <w:rStyle w:val="FootnoteReference"/>
        </w:rPr>
        <w:footnoteRef/>
      </w:r>
      <w:r>
        <w:t xml:space="preserve"> I follow classification used by </w:t>
      </w:r>
      <w:r w:rsidRPr="0039248C">
        <w:t>Compustat to form</w:t>
      </w:r>
      <w:r>
        <w:t xml:space="preserve"> small-cap</w:t>
      </w:r>
      <w:r w:rsidRPr="0039248C">
        <w:t xml:space="preserve"> portfolios </w:t>
      </w:r>
      <w:r>
        <w:t xml:space="preserve">for U.S stocks. Particularly, the U.S stocks are classified as small-cap companies when they have the market capitalization between $300 million to $2 billion. </w:t>
      </w:r>
      <w:r w:rsidR="00F87A41">
        <w:fldChar w:fldCharType="begin" w:fldLock="1"/>
      </w:r>
      <w:r w:rsidR="00F87A41">
        <w:instrText>ADDIN CSL_CITATION {"citationItems":[{"id":"ITEM-1","itemData":{"URL":"https://www.investopedia.com/video/play/small-cap-stock/","accessed":{"date-parts":[["2019","4","19"]]},"author":[{"dropping-particle":"","family":"Investopedia.com","given":"","non-dropping-particle":"","parse-names":false,"suffix":""}],"container-title":"Investopedia","id":"ITEM-1","issued":{"date-parts":[["2018"]]},"title":"Small Cap Stock","type":"webpage"},"uris":["http://www.mendeley.com/documents/?uuid=d3bb2415-f32f-4a7c-968b-9b84943419ec"]}],"mendeley":{"formattedCitation":"(Investopedia.com, 2018)","manualFormatting":"Investiopia.com (2018)","plainTextFormattedCitation":"(Investopedia.com, 2018)","previouslyFormattedCitation":"(Investopedia.com, 2018)"},"properties":{"noteIndex":0},"schema":"https://github.com/citation-style-language/schema/raw/master/csl-citation.json"}</w:instrText>
      </w:r>
      <w:r w:rsidR="00F87A41">
        <w:fldChar w:fldCharType="separate"/>
      </w:r>
      <w:r w:rsidR="00F87A41">
        <w:rPr>
          <w:noProof/>
        </w:rPr>
        <w:t>Investiopia.com (</w:t>
      </w:r>
      <w:r w:rsidR="00F87A41" w:rsidRPr="00587B26">
        <w:rPr>
          <w:noProof/>
        </w:rPr>
        <w:t>2018)</w:t>
      </w:r>
      <w:r w:rsidR="00F87A41">
        <w:fldChar w:fldCharType="end"/>
      </w:r>
      <w:r w:rsidR="00F87A41">
        <w:t xml:space="preserve"> also suggest the same classification of the U.S  small-cap stocks</w:t>
      </w:r>
    </w:p>
  </w:footnote>
  <w:footnote w:id="17">
    <w:p w14:paraId="2CC41D9C" w14:textId="3138DF8A" w:rsidR="00F87A41" w:rsidRPr="002F1ACA" w:rsidRDefault="00F87A41" w:rsidP="000504DB">
      <w:pPr>
        <w:pStyle w:val="FootnoteText"/>
        <w:jc w:val="both"/>
      </w:pPr>
      <w:r>
        <w:rPr>
          <w:rStyle w:val="FootnoteReference"/>
        </w:rPr>
        <w:footnoteRef/>
      </w:r>
      <w:r>
        <w:t xml:space="preserve"> </w:t>
      </w:r>
      <w:r w:rsidRPr="002F1ACA">
        <w:t xml:space="preserve">However,  it is also worth noting that univariate regressions reveal negative effects of </w:t>
      </w:r>
      <w:r w:rsidRPr="002F1ACA">
        <w:rPr>
          <w:i/>
        </w:rPr>
        <w:t>External financing</w:t>
      </w:r>
      <w:r w:rsidRPr="002F1ACA">
        <w:t xml:space="preserve"> on all three SEC review attributes which support arguments that disclosure quality and reporting compliance are higher when companies previously issued debt or equity securities (Ettredge et al., 2011), hence, the degree of SEC review could be less intense for these firms.</w:t>
      </w:r>
    </w:p>
  </w:footnote>
  <w:footnote w:id="18">
    <w:p w14:paraId="7CC02C57" w14:textId="1C0EE8A2" w:rsidR="00F87A41" w:rsidRPr="002F1ACA" w:rsidRDefault="00F87A41" w:rsidP="000504DB">
      <w:pPr>
        <w:pStyle w:val="FootnoteText"/>
        <w:jc w:val="both"/>
      </w:pPr>
      <w:r>
        <w:rPr>
          <w:rStyle w:val="FootnoteReference"/>
        </w:rPr>
        <w:footnoteRef/>
      </w:r>
      <w:r>
        <w:t xml:space="preserve"> Nevertheless, it is worth noting that </w:t>
      </w:r>
      <w:r w:rsidRPr="002F1ACA">
        <w:t xml:space="preserve">univariate regressions reveal positive effects of </w:t>
      </w:r>
      <w:r w:rsidRPr="002F1ACA">
        <w:rPr>
          <w:i/>
        </w:rPr>
        <w:t>Firm age</w:t>
      </w:r>
      <w:r w:rsidRPr="002F1ACA">
        <w:t xml:space="preserve"> on </w:t>
      </w:r>
      <w:r>
        <w:t xml:space="preserve">all SEC review attributes, which is consistent with the expectation that </w:t>
      </w:r>
      <w:r w:rsidRPr="002F1ACA">
        <w:t>Company complexity is higher for the older firm, who may have lower reporting quality and hence attract more SEC scrutiny (Cassell et</w:t>
      </w:r>
      <w:r>
        <w:t xml:space="preserve"> al., 2013; Heese et al., 2017)</w:t>
      </w:r>
    </w:p>
  </w:footnote>
  <w:footnote w:id="19">
    <w:p w14:paraId="24D8BA33" w14:textId="188091A5" w:rsidR="00F87A41" w:rsidRPr="000504DB" w:rsidRDefault="00F87A41" w:rsidP="000504DB">
      <w:pPr>
        <w:pStyle w:val="FootnoteText"/>
        <w:jc w:val="both"/>
      </w:pPr>
      <w:r>
        <w:rPr>
          <w:rStyle w:val="FootnoteReference"/>
        </w:rPr>
        <w:footnoteRef/>
      </w:r>
      <w:r>
        <w:t xml:space="preserve"> Univariate</w:t>
      </w:r>
      <w:r w:rsidRPr="000504DB">
        <w:t xml:space="preserve"> regressions reveal negative effects of </w:t>
      </w:r>
      <w:r w:rsidRPr="000504DB">
        <w:rPr>
          <w:i/>
        </w:rPr>
        <w:t xml:space="preserve">Zscore </w:t>
      </w:r>
      <w:r w:rsidRPr="000504DB">
        <w:t xml:space="preserve">on </w:t>
      </w:r>
      <w:r w:rsidRPr="000504DB">
        <w:rPr>
          <w:i/>
        </w:rPr>
        <w:t>Duration</w:t>
      </w:r>
      <w:r w:rsidRPr="000504DB">
        <w:t xml:space="preserve"> and </w:t>
      </w:r>
      <w:r w:rsidRPr="000504DB">
        <w:rPr>
          <w:i/>
        </w:rPr>
        <w:t>Letters</w:t>
      </w:r>
      <w:r w:rsidRPr="000504DB">
        <w:t xml:space="preserve"> </w:t>
      </w:r>
      <w:r>
        <w:t xml:space="preserve">which is in agreement with expectation that </w:t>
      </w:r>
      <w:r>
        <w:rPr>
          <w:lang w:eastAsia="en-US"/>
        </w:rPr>
        <w:t xml:space="preserve">financial-distressed firms </w:t>
      </w:r>
      <w:r w:rsidRPr="000912EF">
        <w:rPr>
          <w:lang w:eastAsia="en-US"/>
        </w:rPr>
        <w:t>are more likely to be noncomplian</w:t>
      </w:r>
      <w:r>
        <w:rPr>
          <w:lang w:eastAsia="en-US"/>
        </w:rPr>
        <w:t>t with GAAP (</w:t>
      </w:r>
      <w:r w:rsidRPr="000912EF">
        <w:rPr>
          <w:lang w:eastAsia="en-US"/>
        </w:rPr>
        <w:t>Dechow et al. 1996</w:t>
      </w:r>
      <w:r>
        <w:rPr>
          <w:lang w:eastAsia="en-US"/>
        </w:rPr>
        <w:t>; Brazel et al. 2009</w:t>
      </w:r>
      <w:r w:rsidRPr="000912EF">
        <w:rPr>
          <w:lang w:eastAsia="en-US"/>
        </w:rPr>
        <w:t>), hence, the degree of SEC review could be more intense for these firms</w:t>
      </w:r>
      <w:r>
        <w:rPr>
          <w:lang w:eastAsia="en-US"/>
        </w:rPr>
        <w:t xml:space="preserve"> </w:t>
      </w:r>
      <w:r>
        <w:t>Hesse et al. (2017).</w:t>
      </w:r>
    </w:p>
  </w:footnote>
  <w:footnote w:id="20">
    <w:p w14:paraId="1DDB17F6" w14:textId="5B2C65AB" w:rsidR="00F87A41" w:rsidRPr="000504DB" w:rsidRDefault="00F87A41" w:rsidP="000504DB">
      <w:pPr>
        <w:pStyle w:val="FootnoteText"/>
        <w:jc w:val="both"/>
      </w:pPr>
      <w:r>
        <w:rPr>
          <w:rStyle w:val="FootnoteReference"/>
        </w:rPr>
        <w:footnoteRef/>
      </w:r>
      <w:r>
        <w:t xml:space="preserve"> </w:t>
      </w:r>
      <w:r w:rsidRPr="000504DB">
        <w:t xml:space="preserve">Non-parametric univariate analysis reveals negative effect of </w:t>
      </w:r>
      <w:r w:rsidRPr="000504DB">
        <w:rPr>
          <w:i/>
        </w:rPr>
        <w:t>Big 4</w:t>
      </w:r>
      <w:r w:rsidRPr="000504DB">
        <w:t xml:space="preserve"> on </w:t>
      </w:r>
      <w:r w:rsidRPr="000504DB">
        <w:rPr>
          <w:i/>
        </w:rPr>
        <w:t>Duration</w:t>
      </w:r>
      <w:r>
        <w:rPr>
          <w:i/>
        </w:rPr>
        <w:t>,</w:t>
      </w:r>
      <w:r w:rsidRPr="000504DB">
        <w:t xml:space="preserve"> which is in line with the argument that larger auditors provide higher quality audits which increase the reporting quality ( DeAngelo, 1981; Becker et al.,1998; Boone et al. , 2010), suggesting a lower degree of the SEC review (Johnston &amp; Petacchi, 2017).</w:t>
      </w:r>
    </w:p>
  </w:footnote>
  <w:footnote w:id="21">
    <w:p w14:paraId="201A7F5D" w14:textId="10B060F2" w:rsidR="00F87A41" w:rsidRPr="004B7A43" w:rsidRDefault="00F87A41" w:rsidP="004B7A43">
      <w:pPr>
        <w:pStyle w:val="FootnoteText"/>
        <w:jc w:val="both"/>
      </w:pPr>
      <w:r>
        <w:rPr>
          <w:rStyle w:val="FootnoteReference"/>
        </w:rPr>
        <w:footnoteRef/>
      </w:r>
      <w:r>
        <w:t xml:space="preserve"> </w:t>
      </w:r>
      <w:r w:rsidRPr="004B7A43">
        <w:t xml:space="preserve">Parametric univariate analysis reveals positive effect of </w:t>
      </w:r>
      <w:r w:rsidRPr="004B7A43">
        <w:rPr>
          <w:i/>
        </w:rPr>
        <w:t>Restructuring</w:t>
      </w:r>
      <w:r w:rsidRPr="004B7A43">
        <w:t xml:space="preserve"> on </w:t>
      </w:r>
      <w:r w:rsidRPr="004B7A43">
        <w:rPr>
          <w:i/>
        </w:rPr>
        <w:t>Letters</w:t>
      </w:r>
      <w:r>
        <w:rPr>
          <w:i/>
        </w:rPr>
        <w:t>,</w:t>
      </w:r>
      <w:r w:rsidRPr="004B7A43">
        <w:rPr>
          <w:i/>
        </w:rPr>
        <w:t xml:space="preserve"> </w:t>
      </w:r>
      <w:r w:rsidRPr="004B7A43">
        <w:t xml:space="preserve">which is </w:t>
      </w:r>
      <w:r>
        <w:t>consistent</w:t>
      </w:r>
      <w:r w:rsidRPr="004B7A43">
        <w:t xml:space="preserve"> with the argument that the firm conducting restructuring activities could have more complexity in the business, suggesting a higher degree of the SEC review (Cassell et al., 2013; Hesse et al., 2017).</w:t>
      </w:r>
    </w:p>
  </w:footnote>
  <w:footnote w:id="22">
    <w:p w14:paraId="075B56D3" w14:textId="7F6ED038" w:rsidR="00F87A41" w:rsidRDefault="00F87A41" w:rsidP="00B57CFC">
      <w:pPr>
        <w:pStyle w:val="FootnoteText"/>
        <w:jc w:val="both"/>
      </w:pPr>
      <w:r w:rsidRPr="0039468F">
        <w:rPr>
          <w:rStyle w:val="FootnoteReference"/>
        </w:rPr>
        <w:footnoteRef/>
      </w:r>
      <w:r>
        <w:t xml:space="preserve"> This result is obtained from the examination on the whole sample instead of the sub-sample of EGCs. </w:t>
      </w:r>
      <w:r w:rsidRPr="00B57CFC">
        <w:t xml:space="preserve">According to Panel A, </w:t>
      </w:r>
      <w:r>
        <w:t>Table 7,</w:t>
      </w:r>
      <w:r w:rsidRPr="00B57CFC">
        <w:t xml:space="preserve"> it could be identified that the EGCs pre and post- JOBs Act are both dominate the sample with the proportion of 87.5% and 85.03%, respectiv</w:t>
      </w:r>
      <w:r>
        <w:t xml:space="preserve">ely. </w:t>
      </w:r>
      <w:r w:rsidRPr="00B57CFC">
        <w:t xml:space="preserve">Therefore, we could test the impact of </w:t>
      </w:r>
      <w:r>
        <w:t>JOBs Act</w:t>
      </w:r>
      <w:r w:rsidRPr="00B57CFC">
        <w:t xml:space="preserve"> by dividing the whole sample, rather than the sub-sample of </w:t>
      </w:r>
      <w:r>
        <w:t>EGCs</w:t>
      </w:r>
      <w:r w:rsidRPr="00B57CFC">
        <w:t>, into pre- and post-JOBs Act.</w:t>
      </w:r>
    </w:p>
  </w:footnote>
  <w:footnote w:id="23">
    <w:p w14:paraId="1D501EB0" w14:textId="74B616D9" w:rsidR="00F87A41" w:rsidRPr="00797470" w:rsidRDefault="00F87A41" w:rsidP="00797470">
      <w:pPr>
        <w:pStyle w:val="FootnoteText"/>
        <w:jc w:val="both"/>
      </w:pPr>
      <w:r>
        <w:rPr>
          <w:rStyle w:val="FootnoteReference"/>
        </w:rPr>
        <w:footnoteRef/>
      </w:r>
      <w:r>
        <w:t xml:space="preserve"> </w:t>
      </w:r>
      <w:r w:rsidRPr="00797470">
        <w:t xml:space="preserve">Univatiye analysis shows positive effects of </w:t>
      </w:r>
      <w:r w:rsidRPr="00797470">
        <w:rPr>
          <w:i/>
        </w:rPr>
        <w:t>Financial crisis</w:t>
      </w:r>
      <w:r w:rsidRPr="00797470">
        <w:t xml:space="preserve"> on </w:t>
      </w:r>
      <w:r w:rsidRPr="00797470">
        <w:rPr>
          <w:i/>
        </w:rPr>
        <w:t xml:space="preserve">Duration, Letters </w:t>
      </w:r>
      <w:r w:rsidRPr="00797470">
        <w:t xml:space="preserve">and </w:t>
      </w:r>
      <w:r w:rsidRPr="00797470">
        <w:rPr>
          <w:i/>
        </w:rPr>
        <w:t>Comments</w:t>
      </w:r>
      <w:r w:rsidRPr="00797470">
        <w:t>. This result supports the arguments that more SEC oversight over corporate disclosures exists in the financial crisis 2008 (Blackburne, 2014). This result is also in line with the findings of (Colaco et al., 2018) who observe that IPO firms’ waiting periods, which include SEC review periods, are longer during the period of financial crisis 2008-2009</w:t>
      </w:r>
    </w:p>
  </w:footnote>
  <w:footnote w:id="24">
    <w:p w14:paraId="09A38270" w14:textId="3A695B4E" w:rsidR="00F87A41" w:rsidRDefault="00F87A41">
      <w:pPr>
        <w:pStyle w:val="FootnoteText"/>
      </w:pPr>
      <w:r>
        <w:rPr>
          <w:rStyle w:val="FootnoteReference"/>
        </w:rPr>
        <w:footnoteRef/>
      </w:r>
      <w:r>
        <w:t xml:space="preserve"> </w:t>
      </w:r>
      <w:r w:rsidRPr="00EC766C">
        <w:t xml:space="preserve">Univariate regression reveals positive effects of </w:t>
      </w:r>
      <w:r w:rsidRPr="00EC766C">
        <w:rPr>
          <w:i/>
        </w:rPr>
        <w:t>Herfindahl index</w:t>
      </w:r>
      <w:r w:rsidRPr="00EC766C">
        <w:t xml:space="preserve"> on all SEC review attributes. This result is not in line with the arguments that the firms operating in high-concentrated markets could have higher uncertainty due to proprietary costs (Ali et al., 2014), suggesting more SEC scrutiny ( Ertimur &amp; Nondorf, 2006; Chen &amp; Johnston, 2010; Colaco et al., 2018).  </w:t>
      </w:r>
      <w:r>
        <w:t>This finding is also consistent with Colaco et al.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87A41" w14:paraId="3F23AF59" w14:textId="77777777" w:rsidTr="7C6069B1">
      <w:tc>
        <w:tcPr>
          <w:tcW w:w="3063" w:type="dxa"/>
        </w:tcPr>
        <w:p w14:paraId="5C8CAB84" w14:textId="537C1661" w:rsidR="00F87A41" w:rsidRDefault="00F87A41" w:rsidP="7C6069B1">
          <w:pPr>
            <w:pStyle w:val="Header"/>
            <w:ind w:left="-115"/>
          </w:pPr>
        </w:p>
      </w:tc>
      <w:tc>
        <w:tcPr>
          <w:tcW w:w="3063" w:type="dxa"/>
        </w:tcPr>
        <w:p w14:paraId="578DAE7F" w14:textId="059067D3" w:rsidR="00F87A41" w:rsidRDefault="00F87A41" w:rsidP="7C6069B1">
          <w:pPr>
            <w:pStyle w:val="Header"/>
            <w:jc w:val="center"/>
          </w:pPr>
        </w:p>
      </w:tc>
      <w:tc>
        <w:tcPr>
          <w:tcW w:w="3063" w:type="dxa"/>
        </w:tcPr>
        <w:p w14:paraId="56411C18" w14:textId="03204F16" w:rsidR="00F87A41" w:rsidRDefault="00F87A41" w:rsidP="7C6069B1">
          <w:pPr>
            <w:pStyle w:val="Header"/>
            <w:ind w:right="-115"/>
            <w:jc w:val="right"/>
          </w:pPr>
        </w:p>
      </w:tc>
    </w:tr>
  </w:tbl>
  <w:p w14:paraId="75BF5370" w14:textId="683B68A6" w:rsidR="00F87A41" w:rsidRDefault="00F87A41" w:rsidP="7C6069B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05"/>
      <w:gridCol w:w="3205"/>
      <w:gridCol w:w="3205"/>
    </w:tblGrid>
    <w:tr w:rsidR="00F72856" w14:paraId="35BA09AA" w14:textId="77777777" w:rsidTr="7C6069B1">
      <w:tc>
        <w:tcPr>
          <w:tcW w:w="3205" w:type="dxa"/>
        </w:tcPr>
        <w:p w14:paraId="06ED05AA" w14:textId="08C01378" w:rsidR="00F72856" w:rsidRDefault="00F72856" w:rsidP="7C6069B1">
          <w:pPr>
            <w:pStyle w:val="Header"/>
            <w:ind w:left="-115"/>
          </w:pPr>
        </w:p>
      </w:tc>
      <w:tc>
        <w:tcPr>
          <w:tcW w:w="3205" w:type="dxa"/>
        </w:tcPr>
        <w:p w14:paraId="4000E328" w14:textId="2AE18D6C" w:rsidR="00F72856" w:rsidRDefault="00F72856" w:rsidP="7C6069B1">
          <w:pPr>
            <w:pStyle w:val="Header"/>
            <w:jc w:val="center"/>
          </w:pPr>
        </w:p>
      </w:tc>
      <w:tc>
        <w:tcPr>
          <w:tcW w:w="3205" w:type="dxa"/>
        </w:tcPr>
        <w:p w14:paraId="074273F5" w14:textId="1DFE239B" w:rsidR="00F72856" w:rsidRDefault="00F72856" w:rsidP="7C6069B1">
          <w:pPr>
            <w:pStyle w:val="Header"/>
            <w:ind w:right="-115"/>
            <w:jc w:val="right"/>
          </w:pPr>
        </w:p>
      </w:tc>
    </w:tr>
  </w:tbl>
  <w:p w14:paraId="5FD58D1E" w14:textId="773C071D" w:rsidR="00F72856" w:rsidRDefault="00F72856" w:rsidP="7C6069B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4D3C8BF0" w14:textId="77777777" w:rsidTr="7C6069B1">
      <w:tc>
        <w:tcPr>
          <w:tcW w:w="4653" w:type="dxa"/>
        </w:tcPr>
        <w:p w14:paraId="16847AA3" w14:textId="097EA3A6" w:rsidR="00F72856" w:rsidRDefault="00F72856" w:rsidP="7C6069B1">
          <w:pPr>
            <w:pStyle w:val="Header"/>
            <w:ind w:left="-115"/>
          </w:pPr>
        </w:p>
      </w:tc>
      <w:tc>
        <w:tcPr>
          <w:tcW w:w="4653" w:type="dxa"/>
        </w:tcPr>
        <w:p w14:paraId="4AAC8632" w14:textId="2B6DD776" w:rsidR="00F72856" w:rsidRDefault="00F72856" w:rsidP="7C6069B1">
          <w:pPr>
            <w:pStyle w:val="Header"/>
            <w:jc w:val="center"/>
          </w:pPr>
        </w:p>
      </w:tc>
      <w:tc>
        <w:tcPr>
          <w:tcW w:w="4653" w:type="dxa"/>
        </w:tcPr>
        <w:p w14:paraId="7E340A87" w14:textId="1134F7F4" w:rsidR="00F72856" w:rsidRDefault="00F72856" w:rsidP="7C6069B1">
          <w:pPr>
            <w:pStyle w:val="Header"/>
            <w:ind w:right="-115"/>
            <w:jc w:val="right"/>
          </w:pPr>
        </w:p>
      </w:tc>
    </w:tr>
  </w:tbl>
  <w:p w14:paraId="0F8758FB" w14:textId="2F82D587" w:rsidR="00F72856" w:rsidRDefault="00F72856" w:rsidP="7C6069B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05"/>
      <w:gridCol w:w="3205"/>
      <w:gridCol w:w="3205"/>
    </w:tblGrid>
    <w:tr w:rsidR="00F72856" w14:paraId="06C5FF90" w14:textId="77777777" w:rsidTr="7C6069B1">
      <w:tc>
        <w:tcPr>
          <w:tcW w:w="3205" w:type="dxa"/>
        </w:tcPr>
        <w:p w14:paraId="40F88B9D" w14:textId="5EC20C32" w:rsidR="00F72856" w:rsidRDefault="00F72856" w:rsidP="7C6069B1">
          <w:pPr>
            <w:pStyle w:val="Header"/>
            <w:ind w:left="-115"/>
          </w:pPr>
        </w:p>
      </w:tc>
      <w:tc>
        <w:tcPr>
          <w:tcW w:w="3205" w:type="dxa"/>
        </w:tcPr>
        <w:p w14:paraId="7B67B4BA" w14:textId="2DCFEB5C" w:rsidR="00F72856" w:rsidRDefault="00F72856" w:rsidP="7C6069B1">
          <w:pPr>
            <w:pStyle w:val="Header"/>
            <w:jc w:val="center"/>
          </w:pPr>
        </w:p>
      </w:tc>
      <w:tc>
        <w:tcPr>
          <w:tcW w:w="3205" w:type="dxa"/>
        </w:tcPr>
        <w:p w14:paraId="0E8E8CD3" w14:textId="74980A60" w:rsidR="00F72856" w:rsidRDefault="00F72856" w:rsidP="7C6069B1">
          <w:pPr>
            <w:pStyle w:val="Header"/>
            <w:ind w:right="-115"/>
            <w:jc w:val="right"/>
          </w:pPr>
        </w:p>
      </w:tc>
    </w:tr>
  </w:tbl>
  <w:p w14:paraId="4FF3CAD2" w14:textId="592F8489" w:rsidR="00F72856" w:rsidRDefault="00F72856" w:rsidP="7C6069B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2DE81FF2" w14:textId="77777777" w:rsidTr="7C6069B1">
      <w:tc>
        <w:tcPr>
          <w:tcW w:w="3063" w:type="dxa"/>
        </w:tcPr>
        <w:p w14:paraId="4B4A729C" w14:textId="50001C6D" w:rsidR="00F72856" w:rsidRDefault="00F72856" w:rsidP="7C6069B1">
          <w:pPr>
            <w:pStyle w:val="Header"/>
            <w:ind w:left="-115"/>
          </w:pPr>
        </w:p>
      </w:tc>
      <w:tc>
        <w:tcPr>
          <w:tcW w:w="3063" w:type="dxa"/>
        </w:tcPr>
        <w:p w14:paraId="42E5F8F8" w14:textId="32F29832" w:rsidR="00F72856" w:rsidRDefault="00F72856" w:rsidP="7C6069B1">
          <w:pPr>
            <w:pStyle w:val="Header"/>
            <w:jc w:val="center"/>
          </w:pPr>
        </w:p>
      </w:tc>
      <w:tc>
        <w:tcPr>
          <w:tcW w:w="3063" w:type="dxa"/>
        </w:tcPr>
        <w:p w14:paraId="3A4F5CB0" w14:textId="586BC37A" w:rsidR="00F72856" w:rsidRDefault="00F72856" w:rsidP="7C6069B1">
          <w:pPr>
            <w:pStyle w:val="Header"/>
            <w:ind w:right="-115"/>
            <w:jc w:val="right"/>
          </w:pPr>
        </w:p>
      </w:tc>
    </w:tr>
  </w:tbl>
  <w:p w14:paraId="6D1CD840" w14:textId="0994B1E4" w:rsidR="00F72856" w:rsidRDefault="00F72856" w:rsidP="7C6069B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33F3ADE1" w14:textId="77777777" w:rsidTr="7C6069B1">
      <w:tc>
        <w:tcPr>
          <w:tcW w:w="3063" w:type="dxa"/>
        </w:tcPr>
        <w:p w14:paraId="19CA22E7" w14:textId="237BF813" w:rsidR="00F72856" w:rsidRDefault="00F72856" w:rsidP="7C6069B1">
          <w:pPr>
            <w:pStyle w:val="Header"/>
            <w:ind w:left="-115"/>
          </w:pPr>
        </w:p>
      </w:tc>
      <w:tc>
        <w:tcPr>
          <w:tcW w:w="3063" w:type="dxa"/>
        </w:tcPr>
        <w:p w14:paraId="501E4E3F" w14:textId="00B5205A" w:rsidR="00F72856" w:rsidRDefault="00F72856" w:rsidP="7C6069B1">
          <w:pPr>
            <w:pStyle w:val="Header"/>
            <w:jc w:val="center"/>
          </w:pPr>
        </w:p>
      </w:tc>
      <w:tc>
        <w:tcPr>
          <w:tcW w:w="3063" w:type="dxa"/>
        </w:tcPr>
        <w:p w14:paraId="585C6612" w14:textId="3602157D" w:rsidR="00F72856" w:rsidRDefault="00F72856" w:rsidP="7C6069B1">
          <w:pPr>
            <w:pStyle w:val="Header"/>
            <w:ind w:right="-115"/>
            <w:jc w:val="right"/>
          </w:pPr>
        </w:p>
      </w:tc>
    </w:tr>
  </w:tbl>
  <w:p w14:paraId="10C4A1D2" w14:textId="6C7E2665" w:rsidR="00F72856" w:rsidRDefault="00F72856" w:rsidP="7C6069B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5781F881" w14:textId="77777777" w:rsidTr="7C6069B1">
      <w:tc>
        <w:tcPr>
          <w:tcW w:w="3063" w:type="dxa"/>
        </w:tcPr>
        <w:p w14:paraId="2760C41E" w14:textId="29C41DB2" w:rsidR="00F72856" w:rsidRDefault="00F72856" w:rsidP="7C6069B1">
          <w:pPr>
            <w:pStyle w:val="Header"/>
            <w:ind w:left="-115"/>
          </w:pPr>
        </w:p>
      </w:tc>
      <w:tc>
        <w:tcPr>
          <w:tcW w:w="3063" w:type="dxa"/>
        </w:tcPr>
        <w:p w14:paraId="752054A0" w14:textId="7446842B" w:rsidR="00F72856" w:rsidRDefault="00F72856" w:rsidP="7C6069B1">
          <w:pPr>
            <w:pStyle w:val="Header"/>
            <w:jc w:val="center"/>
          </w:pPr>
        </w:p>
      </w:tc>
      <w:tc>
        <w:tcPr>
          <w:tcW w:w="3063" w:type="dxa"/>
        </w:tcPr>
        <w:p w14:paraId="2F2BA7A3" w14:textId="492DAFD8" w:rsidR="00F72856" w:rsidRDefault="00F72856" w:rsidP="7C6069B1">
          <w:pPr>
            <w:pStyle w:val="Header"/>
            <w:ind w:right="-115"/>
            <w:jc w:val="right"/>
          </w:pPr>
        </w:p>
      </w:tc>
    </w:tr>
  </w:tbl>
  <w:p w14:paraId="5F03E2DC" w14:textId="7C6EABB6" w:rsidR="00F72856" w:rsidRDefault="00F72856" w:rsidP="7C6069B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87A41" w14:paraId="26C08A9F" w14:textId="77777777" w:rsidTr="7C6069B1">
      <w:tc>
        <w:tcPr>
          <w:tcW w:w="3063" w:type="dxa"/>
        </w:tcPr>
        <w:p w14:paraId="4A2813E7" w14:textId="35011CB4" w:rsidR="00F87A41" w:rsidRDefault="00F87A41" w:rsidP="7C6069B1">
          <w:pPr>
            <w:pStyle w:val="Header"/>
            <w:ind w:left="-115"/>
          </w:pPr>
        </w:p>
      </w:tc>
      <w:tc>
        <w:tcPr>
          <w:tcW w:w="3063" w:type="dxa"/>
        </w:tcPr>
        <w:p w14:paraId="7FB0DC62" w14:textId="39AAC87C" w:rsidR="00F87A41" w:rsidRDefault="00F87A41" w:rsidP="7C6069B1">
          <w:pPr>
            <w:pStyle w:val="Header"/>
            <w:jc w:val="center"/>
          </w:pPr>
        </w:p>
      </w:tc>
      <w:tc>
        <w:tcPr>
          <w:tcW w:w="3063" w:type="dxa"/>
        </w:tcPr>
        <w:p w14:paraId="55B5BA59" w14:textId="5BEA549E" w:rsidR="00F87A41" w:rsidRDefault="00F87A41" w:rsidP="7C6069B1">
          <w:pPr>
            <w:pStyle w:val="Header"/>
            <w:ind w:right="-115"/>
            <w:jc w:val="right"/>
          </w:pPr>
        </w:p>
      </w:tc>
    </w:tr>
  </w:tbl>
  <w:p w14:paraId="6B84629D" w14:textId="46A209A8" w:rsidR="00F87A41" w:rsidRDefault="00F87A41" w:rsidP="7C6069B1">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2D65740E" w14:textId="77777777" w:rsidTr="7C6069B1">
      <w:tc>
        <w:tcPr>
          <w:tcW w:w="4653" w:type="dxa"/>
        </w:tcPr>
        <w:p w14:paraId="176F1F8C" w14:textId="453C43FE" w:rsidR="00F72856" w:rsidRDefault="00F72856" w:rsidP="7C6069B1">
          <w:pPr>
            <w:pStyle w:val="Header"/>
            <w:ind w:left="-115"/>
          </w:pPr>
        </w:p>
      </w:tc>
      <w:tc>
        <w:tcPr>
          <w:tcW w:w="4653" w:type="dxa"/>
        </w:tcPr>
        <w:p w14:paraId="22CA0DFE" w14:textId="08592868" w:rsidR="00F72856" w:rsidRDefault="00F72856" w:rsidP="7C6069B1">
          <w:pPr>
            <w:pStyle w:val="Header"/>
            <w:jc w:val="center"/>
          </w:pPr>
        </w:p>
      </w:tc>
      <w:tc>
        <w:tcPr>
          <w:tcW w:w="4653" w:type="dxa"/>
        </w:tcPr>
        <w:p w14:paraId="017762A8" w14:textId="778EAC58" w:rsidR="00F72856" w:rsidRDefault="00F72856" w:rsidP="7C6069B1">
          <w:pPr>
            <w:pStyle w:val="Header"/>
            <w:ind w:right="-115"/>
            <w:jc w:val="right"/>
          </w:pPr>
        </w:p>
      </w:tc>
    </w:tr>
  </w:tbl>
  <w:p w14:paraId="23136D43" w14:textId="329156C9" w:rsidR="00F72856" w:rsidRDefault="00F72856" w:rsidP="7C6069B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6D40D7C0" w14:textId="77777777" w:rsidTr="7C6069B1">
      <w:tc>
        <w:tcPr>
          <w:tcW w:w="3063" w:type="dxa"/>
        </w:tcPr>
        <w:p w14:paraId="61BAF7C7" w14:textId="4A124C8E" w:rsidR="00F72856" w:rsidRDefault="00F72856" w:rsidP="7C6069B1">
          <w:pPr>
            <w:pStyle w:val="Header"/>
            <w:ind w:left="-115"/>
          </w:pPr>
        </w:p>
      </w:tc>
      <w:tc>
        <w:tcPr>
          <w:tcW w:w="3063" w:type="dxa"/>
        </w:tcPr>
        <w:p w14:paraId="6D30B31B" w14:textId="2E80EFD3" w:rsidR="00F72856" w:rsidRDefault="00F72856" w:rsidP="7C6069B1">
          <w:pPr>
            <w:pStyle w:val="Header"/>
            <w:jc w:val="center"/>
          </w:pPr>
        </w:p>
      </w:tc>
      <w:tc>
        <w:tcPr>
          <w:tcW w:w="3063" w:type="dxa"/>
        </w:tcPr>
        <w:p w14:paraId="65F97F80" w14:textId="7DBDB926" w:rsidR="00F72856" w:rsidRDefault="00F72856" w:rsidP="7C6069B1">
          <w:pPr>
            <w:pStyle w:val="Header"/>
            <w:ind w:right="-115"/>
            <w:jc w:val="right"/>
          </w:pPr>
        </w:p>
      </w:tc>
    </w:tr>
  </w:tbl>
  <w:p w14:paraId="1FA630C5" w14:textId="3B89A949" w:rsidR="00F72856" w:rsidRDefault="00F72856" w:rsidP="7C6069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87A41" w14:paraId="16CC3E26" w14:textId="77777777" w:rsidTr="7C6069B1">
      <w:tc>
        <w:tcPr>
          <w:tcW w:w="4653" w:type="dxa"/>
        </w:tcPr>
        <w:p w14:paraId="167B72D2" w14:textId="4DC6999B" w:rsidR="00F87A41" w:rsidRDefault="00F87A41" w:rsidP="7C6069B1">
          <w:pPr>
            <w:pStyle w:val="Header"/>
            <w:ind w:left="-115"/>
          </w:pPr>
        </w:p>
      </w:tc>
      <w:tc>
        <w:tcPr>
          <w:tcW w:w="4653" w:type="dxa"/>
        </w:tcPr>
        <w:p w14:paraId="62B78A40" w14:textId="41A49959" w:rsidR="00F87A41" w:rsidRDefault="00F87A41" w:rsidP="7C6069B1">
          <w:pPr>
            <w:pStyle w:val="Header"/>
            <w:jc w:val="center"/>
          </w:pPr>
        </w:p>
      </w:tc>
      <w:tc>
        <w:tcPr>
          <w:tcW w:w="4653" w:type="dxa"/>
        </w:tcPr>
        <w:p w14:paraId="02063642" w14:textId="7B12C034" w:rsidR="00F87A41" w:rsidRDefault="00F87A41" w:rsidP="7C6069B1">
          <w:pPr>
            <w:pStyle w:val="Header"/>
            <w:ind w:right="-115"/>
            <w:jc w:val="right"/>
          </w:pPr>
        </w:p>
      </w:tc>
    </w:tr>
  </w:tbl>
  <w:p w14:paraId="5323F593" w14:textId="6E34EAB9" w:rsidR="00F87A41" w:rsidRDefault="00F87A41" w:rsidP="7C6069B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57520B2E" w14:textId="77777777" w:rsidTr="7C6069B1">
      <w:tc>
        <w:tcPr>
          <w:tcW w:w="4653" w:type="dxa"/>
        </w:tcPr>
        <w:p w14:paraId="37798B5B" w14:textId="16438CED" w:rsidR="00F72856" w:rsidRDefault="00F72856" w:rsidP="7C6069B1">
          <w:pPr>
            <w:pStyle w:val="Header"/>
            <w:ind w:left="-115"/>
          </w:pPr>
        </w:p>
      </w:tc>
      <w:tc>
        <w:tcPr>
          <w:tcW w:w="4653" w:type="dxa"/>
        </w:tcPr>
        <w:p w14:paraId="6FCF9E1A" w14:textId="1F767A00" w:rsidR="00F72856" w:rsidRDefault="00F72856" w:rsidP="7C6069B1">
          <w:pPr>
            <w:pStyle w:val="Header"/>
            <w:jc w:val="center"/>
          </w:pPr>
        </w:p>
      </w:tc>
      <w:tc>
        <w:tcPr>
          <w:tcW w:w="4653" w:type="dxa"/>
        </w:tcPr>
        <w:p w14:paraId="3C5A98DC" w14:textId="75C9B50E" w:rsidR="00F72856" w:rsidRDefault="00F72856" w:rsidP="7C6069B1">
          <w:pPr>
            <w:pStyle w:val="Header"/>
            <w:ind w:right="-115"/>
            <w:jc w:val="right"/>
          </w:pPr>
        </w:p>
      </w:tc>
    </w:tr>
  </w:tbl>
  <w:p w14:paraId="38D842B1" w14:textId="61112199" w:rsidR="00F72856" w:rsidRDefault="00F72856" w:rsidP="7C6069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352990B1" w14:textId="77777777" w:rsidTr="7C6069B1">
      <w:tc>
        <w:tcPr>
          <w:tcW w:w="4653" w:type="dxa"/>
        </w:tcPr>
        <w:p w14:paraId="2C490B0C" w14:textId="6E7B00EE" w:rsidR="00F72856" w:rsidRDefault="00F72856" w:rsidP="7C6069B1">
          <w:pPr>
            <w:pStyle w:val="Header"/>
            <w:ind w:left="-115"/>
          </w:pPr>
        </w:p>
      </w:tc>
      <w:tc>
        <w:tcPr>
          <w:tcW w:w="4653" w:type="dxa"/>
        </w:tcPr>
        <w:p w14:paraId="229604C9" w14:textId="08737006" w:rsidR="00F72856" w:rsidRDefault="00F72856" w:rsidP="7C6069B1">
          <w:pPr>
            <w:pStyle w:val="Header"/>
            <w:jc w:val="center"/>
          </w:pPr>
        </w:p>
      </w:tc>
      <w:tc>
        <w:tcPr>
          <w:tcW w:w="4653" w:type="dxa"/>
        </w:tcPr>
        <w:p w14:paraId="4AC40BDD" w14:textId="166090E1" w:rsidR="00F72856" w:rsidRDefault="00F72856" w:rsidP="7C6069B1">
          <w:pPr>
            <w:pStyle w:val="Header"/>
            <w:ind w:right="-115"/>
            <w:jc w:val="right"/>
          </w:pPr>
        </w:p>
      </w:tc>
    </w:tr>
  </w:tbl>
  <w:p w14:paraId="3FE2F2C3" w14:textId="63439129" w:rsidR="00F72856" w:rsidRDefault="00F72856" w:rsidP="7C6069B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0"/>
      <w:gridCol w:w="3110"/>
      <w:gridCol w:w="3110"/>
    </w:tblGrid>
    <w:tr w:rsidR="00F72856" w14:paraId="568A4A25" w14:textId="77777777" w:rsidTr="7C6069B1">
      <w:tc>
        <w:tcPr>
          <w:tcW w:w="3110" w:type="dxa"/>
        </w:tcPr>
        <w:p w14:paraId="360B6C3B" w14:textId="4550A34C" w:rsidR="00F72856" w:rsidRDefault="00F72856" w:rsidP="7C6069B1">
          <w:pPr>
            <w:pStyle w:val="Header"/>
            <w:ind w:left="-115"/>
          </w:pPr>
        </w:p>
      </w:tc>
      <w:tc>
        <w:tcPr>
          <w:tcW w:w="3110" w:type="dxa"/>
        </w:tcPr>
        <w:p w14:paraId="68B30F94" w14:textId="4B724788" w:rsidR="00F72856" w:rsidRDefault="00F72856" w:rsidP="7C6069B1">
          <w:pPr>
            <w:pStyle w:val="Header"/>
            <w:jc w:val="center"/>
          </w:pPr>
        </w:p>
      </w:tc>
      <w:tc>
        <w:tcPr>
          <w:tcW w:w="3110" w:type="dxa"/>
        </w:tcPr>
        <w:p w14:paraId="2A82E428" w14:textId="0C651CAA" w:rsidR="00F72856" w:rsidRDefault="00F72856" w:rsidP="7C6069B1">
          <w:pPr>
            <w:pStyle w:val="Header"/>
            <w:ind w:right="-115"/>
            <w:jc w:val="right"/>
          </w:pPr>
        </w:p>
      </w:tc>
    </w:tr>
  </w:tbl>
  <w:p w14:paraId="3305FA28" w14:textId="028FD33B" w:rsidR="00F72856" w:rsidRDefault="00F72856" w:rsidP="7C6069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52DE8161" w14:textId="77777777" w:rsidTr="7C6069B1">
      <w:tc>
        <w:tcPr>
          <w:tcW w:w="4653" w:type="dxa"/>
        </w:tcPr>
        <w:p w14:paraId="5C181B32" w14:textId="15A7E937" w:rsidR="00F72856" w:rsidRDefault="00F72856" w:rsidP="7C6069B1">
          <w:pPr>
            <w:pStyle w:val="Header"/>
            <w:ind w:left="-115"/>
          </w:pPr>
        </w:p>
      </w:tc>
      <w:tc>
        <w:tcPr>
          <w:tcW w:w="4653" w:type="dxa"/>
        </w:tcPr>
        <w:p w14:paraId="775EC6EC" w14:textId="047BF9D0" w:rsidR="00F72856" w:rsidRDefault="00F72856" w:rsidP="7C6069B1">
          <w:pPr>
            <w:pStyle w:val="Header"/>
            <w:jc w:val="center"/>
          </w:pPr>
        </w:p>
      </w:tc>
      <w:tc>
        <w:tcPr>
          <w:tcW w:w="4653" w:type="dxa"/>
        </w:tcPr>
        <w:p w14:paraId="3BB6F585" w14:textId="3745CEE3" w:rsidR="00F72856" w:rsidRDefault="00F72856" w:rsidP="7C6069B1">
          <w:pPr>
            <w:pStyle w:val="Header"/>
            <w:ind w:right="-115"/>
            <w:jc w:val="right"/>
          </w:pPr>
        </w:p>
      </w:tc>
    </w:tr>
  </w:tbl>
  <w:p w14:paraId="72B5EF0A" w14:textId="24760D2C" w:rsidR="00F72856" w:rsidRDefault="00F72856" w:rsidP="7C6069B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429881AB" w14:textId="77777777" w:rsidTr="7C6069B1">
      <w:tc>
        <w:tcPr>
          <w:tcW w:w="4653" w:type="dxa"/>
        </w:tcPr>
        <w:p w14:paraId="6D44CE21" w14:textId="16816773" w:rsidR="00F72856" w:rsidRDefault="00F72856" w:rsidP="7C6069B1">
          <w:pPr>
            <w:pStyle w:val="Header"/>
            <w:ind w:left="-115"/>
          </w:pPr>
        </w:p>
      </w:tc>
      <w:tc>
        <w:tcPr>
          <w:tcW w:w="4653" w:type="dxa"/>
        </w:tcPr>
        <w:p w14:paraId="00E52F70" w14:textId="1CBFD27C" w:rsidR="00F72856" w:rsidRDefault="00F72856" w:rsidP="7C6069B1">
          <w:pPr>
            <w:pStyle w:val="Header"/>
            <w:jc w:val="center"/>
          </w:pPr>
        </w:p>
      </w:tc>
      <w:tc>
        <w:tcPr>
          <w:tcW w:w="4653" w:type="dxa"/>
        </w:tcPr>
        <w:p w14:paraId="3AABF9BD" w14:textId="6C27775D" w:rsidR="00F72856" w:rsidRDefault="00F72856" w:rsidP="7C6069B1">
          <w:pPr>
            <w:pStyle w:val="Header"/>
            <w:ind w:right="-115"/>
            <w:jc w:val="right"/>
          </w:pPr>
        </w:p>
      </w:tc>
    </w:tr>
  </w:tbl>
  <w:p w14:paraId="369A1F6A" w14:textId="008498B1" w:rsidR="00F72856" w:rsidRDefault="00F72856" w:rsidP="7C6069B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63"/>
      <w:gridCol w:w="3063"/>
      <w:gridCol w:w="3063"/>
    </w:tblGrid>
    <w:tr w:rsidR="00F72856" w14:paraId="0180A64F" w14:textId="77777777" w:rsidTr="7C6069B1">
      <w:tc>
        <w:tcPr>
          <w:tcW w:w="3063" w:type="dxa"/>
        </w:tcPr>
        <w:p w14:paraId="0DF0E23B" w14:textId="360E8A75" w:rsidR="00F72856" w:rsidRDefault="00F72856" w:rsidP="7C6069B1">
          <w:pPr>
            <w:pStyle w:val="Header"/>
            <w:ind w:left="-115"/>
          </w:pPr>
        </w:p>
      </w:tc>
      <w:tc>
        <w:tcPr>
          <w:tcW w:w="3063" w:type="dxa"/>
        </w:tcPr>
        <w:p w14:paraId="744AC896" w14:textId="7BFD9D0D" w:rsidR="00F72856" w:rsidRDefault="00F72856" w:rsidP="7C6069B1">
          <w:pPr>
            <w:pStyle w:val="Header"/>
            <w:jc w:val="center"/>
          </w:pPr>
        </w:p>
      </w:tc>
      <w:tc>
        <w:tcPr>
          <w:tcW w:w="3063" w:type="dxa"/>
        </w:tcPr>
        <w:p w14:paraId="46C00E72" w14:textId="20A170C5" w:rsidR="00F72856" w:rsidRDefault="00F72856" w:rsidP="7C6069B1">
          <w:pPr>
            <w:pStyle w:val="Header"/>
            <w:ind w:right="-115"/>
            <w:jc w:val="right"/>
          </w:pPr>
        </w:p>
      </w:tc>
    </w:tr>
  </w:tbl>
  <w:p w14:paraId="77FDEC3E" w14:textId="196D764E" w:rsidR="00F72856" w:rsidRDefault="00F72856" w:rsidP="7C6069B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3"/>
      <w:gridCol w:w="4653"/>
      <w:gridCol w:w="4653"/>
    </w:tblGrid>
    <w:tr w:rsidR="00F72856" w14:paraId="12951D5C" w14:textId="77777777" w:rsidTr="7C6069B1">
      <w:tc>
        <w:tcPr>
          <w:tcW w:w="4653" w:type="dxa"/>
        </w:tcPr>
        <w:p w14:paraId="59A04C4D" w14:textId="40BC6217" w:rsidR="00F72856" w:rsidRDefault="00F72856" w:rsidP="7C6069B1">
          <w:pPr>
            <w:pStyle w:val="Header"/>
            <w:ind w:left="-115"/>
          </w:pPr>
        </w:p>
      </w:tc>
      <w:tc>
        <w:tcPr>
          <w:tcW w:w="4653" w:type="dxa"/>
        </w:tcPr>
        <w:p w14:paraId="6DC662ED" w14:textId="52D855CA" w:rsidR="00F72856" w:rsidRDefault="00F72856" w:rsidP="7C6069B1">
          <w:pPr>
            <w:pStyle w:val="Header"/>
            <w:jc w:val="center"/>
          </w:pPr>
        </w:p>
      </w:tc>
      <w:tc>
        <w:tcPr>
          <w:tcW w:w="4653" w:type="dxa"/>
        </w:tcPr>
        <w:p w14:paraId="74EF1681" w14:textId="1B2C9F13" w:rsidR="00F72856" w:rsidRDefault="00F72856" w:rsidP="7C6069B1">
          <w:pPr>
            <w:pStyle w:val="Header"/>
            <w:ind w:right="-115"/>
            <w:jc w:val="right"/>
          </w:pPr>
        </w:p>
      </w:tc>
    </w:tr>
  </w:tbl>
  <w:p w14:paraId="7777CA6B" w14:textId="4E3597C1" w:rsidR="00F72856" w:rsidRDefault="00F72856" w:rsidP="7C6069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751AB"/>
    <w:multiLevelType w:val="multilevel"/>
    <w:tmpl w:val="AFAE544A"/>
    <w:lvl w:ilvl="0">
      <w:start w:val="2"/>
      <w:numFmt w:val="decimal"/>
      <w:lvlText w:val="%1"/>
      <w:lvlJc w:val="left"/>
      <w:pPr>
        <w:ind w:left="360" w:hanging="360"/>
      </w:pPr>
    </w:lvl>
    <w:lvl w:ilvl="1">
      <w:start w:val="1"/>
      <w:numFmt w:val="decimal"/>
      <w:lvlText w:val="%1.%2"/>
      <w:lvlJc w:val="left"/>
      <w:pPr>
        <w:ind w:left="1800" w:hanging="360"/>
      </w:pPr>
    </w:lvl>
    <w:lvl w:ilvl="2">
      <w:start w:val="1"/>
      <w:numFmt w:val="decimal"/>
      <w:lvlText w:val="%1.%2.%3"/>
      <w:lvlJc w:val="left"/>
      <w:pPr>
        <w:ind w:left="3600" w:hanging="720"/>
      </w:pPr>
    </w:lvl>
    <w:lvl w:ilvl="3">
      <w:start w:val="1"/>
      <w:numFmt w:val="decimal"/>
      <w:lvlText w:val="%1.%2.%3.%4"/>
      <w:lvlJc w:val="left"/>
      <w:pPr>
        <w:ind w:left="5040" w:hanging="720"/>
      </w:pPr>
    </w:lvl>
    <w:lvl w:ilvl="4">
      <w:start w:val="1"/>
      <w:numFmt w:val="decimal"/>
      <w:lvlText w:val="%1.%2.%3.%4.%5"/>
      <w:lvlJc w:val="left"/>
      <w:pPr>
        <w:ind w:left="6840" w:hanging="1080"/>
      </w:pPr>
    </w:lvl>
    <w:lvl w:ilvl="5">
      <w:start w:val="1"/>
      <w:numFmt w:val="decimal"/>
      <w:lvlText w:val="%1.%2.%3.%4.%5.%6"/>
      <w:lvlJc w:val="left"/>
      <w:pPr>
        <w:ind w:left="8280" w:hanging="1080"/>
      </w:pPr>
    </w:lvl>
    <w:lvl w:ilvl="6">
      <w:start w:val="1"/>
      <w:numFmt w:val="decimal"/>
      <w:lvlText w:val="%1.%2.%3.%4.%5.%6.%7"/>
      <w:lvlJc w:val="left"/>
      <w:pPr>
        <w:ind w:left="10080" w:hanging="1440"/>
      </w:pPr>
    </w:lvl>
    <w:lvl w:ilvl="7">
      <w:start w:val="1"/>
      <w:numFmt w:val="decimal"/>
      <w:lvlText w:val="%1.%2.%3.%4.%5.%6.%7.%8"/>
      <w:lvlJc w:val="left"/>
      <w:pPr>
        <w:ind w:left="11520" w:hanging="1440"/>
      </w:pPr>
    </w:lvl>
    <w:lvl w:ilvl="8">
      <w:start w:val="1"/>
      <w:numFmt w:val="decimal"/>
      <w:lvlText w:val="%1.%2.%3.%4.%5.%6.%7.%8.%9"/>
      <w:lvlJc w:val="left"/>
      <w:pPr>
        <w:ind w:left="13320" w:hanging="1800"/>
      </w:pPr>
    </w:lvl>
  </w:abstractNum>
  <w:abstractNum w:abstractNumId="1" w15:restartNumberingAfterBreak="0">
    <w:nsid w:val="0F94478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FAB4994"/>
    <w:multiLevelType w:val="hybridMultilevel"/>
    <w:tmpl w:val="3A5C51C6"/>
    <w:lvl w:ilvl="0" w:tplc="FF3433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F566F3C"/>
    <w:multiLevelType w:val="hybridMultilevel"/>
    <w:tmpl w:val="EB328338"/>
    <w:lvl w:ilvl="0" w:tplc="E71494D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1346773"/>
    <w:multiLevelType w:val="hybridMultilevel"/>
    <w:tmpl w:val="EC0C063A"/>
    <w:lvl w:ilvl="0" w:tplc="E71494D2">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3092819"/>
    <w:multiLevelType w:val="hybridMultilevel"/>
    <w:tmpl w:val="E6165C8E"/>
    <w:lvl w:ilvl="0" w:tplc="3C8E73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E2D7944"/>
    <w:multiLevelType w:val="hybridMultilevel"/>
    <w:tmpl w:val="FB101E56"/>
    <w:lvl w:ilvl="0" w:tplc="1A348C60">
      <w:start w:val="1"/>
      <w:numFmt w:val="bullet"/>
      <w:lvlText w:val=""/>
      <w:lvlJc w:val="left"/>
      <w:pPr>
        <w:tabs>
          <w:tab w:val="num" w:pos="720"/>
        </w:tabs>
        <w:ind w:left="720" w:hanging="360"/>
      </w:pPr>
      <w:rPr>
        <w:rFonts w:ascii="Wingdings 3" w:hAnsi="Wingdings 3" w:hint="default"/>
      </w:rPr>
    </w:lvl>
    <w:lvl w:ilvl="1" w:tplc="C70CCAB8" w:tentative="1">
      <w:start w:val="1"/>
      <w:numFmt w:val="bullet"/>
      <w:lvlText w:val=""/>
      <w:lvlJc w:val="left"/>
      <w:pPr>
        <w:tabs>
          <w:tab w:val="num" w:pos="1440"/>
        </w:tabs>
        <w:ind w:left="1440" w:hanging="360"/>
      </w:pPr>
      <w:rPr>
        <w:rFonts w:ascii="Wingdings 3" w:hAnsi="Wingdings 3" w:hint="default"/>
      </w:rPr>
    </w:lvl>
    <w:lvl w:ilvl="2" w:tplc="74EAD9A6" w:tentative="1">
      <w:start w:val="1"/>
      <w:numFmt w:val="bullet"/>
      <w:lvlText w:val=""/>
      <w:lvlJc w:val="left"/>
      <w:pPr>
        <w:tabs>
          <w:tab w:val="num" w:pos="2160"/>
        </w:tabs>
        <w:ind w:left="2160" w:hanging="360"/>
      </w:pPr>
      <w:rPr>
        <w:rFonts w:ascii="Wingdings 3" w:hAnsi="Wingdings 3" w:hint="default"/>
      </w:rPr>
    </w:lvl>
    <w:lvl w:ilvl="3" w:tplc="30A48BF6" w:tentative="1">
      <w:start w:val="1"/>
      <w:numFmt w:val="bullet"/>
      <w:lvlText w:val=""/>
      <w:lvlJc w:val="left"/>
      <w:pPr>
        <w:tabs>
          <w:tab w:val="num" w:pos="2880"/>
        </w:tabs>
        <w:ind w:left="2880" w:hanging="360"/>
      </w:pPr>
      <w:rPr>
        <w:rFonts w:ascii="Wingdings 3" w:hAnsi="Wingdings 3" w:hint="default"/>
      </w:rPr>
    </w:lvl>
    <w:lvl w:ilvl="4" w:tplc="F1B8A588" w:tentative="1">
      <w:start w:val="1"/>
      <w:numFmt w:val="bullet"/>
      <w:lvlText w:val=""/>
      <w:lvlJc w:val="left"/>
      <w:pPr>
        <w:tabs>
          <w:tab w:val="num" w:pos="3600"/>
        </w:tabs>
        <w:ind w:left="3600" w:hanging="360"/>
      </w:pPr>
      <w:rPr>
        <w:rFonts w:ascii="Wingdings 3" w:hAnsi="Wingdings 3" w:hint="default"/>
      </w:rPr>
    </w:lvl>
    <w:lvl w:ilvl="5" w:tplc="CAAEF122" w:tentative="1">
      <w:start w:val="1"/>
      <w:numFmt w:val="bullet"/>
      <w:lvlText w:val=""/>
      <w:lvlJc w:val="left"/>
      <w:pPr>
        <w:tabs>
          <w:tab w:val="num" w:pos="4320"/>
        </w:tabs>
        <w:ind w:left="4320" w:hanging="360"/>
      </w:pPr>
      <w:rPr>
        <w:rFonts w:ascii="Wingdings 3" w:hAnsi="Wingdings 3" w:hint="default"/>
      </w:rPr>
    </w:lvl>
    <w:lvl w:ilvl="6" w:tplc="6A48BFFC" w:tentative="1">
      <w:start w:val="1"/>
      <w:numFmt w:val="bullet"/>
      <w:lvlText w:val=""/>
      <w:lvlJc w:val="left"/>
      <w:pPr>
        <w:tabs>
          <w:tab w:val="num" w:pos="5040"/>
        </w:tabs>
        <w:ind w:left="5040" w:hanging="360"/>
      </w:pPr>
      <w:rPr>
        <w:rFonts w:ascii="Wingdings 3" w:hAnsi="Wingdings 3" w:hint="default"/>
      </w:rPr>
    </w:lvl>
    <w:lvl w:ilvl="7" w:tplc="C2888330" w:tentative="1">
      <w:start w:val="1"/>
      <w:numFmt w:val="bullet"/>
      <w:lvlText w:val=""/>
      <w:lvlJc w:val="left"/>
      <w:pPr>
        <w:tabs>
          <w:tab w:val="num" w:pos="5760"/>
        </w:tabs>
        <w:ind w:left="5760" w:hanging="360"/>
      </w:pPr>
      <w:rPr>
        <w:rFonts w:ascii="Wingdings 3" w:hAnsi="Wingdings 3" w:hint="default"/>
      </w:rPr>
    </w:lvl>
    <w:lvl w:ilvl="8" w:tplc="5C905FD4"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3FA7191E"/>
    <w:multiLevelType w:val="multilevel"/>
    <w:tmpl w:val="E93E6FB2"/>
    <w:lvl w:ilvl="0">
      <w:start w:val="3"/>
      <w:numFmt w:val="decimal"/>
      <w:lvlText w:val="%1."/>
      <w:lvlJc w:val="left"/>
      <w:pPr>
        <w:ind w:left="720" w:hanging="720"/>
      </w:pPr>
      <w:rPr>
        <w:rFonts w:hint="default"/>
        <w:b/>
      </w:rPr>
    </w:lvl>
    <w:lvl w:ilvl="1">
      <w:start w:val="4"/>
      <w:numFmt w:val="decimal"/>
      <w:lvlText w:val="%1.%2."/>
      <w:lvlJc w:val="left"/>
      <w:pPr>
        <w:ind w:left="1381" w:hanging="720"/>
      </w:pPr>
      <w:rPr>
        <w:rFonts w:hint="default"/>
      </w:rPr>
    </w:lvl>
    <w:lvl w:ilvl="2">
      <w:start w:val="1"/>
      <w:numFmt w:val="decimal"/>
      <w:lvlText w:val="%1.%2.%3."/>
      <w:lvlJc w:val="left"/>
      <w:pPr>
        <w:ind w:left="2042" w:hanging="720"/>
      </w:pPr>
      <w:rPr>
        <w:rFonts w:hint="default"/>
      </w:rPr>
    </w:lvl>
    <w:lvl w:ilvl="3">
      <w:start w:val="1"/>
      <w:numFmt w:val="decimal"/>
      <w:lvlText w:val="%1.%2.%3.%4."/>
      <w:lvlJc w:val="left"/>
      <w:pPr>
        <w:ind w:left="2703" w:hanging="720"/>
      </w:pPr>
      <w:rPr>
        <w:rFonts w:hint="default"/>
      </w:rPr>
    </w:lvl>
    <w:lvl w:ilvl="4">
      <w:start w:val="1"/>
      <w:numFmt w:val="decimal"/>
      <w:lvlText w:val="%1.%2.%3.%4.%5."/>
      <w:lvlJc w:val="left"/>
      <w:pPr>
        <w:ind w:left="3724" w:hanging="1080"/>
      </w:pPr>
      <w:rPr>
        <w:rFonts w:hint="default"/>
      </w:rPr>
    </w:lvl>
    <w:lvl w:ilvl="5">
      <w:start w:val="1"/>
      <w:numFmt w:val="decimal"/>
      <w:lvlText w:val="%1.%2.%3.%4.%5.%6."/>
      <w:lvlJc w:val="left"/>
      <w:pPr>
        <w:ind w:left="4385" w:hanging="1080"/>
      </w:pPr>
      <w:rPr>
        <w:rFonts w:hint="default"/>
      </w:rPr>
    </w:lvl>
    <w:lvl w:ilvl="6">
      <w:start w:val="1"/>
      <w:numFmt w:val="decimal"/>
      <w:lvlText w:val="%1.%2.%3.%4.%5.%6.%7."/>
      <w:lvlJc w:val="left"/>
      <w:pPr>
        <w:ind w:left="5406" w:hanging="1440"/>
      </w:pPr>
      <w:rPr>
        <w:rFonts w:hint="default"/>
      </w:rPr>
    </w:lvl>
    <w:lvl w:ilvl="7">
      <w:start w:val="1"/>
      <w:numFmt w:val="decimal"/>
      <w:lvlText w:val="%1.%2.%3.%4.%5.%6.%7.%8."/>
      <w:lvlJc w:val="left"/>
      <w:pPr>
        <w:ind w:left="6067" w:hanging="1440"/>
      </w:pPr>
      <w:rPr>
        <w:rFonts w:hint="default"/>
      </w:rPr>
    </w:lvl>
    <w:lvl w:ilvl="8">
      <w:start w:val="1"/>
      <w:numFmt w:val="decimal"/>
      <w:lvlText w:val="%1.%2.%3.%4.%5.%6.%7.%8.%9."/>
      <w:lvlJc w:val="left"/>
      <w:pPr>
        <w:ind w:left="7088" w:hanging="1800"/>
      </w:pPr>
      <w:rPr>
        <w:rFonts w:hint="default"/>
      </w:rPr>
    </w:lvl>
  </w:abstractNum>
  <w:abstractNum w:abstractNumId="8" w15:restartNumberingAfterBreak="0">
    <w:nsid w:val="41397415"/>
    <w:multiLevelType w:val="hybridMultilevel"/>
    <w:tmpl w:val="1E6A305E"/>
    <w:lvl w:ilvl="0" w:tplc="2F0402D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A6687B"/>
    <w:multiLevelType w:val="multilevel"/>
    <w:tmpl w:val="14D466D4"/>
    <w:lvl w:ilvl="0">
      <w:start w:val="4"/>
      <w:numFmt w:val="decimal"/>
      <w:lvlText w:val="%1"/>
      <w:lvlJc w:val="left"/>
      <w:pPr>
        <w:ind w:left="360" w:hanging="360"/>
      </w:pPr>
      <w:rPr>
        <w:rFonts w:hint="default"/>
      </w:rPr>
    </w:lvl>
    <w:lvl w:ilvl="1">
      <w:start w:val="5"/>
      <w:numFmt w:val="decimal"/>
      <w:lvlText w:val="%1.%2"/>
      <w:lvlJc w:val="left"/>
      <w:pPr>
        <w:ind w:left="1152" w:hanging="36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10" w15:restartNumberingAfterBreak="0">
    <w:nsid w:val="4C3677EB"/>
    <w:multiLevelType w:val="multilevel"/>
    <w:tmpl w:val="08143CA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072" w:hanging="504"/>
      </w:pPr>
      <w:rPr>
        <w:b/>
      </w:rPr>
    </w:lvl>
    <w:lvl w:ilvl="3">
      <w:start w:val="1"/>
      <w:numFmt w:val="decimal"/>
      <w:lvlText w:val="%1.%2.%3.%4."/>
      <w:lvlJc w:val="left"/>
      <w:pPr>
        <w:ind w:left="932"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FED7AD3"/>
    <w:multiLevelType w:val="hybridMultilevel"/>
    <w:tmpl w:val="9DC891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60B33E1"/>
    <w:multiLevelType w:val="hybridMultilevel"/>
    <w:tmpl w:val="A9AEF4D6"/>
    <w:lvl w:ilvl="0" w:tplc="30B05542">
      <w:start w:val="1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4AAE71DE">
      <w:start w:val="1"/>
      <w:numFmt w:val="bullet"/>
      <w:lvlText w:val=""/>
      <w:lvlJc w:val="left"/>
      <w:pPr>
        <w:ind w:left="2880" w:hanging="360"/>
      </w:pPr>
      <w:rPr>
        <w:rFonts w:ascii="Symbol" w:eastAsiaTheme="minorHAnsi" w:hAnsi="Symbol"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856F6D"/>
    <w:multiLevelType w:val="multilevel"/>
    <w:tmpl w:val="15D61674"/>
    <w:lvl w:ilvl="0">
      <w:start w:val="3"/>
      <w:numFmt w:val="decimal"/>
      <w:lvlText w:val="%1"/>
      <w:lvlJc w:val="left"/>
      <w:pPr>
        <w:ind w:left="480" w:hanging="480"/>
      </w:pPr>
      <w:rPr>
        <w:rFonts w:hint="default"/>
      </w:rPr>
    </w:lvl>
    <w:lvl w:ilvl="1">
      <w:start w:val="1"/>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4" w15:restartNumberingAfterBreak="0">
    <w:nsid w:val="6ED11C8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ABB2FE8"/>
    <w:multiLevelType w:val="multilevel"/>
    <w:tmpl w:val="43B60AF8"/>
    <w:lvl w:ilvl="0">
      <w:start w:val="2"/>
      <w:numFmt w:val="decimal"/>
      <w:lvlText w:val="%1."/>
      <w:lvlJc w:val="left"/>
      <w:pPr>
        <w:ind w:left="360" w:hanging="360"/>
      </w:pPr>
      <w:rPr>
        <w:rFonts w:hint="default"/>
      </w:rPr>
    </w:lvl>
    <w:lvl w:ilvl="1">
      <w:start w:val="1"/>
      <w:numFmt w:val="decimal"/>
      <w:lvlText w:val="%1.%2."/>
      <w:lvlJc w:val="left"/>
      <w:pPr>
        <w:ind w:left="426" w:hanging="360"/>
      </w:pPr>
      <w:rPr>
        <w:rFonts w:hint="default"/>
      </w:rPr>
    </w:lvl>
    <w:lvl w:ilvl="2">
      <w:start w:val="1"/>
      <w:numFmt w:val="decimal"/>
      <w:lvlText w:val="%1.%2.%3."/>
      <w:lvlJc w:val="left"/>
      <w:pPr>
        <w:ind w:left="852" w:hanging="720"/>
      </w:pPr>
      <w:rPr>
        <w:rFonts w:hint="default"/>
      </w:rPr>
    </w:lvl>
    <w:lvl w:ilvl="3">
      <w:start w:val="1"/>
      <w:numFmt w:val="decimal"/>
      <w:lvlText w:val="%1.%2.%3.%4."/>
      <w:lvlJc w:val="left"/>
      <w:pPr>
        <w:ind w:left="918" w:hanging="720"/>
      </w:pPr>
      <w:rPr>
        <w:rFonts w:hint="default"/>
      </w:rPr>
    </w:lvl>
    <w:lvl w:ilvl="4">
      <w:start w:val="1"/>
      <w:numFmt w:val="decimal"/>
      <w:lvlText w:val="%1.%2.%3.%4.%5."/>
      <w:lvlJc w:val="left"/>
      <w:pPr>
        <w:ind w:left="1344" w:hanging="1080"/>
      </w:pPr>
      <w:rPr>
        <w:rFonts w:hint="default"/>
      </w:rPr>
    </w:lvl>
    <w:lvl w:ilvl="5">
      <w:start w:val="1"/>
      <w:numFmt w:val="decimal"/>
      <w:lvlText w:val="%1.%2.%3.%4.%5.%6."/>
      <w:lvlJc w:val="left"/>
      <w:pPr>
        <w:ind w:left="1410" w:hanging="1080"/>
      </w:pPr>
      <w:rPr>
        <w:rFonts w:hint="default"/>
      </w:rPr>
    </w:lvl>
    <w:lvl w:ilvl="6">
      <w:start w:val="1"/>
      <w:numFmt w:val="decimal"/>
      <w:lvlText w:val="%1.%2.%3.%4.%5.%6.%7."/>
      <w:lvlJc w:val="left"/>
      <w:pPr>
        <w:ind w:left="1836" w:hanging="1440"/>
      </w:pPr>
      <w:rPr>
        <w:rFonts w:hint="default"/>
      </w:rPr>
    </w:lvl>
    <w:lvl w:ilvl="7">
      <w:start w:val="1"/>
      <w:numFmt w:val="decimal"/>
      <w:lvlText w:val="%1.%2.%3.%4.%5.%6.%7.%8."/>
      <w:lvlJc w:val="left"/>
      <w:pPr>
        <w:ind w:left="1902" w:hanging="1440"/>
      </w:pPr>
      <w:rPr>
        <w:rFonts w:hint="default"/>
      </w:rPr>
    </w:lvl>
    <w:lvl w:ilvl="8">
      <w:start w:val="1"/>
      <w:numFmt w:val="decimal"/>
      <w:lvlText w:val="%1.%2.%3.%4.%5.%6.%7.%8.%9."/>
      <w:lvlJc w:val="left"/>
      <w:pPr>
        <w:ind w:left="2328" w:hanging="1800"/>
      </w:pPr>
      <w:rPr>
        <w:rFonts w:hint="default"/>
      </w:rPr>
    </w:lvl>
  </w:abstractNum>
  <w:abstractNum w:abstractNumId="16" w15:restartNumberingAfterBreak="0">
    <w:nsid w:val="7FB93631"/>
    <w:multiLevelType w:val="hybridMultilevel"/>
    <w:tmpl w:val="D0D0448A"/>
    <w:lvl w:ilvl="0" w:tplc="14E04D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9042674">
    <w:abstractNumId w:val="10"/>
  </w:num>
  <w:num w:numId="2" w16cid:durableId="61440804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64607951">
    <w:abstractNumId w:val="15"/>
  </w:num>
  <w:num w:numId="4" w16cid:durableId="243493041">
    <w:abstractNumId w:val="10"/>
  </w:num>
  <w:num w:numId="5" w16cid:durableId="1180697090">
    <w:abstractNumId w:val="1"/>
  </w:num>
  <w:num w:numId="6" w16cid:durableId="1651444758">
    <w:abstractNumId w:val="14"/>
  </w:num>
  <w:num w:numId="7" w16cid:durableId="1127310802">
    <w:abstractNumId w:val="9"/>
  </w:num>
  <w:num w:numId="8" w16cid:durableId="659381529">
    <w:abstractNumId w:val="6"/>
  </w:num>
  <w:num w:numId="9" w16cid:durableId="305821360">
    <w:abstractNumId w:val="12"/>
  </w:num>
  <w:num w:numId="10" w16cid:durableId="1238323254">
    <w:abstractNumId w:val="7"/>
  </w:num>
  <w:num w:numId="11" w16cid:durableId="504704967">
    <w:abstractNumId w:val="5"/>
  </w:num>
  <w:num w:numId="12" w16cid:durableId="1822699488">
    <w:abstractNumId w:val="2"/>
  </w:num>
  <w:num w:numId="13" w16cid:durableId="628124455">
    <w:abstractNumId w:val="16"/>
  </w:num>
  <w:num w:numId="14" w16cid:durableId="764348517">
    <w:abstractNumId w:val="8"/>
  </w:num>
  <w:num w:numId="15" w16cid:durableId="13564641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91391674">
    <w:abstractNumId w:val="3"/>
  </w:num>
  <w:num w:numId="17" w16cid:durableId="1620838022">
    <w:abstractNumId w:val="4"/>
  </w:num>
  <w:num w:numId="18" w16cid:durableId="186397660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sDQ0NDE0szQxsDQ1NjVW0lEKTi0uzszPAykwMq8FAHmCQjItAAAA"/>
  </w:docVars>
  <w:rsids>
    <w:rsidRoot w:val="00EF78F3"/>
    <w:rsid w:val="000030D6"/>
    <w:rsid w:val="000043EB"/>
    <w:rsid w:val="00005C39"/>
    <w:rsid w:val="00006AA6"/>
    <w:rsid w:val="00007020"/>
    <w:rsid w:val="0001092B"/>
    <w:rsid w:val="0001193A"/>
    <w:rsid w:val="00011D31"/>
    <w:rsid w:val="00012458"/>
    <w:rsid w:val="00012773"/>
    <w:rsid w:val="000132EC"/>
    <w:rsid w:val="00013398"/>
    <w:rsid w:val="0001369C"/>
    <w:rsid w:val="00017957"/>
    <w:rsid w:val="000217A6"/>
    <w:rsid w:val="0002285E"/>
    <w:rsid w:val="00022B75"/>
    <w:rsid w:val="00023E48"/>
    <w:rsid w:val="00024D10"/>
    <w:rsid w:val="00025202"/>
    <w:rsid w:val="00027953"/>
    <w:rsid w:val="00032B57"/>
    <w:rsid w:val="00033316"/>
    <w:rsid w:val="00033472"/>
    <w:rsid w:val="00034AAF"/>
    <w:rsid w:val="0003640F"/>
    <w:rsid w:val="000406B4"/>
    <w:rsid w:val="000408C4"/>
    <w:rsid w:val="0004133D"/>
    <w:rsid w:val="000444EF"/>
    <w:rsid w:val="00044DD6"/>
    <w:rsid w:val="00045D89"/>
    <w:rsid w:val="0004705C"/>
    <w:rsid w:val="000470E7"/>
    <w:rsid w:val="00047460"/>
    <w:rsid w:val="000504DB"/>
    <w:rsid w:val="00050E25"/>
    <w:rsid w:val="000516E0"/>
    <w:rsid w:val="000537A9"/>
    <w:rsid w:val="00053ADA"/>
    <w:rsid w:val="00053E17"/>
    <w:rsid w:val="000542A3"/>
    <w:rsid w:val="0005448A"/>
    <w:rsid w:val="0005753C"/>
    <w:rsid w:val="00062C35"/>
    <w:rsid w:val="00065320"/>
    <w:rsid w:val="000735A1"/>
    <w:rsid w:val="000750EC"/>
    <w:rsid w:val="00075BB8"/>
    <w:rsid w:val="00076414"/>
    <w:rsid w:val="00076CCE"/>
    <w:rsid w:val="00081133"/>
    <w:rsid w:val="0008332F"/>
    <w:rsid w:val="000837A7"/>
    <w:rsid w:val="00087CE2"/>
    <w:rsid w:val="000912EF"/>
    <w:rsid w:val="00091F8A"/>
    <w:rsid w:val="00095403"/>
    <w:rsid w:val="00096064"/>
    <w:rsid w:val="00096979"/>
    <w:rsid w:val="00096CCF"/>
    <w:rsid w:val="00097D67"/>
    <w:rsid w:val="000A0DA2"/>
    <w:rsid w:val="000A12D7"/>
    <w:rsid w:val="000A192A"/>
    <w:rsid w:val="000A1C50"/>
    <w:rsid w:val="000A2DB5"/>
    <w:rsid w:val="000A3115"/>
    <w:rsid w:val="000A67A0"/>
    <w:rsid w:val="000A68DF"/>
    <w:rsid w:val="000A7005"/>
    <w:rsid w:val="000A7550"/>
    <w:rsid w:val="000A79C2"/>
    <w:rsid w:val="000B29CB"/>
    <w:rsid w:val="000B32B0"/>
    <w:rsid w:val="000B5187"/>
    <w:rsid w:val="000B5501"/>
    <w:rsid w:val="000B60BB"/>
    <w:rsid w:val="000B6CB5"/>
    <w:rsid w:val="000B77C5"/>
    <w:rsid w:val="000B7F07"/>
    <w:rsid w:val="000C1B4C"/>
    <w:rsid w:val="000C2BD6"/>
    <w:rsid w:val="000C2F1E"/>
    <w:rsid w:val="000C4490"/>
    <w:rsid w:val="000C48A4"/>
    <w:rsid w:val="000C5536"/>
    <w:rsid w:val="000C5674"/>
    <w:rsid w:val="000C58C9"/>
    <w:rsid w:val="000C7A4E"/>
    <w:rsid w:val="000C7BDB"/>
    <w:rsid w:val="000C7C94"/>
    <w:rsid w:val="000C7CF2"/>
    <w:rsid w:val="000D09DA"/>
    <w:rsid w:val="000D22E1"/>
    <w:rsid w:val="000D3379"/>
    <w:rsid w:val="000D43C5"/>
    <w:rsid w:val="000D65F1"/>
    <w:rsid w:val="000D75CF"/>
    <w:rsid w:val="000E0300"/>
    <w:rsid w:val="000E0FBB"/>
    <w:rsid w:val="000E2859"/>
    <w:rsid w:val="000E2EFA"/>
    <w:rsid w:val="000E4F78"/>
    <w:rsid w:val="000E5D48"/>
    <w:rsid w:val="000F1B6A"/>
    <w:rsid w:val="000F36C4"/>
    <w:rsid w:val="000F383A"/>
    <w:rsid w:val="000F6342"/>
    <w:rsid w:val="000F75D5"/>
    <w:rsid w:val="00101D9C"/>
    <w:rsid w:val="001033EE"/>
    <w:rsid w:val="00104505"/>
    <w:rsid w:val="0010554E"/>
    <w:rsid w:val="00106782"/>
    <w:rsid w:val="00106DDD"/>
    <w:rsid w:val="0011038D"/>
    <w:rsid w:val="00111BC9"/>
    <w:rsid w:val="00115BC4"/>
    <w:rsid w:val="001220B6"/>
    <w:rsid w:val="00124F37"/>
    <w:rsid w:val="00125D69"/>
    <w:rsid w:val="00126174"/>
    <w:rsid w:val="0012744A"/>
    <w:rsid w:val="00127ED6"/>
    <w:rsid w:val="00130559"/>
    <w:rsid w:val="001306FE"/>
    <w:rsid w:val="00131A2D"/>
    <w:rsid w:val="001341BD"/>
    <w:rsid w:val="0013556C"/>
    <w:rsid w:val="00141A9B"/>
    <w:rsid w:val="00142348"/>
    <w:rsid w:val="00142988"/>
    <w:rsid w:val="00143436"/>
    <w:rsid w:val="00143FD7"/>
    <w:rsid w:val="0014450B"/>
    <w:rsid w:val="00144C2A"/>
    <w:rsid w:val="00144DB7"/>
    <w:rsid w:val="001451E5"/>
    <w:rsid w:val="001521E1"/>
    <w:rsid w:val="00153963"/>
    <w:rsid w:val="0015476D"/>
    <w:rsid w:val="00160DD3"/>
    <w:rsid w:val="00163E06"/>
    <w:rsid w:val="001648E7"/>
    <w:rsid w:val="001648F3"/>
    <w:rsid w:val="00164E3A"/>
    <w:rsid w:val="00164EFA"/>
    <w:rsid w:val="0016616A"/>
    <w:rsid w:val="0017037F"/>
    <w:rsid w:val="0017042E"/>
    <w:rsid w:val="0017179E"/>
    <w:rsid w:val="00174399"/>
    <w:rsid w:val="00174BDE"/>
    <w:rsid w:val="0017502A"/>
    <w:rsid w:val="001763D4"/>
    <w:rsid w:val="00176964"/>
    <w:rsid w:val="00176ACF"/>
    <w:rsid w:val="00177BB6"/>
    <w:rsid w:val="00181405"/>
    <w:rsid w:val="0018145B"/>
    <w:rsid w:val="001826D1"/>
    <w:rsid w:val="001827C9"/>
    <w:rsid w:val="00183403"/>
    <w:rsid w:val="00183581"/>
    <w:rsid w:val="00184FA0"/>
    <w:rsid w:val="00190D1E"/>
    <w:rsid w:val="00191392"/>
    <w:rsid w:val="0019502B"/>
    <w:rsid w:val="00195130"/>
    <w:rsid w:val="001956F0"/>
    <w:rsid w:val="00195D52"/>
    <w:rsid w:val="001A06C6"/>
    <w:rsid w:val="001A1AAE"/>
    <w:rsid w:val="001A2569"/>
    <w:rsid w:val="001A36C1"/>
    <w:rsid w:val="001A731B"/>
    <w:rsid w:val="001B078E"/>
    <w:rsid w:val="001B243D"/>
    <w:rsid w:val="001B3D0B"/>
    <w:rsid w:val="001B44B4"/>
    <w:rsid w:val="001B5681"/>
    <w:rsid w:val="001B6BB9"/>
    <w:rsid w:val="001B7107"/>
    <w:rsid w:val="001C1D07"/>
    <w:rsid w:val="001C2633"/>
    <w:rsid w:val="001C33CC"/>
    <w:rsid w:val="001C3811"/>
    <w:rsid w:val="001C4AC3"/>
    <w:rsid w:val="001C4B25"/>
    <w:rsid w:val="001C4BD8"/>
    <w:rsid w:val="001D1D37"/>
    <w:rsid w:val="001D2859"/>
    <w:rsid w:val="001D2998"/>
    <w:rsid w:val="001D4C4D"/>
    <w:rsid w:val="001D4DA6"/>
    <w:rsid w:val="001D6480"/>
    <w:rsid w:val="001D6798"/>
    <w:rsid w:val="001D6FAC"/>
    <w:rsid w:val="001D702E"/>
    <w:rsid w:val="001D7817"/>
    <w:rsid w:val="001E019B"/>
    <w:rsid w:val="001E066F"/>
    <w:rsid w:val="001E1529"/>
    <w:rsid w:val="001E3D1C"/>
    <w:rsid w:val="001E40B1"/>
    <w:rsid w:val="001E4744"/>
    <w:rsid w:val="001E756A"/>
    <w:rsid w:val="001F07EF"/>
    <w:rsid w:val="001F0A41"/>
    <w:rsid w:val="001F38D9"/>
    <w:rsid w:val="001F5B98"/>
    <w:rsid w:val="001F70E6"/>
    <w:rsid w:val="001F772A"/>
    <w:rsid w:val="0020360D"/>
    <w:rsid w:val="0020366D"/>
    <w:rsid w:val="00206172"/>
    <w:rsid w:val="002062DD"/>
    <w:rsid w:val="00206933"/>
    <w:rsid w:val="002069CA"/>
    <w:rsid w:val="00207AB1"/>
    <w:rsid w:val="00210988"/>
    <w:rsid w:val="00222423"/>
    <w:rsid w:val="00223EC2"/>
    <w:rsid w:val="00225487"/>
    <w:rsid w:val="002268CE"/>
    <w:rsid w:val="00232CA8"/>
    <w:rsid w:val="002346A5"/>
    <w:rsid w:val="002352A3"/>
    <w:rsid w:val="0023705B"/>
    <w:rsid w:val="00240F1B"/>
    <w:rsid w:val="00241049"/>
    <w:rsid w:val="00244601"/>
    <w:rsid w:val="00246B1C"/>
    <w:rsid w:val="00251D61"/>
    <w:rsid w:val="002522BA"/>
    <w:rsid w:val="00252453"/>
    <w:rsid w:val="00252DD4"/>
    <w:rsid w:val="002534A6"/>
    <w:rsid w:val="002534C4"/>
    <w:rsid w:val="00255335"/>
    <w:rsid w:val="0025795E"/>
    <w:rsid w:val="002602CD"/>
    <w:rsid w:val="0026123B"/>
    <w:rsid w:val="00261349"/>
    <w:rsid w:val="00262720"/>
    <w:rsid w:val="00263BE5"/>
    <w:rsid w:val="0026451D"/>
    <w:rsid w:val="002671FB"/>
    <w:rsid w:val="0026753A"/>
    <w:rsid w:val="002702BD"/>
    <w:rsid w:val="00272C69"/>
    <w:rsid w:val="00273CCA"/>
    <w:rsid w:val="00274415"/>
    <w:rsid w:val="0027463C"/>
    <w:rsid w:val="002764F0"/>
    <w:rsid w:val="0028047A"/>
    <w:rsid w:val="00280776"/>
    <w:rsid w:val="00282C10"/>
    <w:rsid w:val="00283674"/>
    <w:rsid w:val="00284F38"/>
    <w:rsid w:val="0028567B"/>
    <w:rsid w:val="002869D0"/>
    <w:rsid w:val="00287088"/>
    <w:rsid w:val="0028778C"/>
    <w:rsid w:val="002906DD"/>
    <w:rsid w:val="00293BE5"/>
    <w:rsid w:val="00296848"/>
    <w:rsid w:val="00297BA8"/>
    <w:rsid w:val="00297F77"/>
    <w:rsid w:val="002A0748"/>
    <w:rsid w:val="002A413D"/>
    <w:rsid w:val="002A4348"/>
    <w:rsid w:val="002A7F01"/>
    <w:rsid w:val="002B06CD"/>
    <w:rsid w:val="002B0CF1"/>
    <w:rsid w:val="002B1B52"/>
    <w:rsid w:val="002B1C09"/>
    <w:rsid w:val="002B2357"/>
    <w:rsid w:val="002B482C"/>
    <w:rsid w:val="002B4AD1"/>
    <w:rsid w:val="002B4ADB"/>
    <w:rsid w:val="002B4EEC"/>
    <w:rsid w:val="002B5B3F"/>
    <w:rsid w:val="002B6612"/>
    <w:rsid w:val="002C0FE2"/>
    <w:rsid w:val="002C1739"/>
    <w:rsid w:val="002C1C02"/>
    <w:rsid w:val="002C29A8"/>
    <w:rsid w:val="002C2EB9"/>
    <w:rsid w:val="002C5A1C"/>
    <w:rsid w:val="002C741A"/>
    <w:rsid w:val="002C769F"/>
    <w:rsid w:val="002D0362"/>
    <w:rsid w:val="002D07A6"/>
    <w:rsid w:val="002D14F0"/>
    <w:rsid w:val="002D2BC7"/>
    <w:rsid w:val="002D3C4D"/>
    <w:rsid w:val="002D4D42"/>
    <w:rsid w:val="002D69C6"/>
    <w:rsid w:val="002D7189"/>
    <w:rsid w:val="002D797D"/>
    <w:rsid w:val="002D7F70"/>
    <w:rsid w:val="002E192D"/>
    <w:rsid w:val="002E2C1E"/>
    <w:rsid w:val="002E566B"/>
    <w:rsid w:val="002E7DDF"/>
    <w:rsid w:val="002F1ACA"/>
    <w:rsid w:val="002F20B5"/>
    <w:rsid w:val="002F281E"/>
    <w:rsid w:val="002F2BF1"/>
    <w:rsid w:val="002F3AAB"/>
    <w:rsid w:val="002F407A"/>
    <w:rsid w:val="002F4AA4"/>
    <w:rsid w:val="002F4D47"/>
    <w:rsid w:val="00301527"/>
    <w:rsid w:val="00301A5E"/>
    <w:rsid w:val="003020EA"/>
    <w:rsid w:val="0030435C"/>
    <w:rsid w:val="003051BB"/>
    <w:rsid w:val="0030659B"/>
    <w:rsid w:val="00311A39"/>
    <w:rsid w:val="00311C80"/>
    <w:rsid w:val="00311F19"/>
    <w:rsid w:val="003121D0"/>
    <w:rsid w:val="00312535"/>
    <w:rsid w:val="0031315C"/>
    <w:rsid w:val="003132FA"/>
    <w:rsid w:val="00313C84"/>
    <w:rsid w:val="00314E80"/>
    <w:rsid w:val="00315B90"/>
    <w:rsid w:val="003177AB"/>
    <w:rsid w:val="003177EE"/>
    <w:rsid w:val="003200CC"/>
    <w:rsid w:val="00321057"/>
    <w:rsid w:val="003210AB"/>
    <w:rsid w:val="00324CD1"/>
    <w:rsid w:val="003279C4"/>
    <w:rsid w:val="00330EA4"/>
    <w:rsid w:val="00331982"/>
    <w:rsid w:val="00331A51"/>
    <w:rsid w:val="00331C34"/>
    <w:rsid w:val="003354FE"/>
    <w:rsid w:val="00336759"/>
    <w:rsid w:val="00337B13"/>
    <w:rsid w:val="003415EF"/>
    <w:rsid w:val="003472E5"/>
    <w:rsid w:val="00347BA5"/>
    <w:rsid w:val="00352CDE"/>
    <w:rsid w:val="00354932"/>
    <w:rsid w:val="00354CCB"/>
    <w:rsid w:val="003551A9"/>
    <w:rsid w:val="003617EB"/>
    <w:rsid w:val="0036303A"/>
    <w:rsid w:val="00363B29"/>
    <w:rsid w:val="003640DD"/>
    <w:rsid w:val="00364283"/>
    <w:rsid w:val="00366F41"/>
    <w:rsid w:val="00367479"/>
    <w:rsid w:val="003674D3"/>
    <w:rsid w:val="00367900"/>
    <w:rsid w:val="00370321"/>
    <w:rsid w:val="003703C5"/>
    <w:rsid w:val="0037054E"/>
    <w:rsid w:val="00375BA9"/>
    <w:rsid w:val="00376E91"/>
    <w:rsid w:val="003772C8"/>
    <w:rsid w:val="00384487"/>
    <w:rsid w:val="00384C93"/>
    <w:rsid w:val="00384CB8"/>
    <w:rsid w:val="00386119"/>
    <w:rsid w:val="00386BD5"/>
    <w:rsid w:val="00386BE4"/>
    <w:rsid w:val="00386F8C"/>
    <w:rsid w:val="00386F8F"/>
    <w:rsid w:val="00387608"/>
    <w:rsid w:val="003876B9"/>
    <w:rsid w:val="003878D8"/>
    <w:rsid w:val="003900FC"/>
    <w:rsid w:val="003918BB"/>
    <w:rsid w:val="0039248C"/>
    <w:rsid w:val="00392C24"/>
    <w:rsid w:val="00393443"/>
    <w:rsid w:val="0039468F"/>
    <w:rsid w:val="003A0ADE"/>
    <w:rsid w:val="003A2982"/>
    <w:rsid w:val="003A2BBC"/>
    <w:rsid w:val="003A2F97"/>
    <w:rsid w:val="003A6BF4"/>
    <w:rsid w:val="003A7C0E"/>
    <w:rsid w:val="003B00D4"/>
    <w:rsid w:val="003B04E9"/>
    <w:rsid w:val="003B0AAD"/>
    <w:rsid w:val="003B1139"/>
    <w:rsid w:val="003B157F"/>
    <w:rsid w:val="003B18DD"/>
    <w:rsid w:val="003B1AD6"/>
    <w:rsid w:val="003B2086"/>
    <w:rsid w:val="003B20E0"/>
    <w:rsid w:val="003B334E"/>
    <w:rsid w:val="003B3FFE"/>
    <w:rsid w:val="003B541C"/>
    <w:rsid w:val="003B57C3"/>
    <w:rsid w:val="003C1407"/>
    <w:rsid w:val="003C1724"/>
    <w:rsid w:val="003C2140"/>
    <w:rsid w:val="003C43A1"/>
    <w:rsid w:val="003C4E65"/>
    <w:rsid w:val="003C4FAD"/>
    <w:rsid w:val="003C50AF"/>
    <w:rsid w:val="003C5CA3"/>
    <w:rsid w:val="003C7B36"/>
    <w:rsid w:val="003D0581"/>
    <w:rsid w:val="003D08C1"/>
    <w:rsid w:val="003D1117"/>
    <w:rsid w:val="003D23C5"/>
    <w:rsid w:val="003D795D"/>
    <w:rsid w:val="003E4B2C"/>
    <w:rsid w:val="003E6482"/>
    <w:rsid w:val="003F01E9"/>
    <w:rsid w:val="003F1894"/>
    <w:rsid w:val="003F3698"/>
    <w:rsid w:val="003F656E"/>
    <w:rsid w:val="003F6E57"/>
    <w:rsid w:val="003F7232"/>
    <w:rsid w:val="00400441"/>
    <w:rsid w:val="004009BE"/>
    <w:rsid w:val="004017DD"/>
    <w:rsid w:val="004028E5"/>
    <w:rsid w:val="0040595A"/>
    <w:rsid w:val="00407AF7"/>
    <w:rsid w:val="004122BF"/>
    <w:rsid w:val="00413127"/>
    <w:rsid w:val="004160CF"/>
    <w:rsid w:val="004168EA"/>
    <w:rsid w:val="00420172"/>
    <w:rsid w:val="00421A56"/>
    <w:rsid w:val="00421BED"/>
    <w:rsid w:val="004251EB"/>
    <w:rsid w:val="0042684A"/>
    <w:rsid w:val="00426C04"/>
    <w:rsid w:val="004311C1"/>
    <w:rsid w:val="004312CA"/>
    <w:rsid w:val="00433B0A"/>
    <w:rsid w:val="00433C79"/>
    <w:rsid w:val="00436CE6"/>
    <w:rsid w:val="004379B2"/>
    <w:rsid w:val="004404BE"/>
    <w:rsid w:val="00440802"/>
    <w:rsid w:val="004408D3"/>
    <w:rsid w:val="004434FC"/>
    <w:rsid w:val="00443DDE"/>
    <w:rsid w:val="00444855"/>
    <w:rsid w:val="00444AB6"/>
    <w:rsid w:val="00444CC9"/>
    <w:rsid w:val="004454AC"/>
    <w:rsid w:val="00447B0F"/>
    <w:rsid w:val="00451A66"/>
    <w:rsid w:val="00451E3E"/>
    <w:rsid w:val="0045287D"/>
    <w:rsid w:val="00452953"/>
    <w:rsid w:val="00452A9C"/>
    <w:rsid w:val="00452C81"/>
    <w:rsid w:val="004531F9"/>
    <w:rsid w:val="00453E13"/>
    <w:rsid w:val="004571B1"/>
    <w:rsid w:val="00460A95"/>
    <w:rsid w:val="00460E70"/>
    <w:rsid w:val="00460F18"/>
    <w:rsid w:val="00461261"/>
    <w:rsid w:val="00461703"/>
    <w:rsid w:val="00462474"/>
    <w:rsid w:val="00465535"/>
    <w:rsid w:val="0046559B"/>
    <w:rsid w:val="0046633D"/>
    <w:rsid w:val="0046785F"/>
    <w:rsid w:val="00467C2F"/>
    <w:rsid w:val="00470390"/>
    <w:rsid w:val="0047251B"/>
    <w:rsid w:val="00473E65"/>
    <w:rsid w:val="004740CD"/>
    <w:rsid w:val="004741EF"/>
    <w:rsid w:val="00474406"/>
    <w:rsid w:val="0047508A"/>
    <w:rsid w:val="00475A63"/>
    <w:rsid w:val="00475BBE"/>
    <w:rsid w:val="0048040A"/>
    <w:rsid w:val="0048095B"/>
    <w:rsid w:val="00482C7C"/>
    <w:rsid w:val="004847B9"/>
    <w:rsid w:val="00484A74"/>
    <w:rsid w:val="00484EE9"/>
    <w:rsid w:val="004905DA"/>
    <w:rsid w:val="00491BD4"/>
    <w:rsid w:val="00493C1A"/>
    <w:rsid w:val="0049464C"/>
    <w:rsid w:val="00495FD9"/>
    <w:rsid w:val="004A1DC6"/>
    <w:rsid w:val="004A2E26"/>
    <w:rsid w:val="004A39F6"/>
    <w:rsid w:val="004A3BD0"/>
    <w:rsid w:val="004A3CDD"/>
    <w:rsid w:val="004A4145"/>
    <w:rsid w:val="004A4E29"/>
    <w:rsid w:val="004A5576"/>
    <w:rsid w:val="004A5594"/>
    <w:rsid w:val="004A5A32"/>
    <w:rsid w:val="004B2AE5"/>
    <w:rsid w:val="004B2F18"/>
    <w:rsid w:val="004B345D"/>
    <w:rsid w:val="004B3764"/>
    <w:rsid w:val="004B6278"/>
    <w:rsid w:val="004B6D8B"/>
    <w:rsid w:val="004B755F"/>
    <w:rsid w:val="004B7A43"/>
    <w:rsid w:val="004B7C5D"/>
    <w:rsid w:val="004C013E"/>
    <w:rsid w:val="004C3CCC"/>
    <w:rsid w:val="004C45C6"/>
    <w:rsid w:val="004C543F"/>
    <w:rsid w:val="004C5F9A"/>
    <w:rsid w:val="004C659E"/>
    <w:rsid w:val="004D1686"/>
    <w:rsid w:val="004D382C"/>
    <w:rsid w:val="004E0A83"/>
    <w:rsid w:val="004E1177"/>
    <w:rsid w:val="004E12A2"/>
    <w:rsid w:val="004E2570"/>
    <w:rsid w:val="004E2AE9"/>
    <w:rsid w:val="004E3755"/>
    <w:rsid w:val="004E37D0"/>
    <w:rsid w:val="004E4359"/>
    <w:rsid w:val="004E7E95"/>
    <w:rsid w:val="004F0572"/>
    <w:rsid w:val="004F0EE7"/>
    <w:rsid w:val="004F14BE"/>
    <w:rsid w:val="004F25CD"/>
    <w:rsid w:val="004F4093"/>
    <w:rsid w:val="004F5133"/>
    <w:rsid w:val="004F5AD3"/>
    <w:rsid w:val="004F5BE6"/>
    <w:rsid w:val="004F6EC2"/>
    <w:rsid w:val="004F6F63"/>
    <w:rsid w:val="004F7613"/>
    <w:rsid w:val="004F7E12"/>
    <w:rsid w:val="00500758"/>
    <w:rsid w:val="00500A01"/>
    <w:rsid w:val="005010F6"/>
    <w:rsid w:val="00501B55"/>
    <w:rsid w:val="00512757"/>
    <w:rsid w:val="00513ECA"/>
    <w:rsid w:val="00520A10"/>
    <w:rsid w:val="00521669"/>
    <w:rsid w:val="00525C37"/>
    <w:rsid w:val="00526137"/>
    <w:rsid w:val="00526BF8"/>
    <w:rsid w:val="00527AC6"/>
    <w:rsid w:val="00530FF7"/>
    <w:rsid w:val="00531E63"/>
    <w:rsid w:val="005337B5"/>
    <w:rsid w:val="005338ED"/>
    <w:rsid w:val="005357C1"/>
    <w:rsid w:val="00537DB2"/>
    <w:rsid w:val="00540DBF"/>
    <w:rsid w:val="00543BBE"/>
    <w:rsid w:val="005454D6"/>
    <w:rsid w:val="00551D22"/>
    <w:rsid w:val="00551DCE"/>
    <w:rsid w:val="005521AD"/>
    <w:rsid w:val="00552426"/>
    <w:rsid w:val="00552BA1"/>
    <w:rsid w:val="00554C40"/>
    <w:rsid w:val="00556893"/>
    <w:rsid w:val="00556EBC"/>
    <w:rsid w:val="005570E2"/>
    <w:rsid w:val="00560D1B"/>
    <w:rsid w:val="00560DCF"/>
    <w:rsid w:val="0056188D"/>
    <w:rsid w:val="00561EC4"/>
    <w:rsid w:val="00562272"/>
    <w:rsid w:val="00564632"/>
    <w:rsid w:val="00564C73"/>
    <w:rsid w:val="00570981"/>
    <w:rsid w:val="00577A84"/>
    <w:rsid w:val="00580ADD"/>
    <w:rsid w:val="00582ADF"/>
    <w:rsid w:val="00583CE2"/>
    <w:rsid w:val="0058436F"/>
    <w:rsid w:val="0058510C"/>
    <w:rsid w:val="00585BA6"/>
    <w:rsid w:val="00585FE8"/>
    <w:rsid w:val="005860C5"/>
    <w:rsid w:val="005864A1"/>
    <w:rsid w:val="00586CF6"/>
    <w:rsid w:val="00586F10"/>
    <w:rsid w:val="00587A85"/>
    <w:rsid w:val="00587B26"/>
    <w:rsid w:val="005907FC"/>
    <w:rsid w:val="0059343E"/>
    <w:rsid w:val="00594D72"/>
    <w:rsid w:val="00597BB1"/>
    <w:rsid w:val="005A1C57"/>
    <w:rsid w:val="005A21E5"/>
    <w:rsid w:val="005A46EE"/>
    <w:rsid w:val="005A4AF3"/>
    <w:rsid w:val="005A64DD"/>
    <w:rsid w:val="005A65C1"/>
    <w:rsid w:val="005B1E84"/>
    <w:rsid w:val="005B2FC2"/>
    <w:rsid w:val="005B3AEA"/>
    <w:rsid w:val="005B4679"/>
    <w:rsid w:val="005B5287"/>
    <w:rsid w:val="005B5DF1"/>
    <w:rsid w:val="005B694A"/>
    <w:rsid w:val="005B6A6C"/>
    <w:rsid w:val="005C3464"/>
    <w:rsid w:val="005C3AD4"/>
    <w:rsid w:val="005C3D38"/>
    <w:rsid w:val="005C76E5"/>
    <w:rsid w:val="005D1F27"/>
    <w:rsid w:val="005D4125"/>
    <w:rsid w:val="005D6593"/>
    <w:rsid w:val="005E0336"/>
    <w:rsid w:val="005E0922"/>
    <w:rsid w:val="005E1E99"/>
    <w:rsid w:val="005E2975"/>
    <w:rsid w:val="005E5B6C"/>
    <w:rsid w:val="005F1CB2"/>
    <w:rsid w:val="005F26E0"/>
    <w:rsid w:val="005F28B2"/>
    <w:rsid w:val="005F562F"/>
    <w:rsid w:val="005F5D98"/>
    <w:rsid w:val="005F78FD"/>
    <w:rsid w:val="005F7D71"/>
    <w:rsid w:val="00600B99"/>
    <w:rsid w:val="006018AE"/>
    <w:rsid w:val="006046B6"/>
    <w:rsid w:val="0060553A"/>
    <w:rsid w:val="00605F30"/>
    <w:rsid w:val="006076D6"/>
    <w:rsid w:val="00607F98"/>
    <w:rsid w:val="00611BBF"/>
    <w:rsid w:val="0061403C"/>
    <w:rsid w:val="00615247"/>
    <w:rsid w:val="00617431"/>
    <w:rsid w:val="006200F4"/>
    <w:rsid w:val="0062182A"/>
    <w:rsid w:val="0062240D"/>
    <w:rsid w:val="00625067"/>
    <w:rsid w:val="00625259"/>
    <w:rsid w:val="00626DC3"/>
    <w:rsid w:val="0062797B"/>
    <w:rsid w:val="006316F7"/>
    <w:rsid w:val="0064016B"/>
    <w:rsid w:val="00640D78"/>
    <w:rsid w:val="00640E1C"/>
    <w:rsid w:val="00650734"/>
    <w:rsid w:val="006512FA"/>
    <w:rsid w:val="00651C16"/>
    <w:rsid w:val="00652EE1"/>
    <w:rsid w:val="0065409D"/>
    <w:rsid w:val="00656E2C"/>
    <w:rsid w:val="006575E5"/>
    <w:rsid w:val="00660868"/>
    <w:rsid w:val="00667A16"/>
    <w:rsid w:val="00674484"/>
    <w:rsid w:val="00674E95"/>
    <w:rsid w:val="0067596C"/>
    <w:rsid w:val="006768D1"/>
    <w:rsid w:val="006775D2"/>
    <w:rsid w:val="00677F9F"/>
    <w:rsid w:val="00682E25"/>
    <w:rsid w:val="00685BF6"/>
    <w:rsid w:val="006913DF"/>
    <w:rsid w:val="00692FB4"/>
    <w:rsid w:val="00693D69"/>
    <w:rsid w:val="006956AB"/>
    <w:rsid w:val="00695776"/>
    <w:rsid w:val="006A042C"/>
    <w:rsid w:val="006A2672"/>
    <w:rsid w:val="006A31CD"/>
    <w:rsid w:val="006A3303"/>
    <w:rsid w:val="006A42DB"/>
    <w:rsid w:val="006A6964"/>
    <w:rsid w:val="006B0157"/>
    <w:rsid w:val="006B070C"/>
    <w:rsid w:val="006B077B"/>
    <w:rsid w:val="006B1BF4"/>
    <w:rsid w:val="006B3181"/>
    <w:rsid w:val="006B523A"/>
    <w:rsid w:val="006C19F3"/>
    <w:rsid w:val="006C1B53"/>
    <w:rsid w:val="006C1C5B"/>
    <w:rsid w:val="006C1CE5"/>
    <w:rsid w:val="006C238F"/>
    <w:rsid w:val="006C2E27"/>
    <w:rsid w:val="006C5CF0"/>
    <w:rsid w:val="006D21E0"/>
    <w:rsid w:val="006D5043"/>
    <w:rsid w:val="006E1168"/>
    <w:rsid w:val="006E2482"/>
    <w:rsid w:val="006E3506"/>
    <w:rsid w:val="006E54BA"/>
    <w:rsid w:val="006F1CDD"/>
    <w:rsid w:val="006F229B"/>
    <w:rsid w:val="006F30EA"/>
    <w:rsid w:val="006F5E11"/>
    <w:rsid w:val="006F67E8"/>
    <w:rsid w:val="007003A5"/>
    <w:rsid w:val="00703A27"/>
    <w:rsid w:val="0070409A"/>
    <w:rsid w:val="00706086"/>
    <w:rsid w:val="0071259A"/>
    <w:rsid w:val="007131B6"/>
    <w:rsid w:val="00714456"/>
    <w:rsid w:val="007146C1"/>
    <w:rsid w:val="00717958"/>
    <w:rsid w:val="00720D16"/>
    <w:rsid w:val="007212D8"/>
    <w:rsid w:val="007218A7"/>
    <w:rsid w:val="007233D9"/>
    <w:rsid w:val="00723BAD"/>
    <w:rsid w:val="00724B50"/>
    <w:rsid w:val="0072517C"/>
    <w:rsid w:val="007262B0"/>
    <w:rsid w:val="007267EC"/>
    <w:rsid w:val="00726E92"/>
    <w:rsid w:val="00727BFD"/>
    <w:rsid w:val="0073030E"/>
    <w:rsid w:val="00731C79"/>
    <w:rsid w:val="00732014"/>
    <w:rsid w:val="007334D4"/>
    <w:rsid w:val="00733ED4"/>
    <w:rsid w:val="00734BA2"/>
    <w:rsid w:val="0074231F"/>
    <w:rsid w:val="00745308"/>
    <w:rsid w:val="00745FA1"/>
    <w:rsid w:val="00746809"/>
    <w:rsid w:val="00746CBC"/>
    <w:rsid w:val="00747C35"/>
    <w:rsid w:val="00747CA1"/>
    <w:rsid w:val="00750276"/>
    <w:rsid w:val="00750D73"/>
    <w:rsid w:val="00752A1F"/>
    <w:rsid w:val="00753F6C"/>
    <w:rsid w:val="0075603B"/>
    <w:rsid w:val="00756705"/>
    <w:rsid w:val="007603EC"/>
    <w:rsid w:val="007604F6"/>
    <w:rsid w:val="007621A6"/>
    <w:rsid w:val="00762AF9"/>
    <w:rsid w:val="007638D1"/>
    <w:rsid w:val="007650A9"/>
    <w:rsid w:val="00765442"/>
    <w:rsid w:val="00767609"/>
    <w:rsid w:val="007676D7"/>
    <w:rsid w:val="007707A2"/>
    <w:rsid w:val="0077407F"/>
    <w:rsid w:val="00776A08"/>
    <w:rsid w:val="00777207"/>
    <w:rsid w:val="00780CE7"/>
    <w:rsid w:val="00780F60"/>
    <w:rsid w:val="00781539"/>
    <w:rsid w:val="00783656"/>
    <w:rsid w:val="007839E4"/>
    <w:rsid w:val="0078517E"/>
    <w:rsid w:val="007859B3"/>
    <w:rsid w:val="00786846"/>
    <w:rsid w:val="00787925"/>
    <w:rsid w:val="00793025"/>
    <w:rsid w:val="00794952"/>
    <w:rsid w:val="00794DBA"/>
    <w:rsid w:val="00796F81"/>
    <w:rsid w:val="00797470"/>
    <w:rsid w:val="00797C6D"/>
    <w:rsid w:val="007A049B"/>
    <w:rsid w:val="007A06E3"/>
    <w:rsid w:val="007A2E4D"/>
    <w:rsid w:val="007A39AF"/>
    <w:rsid w:val="007A49E4"/>
    <w:rsid w:val="007A4F68"/>
    <w:rsid w:val="007A53DE"/>
    <w:rsid w:val="007A59ED"/>
    <w:rsid w:val="007B331C"/>
    <w:rsid w:val="007B3E1C"/>
    <w:rsid w:val="007B409C"/>
    <w:rsid w:val="007B4652"/>
    <w:rsid w:val="007B4C8E"/>
    <w:rsid w:val="007B59D0"/>
    <w:rsid w:val="007B5AFB"/>
    <w:rsid w:val="007B5B3C"/>
    <w:rsid w:val="007B60ED"/>
    <w:rsid w:val="007B68C6"/>
    <w:rsid w:val="007B7A4E"/>
    <w:rsid w:val="007C2255"/>
    <w:rsid w:val="007C391E"/>
    <w:rsid w:val="007C41A3"/>
    <w:rsid w:val="007C4A96"/>
    <w:rsid w:val="007C5CEB"/>
    <w:rsid w:val="007C72BF"/>
    <w:rsid w:val="007C7B95"/>
    <w:rsid w:val="007D3664"/>
    <w:rsid w:val="007D40A9"/>
    <w:rsid w:val="007D5BE6"/>
    <w:rsid w:val="007D60FF"/>
    <w:rsid w:val="007E1C2D"/>
    <w:rsid w:val="007E1EC1"/>
    <w:rsid w:val="007E25C2"/>
    <w:rsid w:val="007E2FAE"/>
    <w:rsid w:val="007E49D7"/>
    <w:rsid w:val="007E4D4F"/>
    <w:rsid w:val="007E7B9F"/>
    <w:rsid w:val="007F09BC"/>
    <w:rsid w:val="007F0CC7"/>
    <w:rsid w:val="007F1766"/>
    <w:rsid w:val="007F1ED5"/>
    <w:rsid w:val="007F35E2"/>
    <w:rsid w:val="007F3697"/>
    <w:rsid w:val="007F4BC9"/>
    <w:rsid w:val="007F4CB1"/>
    <w:rsid w:val="007F4EF4"/>
    <w:rsid w:val="007F5E0C"/>
    <w:rsid w:val="007F6190"/>
    <w:rsid w:val="007F72A6"/>
    <w:rsid w:val="00800B12"/>
    <w:rsid w:val="008015DA"/>
    <w:rsid w:val="00802BC0"/>
    <w:rsid w:val="00802F9E"/>
    <w:rsid w:val="0080445A"/>
    <w:rsid w:val="00804DAA"/>
    <w:rsid w:val="00806548"/>
    <w:rsid w:val="00806E7C"/>
    <w:rsid w:val="0081116F"/>
    <w:rsid w:val="00813FA1"/>
    <w:rsid w:val="00815700"/>
    <w:rsid w:val="00815C89"/>
    <w:rsid w:val="008160D5"/>
    <w:rsid w:val="0081685F"/>
    <w:rsid w:val="00820EE5"/>
    <w:rsid w:val="00821ED9"/>
    <w:rsid w:val="008223B8"/>
    <w:rsid w:val="00822E02"/>
    <w:rsid w:val="00826048"/>
    <w:rsid w:val="0082621D"/>
    <w:rsid w:val="0082640D"/>
    <w:rsid w:val="00826FE6"/>
    <w:rsid w:val="008279EC"/>
    <w:rsid w:val="00827A95"/>
    <w:rsid w:val="008317A3"/>
    <w:rsid w:val="00833807"/>
    <w:rsid w:val="00834384"/>
    <w:rsid w:val="00843536"/>
    <w:rsid w:val="00844F0E"/>
    <w:rsid w:val="00845F7A"/>
    <w:rsid w:val="008479B5"/>
    <w:rsid w:val="008507D9"/>
    <w:rsid w:val="0085091C"/>
    <w:rsid w:val="0085158C"/>
    <w:rsid w:val="008518FE"/>
    <w:rsid w:val="00852B1B"/>
    <w:rsid w:val="00853AA3"/>
    <w:rsid w:val="0085445B"/>
    <w:rsid w:val="00857807"/>
    <w:rsid w:val="0086027C"/>
    <w:rsid w:val="008625CE"/>
    <w:rsid w:val="00864C8E"/>
    <w:rsid w:val="008650ED"/>
    <w:rsid w:val="0086724E"/>
    <w:rsid w:val="008672CC"/>
    <w:rsid w:val="008675E6"/>
    <w:rsid w:val="00871030"/>
    <w:rsid w:val="0087186B"/>
    <w:rsid w:val="00872770"/>
    <w:rsid w:val="00872CDC"/>
    <w:rsid w:val="00873AA7"/>
    <w:rsid w:val="0087421F"/>
    <w:rsid w:val="00876B05"/>
    <w:rsid w:val="008814B3"/>
    <w:rsid w:val="0088226A"/>
    <w:rsid w:val="008849B7"/>
    <w:rsid w:val="00887E5D"/>
    <w:rsid w:val="0089000A"/>
    <w:rsid w:val="00893277"/>
    <w:rsid w:val="00893443"/>
    <w:rsid w:val="00893B25"/>
    <w:rsid w:val="00894CEA"/>
    <w:rsid w:val="008979B8"/>
    <w:rsid w:val="008A1874"/>
    <w:rsid w:val="008A1E62"/>
    <w:rsid w:val="008A4634"/>
    <w:rsid w:val="008A6091"/>
    <w:rsid w:val="008A695E"/>
    <w:rsid w:val="008A72A9"/>
    <w:rsid w:val="008B0E77"/>
    <w:rsid w:val="008C0AE1"/>
    <w:rsid w:val="008C76C1"/>
    <w:rsid w:val="008D1DE5"/>
    <w:rsid w:val="008D2557"/>
    <w:rsid w:val="008D2BBB"/>
    <w:rsid w:val="008D2F8F"/>
    <w:rsid w:val="008D33BB"/>
    <w:rsid w:val="008D40F7"/>
    <w:rsid w:val="008D4429"/>
    <w:rsid w:val="008D6BD9"/>
    <w:rsid w:val="008D753A"/>
    <w:rsid w:val="008E08EB"/>
    <w:rsid w:val="008E0E64"/>
    <w:rsid w:val="008E3597"/>
    <w:rsid w:val="008E3F5F"/>
    <w:rsid w:val="008E584A"/>
    <w:rsid w:val="008E6063"/>
    <w:rsid w:val="008E670C"/>
    <w:rsid w:val="008F0BEC"/>
    <w:rsid w:val="008F2E4D"/>
    <w:rsid w:val="008F436F"/>
    <w:rsid w:val="008F6FA2"/>
    <w:rsid w:val="00900302"/>
    <w:rsid w:val="00900BF8"/>
    <w:rsid w:val="00901159"/>
    <w:rsid w:val="00905B01"/>
    <w:rsid w:val="00907EA0"/>
    <w:rsid w:val="00910194"/>
    <w:rsid w:val="00914752"/>
    <w:rsid w:val="00920AA5"/>
    <w:rsid w:val="00920B47"/>
    <w:rsid w:val="00922D4E"/>
    <w:rsid w:val="009247EE"/>
    <w:rsid w:val="00924B8F"/>
    <w:rsid w:val="009252AD"/>
    <w:rsid w:val="00927A5F"/>
    <w:rsid w:val="009317AC"/>
    <w:rsid w:val="00933315"/>
    <w:rsid w:val="00935E25"/>
    <w:rsid w:val="00936218"/>
    <w:rsid w:val="0093687F"/>
    <w:rsid w:val="00937519"/>
    <w:rsid w:val="009379CF"/>
    <w:rsid w:val="00937AD7"/>
    <w:rsid w:val="00940606"/>
    <w:rsid w:val="00941475"/>
    <w:rsid w:val="00941DBB"/>
    <w:rsid w:val="00942C54"/>
    <w:rsid w:val="00943DBB"/>
    <w:rsid w:val="00944C92"/>
    <w:rsid w:val="00945969"/>
    <w:rsid w:val="009475F6"/>
    <w:rsid w:val="00952718"/>
    <w:rsid w:val="00953B8E"/>
    <w:rsid w:val="00956D83"/>
    <w:rsid w:val="009578C9"/>
    <w:rsid w:val="00960A70"/>
    <w:rsid w:val="00961BCF"/>
    <w:rsid w:val="009624A6"/>
    <w:rsid w:val="00963112"/>
    <w:rsid w:val="0096385F"/>
    <w:rsid w:val="00963CD4"/>
    <w:rsid w:val="0096407B"/>
    <w:rsid w:val="0096441B"/>
    <w:rsid w:val="0096502C"/>
    <w:rsid w:val="009663CA"/>
    <w:rsid w:val="0096795D"/>
    <w:rsid w:val="00971929"/>
    <w:rsid w:val="00971B85"/>
    <w:rsid w:val="00975F12"/>
    <w:rsid w:val="00976365"/>
    <w:rsid w:val="00976746"/>
    <w:rsid w:val="00977465"/>
    <w:rsid w:val="00977EC8"/>
    <w:rsid w:val="00980C7F"/>
    <w:rsid w:val="00982780"/>
    <w:rsid w:val="0099178A"/>
    <w:rsid w:val="00992ADC"/>
    <w:rsid w:val="009944D7"/>
    <w:rsid w:val="009960FC"/>
    <w:rsid w:val="009A03DC"/>
    <w:rsid w:val="009A1157"/>
    <w:rsid w:val="009A1215"/>
    <w:rsid w:val="009A1BD0"/>
    <w:rsid w:val="009A2329"/>
    <w:rsid w:val="009A2D7D"/>
    <w:rsid w:val="009A60A0"/>
    <w:rsid w:val="009A6504"/>
    <w:rsid w:val="009A7960"/>
    <w:rsid w:val="009B019A"/>
    <w:rsid w:val="009B1C8B"/>
    <w:rsid w:val="009B232B"/>
    <w:rsid w:val="009B3C98"/>
    <w:rsid w:val="009B4F59"/>
    <w:rsid w:val="009B63D6"/>
    <w:rsid w:val="009B65B1"/>
    <w:rsid w:val="009B6D63"/>
    <w:rsid w:val="009C19E2"/>
    <w:rsid w:val="009C2757"/>
    <w:rsid w:val="009C58A1"/>
    <w:rsid w:val="009C72FE"/>
    <w:rsid w:val="009D3337"/>
    <w:rsid w:val="009D6BC0"/>
    <w:rsid w:val="009D730A"/>
    <w:rsid w:val="009D79A8"/>
    <w:rsid w:val="009E0292"/>
    <w:rsid w:val="009E0B38"/>
    <w:rsid w:val="009E0E60"/>
    <w:rsid w:val="009E2DC2"/>
    <w:rsid w:val="009E7D82"/>
    <w:rsid w:val="009F217B"/>
    <w:rsid w:val="009F3511"/>
    <w:rsid w:val="009F3CF3"/>
    <w:rsid w:val="009F7296"/>
    <w:rsid w:val="009F7DB7"/>
    <w:rsid w:val="00A01E61"/>
    <w:rsid w:val="00A02079"/>
    <w:rsid w:val="00A020BA"/>
    <w:rsid w:val="00A033A6"/>
    <w:rsid w:val="00A03D5B"/>
    <w:rsid w:val="00A04962"/>
    <w:rsid w:val="00A051F9"/>
    <w:rsid w:val="00A067DF"/>
    <w:rsid w:val="00A06CB5"/>
    <w:rsid w:val="00A06E22"/>
    <w:rsid w:val="00A10FE4"/>
    <w:rsid w:val="00A12F67"/>
    <w:rsid w:val="00A14565"/>
    <w:rsid w:val="00A15837"/>
    <w:rsid w:val="00A15E16"/>
    <w:rsid w:val="00A16F6E"/>
    <w:rsid w:val="00A200DB"/>
    <w:rsid w:val="00A220D5"/>
    <w:rsid w:val="00A23153"/>
    <w:rsid w:val="00A232C3"/>
    <w:rsid w:val="00A23417"/>
    <w:rsid w:val="00A23ACF"/>
    <w:rsid w:val="00A257FA"/>
    <w:rsid w:val="00A258EF"/>
    <w:rsid w:val="00A30DB2"/>
    <w:rsid w:val="00A316C5"/>
    <w:rsid w:val="00A3193E"/>
    <w:rsid w:val="00A31978"/>
    <w:rsid w:val="00A31E88"/>
    <w:rsid w:val="00A321D4"/>
    <w:rsid w:val="00A32D0E"/>
    <w:rsid w:val="00A3305E"/>
    <w:rsid w:val="00A33DC5"/>
    <w:rsid w:val="00A377C9"/>
    <w:rsid w:val="00A3799D"/>
    <w:rsid w:val="00A417B6"/>
    <w:rsid w:val="00A43686"/>
    <w:rsid w:val="00A44B14"/>
    <w:rsid w:val="00A47A72"/>
    <w:rsid w:val="00A51701"/>
    <w:rsid w:val="00A52FC8"/>
    <w:rsid w:val="00A54644"/>
    <w:rsid w:val="00A57FF8"/>
    <w:rsid w:val="00A60B69"/>
    <w:rsid w:val="00A611DF"/>
    <w:rsid w:val="00A65E12"/>
    <w:rsid w:val="00A674D9"/>
    <w:rsid w:val="00A67FE7"/>
    <w:rsid w:val="00A7059E"/>
    <w:rsid w:val="00A72991"/>
    <w:rsid w:val="00A7330B"/>
    <w:rsid w:val="00A73B54"/>
    <w:rsid w:val="00A75B1D"/>
    <w:rsid w:val="00A76F67"/>
    <w:rsid w:val="00A772B3"/>
    <w:rsid w:val="00A81AC9"/>
    <w:rsid w:val="00A827D6"/>
    <w:rsid w:val="00A861C5"/>
    <w:rsid w:val="00A87315"/>
    <w:rsid w:val="00A8790D"/>
    <w:rsid w:val="00A9016B"/>
    <w:rsid w:val="00A90510"/>
    <w:rsid w:val="00A92D0F"/>
    <w:rsid w:val="00A93728"/>
    <w:rsid w:val="00A95418"/>
    <w:rsid w:val="00A95944"/>
    <w:rsid w:val="00AA1A8D"/>
    <w:rsid w:val="00AA1D10"/>
    <w:rsid w:val="00AA21ED"/>
    <w:rsid w:val="00AA2689"/>
    <w:rsid w:val="00AA30DF"/>
    <w:rsid w:val="00AA5A09"/>
    <w:rsid w:val="00AA5B65"/>
    <w:rsid w:val="00AA613F"/>
    <w:rsid w:val="00AA6546"/>
    <w:rsid w:val="00AA6A49"/>
    <w:rsid w:val="00AA6BAD"/>
    <w:rsid w:val="00AB0195"/>
    <w:rsid w:val="00AB1CEB"/>
    <w:rsid w:val="00AB20FD"/>
    <w:rsid w:val="00AB4B74"/>
    <w:rsid w:val="00AB6231"/>
    <w:rsid w:val="00AC0C5D"/>
    <w:rsid w:val="00AC1313"/>
    <w:rsid w:val="00AC1A15"/>
    <w:rsid w:val="00AC26DA"/>
    <w:rsid w:val="00AC2831"/>
    <w:rsid w:val="00AC42B3"/>
    <w:rsid w:val="00AC6A0C"/>
    <w:rsid w:val="00AC754E"/>
    <w:rsid w:val="00AD064E"/>
    <w:rsid w:val="00AD10B4"/>
    <w:rsid w:val="00AD1AF8"/>
    <w:rsid w:val="00AD43A2"/>
    <w:rsid w:val="00AD4AC9"/>
    <w:rsid w:val="00AD4FB5"/>
    <w:rsid w:val="00AD6199"/>
    <w:rsid w:val="00AE391D"/>
    <w:rsid w:val="00AE57DC"/>
    <w:rsid w:val="00AE73A7"/>
    <w:rsid w:val="00AE7669"/>
    <w:rsid w:val="00AE7E28"/>
    <w:rsid w:val="00AF2FB2"/>
    <w:rsid w:val="00AF3C62"/>
    <w:rsid w:val="00AF61B0"/>
    <w:rsid w:val="00AF665C"/>
    <w:rsid w:val="00AF6682"/>
    <w:rsid w:val="00AF72CD"/>
    <w:rsid w:val="00AF7A06"/>
    <w:rsid w:val="00B02459"/>
    <w:rsid w:val="00B025A2"/>
    <w:rsid w:val="00B02EA6"/>
    <w:rsid w:val="00B0388F"/>
    <w:rsid w:val="00B05ECF"/>
    <w:rsid w:val="00B06375"/>
    <w:rsid w:val="00B07B48"/>
    <w:rsid w:val="00B10565"/>
    <w:rsid w:val="00B11208"/>
    <w:rsid w:val="00B12895"/>
    <w:rsid w:val="00B13599"/>
    <w:rsid w:val="00B140A2"/>
    <w:rsid w:val="00B148F4"/>
    <w:rsid w:val="00B152F6"/>
    <w:rsid w:val="00B20115"/>
    <w:rsid w:val="00B20800"/>
    <w:rsid w:val="00B21F56"/>
    <w:rsid w:val="00B23C69"/>
    <w:rsid w:val="00B25AE1"/>
    <w:rsid w:val="00B26F56"/>
    <w:rsid w:val="00B30A3B"/>
    <w:rsid w:val="00B30B0D"/>
    <w:rsid w:val="00B31D73"/>
    <w:rsid w:val="00B3657C"/>
    <w:rsid w:val="00B428DA"/>
    <w:rsid w:val="00B432D5"/>
    <w:rsid w:val="00B46104"/>
    <w:rsid w:val="00B46914"/>
    <w:rsid w:val="00B4759C"/>
    <w:rsid w:val="00B56EE0"/>
    <w:rsid w:val="00B57CFC"/>
    <w:rsid w:val="00B61A71"/>
    <w:rsid w:val="00B635B5"/>
    <w:rsid w:val="00B6633C"/>
    <w:rsid w:val="00B66AA2"/>
    <w:rsid w:val="00B67D8E"/>
    <w:rsid w:val="00B704C4"/>
    <w:rsid w:val="00B70B3B"/>
    <w:rsid w:val="00B71ED9"/>
    <w:rsid w:val="00B72A95"/>
    <w:rsid w:val="00B75B62"/>
    <w:rsid w:val="00B767F4"/>
    <w:rsid w:val="00B76872"/>
    <w:rsid w:val="00B76D4A"/>
    <w:rsid w:val="00B81C51"/>
    <w:rsid w:val="00B8219C"/>
    <w:rsid w:val="00B83248"/>
    <w:rsid w:val="00B83A8E"/>
    <w:rsid w:val="00B849F6"/>
    <w:rsid w:val="00B86D25"/>
    <w:rsid w:val="00B90319"/>
    <w:rsid w:val="00B9214C"/>
    <w:rsid w:val="00B945EE"/>
    <w:rsid w:val="00B9576A"/>
    <w:rsid w:val="00B96145"/>
    <w:rsid w:val="00BA2CAA"/>
    <w:rsid w:val="00BA48AA"/>
    <w:rsid w:val="00BA657C"/>
    <w:rsid w:val="00BB441B"/>
    <w:rsid w:val="00BB4F07"/>
    <w:rsid w:val="00BB5D0F"/>
    <w:rsid w:val="00BC1404"/>
    <w:rsid w:val="00BC1BDC"/>
    <w:rsid w:val="00BC48C5"/>
    <w:rsid w:val="00BC71C2"/>
    <w:rsid w:val="00BD0085"/>
    <w:rsid w:val="00BD12F9"/>
    <w:rsid w:val="00BD1672"/>
    <w:rsid w:val="00BD1D13"/>
    <w:rsid w:val="00BD287F"/>
    <w:rsid w:val="00BD2B0E"/>
    <w:rsid w:val="00BD665E"/>
    <w:rsid w:val="00BD7A05"/>
    <w:rsid w:val="00BE0862"/>
    <w:rsid w:val="00BE13FC"/>
    <w:rsid w:val="00BE1D5C"/>
    <w:rsid w:val="00BE1FFD"/>
    <w:rsid w:val="00BE4337"/>
    <w:rsid w:val="00BE456D"/>
    <w:rsid w:val="00BE5ED0"/>
    <w:rsid w:val="00BF4779"/>
    <w:rsid w:val="00BF7433"/>
    <w:rsid w:val="00BF7730"/>
    <w:rsid w:val="00C00F70"/>
    <w:rsid w:val="00C01176"/>
    <w:rsid w:val="00C02A9C"/>
    <w:rsid w:val="00C030DB"/>
    <w:rsid w:val="00C06F43"/>
    <w:rsid w:val="00C12135"/>
    <w:rsid w:val="00C124A3"/>
    <w:rsid w:val="00C16F53"/>
    <w:rsid w:val="00C17F90"/>
    <w:rsid w:val="00C205E3"/>
    <w:rsid w:val="00C20F6A"/>
    <w:rsid w:val="00C219E0"/>
    <w:rsid w:val="00C240EF"/>
    <w:rsid w:val="00C255A4"/>
    <w:rsid w:val="00C26300"/>
    <w:rsid w:val="00C2761E"/>
    <w:rsid w:val="00C27A63"/>
    <w:rsid w:val="00C27F7F"/>
    <w:rsid w:val="00C307E1"/>
    <w:rsid w:val="00C308F8"/>
    <w:rsid w:val="00C31218"/>
    <w:rsid w:val="00C3160C"/>
    <w:rsid w:val="00C31F49"/>
    <w:rsid w:val="00C32523"/>
    <w:rsid w:val="00C32C95"/>
    <w:rsid w:val="00C32E9B"/>
    <w:rsid w:val="00C337EB"/>
    <w:rsid w:val="00C33F25"/>
    <w:rsid w:val="00C34C55"/>
    <w:rsid w:val="00C35FD0"/>
    <w:rsid w:val="00C40D91"/>
    <w:rsid w:val="00C40EA9"/>
    <w:rsid w:val="00C41C90"/>
    <w:rsid w:val="00C42E92"/>
    <w:rsid w:val="00C449F3"/>
    <w:rsid w:val="00C44F0C"/>
    <w:rsid w:val="00C478C9"/>
    <w:rsid w:val="00C503E1"/>
    <w:rsid w:val="00C50DA5"/>
    <w:rsid w:val="00C50F87"/>
    <w:rsid w:val="00C54600"/>
    <w:rsid w:val="00C5562B"/>
    <w:rsid w:val="00C56209"/>
    <w:rsid w:val="00C57AB6"/>
    <w:rsid w:val="00C619C9"/>
    <w:rsid w:val="00C6267A"/>
    <w:rsid w:val="00C626E6"/>
    <w:rsid w:val="00C62C66"/>
    <w:rsid w:val="00C65013"/>
    <w:rsid w:val="00C65547"/>
    <w:rsid w:val="00C66362"/>
    <w:rsid w:val="00C66786"/>
    <w:rsid w:val="00C728A9"/>
    <w:rsid w:val="00C72D4A"/>
    <w:rsid w:val="00C734DC"/>
    <w:rsid w:val="00C73625"/>
    <w:rsid w:val="00C759AE"/>
    <w:rsid w:val="00C76AFD"/>
    <w:rsid w:val="00C77461"/>
    <w:rsid w:val="00C77729"/>
    <w:rsid w:val="00C80F66"/>
    <w:rsid w:val="00C81A22"/>
    <w:rsid w:val="00C830EA"/>
    <w:rsid w:val="00C855F0"/>
    <w:rsid w:val="00C86692"/>
    <w:rsid w:val="00C8729F"/>
    <w:rsid w:val="00C909C3"/>
    <w:rsid w:val="00C947C4"/>
    <w:rsid w:val="00C962E4"/>
    <w:rsid w:val="00C97323"/>
    <w:rsid w:val="00CA0F78"/>
    <w:rsid w:val="00CA184E"/>
    <w:rsid w:val="00CA4235"/>
    <w:rsid w:val="00CA4AAD"/>
    <w:rsid w:val="00CA4B2E"/>
    <w:rsid w:val="00CA54BA"/>
    <w:rsid w:val="00CA5C8A"/>
    <w:rsid w:val="00CA7218"/>
    <w:rsid w:val="00CB0422"/>
    <w:rsid w:val="00CB0D4A"/>
    <w:rsid w:val="00CB2C18"/>
    <w:rsid w:val="00CB3B3A"/>
    <w:rsid w:val="00CB4005"/>
    <w:rsid w:val="00CB484C"/>
    <w:rsid w:val="00CB59C2"/>
    <w:rsid w:val="00CB71BB"/>
    <w:rsid w:val="00CC0FAD"/>
    <w:rsid w:val="00CC20CD"/>
    <w:rsid w:val="00CC6617"/>
    <w:rsid w:val="00CC683C"/>
    <w:rsid w:val="00CC6B85"/>
    <w:rsid w:val="00CD2C09"/>
    <w:rsid w:val="00CD61A3"/>
    <w:rsid w:val="00CD6A87"/>
    <w:rsid w:val="00CE0118"/>
    <w:rsid w:val="00CE05C2"/>
    <w:rsid w:val="00CE064D"/>
    <w:rsid w:val="00CE1820"/>
    <w:rsid w:val="00CE1D38"/>
    <w:rsid w:val="00CE2325"/>
    <w:rsid w:val="00CE6554"/>
    <w:rsid w:val="00CF04A4"/>
    <w:rsid w:val="00CF1218"/>
    <w:rsid w:val="00CF2D2B"/>
    <w:rsid w:val="00CF38EE"/>
    <w:rsid w:val="00CF4B6B"/>
    <w:rsid w:val="00CF6949"/>
    <w:rsid w:val="00CF7703"/>
    <w:rsid w:val="00CF7E92"/>
    <w:rsid w:val="00D00482"/>
    <w:rsid w:val="00D004A0"/>
    <w:rsid w:val="00D00DB1"/>
    <w:rsid w:val="00D01613"/>
    <w:rsid w:val="00D01BC1"/>
    <w:rsid w:val="00D02B84"/>
    <w:rsid w:val="00D0405E"/>
    <w:rsid w:val="00D0496B"/>
    <w:rsid w:val="00D06584"/>
    <w:rsid w:val="00D1160E"/>
    <w:rsid w:val="00D13B12"/>
    <w:rsid w:val="00D13D3F"/>
    <w:rsid w:val="00D142DF"/>
    <w:rsid w:val="00D143FF"/>
    <w:rsid w:val="00D14697"/>
    <w:rsid w:val="00D1508F"/>
    <w:rsid w:val="00D150DF"/>
    <w:rsid w:val="00D165DB"/>
    <w:rsid w:val="00D2012B"/>
    <w:rsid w:val="00D20791"/>
    <w:rsid w:val="00D2234B"/>
    <w:rsid w:val="00D22978"/>
    <w:rsid w:val="00D24729"/>
    <w:rsid w:val="00D275F3"/>
    <w:rsid w:val="00D277A7"/>
    <w:rsid w:val="00D30EE0"/>
    <w:rsid w:val="00D3163A"/>
    <w:rsid w:val="00D32409"/>
    <w:rsid w:val="00D34440"/>
    <w:rsid w:val="00D347D9"/>
    <w:rsid w:val="00D35026"/>
    <w:rsid w:val="00D35907"/>
    <w:rsid w:val="00D43CEB"/>
    <w:rsid w:val="00D45DA5"/>
    <w:rsid w:val="00D46990"/>
    <w:rsid w:val="00D46BA5"/>
    <w:rsid w:val="00D473C2"/>
    <w:rsid w:val="00D53228"/>
    <w:rsid w:val="00D562BF"/>
    <w:rsid w:val="00D56B0B"/>
    <w:rsid w:val="00D608D6"/>
    <w:rsid w:val="00D61FC2"/>
    <w:rsid w:val="00D62B76"/>
    <w:rsid w:val="00D6323C"/>
    <w:rsid w:val="00D63272"/>
    <w:rsid w:val="00D632E3"/>
    <w:rsid w:val="00D64A1E"/>
    <w:rsid w:val="00D64A28"/>
    <w:rsid w:val="00D711A0"/>
    <w:rsid w:val="00D7275E"/>
    <w:rsid w:val="00D727AF"/>
    <w:rsid w:val="00D73458"/>
    <w:rsid w:val="00D73F1C"/>
    <w:rsid w:val="00D74582"/>
    <w:rsid w:val="00D7570A"/>
    <w:rsid w:val="00D77941"/>
    <w:rsid w:val="00D8088E"/>
    <w:rsid w:val="00D80D48"/>
    <w:rsid w:val="00D8640C"/>
    <w:rsid w:val="00D86EE7"/>
    <w:rsid w:val="00D877CB"/>
    <w:rsid w:val="00D87E75"/>
    <w:rsid w:val="00D90EAF"/>
    <w:rsid w:val="00D92D32"/>
    <w:rsid w:val="00D9356B"/>
    <w:rsid w:val="00D9390C"/>
    <w:rsid w:val="00D94396"/>
    <w:rsid w:val="00D95D37"/>
    <w:rsid w:val="00D96A6E"/>
    <w:rsid w:val="00D975A0"/>
    <w:rsid w:val="00D97A33"/>
    <w:rsid w:val="00D97B36"/>
    <w:rsid w:val="00DA1CB9"/>
    <w:rsid w:val="00DA56E4"/>
    <w:rsid w:val="00DA5996"/>
    <w:rsid w:val="00DA60D0"/>
    <w:rsid w:val="00DA6FDA"/>
    <w:rsid w:val="00DB3076"/>
    <w:rsid w:val="00DB68A5"/>
    <w:rsid w:val="00DC0459"/>
    <w:rsid w:val="00DC16FA"/>
    <w:rsid w:val="00DC1EAD"/>
    <w:rsid w:val="00DC278C"/>
    <w:rsid w:val="00DC27B9"/>
    <w:rsid w:val="00DC31D0"/>
    <w:rsid w:val="00DC32CA"/>
    <w:rsid w:val="00DD0B5E"/>
    <w:rsid w:val="00DD1623"/>
    <w:rsid w:val="00DD1973"/>
    <w:rsid w:val="00DD24E9"/>
    <w:rsid w:val="00DD6A76"/>
    <w:rsid w:val="00DD6B55"/>
    <w:rsid w:val="00DD7F26"/>
    <w:rsid w:val="00DE0368"/>
    <w:rsid w:val="00DE13D4"/>
    <w:rsid w:val="00DE3D7C"/>
    <w:rsid w:val="00DE4D70"/>
    <w:rsid w:val="00DE65EA"/>
    <w:rsid w:val="00DE6787"/>
    <w:rsid w:val="00DE6C5A"/>
    <w:rsid w:val="00DF185F"/>
    <w:rsid w:val="00DF1D5E"/>
    <w:rsid w:val="00DF547F"/>
    <w:rsid w:val="00DF7D68"/>
    <w:rsid w:val="00E03F76"/>
    <w:rsid w:val="00E04EEB"/>
    <w:rsid w:val="00E06449"/>
    <w:rsid w:val="00E06724"/>
    <w:rsid w:val="00E13AFB"/>
    <w:rsid w:val="00E13FD3"/>
    <w:rsid w:val="00E148DF"/>
    <w:rsid w:val="00E14FDA"/>
    <w:rsid w:val="00E1538E"/>
    <w:rsid w:val="00E167A6"/>
    <w:rsid w:val="00E16F45"/>
    <w:rsid w:val="00E177B5"/>
    <w:rsid w:val="00E20240"/>
    <w:rsid w:val="00E20617"/>
    <w:rsid w:val="00E21BA1"/>
    <w:rsid w:val="00E21D23"/>
    <w:rsid w:val="00E23C4B"/>
    <w:rsid w:val="00E250CA"/>
    <w:rsid w:val="00E25EB0"/>
    <w:rsid w:val="00E33F5B"/>
    <w:rsid w:val="00E35016"/>
    <w:rsid w:val="00E35AC7"/>
    <w:rsid w:val="00E36F2E"/>
    <w:rsid w:val="00E37546"/>
    <w:rsid w:val="00E377A9"/>
    <w:rsid w:val="00E40F54"/>
    <w:rsid w:val="00E45397"/>
    <w:rsid w:val="00E45A8E"/>
    <w:rsid w:val="00E504C3"/>
    <w:rsid w:val="00E50732"/>
    <w:rsid w:val="00E50754"/>
    <w:rsid w:val="00E53742"/>
    <w:rsid w:val="00E57209"/>
    <w:rsid w:val="00E60C92"/>
    <w:rsid w:val="00E60D52"/>
    <w:rsid w:val="00E61095"/>
    <w:rsid w:val="00E61327"/>
    <w:rsid w:val="00E623A7"/>
    <w:rsid w:val="00E63CCE"/>
    <w:rsid w:val="00E64718"/>
    <w:rsid w:val="00E65938"/>
    <w:rsid w:val="00E65C5E"/>
    <w:rsid w:val="00E67C2C"/>
    <w:rsid w:val="00E71909"/>
    <w:rsid w:val="00E744E7"/>
    <w:rsid w:val="00E77441"/>
    <w:rsid w:val="00E82AA3"/>
    <w:rsid w:val="00E8430C"/>
    <w:rsid w:val="00E84F82"/>
    <w:rsid w:val="00E853C1"/>
    <w:rsid w:val="00E86994"/>
    <w:rsid w:val="00E90AF0"/>
    <w:rsid w:val="00E915E3"/>
    <w:rsid w:val="00E95380"/>
    <w:rsid w:val="00E95781"/>
    <w:rsid w:val="00E95CA3"/>
    <w:rsid w:val="00E9635A"/>
    <w:rsid w:val="00E97B8A"/>
    <w:rsid w:val="00EA1EEE"/>
    <w:rsid w:val="00EA1F36"/>
    <w:rsid w:val="00EA4A2E"/>
    <w:rsid w:val="00EA5232"/>
    <w:rsid w:val="00EB2287"/>
    <w:rsid w:val="00EB29B0"/>
    <w:rsid w:val="00EB3ADD"/>
    <w:rsid w:val="00EB5AEE"/>
    <w:rsid w:val="00EC07CF"/>
    <w:rsid w:val="00EC26CF"/>
    <w:rsid w:val="00EC4D5D"/>
    <w:rsid w:val="00EC63C2"/>
    <w:rsid w:val="00EC766C"/>
    <w:rsid w:val="00ED1552"/>
    <w:rsid w:val="00ED316B"/>
    <w:rsid w:val="00ED4338"/>
    <w:rsid w:val="00ED68F0"/>
    <w:rsid w:val="00ED7E3A"/>
    <w:rsid w:val="00EE1BDC"/>
    <w:rsid w:val="00EE3111"/>
    <w:rsid w:val="00EF1289"/>
    <w:rsid w:val="00EF2459"/>
    <w:rsid w:val="00EF2780"/>
    <w:rsid w:val="00EF3610"/>
    <w:rsid w:val="00EF78F3"/>
    <w:rsid w:val="00F00D15"/>
    <w:rsid w:val="00F02997"/>
    <w:rsid w:val="00F02E33"/>
    <w:rsid w:val="00F043D4"/>
    <w:rsid w:val="00F04786"/>
    <w:rsid w:val="00F050F2"/>
    <w:rsid w:val="00F05CA1"/>
    <w:rsid w:val="00F06128"/>
    <w:rsid w:val="00F10EBD"/>
    <w:rsid w:val="00F1186E"/>
    <w:rsid w:val="00F12E0F"/>
    <w:rsid w:val="00F14EC3"/>
    <w:rsid w:val="00F17057"/>
    <w:rsid w:val="00F170A8"/>
    <w:rsid w:val="00F20BAD"/>
    <w:rsid w:val="00F21F23"/>
    <w:rsid w:val="00F23129"/>
    <w:rsid w:val="00F2368A"/>
    <w:rsid w:val="00F23E40"/>
    <w:rsid w:val="00F25712"/>
    <w:rsid w:val="00F3065D"/>
    <w:rsid w:val="00F33BE8"/>
    <w:rsid w:val="00F340C8"/>
    <w:rsid w:val="00F3673D"/>
    <w:rsid w:val="00F36A9F"/>
    <w:rsid w:val="00F36FAA"/>
    <w:rsid w:val="00F374EF"/>
    <w:rsid w:val="00F410DD"/>
    <w:rsid w:val="00F43A09"/>
    <w:rsid w:val="00F45580"/>
    <w:rsid w:val="00F45644"/>
    <w:rsid w:val="00F471B7"/>
    <w:rsid w:val="00F47976"/>
    <w:rsid w:val="00F47D87"/>
    <w:rsid w:val="00F52904"/>
    <w:rsid w:val="00F530D3"/>
    <w:rsid w:val="00F537EC"/>
    <w:rsid w:val="00F53C16"/>
    <w:rsid w:val="00F54DA4"/>
    <w:rsid w:val="00F55473"/>
    <w:rsid w:val="00F57010"/>
    <w:rsid w:val="00F60070"/>
    <w:rsid w:val="00F60BDD"/>
    <w:rsid w:val="00F624F9"/>
    <w:rsid w:val="00F62627"/>
    <w:rsid w:val="00F62A27"/>
    <w:rsid w:val="00F63961"/>
    <w:rsid w:val="00F64108"/>
    <w:rsid w:val="00F64275"/>
    <w:rsid w:val="00F6437A"/>
    <w:rsid w:val="00F70C41"/>
    <w:rsid w:val="00F72856"/>
    <w:rsid w:val="00F72A55"/>
    <w:rsid w:val="00F73083"/>
    <w:rsid w:val="00F73D0B"/>
    <w:rsid w:val="00F7477E"/>
    <w:rsid w:val="00F7541F"/>
    <w:rsid w:val="00F76EB7"/>
    <w:rsid w:val="00F817FE"/>
    <w:rsid w:val="00F81946"/>
    <w:rsid w:val="00F82C8C"/>
    <w:rsid w:val="00F85E41"/>
    <w:rsid w:val="00F86109"/>
    <w:rsid w:val="00F877F8"/>
    <w:rsid w:val="00F87A41"/>
    <w:rsid w:val="00F87B9C"/>
    <w:rsid w:val="00F87D0A"/>
    <w:rsid w:val="00F90E77"/>
    <w:rsid w:val="00F91520"/>
    <w:rsid w:val="00F93E8F"/>
    <w:rsid w:val="00F944DA"/>
    <w:rsid w:val="00F953F3"/>
    <w:rsid w:val="00FA2C93"/>
    <w:rsid w:val="00FA3681"/>
    <w:rsid w:val="00FA7488"/>
    <w:rsid w:val="00FA77C4"/>
    <w:rsid w:val="00FB18D7"/>
    <w:rsid w:val="00FB1DEA"/>
    <w:rsid w:val="00FB52B7"/>
    <w:rsid w:val="00FB76E5"/>
    <w:rsid w:val="00FC118A"/>
    <w:rsid w:val="00FC136B"/>
    <w:rsid w:val="00FC1399"/>
    <w:rsid w:val="00FC2CBD"/>
    <w:rsid w:val="00FC3CEE"/>
    <w:rsid w:val="00FC4FE5"/>
    <w:rsid w:val="00FC731C"/>
    <w:rsid w:val="00FC774F"/>
    <w:rsid w:val="00FD00AE"/>
    <w:rsid w:val="00FD358F"/>
    <w:rsid w:val="00FD4194"/>
    <w:rsid w:val="00FE1833"/>
    <w:rsid w:val="00FE1883"/>
    <w:rsid w:val="00FE2EA4"/>
    <w:rsid w:val="00FE47B9"/>
    <w:rsid w:val="00FE6179"/>
    <w:rsid w:val="00FE67B4"/>
    <w:rsid w:val="00FF2469"/>
    <w:rsid w:val="00FF24BF"/>
    <w:rsid w:val="00FF2FAC"/>
    <w:rsid w:val="00FF4164"/>
    <w:rsid w:val="00FF4733"/>
    <w:rsid w:val="00FF4988"/>
    <w:rsid w:val="00FF50E3"/>
    <w:rsid w:val="00FF574B"/>
    <w:rsid w:val="00FF5EFB"/>
    <w:rsid w:val="00FF6503"/>
    <w:rsid w:val="306D8DDD"/>
    <w:rsid w:val="30C62BB2"/>
    <w:rsid w:val="781474D5"/>
    <w:rsid w:val="7C6069B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86E5D00"/>
  <w15:chartTrackingRefBased/>
  <w15:docId w15:val="{A3D5B834-E4C1-4F57-9861-328BC13BB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8F3"/>
    <w:pPr>
      <w:spacing w:after="0" w:line="240" w:lineRule="auto"/>
    </w:pPr>
    <w:rPr>
      <w:rFonts w:ascii="Times New Roman" w:hAnsi="Times New Roman" w:cs="Times New Roman"/>
      <w:sz w:val="24"/>
      <w:szCs w:val="24"/>
      <w:lang w:eastAsia="en-GB"/>
    </w:rPr>
  </w:style>
  <w:style w:type="paragraph" w:styleId="Heading1">
    <w:name w:val="heading 1"/>
    <w:basedOn w:val="Normal"/>
    <w:next w:val="Normal"/>
    <w:link w:val="Heading1Char"/>
    <w:uiPriority w:val="9"/>
    <w:qFormat/>
    <w:rsid w:val="00E90AF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C20F6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20F6A"/>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C20F6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AF0"/>
    <w:rPr>
      <w:rFonts w:asciiTheme="majorHAnsi" w:eastAsiaTheme="majorEastAsia" w:hAnsiTheme="majorHAnsi" w:cstheme="majorBidi"/>
      <w:color w:val="2E74B5" w:themeColor="accent1" w:themeShade="BF"/>
      <w:sz w:val="32"/>
      <w:szCs w:val="32"/>
      <w:lang w:eastAsia="en-GB"/>
    </w:rPr>
  </w:style>
  <w:style w:type="character" w:customStyle="1" w:styleId="Heading2Char">
    <w:name w:val="Heading 2 Char"/>
    <w:basedOn w:val="DefaultParagraphFont"/>
    <w:link w:val="Heading2"/>
    <w:uiPriority w:val="9"/>
    <w:semiHidden/>
    <w:rsid w:val="00C20F6A"/>
    <w:rPr>
      <w:rFonts w:asciiTheme="majorHAnsi" w:eastAsiaTheme="majorEastAsia" w:hAnsiTheme="majorHAnsi" w:cstheme="majorBidi"/>
      <w:color w:val="2E74B5" w:themeColor="accent1" w:themeShade="BF"/>
      <w:sz w:val="26"/>
      <w:szCs w:val="26"/>
      <w:lang w:eastAsia="en-GB"/>
    </w:rPr>
  </w:style>
  <w:style w:type="character" w:customStyle="1" w:styleId="Heading3Char">
    <w:name w:val="Heading 3 Char"/>
    <w:basedOn w:val="DefaultParagraphFont"/>
    <w:link w:val="Heading3"/>
    <w:uiPriority w:val="9"/>
    <w:semiHidden/>
    <w:rsid w:val="00C20F6A"/>
    <w:rPr>
      <w:rFonts w:asciiTheme="majorHAnsi" w:eastAsiaTheme="majorEastAsia" w:hAnsiTheme="majorHAnsi" w:cstheme="majorBidi"/>
      <w:color w:val="1F4D78" w:themeColor="accent1" w:themeShade="7F"/>
      <w:sz w:val="24"/>
      <w:szCs w:val="24"/>
      <w:lang w:eastAsia="en-GB"/>
    </w:rPr>
  </w:style>
  <w:style w:type="character" w:customStyle="1" w:styleId="Heading4Char">
    <w:name w:val="Heading 4 Char"/>
    <w:basedOn w:val="DefaultParagraphFont"/>
    <w:link w:val="Heading4"/>
    <w:uiPriority w:val="9"/>
    <w:semiHidden/>
    <w:rsid w:val="00C20F6A"/>
    <w:rPr>
      <w:rFonts w:asciiTheme="majorHAnsi" w:eastAsiaTheme="majorEastAsia" w:hAnsiTheme="majorHAnsi" w:cstheme="majorBidi"/>
      <w:i/>
      <w:iCs/>
      <w:color w:val="2E74B5" w:themeColor="accent1" w:themeShade="BF"/>
      <w:sz w:val="24"/>
      <w:szCs w:val="24"/>
      <w:lang w:eastAsia="en-GB"/>
    </w:rPr>
  </w:style>
  <w:style w:type="paragraph" w:styleId="ListParagraph">
    <w:name w:val="List Paragraph"/>
    <w:basedOn w:val="Normal"/>
    <w:uiPriority w:val="34"/>
    <w:qFormat/>
    <w:rsid w:val="00EF78F3"/>
    <w:pPr>
      <w:ind w:left="720"/>
      <w:contextualSpacing/>
    </w:pPr>
  </w:style>
  <w:style w:type="character" w:styleId="Hyperlink">
    <w:name w:val="Hyperlink"/>
    <w:basedOn w:val="DefaultParagraphFont"/>
    <w:uiPriority w:val="99"/>
    <w:unhideWhenUsed/>
    <w:rsid w:val="003640DD"/>
    <w:rPr>
      <w:color w:val="0563C1" w:themeColor="hyperlink"/>
      <w:u w:val="single"/>
    </w:rPr>
  </w:style>
  <w:style w:type="character" w:styleId="FollowedHyperlink">
    <w:name w:val="FollowedHyperlink"/>
    <w:basedOn w:val="DefaultParagraphFont"/>
    <w:uiPriority w:val="99"/>
    <w:semiHidden/>
    <w:unhideWhenUsed/>
    <w:rsid w:val="00FF4164"/>
    <w:rPr>
      <w:color w:val="954F72"/>
      <w:u w:val="single"/>
    </w:rPr>
  </w:style>
  <w:style w:type="paragraph" w:customStyle="1" w:styleId="msonormal0">
    <w:name w:val="msonormal"/>
    <w:basedOn w:val="Normal"/>
    <w:rsid w:val="00FF4164"/>
    <w:pPr>
      <w:spacing w:before="100" w:beforeAutospacing="1" w:after="100" w:afterAutospacing="1"/>
    </w:pPr>
    <w:rPr>
      <w:rFonts w:eastAsia="Times New Roman"/>
    </w:rPr>
  </w:style>
  <w:style w:type="paragraph" w:customStyle="1" w:styleId="xl65">
    <w:name w:val="xl65"/>
    <w:basedOn w:val="Normal"/>
    <w:rsid w:val="00FF4164"/>
    <w:pPr>
      <w:spacing w:before="100" w:beforeAutospacing="1" w:after="100" w:afterAutospacing="1"/>
      <w:jc w:val="center"/>
    </w:pPr>
    <w:rPr>
      <w:rFonts w:eastAsia="Times New Roman"/>
    </w:rPr>
  </w:style>
  <w:style w:type="paragraph" w:customStyle="1" w:styleId="xl66">
    <w:name w:val="xl66"/>
    <w:basedOn w:val="Normal"/>
    <w:rsid w:val="00FF4164"/>
    <w:pPr>
      <w:shd w:val="clear" w:color="000000" w:fill="BDD7EE"/>
      <w:spacing w:before="100" w:beforeAutospacing="1" w:after="100" w:afterAutospacing="1"/>
      <w:jc w:val="center"/>
    </w:pPr>
    <w:rPr>
      <w:rFonts w:eastAsia="Times New Roman"/>
      <w:b/>
      <w:bCs/>
    </w:rPr>
  </w:style>
  <w:style w:type="paragraph" w:customStyle="1" w:styleId="xl67">
    <w:name w:val="xl67"/>
    <w:basedOn w:val="Normal"/>
    <w:rsid w:val="00FF4164"/>
    <w:pPr>
      <w:pBdr>
        <w:bottom w:val="single" w:sz="4" w:space="0" w:color="auto"/>
      </w:pBdr>
      <w:shd w:val="clear" w:color="000000" w:fill="BDD7EE"/>
      <w:spacing w:before="100" w:beforeAutospacing="1" w:after="100" w:afterAutospacing="1"/>
      <w:jc w:val="center"/>
    </w:pPr>
    <w:rPr>
      <w:rFonts w:eastAsia="Times New Roman"/>
      <w:b/>
      <w:bCs/>
    </w:rPr>
  </w:style>
  <w:style w:type="paragraph" w:customStyle="1" w:styleId="xl68">
    <w:name w:val="xl68"/>
    <w:basedOn w:val="Normal"/>
    <w:rsid w:val="00FF4164"/>
    <w:pPr>
      <w:shd w:val="clear" w:color="000000" w:fill="BDD7EE"/>
      <w:spacing w:before="100" w:beforeAutospacing="1" w:after="100" w:afterAutospacing="1"/>
      <w:jc w:val="center"/>
    </w:pPr>
    <w:rPr>
      <w:rFonts w:eastAsia="Times New Roman"/>
    </w:rPr>
  </w:style>
  <w:style w:type="paragraph" w:customStyle="1" w:styleId="xl69">
    <w:name w:val="xl69"/>
    <w:basedOn w:val="Normal"/>
    <w:rsid w:val="00FF4164"/>
    <w:pPr>
      <w:pBdr>
        <w:bottom w:val="single" w:sz="4" w:space="0" w:color="auto"/>
      </w:pBdr>
      <w:shd w:val="clear" w:color="000000" w:fill="BDD7EE"/>
      <w:spacing w:before="100" w:beforeAutospacing="1" w:after="100" w:afterAutospacing="1"/>
      <w:jc w:val="center"/>
      <w:textAlignment w:val="center"/>
    </w:pPr>
    <w:rPr>
      <w:rFonts w:eastAsia="Times New Roman"/>
    </w:rPr>
  </w:style>
  <w:style w:type="paragraph" w:customStyle="1" w:styleId="xl70">
    <w:name w:val="xl70"/>
    <w:basedOn w:val="Normal"/>
    <w:rsid w:val="00FF4164"/>
    <w:pPr>
      <w:shd w:val="clear" w:color="000000" w:fill="BDD7EE"/>
      <w:spacing w:before="100" w:beforeAutospacing="1" w:after="100" w:afterAutospacing="1"/>
      <w:jc w:val="center"/>
      <w:textAlignment w:val="center"/>
    </w:pPr>
    <w:rPr>
      <w:rFonts w:eastAsia="Times New Roman"/>
    </w:rPr>
  </w:style>
  <w:style w:type="paragraph" w:customStyle="1" w:styleId="xl71">
    <w:name w:val="xl71"/>
    <w:basedOn w:val="Normal"/>
    <w:rsid w:val="00FF4164"/>
    <w:pPr>
      <w:pBdr>
        <w:top w:val="single" w:sz="4" w:space="0" w:color="auto"/>
        <w:bottom w:val="single" w:sz="4" w:space="0" w:color="auto"/>
      </w:pBdr>
      <w:shd w:val="clear" w:color="000000" w:fill="BDD7EE"/>
      <w:spacing w:before="100" w:beforeAutospacing="1" w:after="100" w:afterAutospacing="1"/>
      <w:jc w:val="center"/>
      <w:textAlignment w:val="center"/>
    </w:pPr>
    <w:rPr>
      <w:rFonts w:eastAsia="Times New Roman"/>
    </w:rPr>
  </w:style>
  <w:style w:type="paragraph" w:customStyle="1" w:styleId="xl72">
    <w:name w:val="xl72"/>
    <w:basedOn w:val="Normal"/>
    <w:rsid w:val="00FF4164"/>
    <w:pPr>
      <w:shd w:val="clear" w:color="000000" w:fill="BDD7EE"/>
      <w:spacing w:before="100" w:beforeAutospacing="1" w:after="100" w:afterAutospacing="1"/>
      <w:jc w:val="center"/>
    </w:pPr>
    <w:rPr>
      <w:rFonts w:eastAsia="Times New Roman"/>
    </w:rPr>
  </w:style>
  <w:style w:type="paragraph" w:customStyle="1" w:styleId="xl73">
    <w:name w:val="xl73"/>
    <w:basedOn w:val="Normal"/>
    <w:rsid w:val="00FF4164"/>
    <w:pPr>
      <w:shd w:val="clear" w:color="000000" w:fill="BDD7EE"/>
      <w:spacing w:before="100" w:beforeAutospacing="1" w:after="100" w:afterAutospacing="1"/>
    </w:pPr>
    <w:rPr>
      <w:rFonts w:eastAsia="Times New Roman"/>
    </w:rPr>
  </w:style>
  <w:style w:type="paragraph" w:customStyle="1" w:styleId="xl74">
    <w:name w:val="xl74"/>
    <w:basedOn w:val="Normal"/>
    <w:rsid w:val="00FF4164"/>
    <w:pPr>
      <w:shd w:val="clear" w:color="000000" w:fill="BDD7EE"/>
      <w:spacing w:before="100" w:beforeAutospacing="1" w:after="100" w:afterAutospacing="1"/>
    </w:pPr>
    <w:rPr>
      <w:rFonts w:eastAsia="Times New Roman"/>
    </w:rPr>
  </w:style>
  <w:style w:type="paragraph" w:customStyle="1" w:styleId="xl75">
    <w:name w:val="xl75"/>
    <w:basedOn w:val="Normal"/>
    <w:rsid w:val="00FF4164"/>
    <w:pPr>
      <w:shd w:val="clear" w:color="000000" w:fill="BDD7EE"/>
      <w:spacing w:before="100" w:beforeAutospacing="1" w:after="100" w:afterAutospacing="1"/>
      <w:jc w:val="center"/>
    </w:pPr>
    <w:rPr>
      <w:rFonts w:eastAsia="Times New Roman"/>
      <w:b/>
      <w:bCs/>
    </w:rPr>
  </w:style>
  <w:style w:type="paragraph" w:customStyle="1" w:styleId="xl76">
    <w:name w:val="xl76"/>
    <w:basedOn w:val="Normal"/>
    <w:rsid w:val="00FF4164"/>
    <w:pPr>
      <w:pBdr>
        <w:bottom w:val="single" w:sz="4" w:space="0" w:color="auto"/>
      </w:pBdr>
      <w:shd w:val="clear" w:color="000000" w:fill="BDD7EE"/>
      <w:spacing w:before="100" w:beforeAutospacing="1" w:after="100" w:afterAutospacing="1"/>
      <w:jc w:val="center"/>
    </w:pPr>
    <w:rPr>
      <w:rFonts w:eastAsia="Times New Roman"/>
      <w:b/>
      <w:bCs/>
    </w:rPr>
  </w:style>
  <w:style w:type="paragraph" w:styleId="TOCHeading">
    <w:name w:val="TOC Heading"/>
    <w:basedOn w:val="Heading1"/>
    <w:next w:val="Normal"/>
    <w:uiPriority w:val="39"/>
    <w:unhideWhenUsed/>
    <w:qFormat/>
    <w:rsid w:val="00C20F6A"/>
    <w:pPr>
      <w:spacing w:line="259" w:lineRule="auto"/>
      <w:outlineLvl w:val="9"/>
    </w:pPr>
    <w:rPr>
      <w:lang w:val="en-US" w:eastAsia="en-US"/>
    </w:rPr>
  </w:style>
  <w:style w:type="paragraph" w:styleId="TOC2">
    <w:name w:val="toc 2"/>
    <w:basedOn w:val="Normal"/>
    <w:next w:val="Normal"/>
    <w:autoRedefine/>
    <w:uiPriority w:val="39"/>
    <w:unhideWhenUsed/>
    <w:rsid w:val="00C20F6A"/>
    <w:pPr>
      <w:spacing w:after="100" w:line="259" w:lineRule="auto"/>
      <w:ind w:left="220"/>
    </w:pPr>
    <w:rPr>
      <w:rFonts w:asciiTheme="minorHAnsi" w:eastAsiaTheme="minorEastAsia" w:hAnsiTheme="minorHAnsi"/>
      <w:sz w:val="22"/>
      <w:szCs w:val="22"/>
      <w:lang w:val="en-US" w:eastAsia="en-US"/>
    </w:rPr>
  </w:style>
  <w:style w:type="paragraph" w:styleId="TOC1">
    <w:name w:val="toc 1"/>
    <w:basedOn w:val="Normal"/>
    <w:next w:val="Normal"/>
    <w:autoRedefine/>
    <w:uiPriority w:val="39"/>
    <w:unhideWhenUsed/>
    <w:rsid w:val="00C20F6A"/>
    <w:pPr>
      <w:spacing w:after="100" w:line="259" w:lineRule="auto"/>
    </w:pPr>
    <w:rPr>
      <w:rFonts w:asciiTheme="minorHAnsi" w:eastAsiaTheme="minorEastAsia" w:hAnsiTheme="minorHAnsi"/>
      <w:sz w:val="22"/>
      <w:szCs w:val="22"/>
      <w:lang w:val="en-US" w:eastAsia="en-US"/>
    </w:rPr>
  </w:style>
  <w:style w:type="paragraph" w:styleId="TOC3">
    <w:name w:val="toc 3"/>
    <w:basedOn w:val="Normal"/>
    <w:next w:val="Normal"/>
    <w:autoRedefine/>
    <w:uiPriority w:val="39"/>
    <w:unhideWhenUsed/>
    <w:rsid w:val="00C20F6A"/>
    <w:pPr>
      <w:spacing w:after="100" w:line="259" w:lineRule="auto"/>
      <w:ind w:left="440"/>
    </w:pPr>
    <w:rPr>
      <w:rFonts w:asciiTheme="minorHAnsi" w:eastAsiaTheme="minorEastAsia" w:hAnsiTheme="minorHAnsi"/>
      <w:sz w:val="22"/>
      <w:szCs w:val="22"/>
      <w:lang w:val="en-US" w:eastAsia="en-US"/>
    </w:rPr>
  </w:style>
  <w:style w:type="paragraph" w:styleId="TOC4">
    <w:name w:val="toc 4"/>
    <w:basedOn w:val="Normal"/>
    <w:next w:val="Normal"/>
    <w:autoRedefine/>
    <w:uiPriority w:val="39"/>
    <w:unhideWhenUsed/>
    <w:rsid w:val="00B025A2"/>
    <w:pPr>
      <w:spacing w:after="100"/>
      <w:ind w:left="720"/>
    </w:pPr>
  </w:style>
  <w:style w:type="paragraph" w:styleId="Caption">
    <w:name w:val="caption"/>
    <w:basedOn w:val="Normal"/>
    <w:next w:val="Normal"/>
    <w:uiPriority w:val="35"/>
    <w:unhideWhenUsed/>
    <w:qFormat/>
    <w:rsid w:val="00CA184E"/>
    <w:pPr>
      <w:spacing w:after="200"/>
    </w:pPr>
    <w:rPr>
      <w:i/>
      <w:iCs/>
      <w:color w:val="44546A" w:themeColor="text2"/>
      <w:sz w:val="18"/>
      <w:szCs w:val="18"/>
    </w:rPr>
  </w:style>
  <w:style w:type="table" w:styleId="TableGrid">
    <w:name w:val="Table Grid"/>
    <w:basedOn w:val="TableNormal"/>
    <w:uiPriority w:val="39"/>
    <w:rsid w:val="003B3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463C"/>
    <w:pPr>
      <w:tabs>
        <w:tab w:val="center" w:pos="4513"/>
        <w:tab w:val="right" w:pos="9026"/>
      </w:tabs>
    </w:pPr>
  </w:style>
  <w:style w:type="character" w:customStyle="1" w:styleId="HeaderChar">
    <w:name w:val="Header Char"/>
    <w:basedOn w:val="DefaultParagraphFont"/>
    <w:link w:val="Header"/>
    <w:uiPriority w:val="99"/>
    <w:rsid w:val="0027463C"/>
    <w:rPr>
      <w:rFonts w:ascii="Times New Roman" w:hAnsi="Times New Roman" w:cs="Times New Roman"/>
      <w:sz w:val="24"/>
      <w:szCs w:val="24"/>
      <w:lang w:eastAsia="en-GB"/>
    </w:rPr>
  </w:style>
  <w:style w:type="paragraph" w:styleId="Footer">
    <w:name w:val="footer"/>
    <w:basedOn w:val="Normal"/>
    <w:link w:val="FooterChar"/>
    <w:uiPriority w:val="99"/>
    <w:unhideWhenUsed/>
    <w:rsid w:val="0027463C"/>
    <w:pPr>
      <w:tabs>
        <w:tab w:val="center" w:pos="4513"/>
        <w:tab w:val="right" w:pos="9026"/>
      </w:tabs>
    </w:pPr>
  </w:style>
  <w:style w:type="character" w:customStyle="1" w:styleId="FooterChar">
    <w:name w:val="Footer Char"/>
    <w:basedOn w:val="DefaultParagraphFont"/>
    <w:link w:val="Footer"/>
    <w:uiPriority w:val="99"/>
    <w:rsid w:val="0027463C"/>
    <w:rPr>
      <w:rFonts w:ascii="Times New Roman" w:hAnsi="Times New Roman" w:cs="Times New Roman"/>
      <w:sz w:val="24"/>
      <w:szCs w:val="24"/>
      <w:lang w:eastAsia="en-GB"/>
    </w:rPr>
  </w:style>
  <w:style w:type="paragraph" w:customStyle="1" w:styleId="xl77">
    <w:name w:val="xl77"/>
    <w:basedOn w:val="Normal"/>
    <w:rsid w:val="00225487"/>
    <w:pPr>
      <w:shd w:val="clear" w:color="000000" w:fill="BDD7EE"/>
      <w:spacing w:before="100" w:beforeAutospacing="1" w:after="100" w:afterAutospacing="1"/>
      <w:textAlignment w:val="center"/>
    </w:pPr>
    <w:rPr>
      <w:rFonts w:eastAsia="Times New Roman"/>
    </w:rPr>
  </w:style>
  <w:style w:type="paragraph" w:customStyle="1" w:styleId="xl78">
    <w:name w:val="xl78"/>
    <w:basedOn w:val="Normal"/>
    <w:rsid w:val="00225487"/>
    <w:pPr>
      <w:shd w:val="clear" w:color="000000" w:fill="BDD7EE"/>
      <w:spacing w:before="100" w:beforeAutospacing="1" w:after="100" w:afterAutospacing="1"/>
      <w:jc w:val="center"/>
    </w:pPr>
    <w:rPr>
      <w:rFonts w:eastAsia="Times New Roman"/>
    </w:rPr>
  </w:style>
  <w:style w:type="paragraph" w:customStyle="1" w:styleId="xl79">
    <w:name w:val="xl79"/>
    <w:basedOn w:val="Normal"/>
    <w:rsid w:val="00225487"/>
    <w:pPr>
      <w:shd w:val="clear" w:color="000000" w:fill="BDD7EE"/>
      <w:spacing w:before="100" w:beforeAutospacing="1" w:after="100" w:afterAutospacing="1"/>
    </w:pPr>
    <w:rPr>
      <w:rFonts w:eastAsia="Times New Roman"/>
    </w:rPr>
  </w:style>
  <w:style w:type="paragraph" w:customStyle="1" w:styleId="xl80">
    <w:name w:val="xl80"/>
    <w:basedOn w:val="Normal"/>
    <w:rsid w:val="00225487"/>
    <w:pPr>
      <w:shd w:val="clear" w:color="000000" w:fill="BDD7EE"/>
      <w:spacing w:before="100" w:beforeAutospacing="1" w:after="100" w:afterAutospacing="1"/>
    </w:pPr>
    <w:rPr>
      <w:rFonts w:eastAsia="Times New Roman"/>
    </w:rPr>
  </w:style>
  <w:style w:type="paragraph" w:styleId="TableofFigures">
    <w:name w:val="table of figures"/>
    <w:basedOn w:val="Normal"/>
    <w:next w:val="Normal"/>
    <w:uiPriority w:val="99"/>
    <w:unhideWhenUsed/>
    <w:rsid w:val="007E2FAE"/>
  </w:style>
  <w:style w:type="table" w:styleId="PlainTable2">
    <w:name w:val="Plain Table 2"/>
    <w:basedOn w:val="TableNormal"/>
    <w:uiPriority w:val="42"/>
    <w:rsid w:val="000A79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0A1C50"/>
    <w:rPr>
      <w:color w:val="808080"/>
    </w:rPr>
  </w:style>
  <w:style w:type="paragraph" w:styleId="BalloonText">
    <w:name w:val="Balloon Text"/>
    <w:basedOn w:val="Normal"/>
    <w:link w:val="BalloonTextChar"/>
    <w:uiPriority w:val="99"/>
    <w:semiHidden/>
    <w:unhideWhenUsed/>
    <w:rsid w:val="003F72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232"/>
    <w:rPr>
      <w:rFonts w:ascii="Segoe UI" w:hAnsi="Segoe UI" w:cs="Segoe UI"/>
      <w:sz w:val="18"/>
      <w:szCs w:val="18"/>
      <w:lang w:eastAsia="en-GB"/>
    </w:rPr>
  </w:style>
  <w:style w:type="paragraph" w:customStyle="1" w:styleId="xl81">
    <w:name w:val="xl81"/>
    <w:basedOn w:val="Normal"/>
    <w:rsid w:val="00F23129"/>
    <w:pPr>
      <w:pBdr>
        <w:bottom w:val="single" w:sz="4" w:space="0" w:color="auto"/>
      </w:pBdr>
      <w:spacing w:before="100" w:beforeAutospacing="1" w:after="100" w:afterAutospacing="1"/>
      <w:textAlignment w:val="center"/>
    </w:pPr>
    <w:rPr>
      <w:rFonts w:eastAsia="Times New Roman"/>
      <w:color w:val="000000"/>
      <w:sz w:val="18"/>
      <w:szCs w:val="18"/>
    </w:rPr>
  </w:style>
  <w:style w:type="paragraph" w:customStyle="1" w:styleId="xl82">
    <w:name w:val="xl82"/>
    <w:basedOn w:val="Normal"/>
    <w:rsid w:val="00F23129"/>
    <w:pPr>
      <w:pBdr>
        <w:bottom w:val="single" w:sz="4" w:space="0" w:color="auto"/>
      </w:pBdr>
      <w:spacing w:before="100" w:beforeAutospacing="1" w:after="100" w:afterAutospacing="1"/>
    </w:pPr>
    <w:rPr>
      <w:rFonts w:eastAsia="Times New Roman"/>
      <w:sz w:val="18"/>
      <w:szCs w:val="18"/>
    </w:rPr>
  </w:style>
  <w:style w:type="paragraph" w:customStyle="1" w:styleId="xl83">
    <w:name w:val="xl83"/>
    <w:basedOn w:val="Normal"/>
    <w:rsid w:val="00F23129"/>
    <w:pPr>
      <w:pBdr>
        <w:bottom w:val="single" w:sz="4" w:space="0" w:color="auto"/>
      </w:pBdr>
      <w:spacing w:before="100" w:beforeAutospacing="1" w:after="100" w:afterAutospacing="1"/>
      <w:jc w:val="center"/>
      <w:textAlignment w:val="center"/>
    </w:pPr>
    <w:rPr>
      <w:rFonts w:eastAsia="Times New Roman"/>
      <w:color w:val="000000"/>
      <w:sz w:val="18"/>
      <w:szCs w:val="18"/>
    </w:rPr>
  </w:style>
  <w:style w:type="paragraph" w:customStyle="1" w:styleId="xl84">
    <w:name w:val="xl84"/>
    <w:basedOn w:val="Normal"/>
    <w:rsid w:val="00F23129"/>
    <w:pPr>
      <w:spacing w:before="100" w:beforeAutospacing="1" w:after="100" w:afterAutospacing="1"/>
    </w:pPr>
    <w:rPr>
      <w:rFonts w:eastAsia="Times New Roman"/>
      <w:sz w:val="16"/>
      <w:szCs w:val="16"/>
    </w:rPr>
  </w:style>
  <w:style w:type="paragraph" w:customStyle="1" w:styleId="xl85">
    <w:name w:val="xl85"/>
    <w:basedOn w:val="Normal"/>
    <w:rsid w:val="00F23129"/>
    <w:pPr>
      <w:spacing w:before="100" w:beforeAutospacing="1" w:after="100" w:afterAutospacing="1"/>
    </w:pPr>
    <w:rPr>
      <w:rFonts w:eastAsia="Times New Roman"/>
      <w:b/>
      <w:bCs/>
      <w:color w:val="000000"/>
      <w:sz w:val="16"/>
      <w:szCs w:val="16"/>
    </w:rPr>
  </w:style>
  <w:style w:type="paragraph" w:customStyle="1" w:styleId="xl86">
    <w:name w:val="xl86"/>
    <w:basedOn w:val="Normal"/>
    <w:rsid w:val="00F23129"/>
    <w:pPr>
      <w:spacing w:before="100" w:beforeAutospacing="1" w:after="100" w:afterAutospacing="1"/>
      <w:jc w:val="center"/>
    </w:pPr>
    <w:rPr>
      <w:rFonts w:eastAsia="Times New Roman"/>
      <w:sz w:val="16"/>
      <w:szCs w:val="16"/>
    </w:rPr>
  </w:style>
  <w:style w:type="paragraph" w:customStyle="1" w:styleId="xl87">
    <w:name w:val="xl87"/>
    <w:basedOn w:val="Normal"/>
    <w:rsid w:val="00F23129"/>
    <w:pPr>
      <w:pBdr>
        <w:right w:val="single" w:sz="4" w:space="0" w:color="auto"/>
      </w:pBdr>
      <w:spacing w:before="100" w:beforeAutospacing="1" w:after="100" w:afterAutospacing="1"/>
      <w:textAlignment w:val="center"/>
    </w:pPr>
    <w:rPr>
      <w:rFonts w:eastAsia="Times New Roman"/>
      <w:sz w:val="16"/>
      <w:szCs w:val="16"/>
    </w:rPr>
  </w:style>
  <w:style w:type="paragraph" w:customStyle="1" w:styleId="xl88">
    <w:name w:val="xl88"/>
    <w:basedOn w:val="Normal"/>
    <w:rsid w:val="00F23129"/>
    <w:pPr>
      <w:spacing w:before="100" w:beforeAutospacing="1" w:after="100" w:afterAutospacing="1"/>
      <w:jc w:val="center"/>
      <w:textAlignment w:val="center"/>
    </w:pPr>
    <w:rPr>
      <w:rFonts w:eastAsia="Times New Roman"/>
      <w:sz w:val="16"/>
      <w:szCs w:val="16"/>
    </w:rPr>
  </w:style>
  <w:style w:type="paragraph" w:customStyle="1" w:styleId="xl89">
    <w:name w:val="xl89"/>
    <w:basedOn w:val="Normal"/>
    <w:rsid w:val="00F23129"/>
    <w:pPr>
      <w:spacing w:before="100" w:beforeAutospacing="1" w:after="100" w:afterAutospacing="1"/>
      <w:jc w:val="center"/>
      <w:textAlignment w:val="center"/>
    </w:pPr>
    <w:rPr>
      <w:rFonts w:eastAsia="Times New Roman"/>
      <w:sz w:val="16"/>
      <w:szCs w:val="16"/>
    </w:rPr>
  </w:style>
  <w:style w:type="paragraph" w:customStyle="1" w:styleId="xl90">
    <w:name w:val="xl90"/>
    <w:basedOn w:val="Normal"/>
    <w:rsid w:val="00F23129"/>
    <w:pPr>
      <w:spacing w:before="100" w:beforeAutospacing="1" w:after="100" w:afterAutospacing="1"/>
      <w:jc w:val="center"/>
      <w:textAlignment w:val="center"/>
    </w:pPr>
    <w:rPr>
      <w:rFonts w:eastAsia="Times New Roman"/>
      <w:color w:val="000000"/>
      <w:sz w:val="16"/>
      <w:szCs w:val="16"/>
    </w:rPr>
  </w:style>
  <w:style w:type="paragraph" w:customStyle="1" w:styleId="xl91">
    <w:name w:val="xl91"/>
    <w:basedOn w:val="Normal"/>
    <w:rsid w:val="00F23129"/>
    <w:pPr>
      <w:pBdr>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92">
    <w:name w:val="xl92"/>
    <w:basedOn w:val="Normal"/>
    <w:rsid w:val="00F23129"/>
    <w:pPr>
      <w:spacing w:before="100" w:beforeAutospacing="1" w:after="100" w:afterAutospacing="1"/>
    </w:pPr>
    <w:rPr>
      <w:rFonts w:eastAsia="Times New Roman"/>
      <w:sz w:val="16"/>
      <w:szCs w:val="16"/>
    </w:rPr>
  </w:style>
  <w:style w:type="paragraph" w:customStyle="1" w:styleId="xl93">
    <w:name w:val="xl93"/>
    <w:basedOn w:val="Normal"/>
    <w:rsid w:val="00F23129"/>
    <w:pPr>
      <w:pBdr>
        <w:bottom w:val="single" w:sz="4" w:space="0" w:color="auto"/>
        <w:right w:val="single" w:sz="4" w:space="0" w:color="auto"/>
      </w:pBdr>
      <w:spacing w:before="100" w:beforeAutospacing="1" w:after="100" w:afterAutospacing="1"/>
      <w:textAlignment w:val="center"/>
    </w:pPr>
    <w:rPr>
      <w:rFonts w:eastAsia="Times New Roman"/>
      <w:color w:val="000000"/>
      <w:sz w:val="16"/>
      <w:szCs w:val="16"/>
    </w:rPr>
  </w:style>
  <w:style w:type="paragraph" w:customStyle="1" w:styleId="xl94">
    <w:name w:val="xl94"/>
    <w:basedOn w:val="Normal"/>
    <w:rsid w:val="00F23129"/>
    <w:pPr>
      <w:pBdr>
        <w:bottom w:val="single" w:sz="4" w:space="0" w:color="auto"/>
        <w:right w:val="single" w:sz="4" w:space="0" w:color="auto"/>
      </w:pBdr>
      <w:spacing w:before="100" w:beforeAutospacing="1" w:after="100" w:afterAutospacing="1"/>
      <w:jc w:val="center"/>
      <w:textAlignment w:val="center"/>
    </w:pPr>
    <w:rPr>
      <w:rFonts w:eastAsia="Times New Roman"/>
      <w:sz w:val="16"/>
      <w:szCs w:val="16"/>
    </w:rPr>
  </w:style>
  <w:style w:type="paragraph" w:customStyle="1" w:styleId="xl95">
    <w:name w:val="xl95"/>
    <w:basedOn w:val="Normal"/>
    <w:rsid w:val="00F23129"/>
    <w:pPr>
      <w:pBdr>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96">
    <w:name w:val="xl96"/>
    <w:basedOn w:val="Normal"/>
    <w:rsid w:val="00F23129"/>
    <w:pPr>
      <w:pBdr>
        <w:bottom w:val="single" w:sz="4" w:space="0" w:color="auto"/>
      </w:pBdr>
      <w:spacing w:before="100" w:beforeAutospacing="1" w:after="100" w:afterAutospacing="1"/>
      <w:jc w:val="center"/>
      <w:textAlignment w:val="center"/>
    </w:pPr>
    <w:rPr>
      <w:rFonts w:eastAsia="Times New Roman"/>
      <w:color w:val="000000"/>
      <w:sz w:val="16"/>
      <w:szCs w:val="16"/>
    </w:rPr>
  </w:style>
  <w:style w:type="paragraph" w:customStyle="1" w:styleId="xl97">
    <w:name w:val="xl97"/>
    <w:basedOn w:val="Normal"/>
    <w:rsid w:val="00F23129"/>
    <w:pPr>
      <w:spacing w:before="100" w:beforeAutospacing="1" w:after="100" w:afterAutospacing="1"/>
      <w:jc w:val="center"/>
      <w:textAlignment w:val="center"/>
    </w:pPr>
    <w:rPr>
      <w:rFonts w:eastAsia="Times New Roman"/>
      <w:sz w:val="16"/>
      <w:szCs w:val="16"/>
    </w:rPr>
  </w:style>
  <w:style w:type="paragraph" w:customStyle="1" w:styleId="xl98">
    <w:name w:val="xl98"/>
    <w:basedOn w:val="Normal"/>
    <w:rsid w:val="00F23129"/>
    <w:pPr>
      <w:spacing w:before="100" w:beforeAutospacing="1" w:after="100" w:afterAutospacing="1"/>
      <w:jc w:val="center"/>
      <w:textAlignment w:val="center"/>
    </w:pPr>
    <w:rPr>
      <w:rFonts w:eastAsia="Times New Roman"/>
      <w:sz w:val="16"/>
      <w:szCs w:val="16"/>
    </w:rPr>
  </w:style>
  <w:style w:type="paragraph" w:customStyle="1" w:styleId="xl99">
    <w:name w:val="xl99"/>
    <w:basedOn w:val="Normal"/>
    <w:rsid w:val="00F23129"/>
    <w:pPr>
      <w:pBdr>
        <w:bottom w:val="single" w:sz="4" w:space="0" w:color="auto"/>
      </w:pBdr>
      <w:spacing w:before="100" w:beforeAutospacing="1" w:after="100" w:afterAutospacing="1"/>
      <w:jc w:val="center"/>
      <w:textAlignment w:val="center"/>
    </w:pPr>
    <w:rPr>
      <w:rFonts w:eastAsia="Times New Roman"/>
      <w:sz w:val="16"/>
      <w:szCs w:val="16"/>
    </w:rPr>
  </w:style>
  <w:style w:type="paragraph" w:customStyle="1" w:styleId="xl100">
    <w:name w:val="xl100"/>
    <w:basedOn w:val="Normal"/>
    <w:rsid w:val="00F23129"/>
    <w:pPr>
      <w:pBdr>
        <w:top w:val="single" w:sz="4" w:space="0" w:color="auto"/>
      </w:pBdr>
      <w:spacing w:before="100" w:beforeAutospacing="1" w:after="100" w:afterAutospacing="1"/>
    </w:pPr>
    <w:rPr>
      <w:rFonts w:eastAsia="Times New Roman"/>
      <w:sz w:val="16"/>
      <w:szCs w:val="16"/>
    </w:rPr>
  </w:style>
  <w:style w:type="paragraph" w:styleId="FootnoteText">
    <w:name w:val="footnote text"/>
    <w:basedOn w:val="Normal"/>
    <w:link w:val="FootnoteTextChar"/>
    <w:uiPriority w:val="99"/>
    <w:semiHidden/>
    <w:unhideWhenUsed/>
    <w:rsid w:val="00337B13"/>
    <w:rPr>
      <w:sz w:val="20"/>
      <w:szCs w:val="20"/>
    </w:rPr>
  </w:style>
  <w:style w:type="character" w:customStyle="1" w:styleId="FootnoteTextChar">
    <w:name w:val="Footnote Text Char"/>
    <w:basedOn w:val="DefaultParagraphFont"/>
    <w:link w:val="FootnoteText"/>
    <w:uiPriority w:val="99"/>
    <w:semiHidden/>
    <w:rsid w:val="00337B13"/>
    <w:rPr>
      <w:rFonts w:ascii="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337B13"/>
    <w:rPr>
      <w:vertAlign w:val="superscript"/>
    </w:rPr>
  </w:style>
  <w:style w:type="character" w:styleId="EndnoteReference">
    <w:name w:val="endnote reference"/>
    <w:basedOn w:val="DefaultParagraphFont"/>
    <w:uiPriority w:val="99"/>
    <w:semiHidden/>
    <w:unhideWhenUsed/>
    <w:rsid w:val="00521669"/>
    <w:rPr>
      <w:vertAlign w:val="superscript"/>
    </w:rPr>
  </w:style>
  <w:style w:type="paragraph" w:styleId="NoSpacing">
    <w:name w:val="No Spacing"/>
    <w:link w:val="NoSpacingChar"/>
    <w:uiPriority w:val="1"/>
    <w:qFormat/>
    <w:rsid w:val="008D2B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D2BBB"/>
    <w:rPr>
      <w:rFonts w:eastAsiaTheme="minorEastAsia"/>
      <w:lang w:val="en-US"/>
    </w:rPr>
  </w:style>
  <w:style w:type="paragraph" w:customStyle="1" w:styleId="paragraph">
    <w:name w:val="paragraph"/>
    <w:basedOn w:val="Normal"/>
    <w:rsid w:val="008D2BBB"/>
    <w:pPr>
      <w:spacing w:before="100" w:beforeAutospacing="1" w:after="100" w:afterAutospacing="1"/>
    </w:pPr>
    <w:rPr>
      <w:rFonts w:eastAsia="Times New Roman"/>
    </w:rPr>
  </w:style>
  <w:style w:type="character" w:customStyle="1" w:styleId="normaltextrun">
    <w:name w:val="normaltextrun"/>
    <w:basedOn w:val="DefaultParagraphFont"/>
    <w:rsid w:val="008D2BBB"/>
  </w:style>
  <w:style w:type="character" w:customStyle="1" w:styleId="eop">
    <w:name w:val="eop"/>
    <w:basedOn w:val="DefaultParagraphFont"/>
    <w:rsid w:val="008D2BBB"/>
  </w:style>
  <w:style w:type="character" w:customStyle="1" w:styleId="spellingerror">
    <w:name w:val="spellingerror"/>
    <w:basedOn w:val="DefaultParagraphFont"/>
    <w:rsid w:val="008D2B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507">
      <w:bodyDiv w:val="1"/>
      <w:marLeft w:val="0"/>
      <w:marRight w:val="0"/>
      <w:marTop w:val="0"/>
      <w:marBottom w:val="0"/>
      <w:divBdr>
        <w:top w:val="none" w:sz="0" w:space="0" w:color="auto"/>
        <w:left w:val="none" w:sz="0" w:space="0" w:color="auto"/>
        <w:bottom w:val="none" w:sz="0" w:space="0" w:color="auto"/>
        <w:right w:val="none" w:sz="0" w:space="0" w:color="auto"/>
      </w:divBdr>
    </w:div>
    <w:div w:id="42024216">
      <w:bodyDiv w:val="1"/>
      <w:marLeft w:val="0"/>
      <w:marRight w:val="0"/>
      <w:marTop w:val="0"/>
      <w:marBottom w:val="0"/>
      <w:divBdr>
        <w:top w:val="none" w:sz="0" w:space="0" w:color="auto"/>
        <w:left w:val="none" w:sz="0" w:space="0" w:color="auto"/>
        <w:bottom w:val="none" w:sz="0" w:space="0" w:color="auto"/>
        <w:right w:val="none" w:sz="0" w:space="0" w:color="auto"/>
      </w:divBdr>
    </w:div>
    <w:div w:id="59447836">
      <w:bodyDiv w:val="1"/>
      <w:marLeft w:val="0"/>
      <w:marRight w:val="0"/>
      <w:marTop w:val="0"/>
      <w:marBottom w:val="0"/>
      <w:divBdr>
        <w:top w:val="none" w:sz="0" w:space="0" w:color="auto"/>
        <w:left w:val="none" w:sz="0" w:space="0" w:color="auto"/>
        <w:bottom w:val="none" w:sz="0" w:space="0" w:color="auto"/>
        <w:right w:val="none" w:sz="0" w:space="0" w:color="auto"/>
      </w:divBdr>
    </w:div>
    <w:div w:id="61024017">
      <w:bodyDiv w:val="1"/>
      <w:marLeft w:val="0"/>
      <w:marRight w:val="0"/>
      <w:marTop w:val="0"/>
      <w:marBottom w:val="0"/>
      <w:divBdr>
        <w:top w:val="none" w:sz="0" w:space="0" w:color="auto"/>
        <w:left w:val="none" w:sz="0" w:space="0" w:color="auto"/>
        <w:bottom w:val="none" w:sz="0" w:space="0" w:color="auto"/>
        <w:right w:val="none" w:sz="0" w:space="0" w:color="auto"/>
      </w:divBdr>
    </w:div>
    <w:div w:id="75132366">
      <w:bodyDiv w:val="1"/>
      <w:marLeft w:val="0"/>
      <w:marRight w:val="0"/>
      <w:marTop w:val="0"/>
      <w:marBottom w:val="0"/>
      <w:divBdr>
        <w:top w:val="none" w:sz="0" w:space="0" w:color="auto"/>
        <w:left w:val="none" w:sz="0" w:space="0" w:color="auto"/>
        <w:bottom w:val="none" w:sz="0" w:space="0" w:color="auto"/>
        <w:right w:val="none" w:sz="0" w:space="0" w:color="auto"/>
      </w:divBdr>
    </w:div>
    <w:div w:id="75980673">
      <w:bodyDiv w:val="1"/>
      <w:marLeft w:val="0"/>
      <w:marRight w:val="0"/>
      <w:marTop w:val="0"/>
      <w:marBottom w:val="0"/>
      <w:divBdr>
        <w:top w:val="none" w:sz="0" w:space="0" w:color="auto"/>
        <w:left w:val="none" w:sz="0" w:space="0" w:color="auto"/>
        <w:bottom w:val="none" w:sz="0" w:space="0" w:color="auto"/>
        <w:right w:val="none" w:sz="0" w:space="0" w:color="auto"/>
      </w:divBdr>
    </w:div>
    <w:div w:id="83502714">
      <w:bodyDiv w:val="1"/>
      <w:marLeft w:val="0"/>
      <w:marRight w:val="0"/>
      <w:marTop w:val="0"/>
      <w:marBottom w:val="0"/>
      <w:divBdr>
        <w:top w:val="none" w:sz="0" w:space="0" w:color="auto"/>
        <w:left w:val="none" w:sz="0" w:space="0" w:color="auto"/>
        <w:bottom w:val="none" w:sz="0" w:space="0" w:color="auto"/>
        <w:right w:val="none" w:sz="0" w:space="0" w:color="auto"/>
      </w:divBdr>
    </w:div>
    <w:div w:id="85655914">
      <w:bodyDiv w:val="1"/>
      <w:marLeft w:val="0"/>
      <w:marRight w:val="0"/>
      <w:marTop w:val="0"/>
      <w:marBottom w:val="0"/>
      <w:divBdr>
        <w:top w:val="none" w:sz="0" w:space="0" w:color="auto"/>
        <w:left w:val="none" w:sz="0" w:space="0" w:color="auto"/>
        <w:bottom w:val="none" w:sz="0" w:space="0" w:color="auto"/>
        <w:right w:val="none" w:sz="0" w:space="0" w:color="auto"/>
      </w:divBdr>
    </w:div>
    <w:div w:id="87048549">
      <w:bodyDiv w:val="1"/>
      <w:marLeft w:val="0"/>
      <w:marRight w:val="0"/>
      <w:marTop w:val="0"/>
      <w:marBottom w:val="0"/>
      <w:divBdr>
        <w:top w:val="none" w:sz="0" w:space="0" w:color="auto"/>
        <w:left w:val="none" w:sz="0" w:space="0" w:color="auto"/>
        <w:bottom w:val="none" w:sz="0" w:space="0" w:color="auto"/>
        <w:right w:val="none" w:sz="0" w:space="0" w:color="auto"/>
      </w:divBdr>
    </w:div>
    <w:div w:id="92746095">
      <w:bodyDiv w:val="1"/>
      <w:marLeft w:val="0"/>
      <w:marRight w:val="0"/>
      <w:marTop w:val="0"/>
      <w:marBottom w:val="0"/>
      <w:divBdr>
        <w:top w:val="none" w:sz="0" w:space="0" w:color="auto"/>
        <w:left w:val="none" w:sz="0" w:space="0" w:color="auto"/>
        <w:bottom w:val="none" w:sz="0" w:space="0" w:color="auto"/>
        <w:right w:val="none" w:sz="0" w:space="0" w:color="auto"/>
      </w:divBdr>
    </w:div>
    <w:div w:id="105852811">
      <w:bodyDiv w:val="1"/>
      <w:marLeft w:val="0"/>
      <w:marRight w:val="0"/>
      <w:marTop w:val="0"/>
      <w:marBottom w:val="0"/>
      <w:divBdr>
        <w:top w:val="none" w:sz="0" w:space="0" w:color="auto"/>
        <w:left w:val="none" w:sz="0" w:space="0" w:color="auto"/>
        <w:bottom w:val="none" w:sz="0" w:space="0" w:color="auto"/>
        <w:right w:val="none" w:sz="0" w:space="0" w:color="auto"/>
      </w:divBdr>
    </w:div>
    <w:div w:id="108858627">
      <w:bodyDiv w:val="1"/>
      <w:marLeft w:val="0"/>
      <w:marRight w:val="0"/>
      <w:marTop w:val="0"/>
      <w:marBottom w:val="0"/>
      <w:divBdr>
        <w:top w:val="none" w:sz="0" w:space="0" w:color="auto"/>
        <w:left w:val="none" w:sz="0" w:space="0" w:color="auto"/>
        <w:bottom w:val="none" w:sz="0" w:space="0" w:color="auto"/>
        <w:right w:val="none" w:sz="0" w:space="0" w:color="auto"/>
      </w:divBdr>
    </w:div>
    <w:div w:id="117647150">
      <w:bodyDiv w:val="1"/>
      <w:marLeft w:val="0"/>
      <w:marRight w:val="0"/>
      <w:marTop w:val="0"/>
      <w:marBottom w:val="0"/>
      <w:divBdr>
        <w:top w:val="none" w:sz="0" w:space="0" w:color="auto"/>
        <w:left w:val="none" w:sz="0" w:space="0" w:color="auto"/>
        <w:bottom w:val="none" w:sz="0" w:space="0" w:color="auto"/>
        <w:right w:val="none" w:sz="0" w:space="0" w:color="auto"/>
      </w:divBdr>
    </w:div>
    <w:div w:id="132018249">
      <w:bodyDiv w:val="1"/>
      <w:marLeft w:val="0"/>
      <w:marRight w:val="0"/>
      <w:marTop w:val="0"/>
      <w:marBottom w:val="0"/>
      <w:divBdr>
        <w:top w:val="none" w:sz="0" w:space="0" w:color="auto"/>
        <w:left w:val="none" w:sz="0" w:space="0" w:color="auto"/>
        <w:bottom w:val="none" w:sz="0" w:space="0" w:color="auto"/>
        <w:right w:val="none" w:sz="0" w:space="0" w:color="auto"/>
      </w:divBdr>
    </w:div>
    <w:div w:id="161093757">
      <w:bodyDiv w:val="1"/>
      <w:marLeft w:val="0"/>
      <w:marRight w:val="0"/>
      <w:marTop w:val="0"/>
      <w:marBottom w:val="0"/>
      <w:divBdr>
        <w:top w:val="none" w:sz="0" w:space="0" w:color="auto"/>
        <w:left w:val="none" w:sz="0" w:space="0" w:color="auto"/>
        <w:bottom w:val="none" w:sz="0" w:space="0" w:color="auto"/>
        <w:right w:val="none" w:sz="0" w:space="0" w:color="auto"/>
      </w:divBdr>
    </w:div>
    <w:div w:id="170067044">
      <w:bodyDiv w:val="1"/>
      <w:marLeft w:val="0"/>
      <w:marRight w:val="0"/>
      <w:marTop w:val="0"/>
      <w:marBottom w:val="0"/>
      <w:divBdr>
        <w:top w:val="none" w:sz="0" w:space="0" w:color="auto"/>
        <w:left w:val="none" w:sz="0" w:space="0" w:color="auto"/>
        <w:bottom w:val="none" w:sz="0" w:space="0" w:color="auto"/>
        <w:right w:val="none" w:sz="0" w:space="0" w:color="auto"/>
      </w:divBdr>
    </w:div>
    <w:div w:id="187723032">
      <w:bodyDiv w:val="1"/>
      <w:marLeft w:val="0"/>
      <w:marRight w:val="0"/>
      <w:marTop w:val="0"/>
      <w:marBottom w:val="0"/>
      <w:divBdr>
        <w:top w:val="none" w:sz="0" w:space="0" w:color="auto"/>
        <w:left w:val="none" w:sz="0" w:space="0" w:color="auto"/>
        <w:bottom w:val="none" w:sz="0" w:space="0" w:color="auto"/>
        <w:right w:val="none" w:sz="0" w:space="0" w:color="auto"/>
      </w:divBdr>
    </w:div>
    <w:div w:id="188446172">
      <w:bodyDiv w:val="1"/>
      <w:marLeft w:val="0"/>
      <w:marRight w:val="0"/>
      <w:marTop w:val="0"/>
      <w:marBottom w:val="0"/>
      <w:divBdr>
        <w:top w:val="none" w:sz="0" w:space="0" w:color="auto"/>
        <w:left w:val="none" w:sz="0" w:space="0" w:color="auto"/>
        <w:bottom w:val="none" w:sz="0" w:space="0" w:color="auto"/>
        <w:right w:val="none" w:sz="0" w:space="0" w:color="auto"/>
      </w:divBdr>
    </w:div>
    <w:div w:id="195895557">
      <w:bodyDiv w:val="1"/>
      <w:marLeft w:val="0"/>
      <w:marRight w:val="0"/>
      <w:marTop w:val="0"/>
      <w:marBottom w:val="0"/>
      <w:divBdr>
        <w:top w:val="none" w:sz="0" w:space="0" w:color="auto"/>
        <w:left w:val="none" w:sz="0" w:space="0" w:color="auto"/>
        <w:bottom w:val="none" w:sz="0" w:space="0" w:color="auto"/>
        <w:right w:val="none" w:sz="0" w:space="0" w:color="auto"/>
      </w:divBdr>
    </w:div>
    <w:div w:id="209222794">
      <w:bodyDiv w:val="1"/>
      <w:marLeft w:val="0"/>
      <w:marRight w:val="0"/>
      <w:marTop w:val="0"/>
      <w:marBottom w:val="0"/>
      <w:divBdr>
        <w:top w:val="none" w:sz="0" w:space="0" w:color="auto"/>
        <w:left w:val="none" w:sz="0" w:space="0" w:color="auto"/>
        <w:bottom w:val="none" w:sz="0" w:space="0" w:color="auto"/>
        <w:right w:val="none" w:sz="0" w:space="0" w:color="auto"/>
      </w:divBdr>
    </w:div>
    <w:div w:id="227107156">
      <w:bodyDiv w:val="1"/>
      <w:marLeft w:val="0"/>
      <w:marRight w:val="0"/>
      <w:marTop w:val="0"/>
      <w:marBottom w:val="0"/>
      <w:divBdr>
        <w:top w:val="none" w:sz="0" w:space="0" w:color="auto"/>
        <w:left w:val="none" w:sz="0" w:space="0" w:color="auto"/>
        <w:bottom w:val="none" w:sz="0" w:space="0" w:color="auto"/>
        <w:right w:val="none" w:sz="0" w:space="0" w:color="auto"/>
      </w:divBdr>
    </w:div>
    <w:div w:id="232129216">
      <w:bodyDiv w:val="1"/>
      <w:marLeft w:val="0"/>
      <w:marRight w:val="0"/>
      <w:marTop w:val="0"/>
      <w:marBottom w:val="0"/>
      <w:divBdr>
        <w:top w:val="none" w:sz="0" w:space="0" w:color="auto"/>
        <w:left w:val="none" w:sz="0" w:space="0" w:color="auto"/>
        <w:bottom w:val="none" w:sz="0" w:space="0" w:color="auto"/>
        <w:right w:val="none" w:sz="0" w:space="0" w:color="auto"/>
      </w:divBdr>
    </w:div>
    <w:div w:id="239142736">
      <w:bodyDiv w:val="1"/>
      <w:marLeft w:val="0"/>
      <w:marRight w:val="0"/>
      <w:marTop w:val="0"/>
      <w:marBottom w:val="0"/>
      <w:divBdr>
        <w:top w:val="none" w:sz="0" w:space="0" w:color="auto"/>
        <w:left w:val="none" w:sz="0" w:space="0" w:color="auto"/>
        <w:bottom w:val="none" w:sz="0" w:space="0" w:color="auto"/>
        <w:right w:val="none" w:sz="0" w:space="0" w:color="auto"/>
      </w:divBdr>
    </w:div>
    <w:div w:id="264462478">
      <w:bodyDiv w:val="1"/>
      <w:marLeft w:val="0"/>
      <w:marRight w:val="0"/>
      <w:marTop w:val="0"/>
      <w:marBottom w:val="0"/>
      <w:divBdr>
        <w:top w:val="none" w:sz="0" w:space="0" w:color="auto"/>
        <w:left w:val="none" w:sz="0" w:space="0" w:color="auto"/>
        <w:bottom w:val="none" w:sz="0" w:space="0" w:color="auto"/>
        <w:right w:val="none" w:sz="0" w:space="0" w:color="auto"/>
      </w:divBdr>
    </w:div>
    <w:div w:id="267468435">
      <w:bodyDiv w:val="1"/>
      <w:marLeft w:val="0"/>
      <w:marRight w:val="0"/>
      <w:marTop w:val="0"/>
      <w:marBottom w:val="0"/>
      <w:divBdr>
        <w:top w:val="none" w:sz="0" w:space="0" w:color="auto"/>
        <w:left w:val="none" w:sz="0" w:space="0" w:color="auto"/>
        <w:bottom w:val="none" w:sz="0" w:space="0" w:color="auto"/>
        <w:right w:val="none" w:sz="0" w:space="0" w:color="auto"/>
      </w:divBdr>
    </w:div>
    <w:div w:id="273286982">
      <w:bodyDiv w:val="1"/>
      <w:marLeft w:val="0"/>
      <w:marRight w:val="0"/>
      <w:marTop w:val="0"/>
      <w:marBottom w:val="0"/>
      <w:divBdr>
        <w:top w:val="none" w:sz="0" w:space="0" w:color="auto"/>
        <w:left w:val="none" w:sz="0" w:space="0" w:color="auto"/>
        <w:bottom w:val="none" w:sz="0" w:space="0" w:color="auto"/>
        <w:right w:val="none" w:sz="0" w:space="0" w:color="auto"/>
      </w:divBdr>
    </w:div>
    <w:div w:id="304437119">
      <w:bodyDiv w:val="1"/>
      <w:marLeft w:val="0"/>
      <w:marRight w:val="0"/>
      <w:marTop w:val="0"/>
      <w:marBottom w:val="0"/>
      <w:divBdr>
        <w:top w:val="none" w:sz="0" w:space="0" w:color="auto"/>
        <w:left w:val="none" w:sz="0" w:space="0" w:color="auto"/>
        <w:bottom w:val="none" w:sz="0" w:space="0" w:color="auto"/>
        <w:right w:val="none" w:sz="0" w:space="0" w:color="auto"/>
      </w:divBdr>
    </w:div>
    <w:div w:id="309290066">
      <w:bodyDiv w:val="1"/>
      <w:marLeft w:val="0"/>
      <w:marRight w:val="0"/>
      <w:marTop w:val="0"/>
      <w:marBottom w:val="0"/>
      <w:divBdr>
        <w:top w:val="none" w:sz="0" w:space="0" w:color="auto"/>
        <w:left w:val="none" w:sz="0" w:space="0" w:color="auto"/>
        <w:bottom w:val="none" w:sz="0" w:space="0" w:color="auto"/>
        <w:right w:val="none" w:sz="0" w:space="0" w:color="auto"/>
      </w:divBdr>
    </w:div>
    <w:div w:id="313343291">
      <w:bodyDiv w:val="1"/>
      <w:marLeft w:val="0"/>
      <w:marRight w:val="0"/>
      <w:marTop w:val="0"/>
      <w:marBottom w:val="0"/>
      <w:divBdr>
        <w:top w:val="none" w:sz="0" w:space="0" w:color="auto"/>
        <w:left w:val="none" w:sz="0" w:space="0" w:color="auto"/>
        <w:bottom w:val="none" w:sz="0" w:space="0" w:color="auto"/>
        <w:right w:val="none" w:sz="0" w:space="0" w:color="auto"/>
      </w:divBdr>
    </w:div>
    <w:div w:id="316888384">
      <w:bodyDiv w:val="1"/>
      <w:marLeft w:val="0"/>
      <w:marRight w:val="0"/>
      <w:marTop w:val="0"/>
      <w:marBottom w:val="0"/>
      <w:divBdr>
        <w:top w:val="none" w:sz="0" w:space="0" w:color="auto"/>
        <w:left w:val="none" w:sz="0" w:space="0" w:color="auto"/>
        <w:bottom w:val="none" w:sz="0" w:space="0" w:color="auto"/>
        <w:right w:val="none" w:sz="0" w:space="0" w:color="auto"/>
      </w:divBdr>
    </w:div>
    <w:div w:id="322858726">
      <w:bodyDiv w:val="1"/>
      <w:marLeft w:val="0"/>
      <w:marRight w:val="0"/>
      <w:marTop w:val="0"/>
      <w:marBottom w:val="0"/>
      <w:divBdr>
        <w:top w:val="none" w:sz="0" w:space="0" w:color="auto"/>
        <w:left w:val="none" w:sz="0" w:space="0" w:color="auto"/>
        <w:bottom w:val="none" w:sz="0" w:space="0" w:color="auto"/>
        <w:right w:val="none" w:sz="0" w:space="0" w:color="auto"/>
      </w:divBdr>
    </w:div>
    <w:div w:id="325985793">
      <w:bodyDiv w:val="1"/>
      <w:marLeft w:val="0"/>
      <w:marRight w:val="0"/>
      <w:marTop w:val="0"/>
      <w:marBottom w:val="0"/>
      <w:divBdr>
        <w:top w:val="none" w:sz="0" w:space="0" w:color="auto"/>
        <w:left w:val="none" w:sz="0" w:space="0" w:color="auto"/>
        <w:bottom w:val="none" w:sz="0" w:space="0" w:color="auto"/>
        <w:right w:val="none" w:sz="0" w:space="0" w:color="auto"/>
      </w:divBdr>
    </w:div>
    <w:div w:id="335497045">
      <w:bodyDiv w:val="1"/>
      <w:marLeft w:val="0"/>
      <w:marRight w:val="0"/>
      <w:marTop w:val="0"/>
      <w:marBottom w:val="0"/>
      <w:divBdr>
        <w:top w:val="none" w:sz="0" w:space="0" w:color="auto"/>
        <w:left w:val="none" w:sz="0" w:space="0" w:color="auto"/>
        <w:bottom w:val="none" w:sz="0" w:space="0" w:color="auto"/>
        <w:right w:val="none" w:sz="0" w:space="0" w:color="auto"/>
      </w:divBdr>
    </w:div>
    <w:div w:id="339936260">
      <w:bodyDiv w:val="1"/>
      <w:marLeft w:val="0"/>
      <w:marRight w:val="0"/>
      <w:marTop w:val="0"/>
      <w:marBottom w:val="0"/>
      <w:divBdr>
        <w:top w:val="none" w:sz="0" w:space="0" w:color="auto"/>
        <w:left w:val="none" w:sz="0" w:space="0" w:color="auto"/>
        <w:bottom w:val="none" w:sz="0" w:space="0" w:color="auto"/>
        <w:right w:val="none" w:sz="0" w:space="0" w:color="auto"/>
      </w:divBdr>
    </w:div>
    <w:div w:id="378168625">
      <w:bodyDiv w:val="1"/>
      <w:marLeft w:val="0"/>
      <w:marRight w:val="0"/>
      <w:marTop w:val="0"/>
      <w:marBottom w:val="0"/>
      <w:divBdr>
        <w:top w:val="none" w:sz="0" w:space="0" w:color="auto"/>
        <w:left w:val="none" w:sz="0" w:space="0" w:color="auto"/>
        <w:bottom w:val="none" w:sz="0" w:space="0" w:color="auto"/>
        <w:right w:val="none" w:sz="0" w:space="0" w:color="auto"/>
      </w:divBdr>
    </w:div>
    <w:div w:id="389160128">
      <w:bodyDiv w:val="1"/>
      <w:marLeft w:val="0"/>
      <w:marRight w:val="0"/>
      <w:marTop w:val="0"/>
      <w:marBottom w:val="0"/>
      <w:divBdr>
        <w:top w:val="none" w:sz="0" w:space="0" w:color="auto"/>
        <w:left w:val="none" w:sz="0" w:space="0" w:color="auto"/>
        <w:bottom w:val="none" w:sz="0" w:space="0" w:color="auto"/>
        <w:right w:val="none" w:sz="0" w:space="0" w:color="auto"/>
      </w:divBdr>
    </w:div>
    <w:div w:id="390424872">
      <w:bodyDiv w:val="1"/>
      <w:marLeft w:val="0"/>
      <w:marRight w:val="0"/>
      <w:marTop w:val="0"/>
      <w:marBottom w:val="0"/>
      <w:divBdr>
        <w:top w:val="none" w:sz="0" w:space="0" w:color="auto"/>
        <w:left w:val="none" w:sz="0" w:space="0" w:color="auto"/>
        <w:bottom w:val="none" w:sz="0" w:space="0" w:color="auto"/>
        <w:right w:val="none" w:sz="0" w:space="0" w:color="auto"/>
      </w:divBdr>
    </w:div>
    <w:div w:id="409885317">
      <w:bodyDiv w:val="1"/>
      <w:marLeft w:val="0"/>
      <w:marRight w:val="0"/>
      <w:marTop w:val="0"/>
      <w:marBottom w:val="0"/>
      <w:divBdr>
        <w:top w:val="none" w:sz="0" w:space="0" w:color="auto"/>
        <w:left w:val="none" w:sz="0" w:space="0" w:color="auto"/>
        <w:bottom w:val="none" w:sz="0" w:space="0" w:color="auto"/>
        <w:right w:val="none" w:sz="0" w:space="0" w:color="auto"/>
      </w:divBdr>
    </w:div>
    <w:div w:id="442379406">
      <w:bodyDiv w:val="1"/>
      <w:marLeft w:val="0"/>
      <w:marRight w:val="0"/>
      <w:marTop w:val="0"/>
      <w:marBottom w:val="0"/>
      <w:divBdr>
        <w:top w:val="none" w:sz="0" w:space="0" w:color="auto"/>
        <w:left w:val="none" w:sz="0" w:space="0" w:color="auto"/>
        <w:bottom w:val="none" w:sz="0" w:space="0" w:color="auto"/>
        <w:right w:val="none" w:sz="0" w:space="0" w:color="auto"/>
      </w:divBdr>
    </w:div>
    <w:div w:id="452869094">
      <w:bodyDiv w:val="1"/>
      <w:marLeft w:val="0"/>
      <w:marRight w:val="0"/>
      <w:marTop w:val="0"/>
      <w:marBottom w:val="0"/>
      <w:divBdr>
        <w:top w:val="none" w:sz="0" w:space="0" w:color="auto"/>
        <w:left w:val="none" w:sz="0" w:space="0" w:color="auto"/>
        <w:bottom w:val="none" w:sz="0" w:space="0" w:color="auto"/>
        <w:right w:val="none" w:sz="0" w:space="0" w:color="auto"/>
      </w:divBdr>
    </w:div>
    <w:div w:id="463894782">
      <w:bodyDiv w:val="1"/>
      <w:marLeft w:val="0"/>
      <w:marRight w:val="0"/>
      <w:marTop w:val="0"/>
      <w:marBottom w:val="0"/>
      <w:divBdr>
        <w:top w:val="none" w:sz="0" w:space="0" w:color="auto"/>
        <w:left w:val="none" w:sz="0" w:space="0" w:color="auto"/>
        <w:bottom w:val="none" w:sz="0" w:space="0" w:color="auto"/>
        <w:right w:val="none" w:sz="0" w:space="0" w:color="auto"/>
      </w:divBdr>
    </w:div>
    <w:div w:id="467403756">
      <w:bodyDiv w:val="1"/>
      <w:marLeft w:val="0"/>
      <w:marRight w:val="0"/>
      <w:marTop w:val="0"/>
      <w:marBottom w:val="0"/>
      <w:divBdr>
        <w:top w:val="none" w:sz="0" w:space="0" w:color="auto"/>
        <w:left w:val="none" w:sz="0" w:space="0" w:color="auto"/>
        <w:bottom w:val="none" w:sz="0" w:space="0" w:color="auto"/>
        <w:right w:val="none" w:sz="0" w:space="0" w:color="auto"/>
      </w:divBdr>
    </w:div>
    <w:div w:id="501047440">
      <w:bodyDiv w:val="1"/>
      <w:marLeft w:val="0"/>
      <w:marRight w:val="0"/>
      <w:marTop w:val="0"/>
      <w:marBottom w:val="0"/>
      <w:divBdr>
        <w:top w:val="none" w:sz="0" w:space="0" w:color="auto"/>
        <w:left w:val="none" w:sz="0" w:space="0" w:color="auto"/>
        <w:bottom w:val="none" w:sz="0" w:space="0" w:color="auto"/>
        <w:right w:val="none" w:sz="0" w:space="0" w:color="auto"/>
      </w:divBdr>
    </w:div>
    <w:div w:id="504132598">
      <w:bodyDiv w:val="1"/>
      <w:marLeft w:val="0"/>
      <w:marRight w:val="0"/>
      <w:marTop w:val="0"/>
      <w:marBottom w:val="0"/>
      <w:divBdr>
        <w:top w:val="none" w:sz="0" w:space="0" w:color="auto"/>
        <w:left w:val="none" w:sz="0" w:space="0" w:color="auto"/>
        <w:bottom w:val="none" w:sz="0" w:space="0" w:color="auto"/>
        <w:right w:val="none" w:sz="0" w:space="0" w:color="auto"/>
      </w:divBdr>
    </w:div>
    <w:div w:id="511921642">
      <w:bodyDiv w:val="1"/>
      <w:marLeft w:val="0"/>
      <w:marRight w:val="0"/>
      <w:marTop w:val="0"/>
      <w:marBottom w:val="0"/>
      <w:divBdr>
        <w:top w:val="none" w:sz="0" w:space="0" w:color="auto"/>
        <w:left w:val="none" w:sz="0" w:space="0" w:color="auto"/>
        <w:bottom w:val="none" w:sz="0" w:space="0" w:color="auto"/>
        <w:right w:val="none" w:sz="0" w:space="0" w:color="auto"/>
      </w:divBdr>
    </w:div>
    <w:div w:id="527915984">
      <w:bodyDiv w:val="1"/>
      <w:marLeft w:val="0"/>
      <w:marRight w:val="0"/>
      <w:marTop w:val="0"/>
      <w:marBottom w:val="0"/>
      <w:divBdr>
        <w:top w:val="none" w:sz="0" w:space="0" w:color="auto"/>
        <w:left w:val="none" w:sz="0" w:space="0" w:color="auto"/>
        <w:bottom w:val="none" w:sz="0" w:space="0" w:color="auto"/>
        <w:right w:val="none" w:sz="0" w:space="0" w:color="auto"/>
      </w:divBdr>
    </w:div>
    <w:div w:id="570190480">
      <w:bodyDiv w:val="1"/>
      <w:marLeft w:val="0"/>
      <w:marRight w:val="0"/>
      <w:marTop w:val="0"/>
      <w:marBottom w:val="0"/>
      <w:divBdr>
        <w:top w:val="none" w:sz="0" w:space="0" w:color="auto"/>
        <w:left w:val="none" w:sz="0" w:space="0" w:color="auto"/>
        <w:bottom w:val="none" w:sz="0" w:space="0" w:color="auto"/>
        <w:right w:val="none" w:sz="0" w:space="0" w:color="auto"/>
      </w:divBdr>
    </w:div>
    <w:div w:id="575362031">
      <w:bodyDiv w:val="1"/>
      <w:marLeft w:val="0"/>
      <w:marRight w:val="0"/>
      <w:marTop w:val="0"/>
      <w:marBottom w:val="0"/>
      <w:divBdr>
        <w:top w:val="none" w:sz="0" w:space="0" w:color="auto"/>
        <w:left w:val="none" w:sz="0" w:space="0" w:color="auto"/>
        <w:bottom w:val="none" w:sz="0" w:space="0" w:color="auto"/>
        <w:right w:val="none" w:sz="0" w:space="0" w:color="auto"/>
      </w:divBdr>
    </w:div>
    <w:div w:id="594247087">
      <w:bodyDiv w:val="1"/>
      <w:marLeft w:val="0"/>
      <w:marRight w:val="0"/>
      <w:marTop w:val="0"/>
      <w:marBottom w:val="0"/>
      <w:divBdr>
        <w:top w:val="none" w:sz="0" w:space="0" w:color="auto"/>
        <w:left w:val="none" w:sz="0" w:space="0" w:color="auto"/>
        <w:bottom w:val="none" w:sz="0" w:space="0" w:color="auto"/>
        <w:right w:val="none" w:sz="0" w:space="0" w:color="auto"/>
      </w:divBdr>
    </w:div>
    <w:div w:id="599727059">
      <w:bodyDiv w:val="1"/>
      <w:marLeft w:val="0"/>
      <w:marRight w:val="0"/>
      <w:marTop w:val="0"/>
      <w:marBottom w:val="0"/>
      <w:divBdr>
        <w:top w:val="none" w:sz="0" w:space="0" w:color="auto"/>
        <w:left w:val="none" w:sz="0" w:space="0" w:color="auto"/>
        <w:bottom w:val="none" w:sz="0" w:space="0" w:color="auto"/>
        <w:right w:val="none" w:sz="0" w:space="0" w:color="auto"/>
      </w:divBdr>
    </w:div>
    <w:div w:id="618486340">
      <w:bodyDiv w:val="1"/>
      <w:marLeft w:val="0"/>
      <w:marRight w:val="0"/>
      <w:marTop w:val="0"/>
      <w:marBottom w:val="0"/>
      <w:divBdr>
        <w:top w:val="none" w:sz="0" w:space="0" w:color="auto"/>
        <w:left w:val="none" w:sz="0" w:space="0" w:color="auto"/>
        <w:bottom w:val="none" w:sz="0" w:space="0" w:color="auto"/>
        <w:right w:val="none" w:sz="0" w:space="0" w:color="auto"/>
      </w:divBdr>
      <w:divsChild>
        <w:div w:id="112335761">
          <w:marLeft w:val="0"/>
          <w:marRight w:val="0"/>
          <w:marTop w:val="0"/>
          <w:marBottom w:val="0"/>
          <w:divBdr>
            <w:top w:val="none" w:sz="0" w:space="0" w:color="auto"/>
            <w:left w:val="none" w:sz="0" w:space="0" w:color="auto"/>
            <w:bottom w:val="none" w:sz="0" w:space="0" w:color="auto"/>
            <w:right w:val="none" w:sz="0" w:space="0" w:color="auto"/>
          </w:divBdr>
        </w:div>
        <w:div w:id="514851833">
          <w:marLeft w:val="0"/>
          <w:marRight w:val="0"/>
          <w:marTop w:val="0"/>
          <w:marBottom w:val="0"/>
          <w:divBdr>
            <w:top w:val="none" w:sz="0" w:space="0" w:color="auto"/>
            <w:left w:val="none" w:sz="0" w:space="0" w:color="auto"/>
            <w:bottom w:val="none" w:sz="0" w:space="0" w:color="auto"/>
            <w:right w:val="none" w:sz="0" w:space="0" w:color="auto"/>
          </w:divBdr>
        </w:div>
        <w:div w:id="529220896">
          <w:marLeft w:val="0"/>
          <w:marRight w:val="0"/>
          <w:marTop w:val="0"/>
          <w:marBottom w:val="0"/>
          <w:divBdr>
            <w:top w:val="none" w:sz="0" w:space="0" w:color="auto"/>
            <w:left w:val="none" w:sz="0" w:space="0" w:color="auto"/>
            <w:bottom w:val="none" w:sz="0" w:space="0" w:color="auto"/>
            <w:right w:val="none" w:sz="0" w:space="0" w:color="auto"/>
          </w:divBdr>
        </w:div>
        <w:div w:id="610626864">
          <w:marLeft w:val="0"/>
          <w:marRight w:val="0"/>
          <w:marTop w:val="0"/>
          <w:marBottom w:val="0"/>
          <w:divBdr>
            <w:top w:val="none" w:sz="0" w:space="0" w:color="auto"/>
            <w:left w:val="none" w:sz="0" w:space="0" w:color="auto"/>
            <w:bottom w:val="none" w:sz="0" w:space="0" w:color="auto"/>
            <w:right w:val="none" w:sz="0" w:space="0" w:color="auto"/>
          </w:divBdr>
        </w:div>
        <w:div w:id="805970429">
          <w:marLeft w:val="0"/>
          <w:marRight w:val="0"/>
          <w:marTop w:val="0"/>
          <w:marBottom w:val="0"/>
          <w:divBdr>
            <w:top w:val="none" w:sz="0" w:space="0" w:color="auto"/>
            <w:left w:val="none" w:sz="0" w:space="0" w:color="auto"/>
            <w:bottom w:val="none" w:sz="0" w:space="0" w:color="auto"/>
            <w:right w:val="none" w:sz="0" w:space="0" w:color="auto"/>
          </w:divBdr>
        </w:div>
        <w:div w:id="1090931034">
          <w:marLeft w:val="0"/>
          <w:marRight w:val="0"/>
          <w:marTop w:val="0"/>
          <w:marBottom w:val="0"/>
          <w:divBdr>
            <w:top w:val="none" w:sz="0" w:space="0" w:color="auto"/>
            <w:left w:val="none" w:sz="0" w:space="0" w:color="auto"/>
            <w:bottom w:val="none" w:sz="0" w:space="0" w:color="auto"/>
            <w:right w:val="none" w:sz="0" w:space="0" w:color="auto"/>
          </w:divBdr>
        </w:div>
        <w:div w:id="1342119986">
          <w:marLeft w:val="0"/>
          <w:marRight w:val="0"/>
          <w:marTop w:val="0"/>
          <w:marBottom w:val="0"/>
          <w:divBdr>
            <w:top w:val="none" w:sz="0" w:space="0" w:color="auto"/>
            <w:left w:val="none" w:sz="0" w:space="0" w:color="auto"/>
            <w:bottom w:val="none" w:sz="0" w:space="0" w:color="auto"/>
            <w:right w:val="none" w:sz="0" w:space="0" w:color="auto"/>
          </w:divBdr>
        </w:div>
        <w:div w:id="1457526511">
          <w:marLeft w:val="0"/>
          <w:marRight w:val="0"/>
          <w:marTop w:val="0"/>
          <w:marBottom w:val="0"/>
          <w:divBdr>
            <w:top w:val="none" w:sz="0" w:space="0" w:color="auto"/>
            <w:left w:val="none" w:sz="0" w:space="0" w:color="auto"/>
            <w:bottom w:val="none" w:sz="0" w:space="0" w:color="auto"/>
            <w:right w:val="none" w:sz="0" w:space="0" w:color="auto"/>
          </w:divBdr>
        </w:div>
        <w:div w:id="1636328580">
          <w:marLeft w:val="0"/>
          <w:marRight w:val="0"/>
          <w:marTop w:val="0"/>
          <w:marBottom w:val="0"/>
          <w:divBdr>
            <w:top w:val="none" w:sz="0" w:space="0" w:color="auto"/>
            <w:left w:val="none" w:sz="0" w:space="0" w:color="auto"/>
            <w:bottom w:val="none" w:sz="0" w:space="0" w:color="auto"/>
            <w:right w:val="none" w:sz="0" w:space="0" w:color="auto"/>
          </w:divBdr>
        </w:div>
        <w:div w:id="1877693277">
          <w:marLeft w:val="0"/>
          <w:marRight w:val="0"/>
          <w:marTop w:val="0"/>
          <w:marBottom w:val="0"/>
          <w:divBdr>
            <w:top w:val="none" w:sz="0" w:space="0" w:color="auto"/>
            <w:left w:val="none" w:sz="0" w:space="0" w:color="auto"/>
            <w:bottom w:val="none" w:sz="0" w:space="0" w:color="auto"/>
            <w:right w:val="none" w:sz="0" w:space="0" w:color="auto"/>
          </w:divBdr>
        </w:div>
        <w:div w:id="1903711033">
          <w:marLeft w:val="0"/>
          <w:marRight w:val="0"/>
          <w:marTop w:val="0"/>
          <w:marBottom w:val="0"/>
          <w:divBdr>
            <w:top w:val="none" w:sz="0" w:space="0" w:color="auto"/>
            <w:left w:val="none" w:sz="0" w:space="0" w:color="auto"/>
            <w:bottom w:val="none" w:sz="0" w:space="0" w:color="auto"/>
            <w:right w:val="none" w:sz="0" w:space="0" w:color="auto"/>
          </w:divBdr>
        </w:div>
        <w:div w:id="2066952585">
          <w:marLeft w:val="0"/>
          <w:marRight w:val="0"/>
          <w:marTop w:val="0"/>
          <w:marBottom w:val="0"/>
          <w:divBdr>
            <w:top w:val="none" w:sz="0" w:space="0" w:color="auto"/>
            <w:left w:val="none" w:sz="0" w:space="0" w:color="auto"/>
            <w:bottom w:val="none" w:sz="0" w:space="0" w:color="auto"/>
            <w:right w:val="none" w:sz="0" w:space="0" w:color="auto"/>
          </w:divBdr>
        </w:div>
        <w:div w:id="2142192395">
          <w:marLeft w:val="0"/>
          <w:marRight w:val="0"/>
          <w:marTop w:val="0"/>
          <w:marBottom w:val="0"/>
          <w:divBdr>
            <w:top w:val="none" w:sz="0" w:space="0" w:color="auto"/>
            <w:left w:val="none" w:sz="0" w:space="0" w:color="auto"/>
            <w:bottom w:val="none" w:sz="0" w:space="0" w:color="auto"/>
            <w:right w:val="none" w:sz="0" w:space="0" w:color="auto"/>
          </w:divBdr>
        </w:div>
      </w:divsChild>
    </w:div>
    <w:div w:id="640040830">
      <w:bodyDiv w:val="1"/>
      <w:marLeft w:val="0"/>
      <w:marRight w:val="0"/>
      <w:marTop w:val="0"/>
      <w:marBottom w:val="0"/>
      <w:divBdr>
        <w:top w:val="none" w:sz="0" w:space="0" w:color="auto"/>
        <w:left w:val="none" w:sz="0" w:space="0" w:color="auto"/>
        <w:bottom w:val="none" w:sz="0" w:space="0" w:color="auto"/>
        <w:right w:val="none" w:sz="0" w:space="0" w:color="auto"/>
      </w:divBdr>
    </w:div>
    <w:div w:id="647319941">
      <w:bodyDiv w:val="1"/>
      <w:marLeft w:val="0"/>
      <w:marRight w:val="0"/>
      <w:marTop w:val="0"/>
      <w:marBottom w:val="0"/>
      <w:divBdr>
        <w:top w:val="none" w:sz="0" w:space="0" w:color="auto"/>
        <w:left w:val="none" w:sz="0" w:space="0" w:color="auto"/>
        <w:bottom w:val="none" w:sz="0" w:space="0" w:color="auto"/>
        <w:right w:val="none" w:sz="0" w:space="0" w:color="auto"/>
      </w:divBdr>
    </w:div>
    <w:div w:id="649483506">
      <w:bodyDiv w:val="1"/>
      <w:marLeft w:val="0"/>
      <w:marRight w:val="0"/>
      <w:marTop w:val="0"/>
      <w:marBottom w:val="0"/>
      <w:divBdr>
        <w:top w:val="none" w:sz="0" w:space="0" w:color="auto"/>
        <w:left w:val="none" w:sz="0" w:space="0" w:color="auto"/>
        <w:bottom w:val="none" w:sz="0" w:space="0" w:color="auto"/>
        <w:right w:val="none" w:sz="0" w:space="0" w:color="auto"/>
      </w:divBdr>
    </w:div>
    <w:div w:id="667438577">
      <w:bodyDiv w:val="1"/>
      <w:marLeft w:val="0"/>
      <w:marRight w:val="0"/>
      <w:marTop w:val="0"/>
      <w:marBottom w:val="0"/>
      <w:divBdr>
        <w:top w:val="none" w:sz="0" w:space="0" w:color="auto"/>
        <w:left w:val="none" w:sz="0" w:space="0" w:color="auto"/>
        <w:bottom w:val="none" w:sz="0" w:space="0" w:color="auto"/>
        <w:right w:val="none" w:sz="0" w:space="0" w:color="auto"/>
      </w:divBdr>
    </w:div>
    <w:div w:id="677585299">
      <w:bodyDiv w:val="1"/>
      <w:marLeft w:val="0"/>
      <w:marRight w:val="0"/>
      <w:marTop w:val="0"/>
      <w:marBottom w:val="0"/>
      <w:divBdr>
        <w:top w:val="none" w:sz="0" w:space="0" w:color="auto"/>
        <w:left w:val="none" w:sz="0" w:space="0" w:color="auto"/>
        <w:bottom w:val="none" w:sz="0" w:space="0" w:color="auto"/>
        <w:right w:val="none" w:sz="0" w:space="0" w:color="auto"/>
      </w:divBdr>
    </w:div>
    <w:div w:id="690955967">
      <w:bodyDiv w:val="1"/>
      <w:marLeft w:val="0"/>
      <w:marRight w:val="0"/>
      <w:marTop w:val="0"/>
      <w:marBottom w:val="0"/>
      <w:divBdr>
        <w:top w:val="none" w:sz="0" w:space="0" w:color="auto"/>
        <w:left w:val="none" w:sz="0" w:space="0" w:color="auto"/>
        <w:bottom w:val="none" w:sz="0" w:space="0" w:color="auto"/>
        <w:right w:val="none" w:sz="0" w:space="0" w:color="auto"/>
      </w:divBdr>
    </w:div>
    <w:div w:id="695539606">
      <w:bodyDiv w:val="1"/>
      <w:marLeft w:val="0"/>
      <w:marRight w:val="0"/>
      <w:marTop w:val="0"/>
      <w:marBottom w:val="0"/>
      <w:divBdr>
        <w:top w:val="none" w:sz="0" w:space="0" w:color="auto"/>
        <w:left w:val="none" w:sz="0" w:space="0" w:color="auto"/>
        <w:bottom w:val="none" w:sz="0" w:space="0" w:color="auto"/>
        <w:right w:val="none" w:sz="0" w:space="0" w:color="auto"/>
      </w:divBdr>
    </w:div>
    <w:div w:id="727801532">
      <w:bodyDiv w:val="1"/>
      <w:marLeft w:val="0"/>
      <w:marRight w:val="0"/>
      <w:marTop w:val="0"/>
      <w:marBottom w:val="0"/>
      <w:divBdr>
        <w:top w:val="none" w:sz="0" w:space="0" w:color="auto"/>
        <w:left w:val="none" w:sz="0" w:space="0" w:color="auto"/>
        <w:bottom w:val="none" w:sz="0" w:space="0" w:color="auto"/>
        <w:right w:val="none" w:sz="0" w:space="0" w:color="auto"/>
      </w:divBdr>
    </w:div>
    <w:div w:id="736981284">
      <w:bodyDiv w:val="1"/>
      <w:marLeft w:val="0"/>
      <w:marRight w:val="0"/>
      <w:marTop w:val="0"/>
      <w:marBottom w:val="0"/>
      <w:divBdr>
        <w:top w:val="none" w:sz="0" w:space="0" w:color="auto"/>
        <w:left w:val="none" w:sz="0" w:space="0" w:color="auto"/>
        <w:bottom w:val="none" w:sz="0" w:space="0" w:color="auto"/>
        <w:right w:val="none" w:sz="0" w:space="0" w:color="auto"/>
      </w:divBdr>
    </w:div>
    <w:div w:id="741833992">
      <w:bodyDiv w:val="1"/>
      <w:marLeft w:val="0"/>
      <w:marRight w:val="0"/>
      <w:marTop w:val="0"/>
      <w:marBottom w:val="0"/>
      <w:divBdr>
        <w:top w:val="none" w:sz="0" w:space="0" w:color="auto"/>
        <w:left w:val="none" w:sz="0" w:space="0" w:color="auto"/>
        <w:bottom w:val="none" w:sz="0" w:space="0" w:color="auto"/>
        <w:right w:val="none" w:sz="0" w:space="0" w:color="auto"/>
      </w:divBdr>
    </w:div>
    <w:div w:id="750859203">
      <w:bodyDiv w:val="1"/>
      <w:marLeft w:val="0"/>
      <w:marRight w:val="0"/>
      <w:marTop w:val="0"/>
      <w:marBottom w:val="0"/>
      <w:divBdr>
        <w:top w:val="none" w:sz="0" w:space="0" w:color="auto"/>
        <w:left w:val="none" w:sz="0" w:space="0" w:color="auto"/>
        <w:bottom w:val="none" w:sz="0" w:space="0" w:color="auto"/>
        <w:right w:val="none" w:sz="0" w:space="0" w:color="auto"/>
      </w:divBdr>
    </w:div>
    <w:div w:id="756362572">
      <w:bodyDiv w:val="1"/>
      <w:marLeft w:val="0"/>
      <w:marRight w:val="0"/>
      <w:marTop w:val="0"/>
      <w:marBottom w:val="0"/>
      <w:divBdr>
        <w:top w:val="none" w:sz="0" w:space="0" w:color="auto"/>
        <w:left w:val="none" w:sz="0" w:space="0" w:color="auto"/>
        <w:bottom w:val="none" w:sz="0" w:space="0" w:color="auto"/>
        <w:right w:val="none" w:sz="0" w:space="0" w:color="auto"/>
      </w:divBdr>
    </w:div>
    <w:div w:id="770858565">
      <w:bodyDiv w:val="1"/>
      <w:marLeft w:val="0"/>
      <w:marRight w:val="0"/>
      <w:marTop w:val="0"/>
      <w:marBottom w:val="0"/>
      <w:divBdr>
        <w:top w:val="none" w:sz="0" w:space="0" w:color="auto"/>
        <w:left w:val="none" w:sz="0" w:space="0" w:color="auto"/>
        <w:bottom w:val="none" w:sz="0" w:space="0" w:color="auto"/>
        <w:right w:val="none" w:sz="0" w:space="0" w:color="auto"/>
      </w:divBdr>
    </w:div>
    <w:div w:id="790243684">
      <w:bodyDiv w:val="1"/>
      <w:marLeft w:val="0"/>
      <w:marRight w:val="0"/>
      <w:marTop w:val="0"/>
      <w:marBottom w:val="0"/>
      <w:divBdr>
        <w:top w:val="none" w:sz="0" w:space="0" w:color="auto"/>
        <w:left w:val="none" w:sz="0" w:space="0" w:color="auto"/>
        <w:bottom w:val="none" w:sz="0" w:space="0" w:color="auto"/>
        <w:right w:val="none" w:sz="0" w:space="0" w:color="auto"/>
      </w:divBdr>
    </w:div>
    <w:div w:id="812647482">
      <w:bodyDiv w:val="1"/>
      <w:marLeft w:val="0"/>
      <w:marRight w:val="0"/>
      <w:marTop w:val="0"/>
      <w:marBottom w:val="0"/>
      <w:divBdr>
        <w:top w:val="none" w:sz="0" w:space="0" w:color="auto"/>
        <w:left w:val="none" w:sz="0" w:space="0" w:color="auto"/>
        <w:bottom w:val="none" w:sz="0" w:space="0" w:color="auto"/>
        <w:right w:val="none" w:sz="0" w:space="0" w:color="auto"/>
      </w:divBdr>
    </w:div>
    <w:div w:id="908811641">
      <w:bodyDiv w:val="1"/>
      <w:marLeft w:val="0"/>
      <w:marRight w:val="0"/>
      <w:marTop w:val="0"/>
      <w:marBottom w:val="0"/>
      <w:divBdr>
        <w:top w:val="none" w:sz="0" w:space="0" w:color="auto"/>
        <w:left w:val="none" w:sz="0" w:space="0" w:color="auto"/>
        <w:bottom w:val="none" w:sz="0" w:space="0" w:color="auto"/>
        <w:right w:val="none" w:sz="0" w:space="0" w:color="auto"/>
      </w:divBdr>
    </w:div>
    <w:div w:id="909198503">
      <w:bodyDiv w:val="1"/>
      <w:marLeft w:val="0"/>
      <w:marRight w:val="0"/>
      <w:marTop w:val="0"/>
      <w:marBottom w:val="0"/>
      <w:divBdr>
        <w:top w:val="none" w:sz="0" w:space="0" w:color="auto"/>
        <w:left w:val="none" w:sz="0" w:space="0" w:color="auto"/>
        <w:bottom w:val="none" w:sz="0" w:space="0" w:color="auto"/>
        <w:right w:val="none" w:sz="0" w:space="0" w:color="auto"/>
      </w:divBdr>
      <w:divsChild>
        <w:div w:id="165754690">
          <w:marLeft w:val="0"/>
          <w:marRight w:val="0"/>
          <w:marTop w:val="0"/>
          <w:marBottom w:val="0"/>
          <w:divBdr>
            <w:top w:val="none" w:sz="0" w:space="0" w:color="auto"/>
            <w:left w:val="none" w:sz="0" w:space="0" w:color="auto"/>
            <w:bottom w:val="none" w:sz="0" w:space="0" w:color="auto"/>
            <w:right w:val="none" w:sz="0" w:space="0" w:color="auto"/>
          </w:divBdr>
        </w:div>
        <w:div w:id="194345603">
          <w:marLeft w:val="0"/>
          <w:marRight w:val="0"/>
          <w:marTop w:val="0"/>
          <w:marBottom w:val="0"/>
          <w:divBdr>
            <w:top w:val="none" w:sz="0" w:space="0" w:color="auto"/>
            <w:left w:val="none" w:sz="0" w:space="0" w:color="auto"/>
            <w:bottom w:val="none" w:sz="0" w:space="0" w:color="auto"/>
            <w:right w:val="none" w:sz="0" w:space="0" w:color="auto"/>
          </w:divBdr>
        </w:div>
        <w:div w:id="196048452">
          <w:marLeft w:val="0"/>
          <w:marRight w:val="0"/>
          <w:marTop w:val="0"/>
          <w:marBottom w:val="0"/>
          <w:divBdr>
            <w:top w:val="none" w:sz="0" w:space="0" w:color="auto"/>
            <w:left w:val="none" w:sz="0" w:space="0" w:color="auto"/>
            <w:bottom w:val="none" w:sz="0" w:space="0" w:color="auto"/>
            <w:right w:val="none" w:sz="0" w:space="0" w:color="auto"/>
          </w:divBdr>
        </w:div>
        <w:div w:id="261305701">
          <w:marLeft w:val="0"/>
          <w:marRight w:val="0"/>
          <w:marTop w:val="0"/>
          <w:marBottom w:val="0"/>
          <w:divBdr>
            <w:top w:val="none" w:sz="0" w:space="0" w:color="auto"/>
            <w:left w:val="none" w:sz="0" w:space="0" w:color="auto"/>
            <w:bottom w:val="none" w:sz="0" w:space="0" w:color="auto"/>
            <w:right w:val="none" w:sz="0" w:space="0" w:color="auto"/>
          </w:divBdr>
        </w:div>
        <w:div w:id="301235947">
          <w:marLeft w:val="0"/>
          <w:marRight w:val="0"/>
          <w:marTop w:val="0"/>
          <w:marBottom w:val="0"/>
          <w:divBdr>
            <w:top w:val="none" w:sz="0" w:space="0" w:color="auto"/>
            <w:left w:val="none" w:sz="0" w:space="0" w:color="auto"/>
            <w:bottom w:val="none" w:sz="0" w:space="0" w:color="auto"/>
            <w:right w:val="none" w:sz="0" w:space="0" w:color="auto"/>
          </w:divBdr>
        </w:div>
        <w:div w:id="548688013">
          <w:marLeft w:val="0"/>
          <w:marRight w:val="0"/>
          <w:marTop w:val="0"/>
          <w:marBottom w:val="0"/>
          <w:divBdr>
            <w:top w:val="none" w:sz="0" w:space="0" w:color="auto"/>
            <w:left w:val="none" w:sz="0" w:space="0" w:color="auto"/>
            <w:bottom w:val="none" w:sz="0" w:space="0" w:color="auto"/>
            <w:right w:val="none" w:sz="0" w:space="0" w:color="auto"/>
          </w:divBdr>
        </w:div>
        <w:div w:id="650788062">
          <w:marLeft w:val="0"/>
          <w:marRight w:val="0"/>
          <w:marTop w:val="0"/>
          <w:marBottom w:val="0"/>
          <w:divBdr>
            <w:top w:val="none" w:sz="0" w:space="0" w:color="auto"/>
            <w:left w:val="none" w:sz="0" w:space="0" w:color="auto"/>
            <w:bottom w:val="none" w:sz="0" w:space="0" w:color="auto"/>
            <w:right w:val="none" w:sz="0" w:space="0" w:color="auto"/>
          </w:divBdr>
        </w:div>
        <w:div w:id="888221220">
          <w:marLeft w:val="0"/>
          <w:marRight w:val="0"/>
          <w:marTop w:val="0"/>
          <w:marBottom w:val="0"/>
          <w:divBdr>
            <w:top w:val="none" w:sz="0" w:space="0" w:color="auto"/>
            <w:left w:val="none" w:sz="0" w:space="0" w:color="auto"/>
            <w:bottom w:val="none" w:sz="0" w:space="0" w:color="auto"/>
            <w:right w:val="none" w:sz="0" w:space="0" w:color="auto"/>
          </w:divBdr>
        </w:div>
        <w:div w:id="950015518">
          <w:marLeft w:val="0"/>
          <w:marRight w:val="0"/>
          <w:marTop w:val="0"/>
          <w:marBottom w:val="0"/>
          <w:divBdr>
            <w:top w:val="none" w:sz="0" w:space="0" w:color="auto"/>
            <w:left w:val="none" w:sz="0" w:space="0" w:color="auto"/>
            <w:bottom w:val="none" w:sz="0" w:space="0" w:color="auto"/>
            <w:right w:val="none" w:sz="0" w:space="0" w:color="auto"/>
          </w:divBdr>
        </w:div>
        <w:div w:id="976568605">
          <w:marLeft w:val="0"/>
          <w:marRight w:val="0"/>
          <w:marTop w:val="0"/>
          <w:marBottom w:val="0"/>
          <w:divBdr>
            <w:top w:val="none" w:sz="0" w:space="0" w:color="auto"/>
            <w:left w:val="none" w:sz="0" w:space="0" w:color="auto"/>
            <w:bottom w:val="none" w:sz="0" w:space="0" w:color="auto"/>
            <w:right w:val="none" w:sz="0" w:space="0" w:color="auto"/>
          </w:divBdr>
        </w:div>
        <w:div w:id="1224178443">
          <w:marLeft w:val="0"/>
          <w:marRight w:val="0"/>
          <w:marTop w:val="0"/>
          <w:marBottom w:val="0"/>
          <w:divBdr>
            <w:top w:val="none" w:sz="0" w:space="0" w:color="auto"/>
            <w:left w:val="none" w:sz="0" w:space="0" w:color="auto"/>
            <w:bottom w:val="none" w:sz="0" w:space="0" w:color="auto"/>
            <w:right w:val="none" w:sz="0" w:space="0" w:color="auto"/>
          </w:divBdr>
        </w:div>
        <w:div w:id="1557933601">
          <w:marLeft w:val="0"/>
          <w:marRight w:val="0"/>
          <w:marTop w:val="0"/>
          <w:marBottom w:val="0"/>
          <w:divBdr>
            <w:top w:val="none" w:sz="0" w:space="0" w:color="auto"/>
            <w:left w:val="none" w:sz="0" w:space="0" w:color="auto"/>
            <w:bottom w:val="none" w:sz="0" w:space="0" w:color="auto"/>
            <w:right w:val="none" w:sz="0" w:space="0" w:color="auto"/>
          </w:divBdr>
        </w:div>
        <w:div w:id="1793673199">
          <w:marLeft w:val="0"/>
          <w:marRight w:val="0"/>
          <w:marTop w:val="0"/>
          <w:marBottom w:val="0"/>
          <w:divBdr>
            <w:top w:val="none" w:sz="0" w:space="0" w:color="auto"/>
            <w:left w:val="none" w:sz="0" w:space="0" w:color="auto"/>
            <w:bottom w:val="none" w:sz="0" w:space="0" w:color="auto"/>
            <w:right w:val="none" w:sz="0" w:space="0" w:color="auto"/>
          </w:divBdr>
        </w:div>
      </w:divsChild>
    </w:div>
    <w:div w:id="937300412">
      <w:bodyDiv w:val="1"/>
      <w:marLeft w:val="0"/>
      <w:marRight w:val="0"/>
      <w:marTop w:val="0"/>
      <w:marBottom w:val="0"/>
      <w:divBdr>
        <w:top w:val="none" w:sz="0" w:space="0" w:color="auto"/>
        <w:left w:val="none" w:sz="0" w:space="0" w:color="auto"/>
        <w:bottom w:val="none" w:sz="0" w:space="0" w:color="auto"/>
        <w:right w:val="none" w:sz="0" w:space="0" w:color="auto"/>
      </w:divBdr>
    </w:div>
    <w:div w:id="939991463">
      <w:bodyDiv w:val="1"/>
      <w:marLeft w:val="0"/>
      <w:marRight w:val="0"/>
      <w:marTop w:val="0"/>
      <w:marBottom w:val="0"/>
      <w:divBdr>
        <w:top w:val="none" w:sz="0" w:space="0" w:color="auto"/>
        <w:left w:val="none" w:sz="0" w:space="0" w:color="auto"/>
        <w:bottom w:val="none" w:sz="0" w:space="0" w:color="auto"/>
        <w:right w:val="none" w:sz="0" w:space="0" w:color="auto"/>
      </w:divBdr>
    </w:div>
    <w:div w:id="951134484">
      <w:bodyDiv w:val="1"/>
      <w:marLeft w:val="0"/>
      <w:marRight w:val="0"/>
      <w:marTop w:val="0"/>
      <w:marBottom w:val="0"/>
      <w:divBdr>
        <w:top w:val="none" w:sz="0" w:space="0" w:color="auto"/>
        <w:left w:val="none" w:sz="0" w:space="0" w:color="auto"/>
        <w:bottom w:val="none" w:sz="0" w:space="0" w:color="auto"/>
        <w:right w:val="none" w:sz="0" w:space="0" w:color="auto"/>
      </w:divBdr>
    </w:div>
    <w:div w:id="975841913">
      <w:bodyDiv w:val="1"/>
      <w:marLeft w:val="0"/>
      <w:marRight w:val="0"/>
      <w:marTop w:val="0"/>
      <w:marBottom w:val="0"/>
      <w:divBdr>
        <w:top w:val="none" w:sz="0" w:space="0" w:color="auto"/>
        <w:left w:val="none" w:sz="0" w:space="0" w:color="auto"/>
        <w:bottom w:val="none" w:sz="0" w:space="0" w:color="auto"/>
        <w:right w:val="none" w:sz="0" w:space="0" w:color="auto"/>
      </w:divBdr>
    </w:div>
    <w:div w:id="976953329">
      <w:bodyDiv w:val="1"/>
      <w:marLeft w:val="0"/>
      <w:marRight w:val="0"/>
      <w:marTop w:val="0"/>
      <w:marBottom w:val="0"/>
      <w:divBdr>
        <w:top w:val="none" w:sz="0" w:space="0" w:color="auto"/>
        <w:left w:val="none" w:sz="0" w:space="0" w:color="auto"/>
        <w:bottom w:val="none" w:sz="0" w:space="0" w:color="auto"/>
        <w:right w:val="none" w:sz="0" w:space="0" w:color="auto"/>
      </w:divBdr>
    </w:div>
    <w:div w:id="984773006">
      <w:bodyDiv w:val="1"/>
      <w:marLeft w:val="0"/>
      <w:marRight w:val="0"/>
      <w:marTop w:val="0"/>
      <w:marBottom w:val="0"/>
      <w:divBdr>
        <w:top w:val="none" w:sz="0" w:space="0" w:color="auto"/>
        <w:left w:val="none" w:sz="0" w:space="0" w:color="auto"/>
        <w:bottom w:val="none" w:sz="0" w:space="0" w:color="auto"/>
        <w:right w:val="none" w:sz="0" w:space="0" w:color="auto"/>
      </w:divBdr>
    </w:div>
    <w:div w:id="989284490">
      <w:bodyDiv w:val="1"/>
      <w:marLeft w:val="0"/>
      <w:marRight w:val="0"/>
      <w:marTop w:val="0"/>
      <w:marBottom w:val="0"/>
      <w:divBdr>
        <w:top w:val="none" w:sz="0" w:space="0" w:color="auto"/>
        <w:left w:val="none" w:sz="0" w:space="0" w:color="auto"/>
        <w:bottom w:val="none" w:sz="0" w:space="0" w:color="auto"/>
        <w:right w:val="none" w:sz="0" w:space="0" w:color="auto"/>
      </w:divBdr>
    </w:div>
    <w:div w:id="1010374158">
      <w:bodyDiv w:val="1"/>
      <w:marLeft w:val="0"/>
      <w:marRight w:val="0"/>
      <w:marTop w:val="0"/>
      <w:marBottom w:val="0"/>
      <w:divBdr>
        <w:top w:val="none" w:sz="0" w:space="0" w:color="auto"/>
        <w:left w:val="none" w:sz="0" w:space="0" w:color="auto"/>
        <w:bottom w:val="none" w:sz="0" w:space="0" w:color="auto"/>
        <w:right w:val="none" w:sz="0" w:space="0" w:color="auto"/>
      </w:divBdr>
    </w:div>
    <w:div w:id="1020550209">
      <w:bodyDiv w:val="1"/>
      <w:marLeft w:val="0"/>
      <w:marRight w:val="0"/>
      <w:marTop w:val="0"/>
      <w:marBottom w:val="0"/>
      <w:divBdr>
        <w:top w:val="none" w:sz="0" w:space="0" w:color="auto"/>
        <w:left w:val="none" w:sz="0" w:space="0" w:color="auto"/>
        <w:bottom w:val="none" w:sz="0" w:space="0" w:color="auto"/>
        <w:right w:val="none" w:sz="0" w:space="0" w:color="auto"/>
      </w:divBdr>
    </w:div>
    <w:div w:id="1030111092">
      <w:bodyDiv w:val="1"/>
      <w:marLeft w:val="0"/>
      <w:marRight w:val="0"/>
      <w:marTop w:val="0"/>
      <w:marBottom w:val="0"/>
      <w:divBdr>
        <w:top w:val="none" w:sz="0" w:space="0" w:color="auto"/>
        <w:left w:val="none" w:sz="0" w:space="0" w:color="auto"/>
        <w:bottom w:val="none" w:sz="0" w:space="0" w:color="auto"/>
        <w:right w:val="none" w:sz="0" w:space="0" w:color="auto"/>
      </w:divBdr>
    </w:div>
    <w:div w:id="1068308828">
      <w:bodyDiv w:val="1"/>
      <w:marLeft w:val="0"/>
      <w:marRight w:val="0"/>
      <w:marTop w:val="0"/>
      <w:marBottom w:val="0"/>
      <w:divBdr>
        <w:top w:val="none" w:sz="0" w:space="0" w:color="auto"/>
        <w:left w:val="none" w:sz="0" w:space="0" w:color="auto"/>
        <w:bottom w:val="none" w:sz="0" w:space="0" w:color="auto"/>
        <w:right w:val="none" w:sz="0" w:space="0" w:color="auto"/>
      </w:divBdr>
    </w:div>
    <w:div w:id="1110049971">
      <w:bodyDiv w:val="1"/>
      <w:marLeft w:val="0"/>
      <w:marRight w:val="0"/>
      <w:marTop w:val="0"/>
      <w:marBottom w:val="0"/>
      <w:divBdr>
        <w:top w:val="none" w:sz="0" w:space="0" w:color="auto"/>
        <w:left w:val="none" w:sz="0" w:space="0" w:color="auto"/>
        <w:bottom w:val="none" w:sz="0" w:space="0" w:color="auto"/>
        <w:right w:val="none" w:sz="0" w:space="0" w:color="auto"/>
      </w:divBdr>
    </w:div>
    <w:div w:id="1117259055">
      <w:bodyDiv w:val="1"/>
      <w:marLeft w:val="0"/>
      <w:marRight w:val="0"/>
      <w:marTop w:val="0"/>
      <w:marBottom w:val="0"/>
      <w:divBdr>
        <w:top w:val="none" w:sz="0" w:space="0" w:color="auto"/>
        <w:left w:val="none" w:sz="0" w:space="0" w:color="auto"/>
        <w:bottom w:val="none" w:sz="0" w:space="0" w:color="auto"/>
        <w:right w:val="none" w:sz="0" w:space="0" w:color="auto"/>
      </w:divBdr>
    </w:div>
    <w:div w:id="1128163973">
      <w:bodyDiv w:val="1"/>
      <w:marLeft w:val="0"/>
      <w:marRight w:val="0"/>
      <w:marTop w:val="0"/>
      <w:marBottom w:val="0"/>
      <w:divBdr>
        <w:top w:val="none" w:sz="0" w:space="0" w:color="auto"/>
        <w:left w:val="none" w:sz="0" w:space="0" w:color="auto"/>
        <w:bottom w:val="none" w:sz="0" w:space="0" w:color="auto"/>
        <w:right w:val="none" w:sz="0" w:space="0" w:color="auto"/>
      </w:divBdr>
    </w:div>
    <w:div w:id="1132671845">
      <w:bodyDiv w:val="1"/>
      <w:marLeft w:val="0"/>
      <w:marRight w:val="0"/>
      <w:marTop w:val="0"/>
      <w:marBottom w:val="0"/>
      <w:divBdr>
        <w:top w:val="none" w:sz="0" w:space="0" w:color="auto"/>
        <w:left w:val="none" w:sz="0" w:space="0" w:color="auto"/>
        <w:bottom w:val="none" w:sz="0" w:space="0" w:color="auto"/>
        <w:right w:val="none" w:sz="0" w:space="0" w:color="auto"/>
      </w:divBdr>
    </w:div>
    <w:div w:id="1149790657">
      <w:bodyDiv w:val="1"/>
      <w:marLeft w:val="0"/>
      <w:marRight w:val="0"/>
      <w:marTop w:val="0"/>
      <w:marBottom w:val="0"/>
      <w:divBdr>
        <w:top w:val="none" w:sz="0" w:space="0" w:color="auto"/>
        <w:left w:val="none" w:sz="0" w:space="0" w:color="auto"/>
        <w:bottom w:val="none" w:sz="0" w:space="0" w:color="auto"/>
        <w:right w:val="none" w:sz="0" w:space="0" w:color="auto"/>
      </w:divBdr>
    </w:div>
    <w:div w:id="1161626156">
      <w:bodyDiv w:val="1"/>
      <w:marLeft w:val="0"/>
      <w:marRight w:val="0"/>
      <w:marTop w:val="0"/>
      <w:marBottom w:val="0"/>
      <w:divBdr>
        <w:top w:val="none" w:sz="0" w:space="0" w:color="auto"/>
        <w:left w:val="none" w:sz="0" w:space="0" w:color="auto"/>
        <w:bottom w:val="none" w:sz="0" w:space="0" w:color="auto"/>
        <w:right w:val="none" w:sz="0" w:space="0" w:color="auto"/>
      </w:divBdr>
    </w:div>
    <w:div w:id="1163084473">
      <w:bodyDiv w:val="1"/>
      <w:marLeft w:val="0"/>
      <w:marRight w:val="0"/>
      <w:marTop w:val="0"/>
      <w:marBottom w:val="0"/>
      <w:divBdr>
        <w:top w:val="none" w:sz="0" w:space="0" w:color="auto"/>
        <w:left w:val="none" w:sz="0" w:space="0" w:color="auto"/>
        <w:bottom w:val="none" w:sz="0" w:space="0" w:color="auto"/>
        <w:right w:val="none" w:sz="0" w:space="0" w:color="auto"/>
      </w:divBdr>
    </w:div>
    <w:div w:id="1186215616">
      <w:bodyDiv w:val="1"/>
      <w:marLeft w:val="0"/>
      <w:marRight w:val="0"/>
      <w:marTop w:val="0"/>
      <w:marBottom w:val="0"/>
      <w:divBdr>
        <w:top w:val="none" w:sz="0" w:space="0" w:color="auto"/>
        <w:left w:val="none" w:sz="0" w:space="0" w:color="auto"/>
        <w:bottom w:val="none" w:sz="0" w:space="0" w:color="auto"/>
        <w:right w:val="none" w:sz="0" w:space="0" w:color="auto"/>
      </w:divBdr>
    </w:div>
    <w:div w:id="1198422947">
      <w:bodyDiv w:val="1"/>
      <w:marLeft w:val="0"/>
      <w:marRight w:val="0"/>
      <w:marTop w:val="0"/>
      <w:marBottom w:val="0"/>
      <w:divBdr>
        <w:top w:val="none" w:sz="0" w:space="0" w:color="auto"/>
        <w:left w:val="none" w:sz="0" w:space="0" w:color="auto"/>
        <w:bottom w:val="none" w:sz="0" w:space="0" w:color="auto"/>
        <w:right w:val="none" w:sz="0" w:space="0" w:color="auto"/>
      </w:divBdr>
    </w:div>
    <w:div w:id="1208179231">
      <w:bodyDiv w:val="1"/>
      <w:marLeft w:val="0"/>
      <w:marRight w:val="0"/>
      <w:marTop w:val="0"/>
      <w:marBottom w:val="0"/>
      <w:divBdr>
        <w:top w:val="none" w:sz="0" w:space="0" w:color="auto"/>
        <w:left w:val="none" w:sz="0" w:space="0" w:color="auto"/>
        <w:bottom w:val="none" w:sz="0" w:space="0" w:color="auto"/>
        <w:right w:val="none" w:sz="0" w:space="0" w:color="auto"/>
      </w:divBdr>
    </w:div>
    <w:div w:id="1212577180">
      <w:bodyDiv w:val="1"/>
      <w:marLeft w:val="0"/>
      <w:marRight w:val="0"/>
      <w:marTop w:val="0"/>
      <w:marBottom w:val="0"/>
      <w:divBdr>
        <w:top w:val="none" w:sz="0" w:space="0" w:color="auto"/>
        <w:left w:val="none" w:sz="0" w:space="0" w:color="auto"/>
        <w:bottom w:val="none" w:sz="0" w:space="0" w:color="auto"/>
        <w:right w:val="none" w:sz="0" w:space="0" w:color="auto"/>
      </w:divBdr>
    </w:div>
    <w:div w:id="1234466415">
      <w:bodyDiv w:val="1"/>
      <w:marLeft w:val="0"/>
      <w:marRight w:val="0"/>
      <w:marTop w:val="0"/>
      <w:marBottom w:val="0"/>
      <w:divBdr>
        <w:top w:val="none" w:sz="0" w:space="0" w:color="auto"/>
        <w:left w:val="none" w:sz="0" w:space="0" w:color="auto"/>
        <w:bottom w:val="none" w:sz="0" w:space="0" w:color="auto"/>
        <w:right w:val="none" w:sz="0" w:space="0" w:color="auto"/>
      </w:divBdr>
    </w:div>
    <w:div w:id="1287933066">
      <w:bodyDiv w:val="1"/>
      <w:marLeft w:val="0"/>
      <w:marRight w:val="0"/>
      <w:marTop w:val="0"/>
      <w:marBottom w:val="0"/>
      <w:divBdr>
        <w:top w:val="none" w:sz="0" w:space="0" w:color="auto"/>
        <w:left w:val="none" w:sz="0" w:space="0" w:color="auto"/>
        <w:bottom w:val="none" w:sz="0" w:space="0" w:color="auto"/>
        <w:right w:val="none" w:sz="0" w:space="0" w:color="auto"/>
      </w:divBdr>
    </w:div>
    <w:div w:id="1291404101">
      <w:bodyDiv w:val="1"/>
      <w:marLeft w:val="0"/>
      <w:marRight w:val="0"/>
      <w:marTop w:val="0"/>
      <w:marBottom w:val="0"/>
      <w:divBdr>
        <w:top w:val="none" w:sz="0" w:space="0" w:color="auto"/>
        <w:left w:val="none" w:sz="0" w:space="0" w:color="auto"/>
        <w:bottom w:val="none" w:sz="0" w:space="0" w:color="auto"/>
        <w:right w:val="none" w:sz="0" w:space="0" w:color="auto"/>
      </w:divBdr>
    </w:div>
    <w:div w:id="1294602837">
      <w:bodyDiv w:val="1"/>
      <w:marLeft w:val="0"/>
      <w:marRight w:val="0"/>
      <w:marTop w:val="0"/>
      <w:marBottom w:val="0"/>
      <w:divBdr>
        <w:top w:val="none" w:sz="0" w:space="0" w:color="auto"/>
        <w:left w:val="none" w:sz="0" w:space="0" w:color="auto"/>
        <w:bottom w:val="none" w:sz="0" w:space="0" w:color="auto"/>
        <w:right w:val="none" w:sz="0" w:space="0" w:color="auto"/>
      </w:divBdr>
      <w:divsChild>
        <w:div w:id="135295546">
          <w:marLeft w:val="576"/>
          <w:marRight w:val="0"/>
          <w:marTop w:val="80"/>
          <w:marBottom w:val="0"/>
          <w:divBdr>
            <w:top w:val="none" w:sz="0" w:space="0" w:color="auto"/>
            <w:left w:val="none" w:sz="0" w:space="0" w:color="auto"/>
            <w:bottom w:val="none" w:sz="0" w:space="0" w:color="auto"/>
            <w:right w:val="none" w:sz="0" w:space="0" w:color="auto"/>
          </w:divBdr>
        </w:div>
      </w:divsChild>
    </w:div>
    <w:div w:id="1296982787">
      <w:bodyDiv w:val="1"/>
      <w:marLeft w:val="0"/>
      <w:marRight w:val="0"/>
      <w:marTop w:val="0"/>
      <w:marBottom w:val="0"/>
      <w:divBdr>
        <w:top w:val="none" w:sz="0" w:space="0" w:color="auto"/>
        <w:left w:val="none" w:sz="0" w:space="0" w:color="auto"/>
        <w:bottom w:val="none" w:sz="0" w:space="0" w:color="auto"/>
        <w:right w:val="none" w:sz="0" w:space="0" w:color="auto"/>
      </w:divBdr>
    </w:div>
    <w:div w:id="1299913500">
      <w:bodyDiv w:val="1"/>
      <w:marLeft w:val="0"/>
      <w:marRight w:val="0"/>
      <w:marTop w:val="0"/>
      <w:marBottom w:val="0"/>
      <w:divBdr>
        <w:top w:val="none" w:sz="0" w:space="0" w:color="auto"/>
        <w:left w:val="none" w:sz="0" w:space="0" w:color="auto"/>
        <w:bottom w:val="none" w:sz="0" w:space="0" w:color="auto"/>
        <w:right w:val="none" w:sz="0" w:space="0" w:color="auto"/>
      </w:divBdr>
    </w:div>
    <w:div w:id="1307853032">
      <w:bodyDiv w:val="1"/>
      <w:marLeft w:val="0"/>
      <w:marRight w:val="0"/>
      <w:marTop w:val="0"/>
      <w:marBottom w:val="0"/>
      <w:divBdr>
        <w:top w:val="none" w:sz="0" w:space="0" w:color="auto"/>
        <w:left w:val="none" w:sz="0" w:space="0" w:color="auto"/>
        <w:bottom w:val="none" w:sz="0" w:space="0" w:color="auto"/>
        <w:right w:val="none" w:sz="0" w:space="0" w:color="auto"/>
      </w:divBdr>
    </w:div>
    <w:div w:id="1335306186">
      <w:bodyDiv w:val="1"/>
      <w:marLeft w:val="0"/>
      <w:marRight w:val="0"/>
      <w:marTop w:val="0"/>
      <w:marBottom w:val="0"/>
      <w:divBdr>
        <w:top w:val="none" w:sz="0" w:space="0" w:color="auto"/>
        <w:left w:val="none" w:sz="0" w:space="0" w:color="auto"/>
        <w:bottom w:val="none" w:sz="0" w:space="0" w:color="auto"/>
        <w:right w:val="none" w:sz="0" w:space="0" w:color="auto"/>
      </w:divBdr>
    </w:div>
    <w:div w:id="1358920265">
      <w:bodyDiv w:val="1"/>
      <w:marLeft w:val="0"/>
      <w:marRight w:val="0"/>
      <w:marTop w:val="0"/>
      <w:marBottom w:val="0"/>
      <w:divBdr>
        <w:top w:val="none" w:sz="0" w:space="0" w:color="auto"/>
        <w:left w:val="none" w:sz="0" w:space="0" w:color="auto"/>
        <w:bottom w:val="none" w:sz="0" w:space="0" w:color="auto"/>
        <w:right w:val="none" w:sz="0" w:space="0" w:color="auto"/>
      </w:divBdr>
    </w:div>
    <w:div w:id="1377775819">
      <w:bodyDiv w:val="1"/>
      <w:marLeft w:val="0"/>
      <w:marRight w:val="0"/>
      <w:marTop w:val="0"/>
      <w:marBottom w:val="0"/>
      <w:divBdr>
        <w:top w:val="none" w:sz="0" w:space="0" w:color="auto"/>
        <w:left w:val="none" w:sz="0" w:space="0" w:color="auto"/>
        <w:bottom w:val="none" w:sz="0" w:space="0" w:color="auto"/>
        <w:right w:val="none" w:sz="0" w:space="0" w:color="auto"/>
      </w:divBdr>
    </w:div>
    <w:div w:id="1408726194">
      <w:bodyDiv w:val="1"/>
      <w:marLeft w:val="0"/>
      <w:marRight w:val="0"/>
      <w:marTop w:val="0"/>
      <w:marBottom w:val="0"/>
      <w:divBdr>
        <w:top w:val="none" w:sz="0" w:space="0" w:color="auto"/>
        <w:left w:val="none" w:sz="0" w:space="0" w:color="auto"/>
        <w:bottom w:val="none" w:sz="0" w:space="0" w:color="auto"/>
        <w:right w:val="none" w:sz="0" w:space="0" w:color="auto"/>
      </w:divBdr>
    </w:div>
    <w:div w:id="1446384831">
      <w:bodyDiv w:val="1"/>
      <w:marLeft w:val="0"/>
      <w:marRight w:val="0"/>
      <w:marTop w:val="0"/>
      <w:marBottom w:val="0"/>
      <w:divBdr>
        <w:top w:val="none" w:sz="0" w:space="0" w:color="auto"/>
        <w:left w:val="none" w:sz="0" w:space="0" w:color="auto"/>
        <w:bottom w:val="none" w:sz="0" w:space="0" w:color="auto"/>
        <w:right w:val="none" w:sz="0" w:space="0" w:color="auto"/>
      </w:divBdr>
    </w:div>
    <w:div w:id="1448238960">
      <w:bodyDiv w:val="1"/>
      <w:marLeft w:val="0"/>
      <w:marRight w:val="0"/>
      <w:marTop w:val="0"/>
      <w:marBottom w:val="0"/>
      <w:divBdr>
        <w:top w:val="none" w:sz="0" w:space="0" w:color="auto"/>
        <w:left w:val="none" w:sz="0" w:space="0" w:color="auto"/>
        <w:bottom w:val="none" w:sz="0" w:space="0" w:color="auto"/>
        <w:right w:val="none" w:sz="0" w:space="0" w:color="auto"/>
      </w:divBdr>
    </w:div>
    <w:div w:id="1454010179">
      <w:bodyDiv w:val="1"/>
      <w:marLeft w:val="0"/>
      <w:marRight w:val="0"/>
      <w:marTop w:val="0"/>
      <w:marBottom w:val="0"/>
      <w:divBdr>
        <w:top w:val="none" w:sz="0" w:space="0" w:color="auto"/>
        <w:left w:val="none" w:sz="0" w:space="0" w:color="auto"/>
        <w:bottom w:val="none" w:sz="0" w:space="0" w:color="auto"/>
        <w:right w:val="none" w:sz="0" w:space="0" w:color="auto"/>
      </w:divBdr>
    </w:div>
    <w:div w:id="1465463725">
      <w:bodyDiv w:val="1"/>
      <w:marLeft w:val="0"/>
      <w:marRight w:val="0"/>
      <w:marTop w:val="0"/>
      <w:marBottom w:val="0"/>
      <w:divBdr>
        <w:top w:val="none" w:sz="0" w:space="0" w:color="auto"/>
        <w:left w:val="none" w:sz="0" w:space="0" w:color="auto"/>
        <w:bottom w:val="none" w:sz="0" w:space="0" w:color="auto"/>
        <w:right w:val="none" w:sz="0" w:space="0" w:color="auto"/>
      </w:divBdr>
    </w:div>
    <w:div w:id="1468474253">
      <w:bodyDiv w:val="1"/>
      <w:marLeft w:val="0"/>
      <w:marRight w:val="0"/>
      <w:marTop w:val="0"/>
      <w:marBottom w:val="0"/>
      <w:divBdr>
        <w:top w:val="none" w:sz="0" w:space="0" w:color="auto"/>
        <w:left w:val="none" w:sz="0" w:space="0" w:color="auto"/>
        <w:bottom w:val="none" w:sz="0" w:space="0" w:color="auto"/>
        <w:right w:val="none" w:sz="0" w:space="0" w:color="auto"/>
      </w:divBdr>
    </w:div>
    <w:div w:id="1474253877">
      <w:bodyDiv w:val="1"/>
      <w:marLeft w:val="0"/>
      <w:marRight w:val="0"/>
      <w:marTop w:val="0"/>
      <w:marBottom w:val="0"/>
      <w:divBdr>
        <w:top w:val="none" w:sz="0" w:space="0" w:color="auto"/>
        <w:left w:val="none" w:sz="0" w:space="0" w:color="auto"/>
        <w:bottom w:val="none" w:sz="0" w:space="0" w:color="auto"/>
        <w:right w:val="none" w:sz="0" w:space="0" w:color="auto"/>
      </w:divBdr>
    </w:div>
    <w:div w:id="1475413028">
      <w:bodyDiv w:val="1"/>
      <w:marLeft w:val="0"/>
      <w:marRight w:val="0"/>
      <w:marTop w:val="0"/>
      <w:marBottom w:val="0"/>
      <w:divBdr>
        <w:top w:val="none" w:sz="0" w:space="0" w:color="auto"/>
        <w:left w:val="none" w:sz="0" w:space="0" w:color="auto"/>
        <w:bottom w:val="none" w:sz="0" w:space="0" w:color="auto"/>
        <w:right w:val="none" w:sz="0" w:space="0" w:color="auto"/>
      </w:divBdr>
    </w:div>
    <w:div w:id="1476750681">
      <w:bodyDiv w:val="1"/>
      <w:marLeft w:val="0"/>
      <w:marRight w:val="0"/>
      <w:marTop w:val="0"/>
      <w:marBottom w:val="0"/>
      <w:divBdr>
        <w:top w:val="none" w:sz="0" w:space="0" w:color="auto"/>
        <w:left w:val="none" w:sz="0" w:space="0" w:color="auto"/>
        <w:bottom w:val="none" w:sz="0" w:space="0" w:color="auto"/>
        <w:right w:val="none" w:sz="0" w:space="0" w:color="auto"/>
      </w:divBdr>
    </w:div>
    <w:div w:id="1477840494">
      <w:bodyDiv w:val="1"/>
      <w:marLeft w:val="0"/>
      <w:marRight w:val="0"/>
      <w:marTop w:val="0"/>
      <w:marBottom w:val="0"/>
      <w:divBdr>
        <w:top w:val="none" w:sz="0" w:space="0" w:color="auto"/>
        <w:left w:val="none" w:sz="0" w:space="0" w:color="auto"/>
        <w:bottom w:val="none" w:sz="0" w:space="0" w:color="auto"/>
        <w:right w:val="none" w:sz="0" w:space="0" w:color="auto"/>
      </w:divBdr>
    </w:div>
    <w:div w:id="1479494440">
      <w:bodyDiv w:val="1"/>
      <w:marLeft w:val="0"/>
      <w:marRight w:val="0"/>
      <w:marTop w:val="0"/>
      <w:marBottom w:val="0"/>
      <w:divBdr>
        <w:top w:val="none" w:sz="0" w:space="0" w:color="auto"/>
        <w:left w:val="none" w:sz="0" w:space="0" w:color="auto"/>
        <w:bottom w:val="none" w:sz="0" w:space="0" w:color="auto"/>
        <w:right w:val="none" w:sz="0" w:space="0" w:color="auto"/>
      </w:divBdr>
    </w:div>
    <w:div w:id="1511407207">
      <w:bodyDiv w:val="1"/>
      <w:marLeft w:val="0"/>
      <w:marRight w:val="0"/>
      <w:marTop w:val="0"/>
      <w:marBottom w:val="0"/>
      <w:divBdr>
        <w:top w:val="none" w:sz="0" w:space="0" w:color="auto"/>
        <w:left w:val="none" w:sz="0" w:space="0" w:color="auto"/>
        <w:bottom w:val="none" w:sz="0" w:space="0" w:color="auto"/>
        <w:right w:val="none" w:sz="0" w:space="0" w:color="auto"/>
      </w:divBdr>
    </w:div>
    <w:div w:id="1520201472">
      <w:bodyDiv w:val="1"/>
      <w:marLeft w:val="0"/>
      <w:marRight w:val="0"/>
      <w:marTop w:val="0"/>
      <w:marBottom w:val="0"/>
      <w:divBdr>
        <w:top w:val="none" w:sz="0" w:space="0" w:color="auto"/>
        <w:left w:val="none" w:sz="0" w:space="0" w:color="auto"/>
        <w:bottom w:val="none" w:sz="0" w:space="0" w:color="auto"/>
        <w:right w:val="none" w:sz="0" w:space="0" w:color="auto"/>
      </w:divBdr>
    </w:div>
    <w:div w:id="1533837158">
      <w:bodyDiv w:val="1"/>
      <w:marLeft w:val="0"/>
      <w:marRight w:val="0"/>
      <w:marTop w:val="0"/>
      <w:marBottom w:val="0"/>
      <w:divBdr>
        <w:top w:val="none" w:sz="0" w:space="0" w:color="auto"/>
        <w:left w:val="none" w:sz="0" w:space="0" w:color="auto"/>
        <w:bottom w:val="none" w:sz="0" w:space="0" w:color="auto"/>
        <w:right w:val="none" w:sz="0" w:space="0" w:color="auto"/>
      </w:divBdr>
    </w:div>
    <w:div w:id="1545219216">
      <w:bodyDiv w:val="1"/>
      <w:marLeft w:val="0"/>
      <w:marRight w:val="0"/>
      <w:marTop w:val="0"/>
      <w:marBottom w:val="0"/>
      <w:divBdr>
        <w:top w:val="none" w:sz="0" w:space="0" w:color="auto"/>
        <w:left w:val="none" w:sz="0" w:space="0" w:color="auto"/>
        <w:bottom w:val="none" w:sz="0" w:space="0" w:color="auto"/>
        <w:right w:val="none" w:sz="0" w:space="0" w:color="auto"/>
      </w:divBdr>
    </w:div>
    <w:div w:id="1571115778">
      <w:bodyDiv w:val="1"/>
      <w:marLeft w:val="0"/>
      <w:marRight w:val="0"/>
      <w:marTop w:val="0"/>
      <w:marBottom w:val="0"/>
      <w:divBdr>
        <w:top w:val="none" w:sz="0" w:space="0" w:color="auto"/>
        <w:left w:val="none" w:sz="0" w:space="0" w:color="auto"/>
        <w:bottom w:val="none" w:sz="0" w:space="0" w:color="auto"/>
        <w:right w:val="none" w:sz="0" w:space="0" w:color="auto"/>
      </w:divBdr>
    </w:div>
    <w:div w:id="1571622127">
      <w:bodyDiv w:val="1"/>
      <w:marLeft w:val="0"/>
      <w:marRight w:val="0"/>
      <w:marTop w:val="0"/>
      <w:marBottom w:val="0"/>
      <w:divBdr>
        <w:top w:val="none" w:sz="0" w:space="0" w:color="auto"/>
        <w:left w:val="none" w:sz="0" w:space="0" w:color="auto"/>
        <w:bottom w:val="none" w:sz="0" w:space="0" w:color="auto"/>
        <w:right w:val="none" w:sz="0" w:space="0" w:color="auto"/>
      </w:divBdr>
    </w:div>
    <w:div w:id="1580139611">
      <w:bodyDiv w:val="1"/>
      <w:marLeft w:val="0"/>
      <w:marRight w:val="0"/>
      <w:marTop w:val="0"/>
      <w:marBottom w:val="0"/>
      <w:divBdr>
        <w:top w:val="none" w:sz="0" w:space="0" w:color="auto"/>
        <w:left w:val="none" w:sz="0" w:space="0" w:color="auto"/>
        <w:bottom w:val="none" w:sz="0" w:space="0" w:color="auto"/>
        <w:right w:val="none" w:sz="0" w:space="0" w:color="auto"/>
      </w:divBdr>
    </w:div>
    <w:div w:id="1591549693">
      <w:bodyDiv w:val="1"/>
      <w:marLeft w:val="0"/>
      <w:marRight w:val="0"/>
      <w:marTop w:val="0"/>
      <w:marBottom w:val="0"/>
      <w:divBdr>
        <w:top w:val="none" w:sz="0" w:space="0" w:color="auto"/>
        <w:left w:val="none" w:sz="0" w:space="0" w:color="auto"/>
        <w:bottom w:val="none" w:sz="0" w:space="0" w:color="auto"/>
        <w:right w:val="none" w:sz="0" w:space="0" w:color="auto"/>
      </w:divBdr>
    </w:div>
    <w:div w:id="1613588788">
      <w:bodyDiv w:val="1"/>
      <w:marLeft w:val="0"/>
      <w:marRight w:val="0"/>
      <w:marTop w:val="0"/>
      <w:marBottom w:val="0"/>
      <w:divBdr>
        <w:top w:val="none" w:sz="0" w:space="0" w:color="auto"/>
        <w:left w:val="none" w:sz="0" w:space="0" w:color="auto"/>
        <w:bottom w:val="none" w:sz="0" w:space="0" w:color="auto"/>
        <w:right w:val="none" w:sz="0" w:space="0" w:color="auto"/>
      </w:divBdr>
    </w:div>
    <w:div w:id="1616597050">
      <w:bodyDiv w:val="1"/>
      <w:marLeft w:val="0"/>
      <w:marRight w:val="0"/>
      <w:marTop w:val="0"/>
      <w:marBottom w:val="0"/>
      <w:divBdr>
        <w:top w:val="none" w:sz="0" w:space="0" w:color="auto"/>
        <w:left w:val="none" w:sz="0" w:space="0" w:color="auto"/>
        <w:bottom w:val="none" w:sz="0" w:space="0" w:color="auto"/>
        <w:right w:val="none" w:sz="0" w:space="0" w:color="auto"/>
      </w:divBdr>
    </w:div>
    <w:div w:id="1624656823">
      <w:bodyDiv w:val="1"/>
      <w:marLeft w:val="0"/>
      <w:marRight w:val="0"/>
      <w:marTop w:val="0"/>
      <w:marBottom w:val="0"/>
      <w:divBdr>
        <w:top w:val="none" w:sz="0" w:space="0" w:color="auto"/>
        <w:left w:val="none" w:sz="0" w:space="0" w:color="auto"/>
        <w:bottom w:val="none" w:sz="0" w:space="0" w:color="auto"/>
        <w:right w:val="none" w:sz="0" w:space="0" w:color="auto"/>
      </w:divBdr>
    </w:div>
    <w:div w:id="1706522426">
      <w:bodyDiv w:val="1"/>
      <w:marLeft w:val="0"/>
      <w:marRight w:val="0"/>
      <w:marTop w:val="0"/>
      <w:marBottom w:val="0"/>
      <w:divBdr>
        <w:top w:val="none" w:sz="0" w:space="0" w:color="auto"/>
        <w:left w:val="none" w:sz="0" w:space="0" w:color="auto"/>
        <w:bottom w:val="none" w:sz="0" w:space="0" w:color="auto"/>
        <w:right w:val="none" w:sz="0" w:space="0" w:color="auto"/>
      </w:divBdr>
    </w:div>
    <w:div w:id="1713798102">
      <w:bodyDiv w:val="1"/>
      <w:marLeft w:val="0"/>
      <w:marRight w:val="0"/>
      <w:marTop w:val="0"/>
      <w:marBottom w:val="0"/>
      <w:divBdr>
        <w:top w:val="none" w:sz="0" w:space="0" w:color="auto"/>
        <w:left w:val="none" w:sz="0" w:space="0" w:color="auto"/>
        <w:bottom w:val="none" w:sz="0" w:space="0" w:color="auto"/>
        <w:right w:val="none" w:sz="0" w:space="0" w:color="auto"/>
      </w:divBdr>
    </w:div>
    <w:div w:id="1720736856">
      <w:bodyDiv w:val="1"/>
      <w:marLeft w:val="0"/>
      <w:marRight w:val="0"/>
      <w:marTop w:val="0"/>
      <w:marBottom w:val="0"/>
      <w:divBdr>
        <w:top w:val="none" w:sz="0" w:space="0" w:color="auto"/>
        <w:left w:val="none" w:sz="0" w:space="0" w:color="auto"/>
        <w:bottom w:val="none" w:sz="0" w:space="0" w:color="auto"/>
        <w:right w:val="none" w:sz="0" w:space="0" w:color="auto"/>
      </w:divBdr>
    </w:div>
    <w:div w:id="1748771087">
      <w:bodyDiv w:val="1"/>
      <w:marLeft w:val="0"/>
      <w:marRight w:val="0"/>
      <w:marTop w:val="0"/>
      <w:marBottom w:val="0"/>
      <w:divBdr>
        <w:top w:val="none" w:sz="0" w:space="0" w:color="auto"/>
        <w:left w:val="none" w:sz="0" w:space="0" w:color="auto"/>
        <w:bottom w:val="none" w:sz="0" w:space="0" w:color="auto"/>
        <w:right w:val="none" w:sz="0" w:space="0" w:color="auto"/>
      </w:divBdr>
    </w:div>
    <w:div w:id="1767580378">
      <w:bodyDiv w:val="1"/>
      <w:marLeft w:val="0"/>
      <w:marRight w:val="0"/>
      <w:marTop w:val="0"/>
      <w:marBottom w:val="0"/>
      <w:divBdr>
        <w:top w:val="none" w:sz="0" w:space="0" w:color="auto"/>
        <w:left w:val="none" w:sz="0" w:space="0" w:color="auto"/>
        <w:bottom w:val="none" w:sz="0" w:space="0" w:color="auto"/>
        <w:right w:val="none" w:sz="0" w:space="0" w:color="auto"/>
      </w:divBdr>
    </w:div>
    <w:div w:id="1819498057">
      <w:bodyDiv w:val="1"/>
      <w:marLeft w:val="0"/>
      <w:marRight w:val="0"/>
      <w:marTop w:val="0"/>
      <w:marBottom w:val="0"/>
      <w:divBdr>
        <w:top w:val="none" w:sz="0" w:space="0" w:color="auto"/>
        <w:left w:val="none" w:sz="0" w:space="0" w:color="auto"/>
        <w:bottom w:val="none" w:sz="0" w:space="0" w:color="auto"/>
        <w:right w:val="none" w:sz="0" w:space="0" w:color="auto"/>
      </w:divBdr>
    </w:div>
    <w:div w:id="1824657802">
      <w:bodyDiv w:val="1"/>
      <w:marLeft w:val="0"/>
      <w:marRight w:val="0"/>
      <w:marTop w:val="0"/>
      <w:marBottom w:val="0"/>
      <w:divBdr>
        <w:top w:val="none" w:sz="0" w:space="0" w:color="auto"/>
        <w:left w:val="none" w:sz="0" w:space="0" w:color="auto"/>
        <w:bottom w:val="none" w:sz="0" w:space="0" w:color="auto"/>
        <w:right w:val="none" w:sz="0" w:space="0" w:color="auto"/>
      </w:divBdr>
    </w:div>
    <w:div w:id="1863202564">
      <w:bodyDiv w:val="1"/>
      <w:marLeft w:val="0"/>
      <w:marRight w:val="0"/>
      <w:marTop w:val="0"/>
      <w:marBottom w:val="0"/>
      <w:divBdr>
        <w:top w:val="none" w:sz="0" w:space="0" w:color="auto"/>
        <w:left w:val="none" w:sz="0" w:space="0" w:color="auto"/>
        <w:bottom w:val="none" w:sz="0" w:space="0" w:color="auto"/>
        <w:right w:val="none" w:sz="0" w:space="0" w:color="auto"/>
      </w:divBdr>
    </w:div>
    <w:div w:id="1889756955">
      <w:bodyDiv w:val="1"/>
      <w:marLeft w:val="0"/>
      <w:marRight w:val="0"/>
      <w:marTop w:val="0"/>
      <w:marBottom w:val="0"/>
      <w:divBdr>
        <w:top w:val="none" w:sz="0" w:space="0" w:color="auto"/>
        <w:left w:val="none" w:sz="0" w:space="0" w:color="auto"/>
        <w:bottom w:val="none" w:sz="0" w:space="0" w:color="auto"/>
        <w:right w:val="none" w:sz="0" w:space="0" w:color="auto"/>
      </w:divBdr>
    </w:div>
    <w:div w:id="1898935538">
      <w:bodyDiv w:val="1"/>
      <w:marLeft w:val="0"/>
      <w:marRight w:val="0"/>
      <w:marTop w:val="0"/>
      <w:marBottom w:val="0"/>
      <w:divBdr>
        <w:top w:val="none" w:sz="0" w:space="0" w:color="auto"/>
        <w:left w:val="none" w:sz="0" w:space="0" w:color="auto"/>
        <w:bottom w:val="none" w:sz="0" w:space="0" w:color="auto"/>
        <w:right w:val="none" w:sz="0" w:space="0" w:color="auto"/>
      </w:divBdr>
    </w:div>
    <w:div w:id="1925216194">
      <w:bodyDiv w:val="1"/>
      <w:marLeft w:val="0"/>
      <w:marRight w:val="0"/>
      <w:marTop w:val="0"/>
      <w:marBottom w:val="0"/>
      <w:divBdr>
        <w:top w:val="none" w:sz="0" w:space="0" w:color="auto"/>
        <w:left w:val="none" w:sz="0" w:space="0" w:color="auto"/>
        <w:bottom w:val="none" w:sz="0" w:space="0" w:color="auto"/>
        <w:right w:val="none" w:sz="0" w:space="0" w:color="auto"/>
      </w:divBdr>
    </w:div>
    <w:div w:id="1933705703">
      <w:bodyDiv w:val="1"/>
      <w:marLeft w:val="0"/>
      <w:marRight w:val="0"/>
      <w:marTop w:val="0"/>
      <w:marBottom w:val="0"/>
      <w:divBdr>
        <w:top w:val="none" w:sz="0" w:space="0" w:color="auto"/>
        <w:left w:val="none" w:sz="0" w:space="0" w:color="auto"/>
        <w:bottom w:val="none" w:sz="0" w:space="0" w:color="auto"/>
        <w:right w:val="none" w:sz="0" w:space="0" w:color="auto"/>
      </w:divBdr>
    </w:div>
    <w:div w:id="1938637837">
      <w:bodyDiv w:val="1"/>
      <w:marLeft w:val="0"/>
      <w:marRight w:val="0"/>
      <w:marTop w:val="0"/>
      <w:marBottom w:val="0"/>
      <w:divBdr>
        <w:top w:val="none" w:sz="0" w:space="0" w:color="auto"/>
        <w:left w:val="none" w:sz="0" w:space="0" w:color="auto"/>
        <w:bottom w:val="none" w:sz="0" w:space="0" w:color="auto"/>
        <w:right w:val="none" w:sz="0" w:space="0" w:color="auto"/>
      </w:divBdr>
    </w:div>
    <w:div w:id="1952082230">
      <w:bodyDiv w:val="1"/>
      <w:marLeft w:val="0"/>
      <w:marRight w:val="0"/>
      <w:marTop w:val="0"/>
      <w:marBottom w:val="0"/>
      <w:divBdr>
        <w:top w:val="none" w:sz="0" w:space="0" w:color="auto"/>
        <w:left w:val="none" w:sz="0" w:space="0" w:color="auto"/>
        <w:bottom w:val="none" w:sz="0" w:space="0" w:color="auto"/>
        <w:right w:val="none" w:sz="0" w:space="0" w:color="auto"/>
      </w:divBdr>
    </w:div>
    <w:div w:id="1956328642">
      <w:bodyDiv w:val="1"/>
      <w:marLeft w:val="0"/>
      <w:marRight w:val="0"/>
      <w:marTop w:val="0"/>
      <w:marBottom w:val="0"/>
      <w:divBdr>
        <w:top w:val="none" w:sz="0" w:space="0" w:color="auto"/>
        <w:left w:val="none" w:sz="0" w:space="0" w:color="auto"/>
        <w:bottom w:val="none" w:sz="0" w:space="0" w:color="auto"/>
        <w:right w:val="none" w:sz="0" w:space="0" w:color="auto"/>
      </w:divBdr>
    </w:div>
    <w:div w:id="1959136847">
      <w:bodyDiv w:val="1"/>
      <w:marLeft w:val="0"/>
      <w:marRight w:val="0"/>
      <w:marTop w:val="0"/>
      <w:marBottom w:val="0"/>
      <w:divBdr>
        <w:top w:val="none" w:sz="0" w:space="0" w:color="auto"/>
        <w:left w:val="none" w:sz="0" w:space="0" w:color="auto"/>
        <w:bottom w:val="none" w:sz="0" w:space="0" w:color="auto"/>
        <w:right w:val="none" w:sz="0" w:space="0" w:color="auto"/>
      </w:divBdr>
    </w:div>
    <w:div w:id="1982149972">
      <w:bodyDiv w:val="1"/>
      <w:marLeft w:val="0"/>
      <w:marRight w:val="0"/>
      <w:marTop w:val="0"/>
      <w:marBottom w:val="0"/>
      <w:divBdr>
        <w:top w:val="none" w:sz="0" w:space="0" w:color="auto"/>
        <w:left w:val="none" w:sz="0" w:space="0" w:color="auto"/>
        <w:bottom w:val="none" w:sz="0" w:space="0" w:color="auto"/>
        <w:right w:val="none" w:sz="0" w:space="0" w:color="auto"/>
      </w:divBdr>
    </w:div>
    <w:div w:id="1992712432">
      <w:bodyDiv w:val="1"/>
      <w:marLeft w:val="0"/>
      <w:marRight w:val="0"/>
      <w:marTop w:val="0"/>
      <w:marBottom w:val="0"/>
      <w:divBdr>
        <w:top w:val="none" w:sz="0" w:space="0" w:color="auto"/>
        <w:left w:val="none" w:sz="0" w:space="0" w:color="auto"/>
        <w:bottom w:val="none" w:sz="0" w:space="0" w:color="auto"/>
        <w:right w:val="none" w:sz="0" w:space="0" w:color="auto"/>
      </w:divBdr>
    </w:div>
    <w:div w:id="2004773518">
      <w:bodyDiv w:val="1"/>
      <w:marLeft w:val="0"/>
      <w:marRight w:val="0"/>
      <w:marTop w:val="0"/>
      <w:marBottom w:val="0"/>
      <w:divBdr>
        <w:top w:val="none" w:sz="0" w:space="0" w:color="auto"/>
        <w:left w:val="none" w:sz="0" w:space="0" w:color="auto"/>
        <w:bottom w:val="none" w:sz="0" w:space="0" w:color="auto"/>
        <w:right w:val="none" w:sz="0" w:space="0" w:color="auto"/>
      </w:divBdr>
    </w:div>
    <w:div w:id="2008824371">
      <w:bodyDiv w:val="1"/>
      <w:marLeft w:val="0"/>
      <w:marRight w:val="0"/>
      <w:marTop w:val="0"/>
      <w:marBottom w:val="0"/>
      <w:divBdr>
        <w:top w:val="none" w:sz="0" w:space="0" w:color="auto"/>
        <w:left w:val="none" w:sz="0" w:space="0" w:color="auto"/>
        <w:bottom w:val="none" w:sz="0" w:space="0" w:color="auto"/>
        <w:right w:val="none" w:sz="0" w:space="0" w:color="auto"/>
      </w:divBdr>
    </w:div>
    <w:div w:id="2022270996">
      <w:bodyDiv w:val="1"/>
      <w:marLeft w:val="0"/>
      <w:marRight w:val="0"/>
      <w:marTop w:val="0"/>
      <w:marBottom w:val="0"/>
      <w:divBdr>
        <w:top w:val="none" w:sz="0" w:space="0" w:color="auto"/>
        <w:left w:val="none" w:sz="0" w:space="0" w:color="auto"/>
        <w:bottom w:val="none" w:sz="0" w:space="0" w:color="auto"/>
        <w:right w:val="none" w:sz="0" w:space="0" w:color="auto"/>
      </w:divBdr>
    </w:div>
    <w:div w:id="2039112679">
      <w:bodyDiv w:val="1"/>
      <w:marLeft w:val="0"/>
      <w:marRight w:val="0"/>
      <w:marTop w:val="0"/>
      <w:marBottom w:val="0"/>
      <w:divBdr>
        <w:top w:val="none" w:sz="0" w:space="0" w:color="auto"/>
        <w:left w:val="none" w:sz="0" w:space="0" w:color="auto"/>
        <w:bottom w:val="none" w:sz="0" w:space="0" w:color="auto"/>
        <w:right w:val="none" w:sz="0" w:space="0" w:color="auto"/>
      </w:divBdr>
    </w:div>
    <w:div w:id="2058891173">
      <w:bodyDiv w:val="1"/>
      <w:marLeft w:val="0"/>
      <w:marRight w:val="0"/>
      <w:marTop w:val="0"/>
      <w:marBottom w:val="0"/>
      <w:divBdr>
        <w:top w:val="none" w:sz="0" w:space="0" w:color="auto"/>
        <w:left w:val="none" w:sz="0" w:space="0" w:color="auto"/>
        <w:bottom w:val="none" w:sz="0" w:space="0" w:color="auto"/>
        <w:right w:val="none" w:sz="0" w:space="0" w:color="auto"/>
      </w:divBdr>
    </w:div>
    <w:div w:id="2065136104">
      <w:bodyDiv w:val="1"/>
      <w:marLeft w:val="0"/>
      <w:marRight w:val="0"/>
      <w:marTop w:val="0"/>
      <w:marBottom w:val="0"/>
      <w:divBdr>
        <w:top w:val="none" w:sz="0" w:space="0" w:color="auto"/>
        <w:left w:val="none" w:sz="0" w:space="0" w:color="auto"/>
        <w:bottom w:val="none" w:sz="0" w:space="0" w:color="auto"/>
        <w:right w:val="none" w:sz="0" w:space="0" w:color="auto"/>
      </w:divBdr>
    </w:div>
    <w:div w:id="2080444957">
      <w:bodyDiv w:val="1"/>
      <w:marLeft w:val="0"/>
      <w:marRight w:val="0"/>
      <w:marTop w:val="0"/>
      <w:marBottom w:val="0"/>
      <w:divBdr>
        <w:top w:val="none" w:sz="0" w:space="0" w:color="auto"/>
        <w:left w:val="none" w:sz="0" w:space="0" w:color="auto"/>
        <w:bottom w:val="none" w:sz="0" w:space="0" w:color="auto"/>
        <w:right w:val="none" w:sz="0" w:space="0" w:color="auto"/>
      </w:divBdr>
    </w:div>
    <w:div w:id="2132357287">
      <w:bodyDiv w:val="1"/>
      <w:marLeft w:val="0"/>
      <w:marRight w:val="0"/>
      <w:marTop w:val="0"/>
      <w:marBottom w:val="0"/>
      <w:divBdr>
        <w:top w:val="none" w:sz="0" w:space="0" w:color="auto"/>
        <w:left w:val="none" w:sz="0" w:space="0" w:color="auto"/>
        <w:bottom w:val="none" w:sz="0" w:space="0" w:color="auto"/>
        <w:right w:val="none" w:sz="0" w:space="0" w:color="auto"/>
      </w:divBdr>
    </w:div>
    <w:div w:id="2132556931">
      <w:bodyDiv w:val="1"/>
      <w:marLeft w:val="0"/>
      <w:marRight w:val="0"/>
      <w:marTop w:val="0"/>
      <w:marBottom w:val="0"/>
      <w:divBdr>
        <w:top w:val="none" w:sz="0" w:space="0" w:color="auto"/>
        <w:left w:val="none" w:sz="0" w:space="0" w:color="auto"/>
        <w:bottom w:val="none" w:sz="0" w:space="0" w:color="auto"/>
        <w:right w:val="none" w:sz="0" w:space="0" w:color="auto"/>
      </w:divBdr>
    </w:div>
    <w:div w:id="2137525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c.gov/info/edgar/siccodes.htm?fbclid=IwAR05YInQ45LdvKZX1AJRrg-RQUG8p91Jz4wpn7EEBF13Ak4U2NSW_CC8hPo" TargetMode="External"/><Relationship Id="rId18" Type="http://schemas.openxmlformats.org/officeDocument/2006/relationships/image" Target="media/image2.emf"/><Relationship Id="rId26" Type="http://schemas.openxmlformats.org/officeDocument/2006/relationships/header" Target="header7.xml"/><Relationship Id="rId39" Type="http://schemas.openxmlformats.org/officeDocument/2006/relationships/image" Target="media/image7.emf"/><Relationship Id="rId21" Type="http://schemas.openxmlformats.org/officeDocument/2006/relationships/image" Target="media/image3.emf"/><Relationship Id="rId34" Type="http://schemas.openxmlformats.org/officeDocument/2006/relationships/image" Target="media/image6.emf"/><Relationship Id="rId42" Type="http://schemas.openxmlformats.org/officeDocument/2006/relationships/header" Target="header12.xml"/><Relationship Id="rId47" Type="http://schemas.openxmlformats.org/officeDocument/2006/relationships/image" Target="media/image12.png"/><Relationship Id="rId50" Type="http://schemas.openxmlformats.org/officeDocument/2006/relationships/footer" Target="footer13.xml"/><Relationship Id="rId55" Type="http://schemas.openxmlformats.org/officeDocument/2006/relationships/footer" Target="footer14.xml"/><Relationship Id="rId63" Type="http://schemas.openxmlformats.org/officeDocument/2006/relationships/header" Target="header1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oter" Target="footer8.xml"/><Relationship Id="rId41" Type="http://schemas.openxmlformats.org/officeDocument/2006/relationships/image" Target="media/image9.emf"/><Relationship Id="rId54" Type="http://schemas.openxmlformats.org/officeDocument/2006/relationships/header" Target="header14.xml"/><Relationship Id="rId62"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32" Type="http://schemas.openxmlformats.org/officeDocument/2006/relationships/image" Target="media/image4.emf"/><Relationship Id="rId37" Type="http://schemas.openxmlformats.org/officeDocument/2006/relationships/header" Target="header11.xml"/><Relationship Id="rId40" Type="http://schemas.openxmlformats.org/officeDocument/2006/relationships/image" Target="media/image8.emf"/><Relationship Id="rId45" Type="http://schemas.microsoft.com/office/2007/relationships/hdphoto" Target="media/hdphoto1.wdp"/><Relationship Id="rId53" Type="http://schemas.openxmlformats.org/officeDocument/2006/relationships/chart" Target="charts/chart4.xml"/><Relationship Id="rId58" Type="http://schemas.openxmlformats.org/officeDocument/2006/relationships/footer" Target="footer15.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0.xml"/><Relationship Id="rId49" Type="http://schemas.openxmlformats.org/officeDocument/2006/relationships/header" Target="header13.xml"/><Relationship Id="rId57" Type="http://schemas.openxmlformats.org/officeDocument/2006/relationships/header" Target="header15.xml"/><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image" Target="media/image10.png"/><Relationship Id="rId52" Type="http://schemas.openxmlformats.org/officeDocument/2006/relationships/chart" Target="charts/chart3.xml"/><Relationship Id="rId60" Type="http://schemas.openxmlformats.org/officeDocument/2006/relationships/footer" Target="footer16.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sec.gov/divisions/corpfin/ad-lookup.shtm" TargetMode="Externa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eader" Target="header10.xml"/><Relationship Id="rId43" Type="http://schemas.openxmlformats.org/officeDocument/2006/relationships/footer" Target="footer12.xml"/><Relationship Id="rId48" Type="http://schemas.openxmlformats.org/officeDocument/2006/relationships/chart" Target="charts/chart1.xml"/><Relationship Id="rId56" Type="http://schemas.openxmlformats.org/officeDocument/2006/relationships/hyperlink" Target="https://www.federalpay.org/employees/securities-and-exchange-commission" TargetMode="External"/><Relationship Id="rId64" Type="http://schemas.openxmlformats.org/officeDocument/2006/relationships/footer" Target="footer18.xml"/><Relationship Id="rId8" Type="http://schemas.openxmlformats.org/officeDocument/2006/relationships/hyperlink" Target="https://www.investopedia.com/terms/d/dodd-frank-financial-regulatory-reform-bill.asp" TargetMode="External"/><Relationship Id="rId51" Type="http://schemas.openxmlformats.org/officeDocument/2006/relationships/chart" Target="charts/chart2.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1.emf"/><Relationship Id="rId25" Type="http://schemas.openxmlformats.org/officeDocument/2006/relationships/footer" Target="footer6.xml"/><Relationship Id="rId33" Type="http://schemas.openxmlformats.org/officeDocument/2006/relationships/image" Target="media/image5.emf"/><Relationship Id="rId38" Type="http://schemas.openxmlformats.org/officeDocument/2006/relationships/footer" Target="footer11.xml"/><Relationship Id="rId46" Type="http://schemas.openxmlformats.org/officeDocument/2006/relationships/image" Target="media/image11.png"/><Relationship Id="rId59" Type="http://schemas.openxmlformats.org/officeDocument/2006/relationships/header" Target="header16.xml"/></Relationships>
</file>

<file path=word/_rels/footnotes.xml.rels><?xml version="1.0" encoding="UTF-8" standalone="yes"?>
<Relationships xmlns="http://schemas.openxmlformats.org/package/2006/relationships"><Relationship Id="rId2" Type="http://schemas.openxmlformats.org/officeDocument/2006/relationships/hyperlink" Target="https://www.sec.gov/answers/edgarletters.htm" TargetMode="External"/><Relationship Id="rId1" Type="http://schemas.openxmlformats.org/officeDocument/2006/relationships/hyperlink" Target="https://www.federalpay.org/employees/securities-and-exchange-commissio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bangoroffice365-my.sharepoint.com/personal/abp702_bangor_ac_uk/Documents/Laptop%20Backup/Documents/PhD%20Journey/Descriptive%20statistics_SEC%20review%20attribute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v>Number of IPOs</c:v>
          </c:tx>
          <c:spPr>
            <a:ln w="28575" cap="rnd">
              <a:solidFill>
                <a:schemeClr val="accent2"/>
              </a:solidFill>
              <a:round/>
            </a:ln>
            <a:effectLst/>
          </c:spPr>
          <c:marker>
            <c:symbol val="none"/>
          </c:marker>
          <c:cat>
            <c:numRef>
              <c:f>'Population distribution'!$A$5:$A$17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'Population distribution'!$C$5:$C$17</c:f>
              <c:numCache>
                <c:formatCode>General</c:formatCode>
                <c:ptCount val="13"/>
                <c:pt idx="0">
                  <c:v>57</c:v>
                </c:pt>
                <c:pt idx="1">
                  <c:v>103</c:v>
                </c:pt>
                <c:pt idx="2">
                  <c:v>94</c:v>
                </c:pt>
                <c:pt idx="3">
                  <c:v>19</c:v>
                </c:pt>
                <c:pt idx="4">
                  <c:v>41</c:v>
                </c:pt>
                <c:pt idx="5">
                  <c:v>66</c:v>
                </c:pt>
                <c:pt idx="6">
                  <c:v>68</c:v>
                </c:pt>
                <c:pt idx="7">
                  <c:v>41</c:v>
                </c:pt>
                <c:pt idx="8">
                  <c:v>114</c:v>
                </c:pt>
                <c:pt idx="9">
                  <c:v>123</c:v>
                </c:pt>
                <c:pt idx="10">
                  <c:v>78</c:v>
                </c:pt>
                <c:pt idx="11">
                  <c:v>58</c:v>
                </c:pt>
                <c:pt idx="12">
                  <c:v>47</c:v>
                </c:pt>
              </c:numCache>
            </c:numRef>
          </c:val>
          <c:smooth val="0"/>
          <c:extLst>
            <c:ext xmlns:c16="http://schemas.microsoft.com/office/drawing/2014/chart" uri="{C3380CC4-5D6E-409C-BE32-E72D297353CC}">
              <c16:uniqueId val="{00000000-9396-4FA3-A22C-7F0B7FE81748}"/>
            </c:ext>
          </c:extLst>
        </c:ser>
        <c:ser>
          <c:idx val="2"/>
          <c:order val="2"/>
          <c:tx>
            <c:v>Number of IPO receiving initial comment letters</c:v>
          </c:tx>
          <c:spPr>
            <a:ln w="28575" cap="rnd">
              <a:solidFill>
                <a:schemeClr val="accent3"/>
              </a:solidFill>
              <a:round/>
            </a:ln>
            <a:effectLst/>
          </c:spPr>
          <c:marker>
            <c:symbol val="none"/>
          </c:marker>
          <c:cat>
            <c:numRef>
              <c:f>'Population distribution'!$A$5:$A$17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'Population distribution'!$F$5:$F$17</c:f>
              <c:numCache>
                <c:formatCode>General</c:formatCode>
                <c:ptCount val="13"/>
                <c:pt idx="0">
                  <c:v>48</c:v>
                </c:pt>
                <c:pt idx="1">
                  <c:v>93</c:v>
                </c:pt>
                <c:pt idx="2">
                  <c:v>83</c:v>
                </c:pt>
                <c:pt idx="3">
                  <c:v>16</c:v>
                </c:pt>
                <c:pt idx="4">
                  <c:v>40</c:v>
                </c:pt>
                <c:pt idx="5">
                  <c:v>59</c:v>
                </c:pt>
                <c:pt idx="6">
                  <c:v>66</c:v>
                </c:pt>
                <c:pt idx="7">
                  <c:v>38</c:v>
                </c:pt>
                <c:pt idx="8">
                  <c:v>90</c:v>
                </c:pt>
                <c:pt idx="9">
                  <c:v>75</c:v>
                </c:pt>
                <c:pt idx="10">
                  <c:v>49</c:v>
                </c:pt>
                <c:pt idx="11">
                  <c:v>38</c:v>
                </c:pt>
                <c:pt idx="12">
                  <c:v>15</c:v>
                </c:pt>
              </c:numCache>
            </c:numRef>
          </c:val>
          <c:smooth val="0"/>
          <c:extLst>
            <c:ext xmlns:c16="http://schemas.microsoft.com/office/drawing/2014/chart" uri="{C3380CC4-5D6E-409C-BE32-E72D297353CC}">
              <c16:uniqueId val="{00000001-9396-4FA3-A22C-7F0B7FE81748}"/>
            </c:ext>
          </c:extLst>
        </c:ser>
        <c:ser>
          <c:idx val="3"/>
          <c:order val="3"/>
          <c:tx>
            <c:v>Proportion of IPO receiving iniial comment letters</c:v>
          </c:tx>
          <c:spPr>
            <a:ln w="28575" cap="rnd">
              <a:solidFill>
                <a:schemeClr val="accent4"/>
              </a:solidFill>
              <a:round/>
            </a:ln>
            <a:effectLst/>
          </c:spPr>
          <c:marker>
            <c:symbol val="none"/>
          </c:marker>
          <c:cat>
            <c:numRef>
              <c:f>'Population distribution'!$A$5:$A$17</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'Population distribution'!$I$5:$I$17</c:f>
              <c:numCache>
                <c:formatCode>0.00</c:formatCode>
                <c:ptCount val="13"/>
                <c:pt idx="0">
                  <c:v>84.210526315789465</c:v>
                </c:pt>
                <c:pt idx="1">
                  <c:v>90.291262135922338</c:v>
                </c:pt>
                <c:pt idx="2">
                  <c:v>88.297872340425528</c:v>
                </c:pt>
                <c:pt idx="3">
                  <c:v>84.210526315789465</c:v>
                </c:pt>
                <c:pt idx="4">
                  <c:v>97.560975609756099</c:v>
                </c:pt>
                <c:pt idx="5">
                  <c:v>89.393939393939391</c:v>
                </c:pt>
                <c:pt idx="6">
                  <c:v>97.058823529411768</c:v>
                </c:pt>
                <c:pt idx="7">
                  <c:v>92.682926829268297</c:v>
                </c:pt>
                <c:pt idx="8">
                  <c:v>78.94736842105263</c:v>
                </c:pt>
                <c:pt idx="9">
                  <c:v>60.975609756097562</c:v>
                </c:pt>
                <c:pt idx="10">
                  <c:v>62.820512820512818</c:v>
                </c:pt>
                <c:pt idx="11">
                  <c:v>65.517241379310349</c:v>
                </c:pt>
                <c:pt idx="12">
                  <c:v>31.914893617021278</c:v>
                </c:pt>
              </c:numCache>
            </c:numRef>
          </c:val>
          <c:smooth val="0"/>
          <c:extLst>
            <c:ext xmlns:c16="http://schemas.microsoft.com/office/drawing/2014/chart" uri="{C3380CC4-5D6E-409C-BE32-E72D297353CC}">
              <c16:uniqueId val="{00000002-9396-4FA3-A22C-7F0B7FE81748}"/>
            </c:ext>
          </c:extLst>
        </c:ser>
        <c:dLbls>
          <c:showLegendKey val="0"/>
          <c:showVal val="0"/>
          <c:showCatName val="0"/>
          <c:showSerName val="0"/>
          <c:showPercent val="0"/>
          <c:showBubbleSize val="0"/>
        </c:dLbls>
        <c:smooth val="0"/>
        <c:axId val="780369824"/>
        <c:axId val="780375072"/>
        <c:extLst>
          <c:ext xmlns:c15="http://schemas.microsoft.com/office/drawing/2012/chart" uri="{02D57815-91ED-43cb-92C2-25804820EDAC}">
            <c15:filteredLineSeries>
              <c15:ser>
                <c:idx val="0"/>
                <c:order val="0"/>
                <c:spPr>
                  <a:ln w="28575" cap="rnd">
                    <a:solidFill>
                      <a:schemeClr val="accent1"/>
                    </a:solidFill>
                    <a:round/>
                  </a:ln>
                  <a:effectLst/>
                </c:spPr>
                <c:marker>
                  <c:symbol val="none"/>
                </c:marker>
                <c:cat>
                  <c:numRef>
                    <c:extLst>
                      <c:ext uri="{02D57815-91ED-43cb-92C2-25804820EDAC}">
                        <c15:formulaRef>
                          <c15:sqref>'Population distribution'!$A$5:$A$17</c15:sqref>
                        </c15:formulaRef>
                      </c:ext>
                    </c:extLst>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extLst>
                      <c:ext uri="{02D57815-91ED-43cb-92C2-25804820EDAC}">
                        <c15:formulaRef>
                          <c15:sqref>'Population distribution'!$A$5:$A$17</c15:sqref>
                        </c15:formulaRef>
                      </c:ext>
                    </c:extLst>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val>
                <c:smooth val="0"/>
                <c:extLst>
                  <c:ext xmlns:c16="http://schemas.microsoft.com/office/drawing/2014/chart" uri="{C3380CC4-5D6E-409C-BE32-E72D297353CC}">
                    <c16:uniqueId val="{00000003-9396-4FA3-A22C-7F0B7FE81748}"/>
                  </c:ext>
                </c:extLst>
              </c15:ser>
            </c15:filteredLineSeries>
          </c:ext>
        </c:extLst>
      </c:lineChart>
      <c:catAx>
        <c:axId val="78036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75072"/>
        <c:crosses val="autoZero"/>
        <c:auto val="1"/>
        <c:lblAlgn val="ctr"/>
        <c:lblOffset val="100"/>
        <c:noMultiLvlLbl val="0"/>
      </c:catAx>
      <c:valAx>
        <c:axId val="780375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369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'Descriptives statistics_by year'!$C$2:$C$3</c:f>
              <c:strCache>
                <c:ptCount val="2"/>
                <c:pt idx="1">
                  <c:v>Mean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year'!$C$4:$C$16</c:f>
              <c:numCache>
                <c:formatCode>0.00</c:formatCode>
                <c:ptCount val="13"/>
                <c:pt idx="0">
                  <c:v>129.0351</c:v>
                </c:pt>
                <c:pt idx="1">
                  <c:v>130.09</c:v>
                </c:pt>
                <c:pt idx="2">
                  <c:v>149.90430000000001</c:v>
                </c:pt>
                <c:pt idx="3">
                  <c:v>426</c:v>
                </c:pt>
                <c:pt idx="4">
                  <c:v>144.8537</c:v>
                </c:pt>
                <c:pt idx="5">
                  <c:v>217.07579999999999</c:v>
                </c:pt>
                <c:pt idx="6">
                  <c:v>188.47059999999999</c:v>
                </c:pt>
                <c:pt idx="7">
                  <c:v>131.41460000000001</c:v>
                </c:pt>
                <c:pt idx="8">
                  <c:v>63.578949999999999</c:v>
                </c:pt>
                <c:pt idx="9">
                  <c:v>73.463409999999996</c:v>
                </c:pt>
                <c:pt idx="10">
                  <c:v>73.141030000000001</c:v>
                </c:pt>
                <c:pt idx="11">
                  <c:v>69.896550000000005</c:v>
                </c:pt>
                <c:pt idx="12">
                  <c:v>36.787230000000001</c:v>
                </c:pt>
              </c:numCache>
            </c:numRef>
          </c:val>
          <c:smooth val="0"/>
          <c:extLst>
            <c:ext xmlns:c16="http://schemas.microsoft.com/office/drawing/2014/chart" uri="{C3380CC4-5D6E-409C-BE32-E72D297353CC}">
              <c16:uniqueId val="{00000000-DDA4-40DA-9C65-7B9A8D1E5140}"/>
            </c:ext>
          </c:extLst>
        </c:ser>
        <c:ser>
          <c:idx val="1"/>
          <c:order val="1"/>
          <c:tx>
            <c:strRef>
              <c:f>'Descriptives statistics_by year'!$D$2:$D$3</c:f>
              <c:strCache>
                <c:ptCount val="2"/>
                <c:pt idx="1">
                  <c:v>Median</c:v>
                </c:pt>
              </c:strCache>
            </c:strRef>
          </c:tx>
          <c:spPr>
            <a:ln w="28575" cap="rnd">
              <a:solidFill>
                <a:schemeClr val="accent2"/>
              </a:solidFill>
              <a:round/>
            </a:ln>
            <a:effectLst/>
          </c:spPr>
          <c:marker>
            <c:symbol val="none"/>
          </c:marker>
          <c:dLbls>
            <c:dLbl>
              <c:idx val="3"/>
              <c:layout>
                <c:manualLayout>
                  <c:x val="1.6033490319204605E-2"/>
                  <c:y val="-2.174479845648433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DA4-40DA-9C65-7B9A8D1E51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year'!$D$4:$D$16</c:f>
              <c:numCache>
                <c:formatCode>General</c:formatCode>
                <c:ptCount val="13"/>
                <c:pt idx="0">
                  <c:v>108</c:v>
                </c:pt>
                <c:pt idx="1">
                  <c:v>107</c:v>
                </c:pt>
                <c:pt idx="2">
                  <c:v>100</c:v>
                </c:pt>
                <c:pt idx="3">
                  <c:v>427</c:v>
                </c:pt>
                <c:pt idx="4">
                  <c:v>105</c:v>
                </c:pt>
                <c:pt idx="5">
                  <c:v>124.5</c:v>
                </c:pt>
                <c:pt idx="6">
                  <c:v>144.5</c:v>
                </c:pt>
                <c:pt idx="7">
                  <c:v>108</c:v>
                </c:pt>
                <c:pt idx="8">
                  <c:v>44.5</c:v>
                </c:pt>
                <c:pt idx="9">
                  <c:v>42</c:v>
                </c:pt>
                <c:pt idx="10">
                  <c:v>37</c:v>
                </c:pt>
                <c:pt idx="11">
                  <c:v>36</c:v>
                </c:pt>
                <c:pt idx="12">
                  <c:v>27</c:v>
                </c:pt>
              </c:numCache>
            </c:numRef>
          </c:val>
          <c:smooth val="0"/>
          <c:extLst>
            <c:ext xmlns:c16="http://schemas.microsoft.com/office/drawing/2014/chart" uri="{C3380CC4-5D6E-409C-BE32-E72D297353CC}">
              <c16:uniqueId val="{00000002-DDA4-40DA-9C65-7B9A8D1E5140}"/>
            </c:ext>
          </c:extLst>
        </c:ser>
        <c:dLbls>
          <c:dLblPos val="t"/>
          <c:showLegendKey val="0"/>
          <c:showVal val="1"/>
          <c:showCatName val="0"/>
          <c:showSerName val="0"/>
          <c:showPercent val="0"/>
          <c:showBubbleSize val="0"/>
        </c:dLbls>
        <c:smooth val="0"/>
        <c:axId val="617505968"/>
        <c:axId val="617510888"/>
      </c:lineChart>
      <c:catAx>
        <c:axId val="61750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10888"/>
        <c:crosses val="autoZero"/>
        <c:auto val="1"/>
        <c:lblAlgn val="ctr"/>
        <c:lblOffset val="100"/>
        <c:noMultiLvlLbl val="0"/>
      </c:catAx>
      <c:valAx>
        <c:axId val="617510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05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'Descriptives statistics_by year'!$G$3</c:f>
              <c:strCache>
                <c:ptCount val="1"/>
                <c:pt idx="0">
                  <c:v>Mean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year'!$G$4:$G$16</c:f>
              <c:numCache>
                <c:formatCode>0.00</c:formatCode>
                <c:ptCount val="13"/>
                <c:pt idx="0">
                  <c:v>2.6666669999999999</c:v>
                </c:pt>
                <c:pt idx="1">
                  <c:v>3.427184</c:v>
                </c:pt>
                <c:pt idx="2">
                  <c:v>3.4574470000000002</c:v>
                </c:pt>
                <c:pt idx="3">
                  <c:v>4.8947370000000001</c:v>
                </c:pt>
                <c:pt idx="4">
                  <c:v>4.0243900000000004</c:v>
                </c:pt>
                <c:pt idx="5">
                  <c:v>4.3030299999999997</c:v>
                </c:pt>
                <c:pt idx="6">
                  <c:v>4.4852939999999997</c:v>
                </c:pt>
                <c:pt idx="7">
                  <c:v>3.4390239999999999</c:v>
                </c:pt>
                <c:pt idx="8">
                  <c:v>2.1052629999999999</c:v>
                </c:pt>
                <c:pt idx="9">
                  <c:v>1.650407</c:v>
                </c:pt>
                <c:pt idx="10">
                  <c:v>1.7179489999999999</c:v>
                </c:pt>
                <c:pt idx="11">
                  <c:v>1.4137930000000001</c:v>
                </c:pt>
                <c:pt idx="12">
                  <c:v>0.87234040000000002</c:v>
                </c:pt>
              </c:numCache>
            </c:numRef>
          </c:val>
          <c:smooth val="0"/>
          <c:extLst>
            <c:ext xmlns:c16="http://schemas.microsoft.com/office/drawing/2014/chart" uri="{C3380CC4-5D6E-409C-BE32-E72D297353CC}">
              <c16:uniqueId val="{00000000-0CA6-49B2-B51F-1DF3D8428E79}"/>
            </c:ext>
          </c:extLst>
        </c:ser>
        <c:ser>
          <c:idx val="1"/>
          <c:order val="1"/>
          <c:tx>
            <c:strRef>
              <c:f>'Descriptives statistics_by year'!$H$3</c:f>
              <c:strCache>
                <c:ptCount val="1"/>
                <c:pt idx="0">
                  <c:v>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year'!$H$4:$H$16</c:f>
              <c:numCache>
                <c:formatCode>0.00</c:formatCode>
                <c:ptCount val="13"/>
                <c:pt idx="0">
                  <c:v>3</c:v>
                </c:pt>
                <c:pt idx="1">
                  <c:v>3</c:v>
                </c:pt>
                <c:pt idx="2">
                  <c:v>3</c:v>
                </c:pt>
                <c:pt idx="3">
                  <c:v>5</c:v>
                </c:pt>
                <c:pt idx="4">
                  <c:v>4</c:v>
                </c:pt>
                <c:pt idx="5">
                  <c:v>4</c:v>
                </c:pt>
                <c:pt idx="6">
                  <c:v>4</c:v>
                </c:pt>
                <c:pt idx="7">
                  <c:v>3</c:v>
                </c:pt>
                <c:pt idx="8">
                  <c:v>2</c:v>
                </c:pt>
                <c:pt idx="9">
                  <c:v>1</c:v>
                </c:pt>
                <c:pt idx="10">
                  <c:v>1</c:v>
                </c:pt>
                <c:pt idx="11">
                  <c:v>1</c:v>
                </c:pt>
                <c:pt idx="12">
                  <c:v>0</c:v>
                </c:pt>
              </c:numCache>
            </c:numRef>
          </c:val>
          <c:smooth val="0"/>
          <c:extLst>
            <c:ext xmlns:c16="http://schemas.microsoft.com/office/drawing/2014/chart" uri="{C3380CC4-5D6E-409C-BE32-E72D297353CC}">
              <c16:uniqueId val="{00000001-0CA6-49B2-B51F-1DF3D8428E79}"/>
            </c:ext>
          </c:extLst>
        </c:ser>
        <c:dLbls>
          <c:dLblPos val="t"/>
          <c:showLegendKey val="0"/>
          <c:showVal val="1"/>
          <c:showCatName val="0"/>
          <c:showSerName val="0"/>
          <c:showPercent val="0"/>
          <c:showBubbleSize val="0"/>
        </c:dLbls>
        <c:smooth val="0"/>
        <c:axId val="617507608"/>
        <c:axId val="617508920"/>
      </c:lineChart>
      <c:catAx>
        <c:axId val="61750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08920"/>
        <c:crosses val="autoZero"/>
        <c:auto val="1"/>
        <c:lblAlgn val="ctr"/>
        <c:lblOffset val="100"/>
        <c:noMultiLvlLbl val="0"/>
      </c:catAx>
      <c:valAx>
        <c:axId val="617508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507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'Descriptives statistics_by year'!$K$3</c:f>
              <c:strCache>
                <c:ptCount val="1"/>
                <c:pt idx="0">
                  <c:v>Mean</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year'!$K$4:$K$16</c:f>
              <c:numCache>
                <c:formatCode>0.00</c:formatCode>
                <c:ptCount val="13"/>
                <c:pt idx="0">
                  <c:v>44.32</c:v>
                </c:pt>
                <c:pt idx="1">
                  <c:v>48.69</c:v>
                </c:pt>
                <c:pt idx="2">
                  <c:v>42.16</c:v>
                </c:pt>
                <c:pt idx="3">
                  <c:v>44.53</c:v>
                </c:pt>
                <c:pt idx="4">
                  <c:v>40.1</c:v>
                </c:pt>
                <c:pt idx="5">
                  <c:v>43.26</c:v>
                </c:pt>
                <c:pt idx="6">
                  <c:v>44.03</c:v>
                </c:pt>
                <c:pt idx="7">
                  <c:v>30.95</c:v>
                </c:pt>
                <c:pt idx="8">
                  <c:v>11.18</c:v>
                </c:pt>
                <c:pt idx="9">
                  <c:v>8.0500000000000007</c:v>
                </c:pt>
                <c:pt idx="10">
                  <c:v>3.99</c:v>
                </c:pt>
                <c:pt idx="11">
                  <c:v>6.53</c:v>
                </c:pt>
                <c:pt idx="12">
                  <c:v>2.96</c:v>
                </c:pt>
              </c:numCache>
            </c:numRef>
          </c:val>
          <c:smooth val="0"/>
          <c:extLst>
            <c:ext xmlns:c16="http://schemas.microsoft.com/office/drawing/2014/chart" uri="{C3380CC4-5D6E-409C-BE32-E72D297353CC}">
              <c16:uniqueId val="{00000000-98C3-4DB2-8106-AFEA3B80F1A2}"/>
            </c:ext>
          </c:extLst>
        </c:ser>
        <c:ser>
          <c:idx val="1"/>
          <c:order val="1"/>
          <c:tx>
            <c:strRef>
              <c:f>'Descriptives statistics_by year'!$L$3</c:f>
              <c:strCache>
                <c:ptCount val="1"/>
                <c:pt idx="0">
                  <c:v>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'Descriptives statistics_by year'!$A$4:$A$16</c:f>
              <c:numCache>
                <c:formatCode>General</c:formatCode>
                <c:ptCount val="13"/>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numCache>
            </c:numRef>
          </c:cat>
          <c:val>
            <c:numRef>
              <c:f>'Descriptives statistics_by year'!$L$4:$L$16</c:f>
              <c:numCache>
                <c:formatCode>General</c:formatCode>
                <c:ptCount val="13"/>
                <c:pt idx="0">
                  <c:v>50</c:v>
                </c:pt>
                <c:pt idx="1">
                  <c:v>52</c:v>
                </c:pt>
                <c:pt idx="2">
                  <c:v>44.5</c:v>
                </c:pt>
                <c:pt idx="3">
                  <c:v>42</c:v>
                </c:pt>
                <c:pt idx="4">
                  <c:v>37</c:v>
                </c:pt>
                <c:pt idx="5">
                  <c:v>44</c:v>
                </c:pt>
                <c:pt idx="6">
                  <c:v>43</c:v>
                </c:pt>
                <c:pt idx="7">
                  <c:v>37</c:v>
                </c:pt>
                <c:pt idx="8">
                  <c:v>4</c:v>
                </c:pt>
                <c:pt idx="9">
                  <c:v>2</c:v>
                </c:pt>
                <c:pt idx="10">
                  <c:v>1</c:v>
                </c:pt>
                <c:pt idx="11">
                  <c:v>2</c:v>
                </c:pt>
                <c:pt idx="12">
                  <c:v>0</c:v>
                </c:pt>
              </c:numCache>
            </c:numRef>
          </c:val>
          <c:smooth val="0"/>
          <c:extLst>
            <c:ext xmlns:c16="http://schemas.microsoft.com/office/drawing/2014/chart" uri="{C3380CC4-5D6E-409C-BE32-E72D297353CC}">
              <c16:uniqueId val="{00000001-98C3-4DB2-8106-AFEA3B80F1A2}"/>
            </c:ext>
          </c:extLst>
        </c:ser>
        <c:dLbls>
          <c:dLblPos val="t"/>
          <c:showLegendKey val="0"/>
          <c:showVal val="1"/>
          <c:showCatName val="0"/>
          <c:showSerName val="0"/>
          <c:showPercent val="0"/>
          <c:showBubbleSize val="0"/>
        </c:dLbls>
        <c:smooth val="0"/>
        <c:axId val="517066000"/>
        <c:axId val="517069280"/>
      </c:lineChart>
      <c:catAx>
        <c:axId val="517066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69280"/>
        <c:crosses val="autoZero"/>
        <c:auto val="1"/>
        <c:lblAlgn val="ctr"/>
        <c:lblOffset val="100"/>
        <c:noMultiLvlLbl val="0"/>
      </c:catAx>
      <c:valAx>
        <c:axId val="517069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66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1248F-3E32-424E-B208-584FE98FA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109</Pages>
  <Words>107538</Words>
  <Characters>612967</Characters>
  <Application>Microsoft Office Word</Application>
  <DocSecurity>0</DocSecurity>
  <Lines>5108</Lines>
  <Paragraphs>1438</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719067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Quyen Van (PGR)</dc:creator>
  <cp:keywords/>
  <dc:description/>
  <cp:lastModifiedBy>Tran, Vy 4</cp:lastModifiedBy>
  <cp:revision>2</cp:revision>
  <cp:lastPrinted>2019-04-17T17:31:00Z</cp:lastPrinted>
  <dcterms:created xsi:type="dcterms:W3CDTF">2023-01-18T13:06:00Z</dcterms:created>
  <dcterms:modified xsi:type="dcterms:W3CDTF">2023-01-18T13:06:00Z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dd481b80-dc66-3326-ad79-4322f4c8755e</vt:lpwstr>
  </property>
  <property fmtid="{D5CDD505-2E9C-101B-9397-08002B2CF9AE}" pid="24" name="Mendeley Citation Style_1">
    <vt:lpwstr>http://www.zotero.org/styles/apa</vt:lpwstr>
  </property>
</Properties>
</file>