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56" w:rsidRPr="000F5E91" w:rsidRDefault="001D3056" w:rsidP="001D3056">
      <w:pPr>
        <w:spacing w:line="480" w:lineRule="auto"/>
      </w:pPr>
      <w:bookmarkStart w:id="0" w:name="_GoBack"/>
      <w:bookmarkEnd w:id="0"/>
      <w:r>
        <w:t>Title: Defining, profiling and locating older people</w:t>
      </w:r>
      <w:r w:rsidR="00A61DCB">
        <w:t xml:space="preserve">: </w:t>
      </w:r>
      <w:r w:rsidR="00A61DCB" w:rsidRPr="000F5E91">
        <w:t>an inner city Afro-Caribbean Experience</w:t>
      </w:r>
    </w:p>
    <w:p w:rsidR="001D3056" w:rsidRDefault="001D3056" w:rsidP="001D3056">
      <w:pPr>
        <w:spacing w:line="480" w:lineRule="auto"/>
      </w:pPr>
      <w:r>
        <w:t xml:space="preserve">Authors: </w:t>
      </w:r>
      <w:r w:rsidR="002929A5">
        <w:t>*</w:t>
      </w:r>
      <w:r w:rsidRPr="002D72DC">
        <w:rPr>
          <w:bCs/>
        </w:rPr>
        <w:t>Moorley C</w:t>
      </w:r>
      <w:r>
        <w:rPr>
          <w:bCs/>
        </w:rPr>
        <w:t xml:space="preserve">alvin </w:t>
      </w:r>
      <w:r w:rsidRPr="002D72DC">
        <w:rPr>
          <w:bCs/>
        </w:rPr>
        <w:t>R and</w:t>
      </w:r>
      <w:r>
        <w:rPr>
          <w:bCs/>
        </w:rPr>
        <w:t xml:space="preserve"> </w:t>
      </w:r>
      <w:r>
        <w:t>*</w:t>
      </w:r>
      <w:r w:rsidR="002929A5">
        <w:t>*</w:t>
      </w:r>
      <w:r>
        <w:t>Corcoran Nova T</w:t>
      </w:r>
    </w:p>
    <w:p w:rsidR="001D3056" w:rsidRPr="002D72DC" w:rsidRDefault="001D3056" w:rsidP="001D3056">
      <w:pPr>
        <w:spacing w:line="480" w:lineRule="auto"/>
        <w:rPr>
          <w:b w:val="0"/>
        </w:rPr>
      </w:pPr>
      <w:proofErr w:type="gramStart"/>
      <w:r w:rsidRPr="002F398C">
        <w:t>Senior Lecturer, School of Health, Sport &amp; Bioscience, University of East London</w:t>
      </w:r>
      <w:r>
        <w:rPr>
          <w:b w:val="0"/>
        </w:rPr>
        <w:t>.</w:t>
      </w:r>
      <w:proofErr w:type="gramEnd"/>
      <w:r w:rsidRPr="002D72DC">
        <w:rPr>
          <w:b w:val="0"/>
        </w:rPr>
        <w:t xml:space="preserve"> </w:t>
      </w:r>
    </w:p>
    <w:p w:rsidR="001D3056" w:rsidRPr="002D72DC" w:rsidRDefault="002929A5" w:rsidP="001D3056">
      <w:pPr>
        <w:spacing w:line="480" w:lineRule="auto"/>
        <w:rPr>
          <w:b w:val="0"/>
        </w:rPr>
      </w:pPr>
      <w:r>
        <w:t>*</w:t>
      </w:r>
      <w:r w:rsidR="001D3056">
        <w:t xml:space="preserve">*Senior Lecturer, School of Health, Sport and Science, University of South Wales. </w:t>
      </w:r>
    </w:p>
    <w:p w:rsidR="001D6424" w:rsidRPr="009B5E1D" w:rsidRDefault="009772AB" w:rsidP="00664305">
      <w:pPr>
        <w:spacing w:line="480" w:lineRule="auto"/>
        <w:jc w:val="both"/>
        <w:rPr>
          <w:b w:val="0"/>
        </w:rPr>
      </w:pPr>
      <w:r>
        <w:rPr>
          <w:b w:val="0"/>
        </w:rPr>
        <w:t xml:space="preserve">The group labelled </w:t>
      </w:r>
      <w:r w:rsidR="00F477E6">
        <w:rPr>
          <w:b w:val="0"/>
        </w:rPr>
        <w:t>‘</w:t>
      </w:r>
      <w:r>
        <w:rPr>
          <w:b w:val="0"/>
        </w:rPr>
        <w:t>older people</w:t>
      </w:r>
      <w:r w:rsidR="00F477E6">
        <w:rPr>
          <w:b w:val="0"/>
        </w:rPr>
        <w:t>’</w:t>
      </w:r>
      <w:r>
        <w:rPr>
          <w:b w:val="0"/>
        </w:rPr>
        <w:t xml:space="preserve"> has</w:t>
      </w:r>
      <w:r w:rsidR="00FC4005">
        <w:rPr>
          <w:b w:val="0"/>
        </w:rPr>
        <w:t xml:space="preserve"> attracted</w:t>
      </w:r>
      <w:r>
        <w:rPr>
          <w:b w:val="0"/>
        </w:rPr>
        <w:t xml:space="preserve"> </w:t>
      </w:r>
      <w:r w:rsidR="00F477E6">
        <w:rPr>
          <w:b w:val="0"/>
        </w:rPr>
        <w:t xml:space="preserve">various </w:t>
      </w:r>
      <w:r w:rsidR="002D72DC">
        <w:rPr>
          <w:b w:val="0"/>
        </w:rPr>
        <w:t>definitions,</w:t>
      </w:r>
      <w:r>
        <w:rPr>
          <w:b w:val="0"/>
        </w:rPr>
        <w:t xml:space="preserve"> opinions and perspective</w:t>
      </w:r>
      <w:r w:rsidR="00F477E6">
        <w:rPr>
          <w:b w:val="0"/>
        </w:rPr>
        <w:t>s</w:t>
      </w:r>
      <w:r>
        <w:rPr>
          <w:b w:val="0"/>
        </w:rPr>
        <w:t xml:space="preserve"> </w:t>
      </w:r>
      <w:r w:rsidR="002D72DC">
        <w:rPr>
          <w:b w:val="0"/>
        </w:rPr>
        <w:t xml:space="preserve">across the </w:t>
      </w:r>
      <w:r w:rsidR="00F477E6">
        <w:rPr>
          <w:b w:val="0"/>
        </w:rPr>
        <w:t xml:space="preserve">globe </w:t>
      </w:r>
      <w:r w:rsidR="00443477">
        <w:rPr>
          <w:b w:val="0"/>
        </w:rPr>
        <w:t>(Victor 2010)</w:t>
      </w:r>
      <w:r w:rsidR="002D72DC">
        <w:rPr>
          <w:b w:val="0"/>
        </w:rPr>
        <w:t xml:space="preserve">. </w:t>
      </w:r>
      <w:r w:rsidR="009B5E1D">
        <w:rPr>
          <w:b w:val="0"/>
        </w:rPr>
        <w:t>The main reason for this is</w:t>
      </w:r>
      <w:r w:rsidR="002D72DC">
        <w:rPr>
          <w:b w:val="0"/>
        </w:rPr>
        <w:t xml:space="preserve"> the way </w:t>
      </w:r>
      <w:r w:rsidR="003D6185">
        <w:rPr>
          <w:b w:val="0"/>
        </w:rPr>
        <w:t>different</w:t>
      </w:r>
      <w:r w:rsidR="002D72DC">
        <w:rPr>
          <w:b w:val="0"/>
        </w:rPr>
        <w:t xml:space="preserve"> cultures view ageing and </w:t>
      </w:r>
      <w:r w:rsidR="00F477E6">
        <w:rPr>
          <w:b w:val="0"/>
        </w:rPr>
        <w:t>the ag</w:t>
      </w:r>
      <w:r w:rsidR="003D6185">
        <w:rPr>
          <w:b w:val="0"/>
        </w:rPr>
        <w:t>e</w:t>
      </w:r>
      <w:r w:rsidR="00F477E6">
        <w:rPr>
          <w:b w:val="0"/>
        </w:rPr>
        <w:t>ing process</w:t>
      </w:r>
      <w:r w:rsidR="002D72DC">
        <w:rPr>
          <w:b w:val="0"/>
        </w:rPr>
        <w:t xml:space="preserve">. </w:t>
      </w:r>
      <w:r w:rsidR="00FC4005">
        <w:rPr>
          <w:b w:val="0"/>
        </w:rPr>
        <w:t xml:space="preserve"> </w:t>
      </w:r>
      <w:r w:rsidR="008B14BE">
        <w:rPr>
          <w:b w:val="0"/>
        </w:rPr>
        <w:t>The predominant</w:t>
      </w:r>
      <w:r w:rsidR="00FC4005">
        <w:rPr>
          <w:b w:val="0"/>
        </w:rPr>
        <w:t xml:space="preserve"> opinion </w:t>
      </w:r>
      <w:r w:rsidR="008B14BE">
        <w:rPr>
          <w:b w:val="0"/>
        </w:rPr>
        <w:t xml:space="preserve">is </w:t>
      </w:r>
      <w:proofErr w:type="gramStart"/>
      <w:r w:rsidR="001E079F">
        <w:rPr>
          <w:b w:val="0"/>
        </w:rPr>
        <w:t>that</w:t>
      </w:r>
      <w:proofErr w:type="gramEnd"/>
      <w:r w:rsidR="001E079F">
        <w:rPr>
          <w:b w:val="0"/>
        </w:rPr>
        <w:t xml:space="preserve"> being</w:t>
      </w:r>
      <w:r w:rsidR="00FC4005">
        <w:rPr>
          <w:b w:val="0"/>
        </w:rPr>
        <w:t xml:space="preserve"> ‘old’ is a biological and social context</w:t>
      </w:r>
      <w:r w:rsidR="008B14BE">
        <w:rPr>
          <w:b w:val="0"/>
        </w:rPr>
        <w:t>,</w:t>
      </w:r>
      <w:r w:rsidR="00FC4005">
        <w:rPr>
          <w:b w:val="0"/>
        </w:rPr>
        <w:t xml:space="preserve"> </w:t>
      </w:r>
      <w:r w:rsidR="00F477E6">
        <w:rPr>
          <w:b w:val="0"/>
        </w:rPr>
        <w:t xml:space="preserve">for example </w:t>
      </w:r>
      <w:r w:rsidR="00FC4005">
        <w:rPr>
          <w:b w:val="0"/>
        </w:rPr>
        <w:t xml:space="preserve">a calendar age </w:t>
      </w:r>
      <w:r w:rsidR="008B14BE">
        <w:rPr>
          <w:b w:val="0"/>
        </w:rPr>
        <w:t xml:space="preserve">is </w:t>
      </w:r>
      <w:r w:rsidR="00FC4005">
        <w:rPr>
          <w:b w:val="0"/>
        </w:rPr>
        <w:t xml:space="preserve">used </w:t>
      </w:r>
      <w:r w:rsidR="000330CE" w:rsidRPr="000330CE">
        <w:rPr>
          <w:b w:val="0"/>
        </w:rPr>
        <w:t>to mark ageing linking ‘old’ to biological ageing</w:t>
      </w:r>
      <w:r w:rsidR="001E079F">
        <w:rPr>
          <w:b w:val="0"/>
        </w:rPr>
        <w:t>.</w:t>
      </w:r>
      <w:r w:rsidR="000330CE" w:rsidRPr="000330CE">
        <w:rPr>
          <w:b w:val="0"/>
        </w:rPr>
        <w:t xml:space="preserve"> There are also commonly held markers of old age for example retirement age, state pension age, or becoming a grand-parent. There is no</w:t>
      </w:r>
      <w:r w:rsidR="008661F3">
        <w:rPr>
          <w:b w:val="0"/>
        </w:rPr>
        <w:t xml:space="preserve"> </w:t>
      </w:r>
      <w:r w:rsidR="000330CE" w:rsidRPr="000330CE">
        <w:rPr>
          <w:b w:val="0"/>
        </w:rPr>
        <w:t>consensus of what it is to reach old age. In the UK the term is often used to describe those of retirement age, the default age being 65. Even this has been phased out and the legal retirement age has been removed</w:t>
      </w:r>
      <w:r w:rsidR="00A70580">
        <w:rPr>
          <w:b w:val="0"/>
        </w:rPr>
        <w:t xml:space="preserve"> </w:t>
      </w:r>
      <w:r w:rsidR="00443477">
        <w:rPr>
          <w:b w:val="0"/>
        </w:rPr>
        <w:t>(UK Government Retirement Age 2013)</w:t>
      </w:r>
      <w:r w:rsidR="000330CE" w:rsidRPr="000330CE">
        <w:rPr>
          <w:b w:val="0"/>
        </w:rPr>
        <w:t xml:space="preserve">. Whilst this might be a positive step in terms of ageing, </w:t>
      </w:r>
      <w:r w:rsidR="00A70580">
        <w:rPr>
          <w:b w:val="0"/>
        </w:rPr>
        <w:t xml:space="preserve">it </w:t>
      </w:r>
      <w:r w:rsidR="00A70580" w:rsidRPr="000330CE">
        <w:rPr>
          <w:b w:val="0"/>
        </w:rPr>
        <w:t>further</w:t>
      </w:r>
      <w:r w:rsidR="000330CE" w:rsidRPr="000330CE">
        <w:rPr>
          <w:b w:val="0"/>
        </w:rPr>
        <w:t xml:space="preserve"> </w:t>
      </w:r>
      <w:r w:rsidR="00303444">
        <w:rPr>
          <w:b w:val="0"/>
        </w:rPr>
        <w:t xml:space="preserve">blurs </w:t>
      </w:r>
      <w:r w:rsidR="000330CE" w:rsidRPr="000330CE">
        <w:rPr>
          <w:b w:val="0"/>
        </w:rPr>
        <w:t xml:space="preserve">the definitions </w:t>
      </w:r>
      <w:proofErr w:type="gramStart"/>
      <w:r w:rsidR="005C54A1">
        <w:rPr>
          <w:b w:val="0"/>
        </w:rPr>
        <w:t xml:space="preserve">of </w:t>
      </w:r>
      <w:r w:rsidR="000330CE" w:rsidRPr="000330CE">
        <w:rPr>
          <w:b w:val="0"/>
        </w:rPr>
        <w:t xml:space="preserve"> ‘old</w:t>
      </w:r>
      <w:proofErr w:type="gramEnd"/>
      <w:r w:rsidR="000330CE" w:rsidRPr="000330CE">
        <w:rPr>
          <w:b w:val="0"/>
        </w:rPr>
        <w:t xml:space="preserve"> age’ and ‘older people’. </w:t>
      </w:r>
    </w:p>
    <w:p w:rsidR="00E118D9" w:rsidRDefault="007A1341" w:rsidP="00664305">
      <w:pPr>
        <w:spacing w:line="480" w:lineRule="auto"/>
        <w:jc w:val="both"/>
        <w:rPr>
          <w:b w:val="0"/>
        </w:rPr>
      </w:pPr>
      <w:r>
        <w:rPr>
          <w:b w:val="0"/>
        </w:rPr>
        <w:t>D</w:t>
      </w:r>
      <w:r w:rsidR="000330CE" w:rsidRPr="000330CE">
        <w:rPr>
          <w:b w:val="0"/>
        </w:rPr>
        <w:t xml:space="preserve">emographic characteristics of older people in the UK </w:t>
      </w:r>
      <w:r>
        <w:rPr>
          <w:b w:val="0"/>
        </w:rPr>
        <w:t xml:space="preserve">have been </w:t>
      </w:r>
      <w:r w:rsidR="005C54A1">
        <w:rPr>
          <w:b w:val="0"/>
        </w:rPr>
        <w:t>previously identified</w:t>
      </w:r>
      <w:r>
        <w:rPr>
          <w:b w:val="0"/>
        </w:rPr>
        <w:t xml:space="preserve"> </w:t>
      </w:r>
      <w:r w:rsidR="00443477">
        <w:rPr>
          <w:b w:val="0"/>
        </w:rPr>
        <w:t>(</w:t>
      </w:r>
      <w:proofErr w:type="spellStart"/>
      <w:r w:rsidR="00443477" w:rsidRPr="00C546D3">
        <w:rPr>
          <w:b w:val="0"/>
        </w:rPr>
        <w:t>Tomassini</w:t>
      </w:r>
      <w:proofErr w:type="spellEnd"/>
      <w:r w:rsidR="00443477" w:rsidDel="00443477">
        <w:rPr>
          <w:b w:val="0"/>
        </w:rPr>
        <w:t xml:space="preserve"> </w:t>
      </w:r>
      <w:r w:rsidR="00443477">
        <w:rPr>
          <w:b w:val="0"/>
        </w:rPr>
        <w:t>2005)</w:t>
      </w:r>
      <w:r w:rsidR="000330CE" w:rsidRPr="000330CE">
        <w:rPr>
          <w:b w:val="0"/>
        </w:rPr>
        <w:t xml:space="preserve"> </w:t>
      </w:r>
      <w:r>
        <w:rPr>
          <w:b w:val="0"/>
        </w:rPr>
        <w:t xml:space="preserve">and now form </w:t>
      </w:r>
      <w:r w:rsidR="000330CE" w:rsidRPr="000330CE">
        <w:rPr>
          <w:b w:val="0"/>
        </w:rPr>
        <w:t xml:space="preserve">categories of ageing that </w:t>
      </w:r>
      <w:r w:rsidR="005C54A1">
        <w:rPr>
          <w:b w:val="0"/>
        </w:rPr>
        <w:t>are</w:t>
      </w:r>
      <w:r w:rsidR="000330CE" w:rsidRPr="000330CE">
        <w:rPr>
          <w:b w:val="0"/>
        </w:rPr>
        <w:t xml:space="preserve"> used as standard in the UK.  These are the ‘young old’ aged between 65 and 74 years. The ‘old </w:t>
      </w:r>
      <w:proofErr w:type="spellStart"/>
      <w:r w:rsidR="000330CE" w:rsidRPr="000330CE">
        <w:rPr>
          <w:b w:val="0"/>
        </w:rPr>
        <w:t>old</w:t>
      </w:r>
      <w:proofErr w:type="spellEnd"/>
      <w:r w:rsidR="000330CE" w:rsidRPr="000330CE">
        <w:rPr>
          <w:b w:val="0"/>
        </w:rPr>
        <w:t>’ aged between 75 and 90 years and the ‘very old’ those over 90 years</w:t>
      </w:r>
      <w:r w:rsidR="001E079F">
        <w:rPr>
          <w:b w:val="0"/>
        </w:rPr>
        <w:t xml:space="preserve">. </w:t>
      </w:r>
      <w:r w:rsidR="000330CE" w:rsidRPr="000330CE">
        <w:rPr>
          <w:b w:val="0"/>
        </w:rPr>
        <w:t xml:space="preserve">For older adults ageing may be measured in terms of physical and psychological changes </w:t>
      </w:r>
      <w:r w:rsidR="000330CE" w:rsidRPr="000330CE">
        <w:rPr>
          <w:b w:val="0"/>
        </w:rPr>
        <w:lastRenderedPageBreak/>
        <w:t xml:space="preserve">predominately focussing on deteriorations. There are three main approaches to defining ageing. The chronological approach, which takes into account the number of </w:t>
      </w:r>
      <w:proofErr w:type="gramStart"/>
      <w:r w:rsidR="000330CE" w:rsidRPr="000330CE">
        <w:rPr>
          <w:b w:val="0"/>
        </w:rPr>
        <w:t>year</w:t>
      </w:r>
      <w:r w:rsidR="005C54A1">
        <w:rPr>
          <w:b w:val="0"/>
        </w:rPr>
        <w:t>s</w:t>
      </w:r>
      <w:proofErr w:type="gramEnd"/>
      <w:r w:rsidR="000330CE" w:rsidRPr="000330CE">
        <w:rPr>
          <w:b w:val="0"/>
        </w:rPr>
        <w:t xml:space="preserve"> lived. The social meaning of age</w:t>
      </w:r>
      <w:r w:rsidR="00443477">
        <w:rPr>
          <w:b w:val="0"/>
        </w:rPr>
        <w:t xml:space="preserve"> </w:t>
      </w:r>
      <w:r w:rsidR="000330CE" w:rsidRPr="000330CE">
        <w:rPr>
          <w:b w:val="0"/>
        </w:rPr>
        <w:t>which takes into account subjective perceptions</w:t>
      </w:r>
      <w:r w:rsidR="005C54A1">
        <w:rPr>
          <w:b w:val="0"/>
        </w:rPr>
        <w:t>,</w:t>
      </w:r>
      <w:r w:rsidR="000330CE" w:rsidRPr="000330CE">
        <w:rPr>
          <w:b w:val="0"/>
        </w:rPr>
        <w:t xml:space="preserve"> for example how the individual feels about themselves, what their age means to them and the social meanings attached to age. The final approach is based on a social construction </w:t>
      </w:r>
      <w:r w:rsidR="005C54A1">
        <w:rPr>
          <w:b w:val="0"/>
        </w:rPr>
        <w:t>or</w:t>
      </w:r>
      <w:r w:rsidR="005C54A1" w:rsidRPr="000330CE">
        <w:rPr>
          <w:b w:val="0"/>
        </w:rPr>
        <w:t xml:space="preserve"> </w:t>
      </w:r>
      <w:r w:rsidR="000330CE" w:rsidRPr="000330CE">
        <w:rPr>
          <w:b w:val="0"/>
        </w:rPr>
        <w:t xml:space="preserve">structural approach; this is where the social representations of ageing in institutions (e.g. hospitals, prisons, universities etc.) and Government departments’ interest and ideologies define age. For example guidance may be set around the minimum age to retire.  It is important to acknowledge these approaches when working with older people, as different age groups and institutions will have varying perspectives on ageing and therefore </w:t>
      </w:r>
      <w:r w:rsidR="005C54A1">
        <w:rPr>
          <w:b w:val="0"/>
        </w:rPr>
        <w:t>expectations and stereotypes of older people</w:t>
      </w:r>
      <w:r w:rsidR="000330CE" w:rsidRPr="000330CE">
        <w:rPr>
          <w:b w:val="0"/>
        </w:rPr>
        <w:t xml:space="preserve">. </w:t>
      </w:r>
    </w:p>
    <w:p w:rsidR="00A70580" w:rsidRPr="007A1341" w:rsidRDefault="00A70580" w:rsidP="00664305">
      <w:pPr>
        <w:spacing w:line="480" w:lineRule="auto"/>
        <w:jc w:val="both"/>
      </w:pPr>
      <w:r w:rsidRPr="007A1341">
        <w:t xml:space="preserve">Locating and </w:t>
      </w:r>
      <w:r w:rsidR="007A1341" w:rsidRPr="007A1341">
        <w:t>profiling</w:t>
      </w:r>
      <w:r w:rsidRPr="007A1341">
        <w:t xml:space="preserve"> older people </w:t>
      </w:r>
    </w:p>
    <w:p w:rsidR="00C65DE8" w:rsidRPr="009B5E1D" w:rsidDel="00C65DE8" w:rsidRDefault="000330CE" w:rsidP="00664305">
      <w:pPr>
        <w:spacing w:line="480" w:lineRule="auto"/>
        <w:jc w:val="both"/>
        <w:rPr>
          <w:b w:val="0"/>
        </w:rPr>
      </w:pPr>
      <w:r w:rsidRPr="000330CE">
        <w:rPr>
          <w:b w:val="0"/>
        </w:rPr>
        <w:t>As individuals age and reach the point where active contribution is no longer possible they may begin to fade out of the fabric of society.  This makes it difficult to locate older people particularly in inner cities. Inner cities are generally characterised as vibrant communities with young working population</w:t>
      </w:r>
      <w:r w:rsidR="00297585">
        <w:rPr>
          <w:b w:val="0"/>
        </w:rPr>
        <w:t>s.</w:t>
      </w:r>
      <w:r w:rsidRPr="000330CE">
        <w:rPr>
          <w:b w:val="0"/>
        </w:rPr>
        <w:t xml:space="preserve"> Whilst this is true in some areas</w:t>
      </w:r>
      <w:r w:rsidR="00297585">
        <w:rPr>
          <w:b w:val="0"/>
        </w:rPr>
        <w:t>,</w:t>
      </w:r>
      <w:r w:rsidRPr="000330CE">
        <w:rPr>
          <w:b w:val="0"/>
        </w:rPr>
        <w:t xml:space="preserve"> for example in Tower Hamlets (London</w:t>
      </w:r>
      <w:r w:rsidR="00297585">
        <w:rPr>
          <w:b w:val="0"/>
        </w:rPr>
        <w:t>, UK</w:t>
      </w:r>
      <w:r w:rsidRPr="000330CE">
        <w:rPr>
          <w:b w:val="0"/>
        </w:rPr>
        <w:t xml:space="preserve">) only 6% of the </w:t>
      </w:r>
      <w:r w:rsidR="00297585">
        <w:rPr>
          <w:b w:val="0"/>
        </w:rPr>
        <w:t xml:space="preserve">local </w:t>
      </w:r>
      <w:r w:rsidRPr="000330CE">
        <w:rPr>
          <w:b w:val="0"/>
        </w:rPr>
        <w:t>population are over 65</w:t>
      </w:r>
      <w:r w:rsidR="00297585">
        <w:rPr>
          <w:b w:val="0"/>
        </w:rPr>
        <w:t>. However,</w:t>
      </w:r>
      <w:r w:rsidRPr="000330CE">
        <w:rPr>
          <w:b w:val="0"/>
        </w:rPr>
        <w:t xml:space="preserve"> </w:t>
      </w:r>
      <w:r w:rsidR="00967E71">
        <w:rPr>
          <w:b w:val="0"/>
        </w:rPr>
        <w:t xml:space="preserve">this still means there </w:t>
      </w:r>
      <w:r w:rsidR="00297585">
        <w:rPr>
          <w:b w:val="0"/>
        </w:rPr>
        <w:t>are a small proportion of older people</w:t>
      </w:r>
      <w:r w:rsidR="00967E71">
        <w:rPr>
          <w:b w:val="0"/>
        </w:rPr>
        <w:t xml:space="preserve"> living within this area </w:t>
      </w:r>
      <w:r w:rsidR="00443477">
        <w:rPr>
          <w:b w:val="0"/>
        </w:rPr>
        <w:t>(Office for National Statistics 2012)</w:t>
      </w:r>
      <w:r w:rsidRPr="000330CE">
        <w:rPr>
          <w:b w:val="0"/>
        </w:rPr>
        <w:t xml:space="preserve">. Cities </w:t>
      </w:r>
      <w:r w:rsidR="00191F7C">
        <w:rPr>
          <w:b w:val="0"/>
        </w:rPr>
        <w:t>are</w:t>
      </w:r>
      <w:r w:rsidR="00967E71">
        <w:rPr>
          <w:b w:val="0"/>
        </w:rPr>
        <w:t xml:space="preserve"> </w:t>
      </w:r>
      <w:r w:rsidRPr="000330CE">
        <w:rPr>
          <w:b w:val="0"/>
        </w:rPr>
        <w:t>fast paced</w:t>
      </w:r>
      <w:r w:rsidR="00297585">
        <w:rPr>
          <w:b w:val="0"/>
        </w:rPr>
        <w:t>,</w:t>
      </w:r>
      <w:r w:rsidRPr="000330CE">
        <w:rPr>
          <w:b w:val="0"/>
        </w:rPr>
        <w:t xml:space="preserve"> with services and facilities aimed and marketed at a younger </w:t>
      </w:r>
      <w:r w:rsidR="00297585">
        <w:rPr>
          <w:b w:val="0"/>
        </w:rPr>
        <w:t>population</w:t>
      </w:r>
      <w:r w:rsidR="00297585" w:rsidRPr="000330CE">
        <w:rPr>
          <w:b w:val="0"/>
        </w:rPr>
        <w:t xml:space="preserve"> </w:t>
      </w:r>
      <w:r w:rsidR="00191F7C">
        <w:rPr>
          <w:b w:val="0"/>
        </w:rPr>
        <w:t xml:space="preserve">often </w:t>
      </w:r>
      <w:r w:rsidRPr="000330CE">
        <w:rPr>
          <w:b w:val="0"/>
        </w:rPr>
        <w:t xml:space="preserve">with little emphasis on older people. The difficulty in locating older people within this context is predominately linked to the macro (structural and societal) and individual (personal) perspectives. A number of factors </w:t>
      </w:r>
      <w:r w:rsidR="00967E71">
        <w:rPr>
          <w:b w:val="0"/>
        </w:rPr>
        <w:t>contribute</w:t>
      </w:r>
      <w:r w:rsidR="00967E71" w:rsidRPr="000330CE">
        <w:rPr>
          <w:b w:val="0"/>
        </w:rPr>
        <w:t xml:space="preserve"> </w:t>
      </w:r>
      <w:r w:rsidRPr="000330CE">
        <w:rPr>
          <w:b w:val="0"/>
        </w:rPr>
        <w:t>to older peopl</w:t>
      </w:r>
      <w:r w:rsidR="00967E71">
        <w:rPr>
          <w:b w:val="0"/>
        </w:rPr>
        <w:t>e’s invisibility with</w:t>
      </w:r>
      <w:r w:rsidRPr="000330CE">
        <w:rPr>
          <w:b w:val="0"/>
        </w:rPr>
        <w:t>in inner cities. Some of these includ</w:t>
      </w:r>
      <w:r w:rsidR="008B0FE2">
        <w:rPr>
          <w:b w:val="0"/>
        </w:rPr>
        <w:t>e</w:t>
      </w:r>
      <w:r w:rsidRPr="000330CE">
        <w:rPr>
          <w:b w:val="0"/>
        </w:rPr>
        <w:t xml:space="preserve"> disability, reduced functional status, personal desire to </w:t>
      </w:r>
      <w:r w:rsidRPr="000330CE">
        <w:rPr>
          <w:b w:val="0"/>
        </w:rPr>
        <w:lastRenderedPageBreak/>
        <w:t xml:space="preserve">withdraw from society, accessible transportation, affordable and appropriate housing, </w:t>
      </w:r>
      <w:proofErr w:type="gramStart"/>
      <w:r w:rsidRPr="000330CE">
        <w:rPr>
          <w:b w:val="0"/>
        </w:rPr>
        <w:t>lack</w:t>
      </w:r>
      <w:proofErr w:type="gramEnd"/>
      <w:r w:rsidRPr="000330CE">
        <w:rPr>
          <w:b w:val="0"/>
        </w:rPr>
        <w:t xml:space="preserve"> of community cohesiveness, </w:t>
      </w:r>
      <w:r w:rsidR="00297585">
        <w:rPr>
          <w:b w:val="0"/>
        </w:rPr>
        <w:t xml:space="preserve">perceptions of </w:t>
      </w:r>
      <w:r w:rsidRPr="000330CE">
        <w:rPr>
          <w:b w:val="0"/>
        </w:rPr>
        <w:t xml:space="preserve">safety in the home and neighbourhood, lack of understanding </w:t>
      </w:r>
      <w:r w:rsidR="00967E71">
        <w:rPr>
          <w:b w:val="0"/>
        </w:rPr>
        <w:t xml:space="preserve">or </w:t>
      </w:r>
      <w:r w:rsidRPr="000330CE">
        <w:rPr>
          <w:b w:val="0"/>
        </w:rPr>
        <w:t xml:space="preserve">support from community services and loss of meaningful relationships </w:t>
      </w:r>
      <w:r w:rsidR="00443477">
        <w:rPr>
          <w:b w:val="0"/>
        </w:rPr>
        <w:t>(Moorley 2012, Moorley et al 2013)</w:t>
      </w:r>
      <w:r w:rsidRPr="000330CE">
        <w:rPr>
          <w:b w:val="0"/>
        </w:rPr>
        <w:t xml:space="preserve">.   </w:t>
      </w:r>
    </w:p>
    <w:p w:rsidR="00C65DE8" w:rsidRPr="009B5E1D" w:rsidRDefault="000330CE" w:rsidP="00664305">
      <w:pPr>
        <w:spacing w:line="480" w:lineRule="auto"/>
        <w:jc w:val="both"/>
        <w:rPr>
          <w:b w:val="0"/>
        </w:rPr>
      </w:pPr>
      <w:r w:rsidRPr="000330CE">
        <w:rPr>
          <w:b w:val="0"/>
        </w:rPr>
        <w:t xml:space="preserve">There are a variety of ways that older people can be located for participation in planning and </w:t>
      </w:r>
      <w:r w:rsidR="00297585" w:rsidRPr="000330CE">
        <w:rPr>
          <w:b w:val="0"/>
        </w:rPr>
        <w:t>creati</w:t>
      </w:r>
      <w:r w:rsidR="00297585">
        <w:rPr>
          <w:b w:val="0"/>
        </w:rPr>
        <w:t>ng</w:t>
      </w:r>
      <w:r w:rsidRPr="000330CE">
        <w:rPr>
          <w:b w:val="0"/>
        </w:rPr>
        <w:t xml:space="preserve"> health promotion opportunities. </w:t>
      </w:r>
      <w:r w:rsidR="007A1341">
        <w:rPr>
          <w:b w:val="0"/>
        </w:rPr>
        <w:t>E</w:t>
      </w:r>
      <w:r w:rsidRPr="000330CE">
        <w:rPr>
          <w:b w:val="0"/>
        </w:rPr>
        <w:t xml:space="preserve">vidence based guidelines for older people </w:t>
      </w:r>
      <w:r w:rsidR="00443477">
        <w:rPr>
          <w:b w:val="0"/>
        </w:rPr>
        <w:t>(Lis et al 2008)</w:t>
      </w:r>
      <w:r w:rsidR="007A1341">
        <w:rPr>
          <w:b w:val="0"/>
        </w:rPr>
        <w:t xml:space="preserve"> </w:t>
      </w:r>
      <w:r w:rsidRPr="000330CE">
        <w:rPr>
          <w:b w:val="0"/>
        </w:rPr>
        <w:t>identify a range of locations where older target groups could be reached. These include using key persons, such as community leaders</w:t>
      </w:r>
      <w:r w:rsidR="00191F7C">
        <w:rPr>
          <w:b w:val="0"/>
        </w:rPr>
        <w:t>,</w:t>
      </w:r>
      <w:r w:rsidRPr="000330CE">
        <w:rPr>
          <w:b w:val="0"/>
        </w:rPr>
        <w:t xml:space="preserve"> and using existing groups </w:t>
      </w:r>
      <w:r w:rsidR="00297585">
        <w:rPr>
          <w:b w:val="0"/>
        </w:rPr>
        <w:t>associated with</w:t>
      </w:r>
      <w:r w:rsidRPr="000330CE">
        <w:rPr>
          <w:b w:val="0"/>
        </w:rPr>
        <w:t xml:space="preserve"> older people. </w:t>
      </w:r>
    </w:p>
    <w:p w:rsidR="001E079F" w:rsidRDefault="000330CE" w:rsidP="00664305">
      <w:pPr>
        <w:spacing w:line="480" w:lineRule="auto"/>
        <w:jc w:val="both"/>
        <w:rPr>
          <w:b w:val="0"/>
        </w:rPr>
      </w:pPr>
      <w:r w:rsidRPr="000330CE">
        <w:rPr>
          <w:b w:val="0"/>
        </w:rPr>
        <w:t xml:space="preserve">Community context shapes how health promotion works including demographics, economic conditions, values and norms within </w:t>
      </w:r>
      <w:r w:rsidR="00191F7C">
        <w:rPr>
          <w:b w:val="0"/>
        </w:rPr>
        <w:t>a</w:t>
      </w:r>
      <w:r w:rsidR="00967E71">
        <w:rPr>
          <w:b w:val="0"/>
        </w:rPr>
        <w:t xml:space="preserve"> </w:t>
      </w:r>
      <w:r w:rsidRPr="000330CE">
        <w:rPr>
          <w:b w:val="0"/>
        </w:rPr>
        <w:t xml:space="preserve">community </w:t>
      </w:r>
      <w:r w:rsidR="00443477">
        <w:rPr>
          <w:b w:val="0"/>
        </w:rPr>
        <w:t>(</w:t>
      </w:r>
      <w:proofErr w:type="spellStart"/>
      <w:r w:rsidR="00443477" w:rsidRPr="00C546D3">
        <w:rPr>
          <w:b w:val="0"/>
        </w:rPr>
        <w:t>Kegler</w:t>
      </w:r>
      <w:proofErr w:type="spellEnd"/>
      <w:r w:rsidR="00443477" w:rsidRPr="00C546D3">
        <w:rPr>
          <w:b w:val="0"/>
        </w:rPr>
        <w:t xml:space="preserve"> </w:t>
      </w:r>
      <w:r w:rsidR="00443477">
        <w:rPr>
          <w:b w:val="0"/>
        </w:rPr>
        <w:t>et al 2011)</w:t>
      </w:r>
      <w:r w:rsidRPr="000330CE">
        <w:rPr>
          <w:b w:val="0"/>
        </w:rPr>
        <w:t>. As older people tend to rely more on local services</w:t>
      </w:r>
      <w:r w:rsidR="00297585">
        <w:rPr>
          <w:b w:val="0"/>
        </w:rPr>
        <w:t>,</w:t>
      </w:r>
      <w:r w:rsidRPr="000330CE">
        <w:rPr>
          <w:b w:val="0"/>
        </w:rPr>
        <w:t xml:space="preserve"> health promotion may be more sustainable if a target group can both be located and offered opportunities within the same context. The relationship between health behaviours and variables such as access to facilities can act as barriers to health promotion. By combining a settings based approach in the targeting of older people access to services are acknowledged.  Other advantages to utilising a settings based approach include incorporation of a multidisciplinary </w:t>
      </w:r>
      <w:r w:rsidR="00C3515A">
        <w:rPr>
          <w:b w:val="0"/>
        </w:rPr>
        <w:t>stance</w:t>
      </w:r>
      <w:r w:rsidR="00C3515A" w:rsidRPr="000330CE">
        <w:rPr>
          <w:b w:val="0"/>
        </w:rPr>
        <w:t xml:space="preserve"> </w:t>
      </w:r>
      <w:r w:rsidRPr="000330CE">
        <w:rPr>
          <w:b w:val="0"/>
        </w:rPr>
        <w:t xml:space="preserve">to health that acknowledges the wider determinants.  </w:t>
      </w:r>
    </w:p>
    <w:p w:rsidR="001E079F" w:rsidRDefault="000330CE" w:rsidP="00664305">
      <w:pPr>
        <w:spacing w:line="480" w:lineRule="auto"/>
        <w:jc w:val="both"/>
        <w:rPr>
          <w:b w:val="0"/>
          <w:color w:val="00B050"/>
        </w:rPr>
      </w:pPr>
      <w:r w:rsidRPr="000330CE">
        <w:rPr>
          <w:b w:val="0"/>
        </w:rPr>
        <w:t xml:space="preserve">Within an inner city context social spaces such as cafes, hairdressers, barbers, local clubs, post offices, convenience stores, places of worship or libraries </w:t>
      </w:r>
      <w:r w:rsidR="00303444">
        <w:rPr>
          <w:b w:val="0"/>
        </w:rPr>
        <w:t xml:space="preserve">present </w:t>
      </w:r>
      <w:r w:rsidRPr="000330CE">
        <w:rPr>
          <w:b w:val="0"/>
        </w:rPr>
        <w:t xml:space="preserve">opportunities to reach older people. These areas usually already have elements that are catalytic in a settings based approach. These include partnerships, a community focus, availability and access to services </w:t>
      </w:r>
      <w:r w:rsidR="00191F7C">
        <w:rPr>
          <w:b w:val="0"/>
        </w:rPr>
        <w:t xml:space="preserve">or </w:t>
      </w:r>
      <w:r w:rsidRPr="000330CE">
        <w:rPr>
          <w:b w:val="0"/>
        </w:rPr>
        <w:t xml:space="preserve">facilities and supportive relationships </w:t>
      </w:r>
      <w:r w:rsidR="00443477">
        <w:rPr>
          <w:b w:val="0"/>
        </w:rPr>
        <w:t>(</w:t>
      </w:r>
      <w:r w:rsidR="00443477" w:rsidRPr="00C546D3">
        <w:rPr>
          <w:b w:val="0"/>
        </w:rPr>
        <w:t>Peterson</w:t>
      </w:r>
      <w:r w:rsidR="00443477" w:rsidDel="00443477">
        <w:rPr>
          <w:b w:val="0"/>
        </w:rPr>
        <w:t xml:space="preserve"> </w:t>
      </w:r>
      <w:r w:rsidR="00443477">
        <w:rPr>
          <w:b w:val="0"/>
        </w:rPr>
        <w:t>et al 2002)</w:t>
      </w:r>
      <w:r w:rsidRPr="000330CE">
        <w:rPr>
          <w:b w:val="0"/>
        </w:rPr>
        <w:t xml:space="preserve">.  A settings approach may also capture those who are isolated or </w:t>
      </w:r>
      <w:r w:rsidR="00191F7C">
        <w:rPr>
          <w:b w:val="0"/>
        </w:rPr>
        <w:lastRenderedPageBreak/>
        <w:t>not participating within</w:t>
      </w:r>
      <w:r w:rsidRPr="000330CE">
        <w:rPr>
          <w:b w:val="0"/>
        </w:rPr>
        <w:t xml:space="preserve"> formal group</w:t>
      </w:r>
      <w:r w:rsidR="00191F7C">
        <w:rPr>
          <w:b w:val="0"/>
        </w:rPr>
        <w:t>s</w:t>
      </w:r>
      <w:r w:rsidRPr="000330CE">
        <w:rPr>
          <w:b w:val="0"/>
        </w:rPr>
        <w:t>. For example convenience stores have potential to offer a range of healthy food initiatives in inner city areas, or barbers have the potential to offer blood pressure checks (a scheme already in existence in the US)</w:t>
      </w:r>
      <w:r w:rsidR="007A1341">
        <w:rPr>
          <w:b w:val="0"/>
        </w:rPr>
        <w:t xml:space="preserve"> </w:t>
      </w:r>
      <w:r w:rsidR="00443477">
        <w:rPr>
          <w:b w:val="0"/>
        </w:rPr>
        <w:t>(BBHOP Back B</w:t>
      </w:r>
      <w:r w:rsidR="00443477" w:rsidRPr="00C546D3">
        <w:rPr>
          <w:b w:val="0"/>
        </w:rPr>
        <w:t>arbershop 2013</w:t>
      </w:r>
      <w:r w:rsidR="00443477">
        <w:rPr>
          <w:b w:val="0"/>
        </w:rPr>
        <w:t>)</w:t>
      </w:r>
      <w:r w:rsidRPr="000330CE">
        <w:rPr>
          <w:b w:val="0"/>
        </w:rPr>
        <w:t>.</w:t>
      </w:r>
      <w:r w:rsidR="00967E71">
        <w:rPr>
          <w:b w:val="0"/>
        </w:rPr>
        <w:t xml:space="preserve"> </w:t>
      </w:r>
      <w:r w:rsidRPr="000330CE">
        <w:rPr>
          <w:b w:val="0"/>
        </w:rPr>
        <w:t xml:space="preserve"> </w:t>
      </w:r>
      <w:r w:rsidR="00967E71">
        <w:rPr>
          <w:b w:val="0"/>
        </w:rPr>
        <w:t>G</w:t>
      </w:r>
      <w:r w:rsidRPr="000330CE">
        <w:rPr>
          <w:b w:val="0"/>
        </w:rPr>
        <w:t xml:space="preserve">roups </w:t>
      </w:r>
      <w:r w:rsidR="00191F7C">
        <w:rPr>
          <w:b w:val="0"/>
        </w:rPr>
        <w:t xml:space="preserve">of older people </w:t>
      </w:r>
      <w:r w:rsidRPr="000330CE">
        <w:rPr>
          <w:b w:val="0"/>
        </w:rPr>
        <w:t>may already exist</w:t>
      </w:r>
      <w:r w:rsidR="00191F7C">
        <w:rPr>
          <w:b w:val="0"/>
        </w:rPr>
        <w:t xml:space="preserve"> within a setting</w:t>
      </w:r>
      <w:r w:rsidRPr="000330CE">
        <w:rPr>
          <w:b w:val="0"/>
        </w:rPr>
        <w:t xml:space="preserve">. This includes organised groups such as craft groups or leisure groups and more informal groups for example monthly get-togethers.  Settings also offer access to community gatekeepers (i.e. church leaders) and influential peers who can potentially </w:t>
      </w:r>
      <w:r w:rsidR="00C3515A">
        <w:rPr>
          <w:b w:val="0"/>
        </w:rPr>
        <w:t>encourage</w:t>
      </w:r>
      <w:r w:rsidR="00C3515A" w:rsidRPr="000330CE">
        <w:rPr>
          <w:b w:val="0"/>
        </w:rPr>
        <w:t xml:space="preserve"> </w:t>
      </w:r>
      <w:r w:rsidRPr="000330CE">
        <w:rPr>
          <w:b w:val="0"/>
        </w:rPr>
        <w:t>healthy behaviours</w:t>
      </w:r>
      <w:r w:rsidR="00967E71">
        <w:rPr>
          <w:b w:val="0"/>
        </w:rPr>
        <w:t>.</w:t>
      </w:r>
      <w:r w:rsidRPr="000330CE">
        <w:rPr>
          <w:b w:val="0"/>
        </w:rPr>
        <w:t xml:space="preserve"> </w:t>
      </w:r>
      <w:r w:rsidR="00967E71">
        <w:rPr>
          <w:b w:val="0"/>
        </w:rPr>
        <w:t>T</w:t>
      </w:r>
      <w:r w:rsidR="005929D6">
        <w:rPr>
          <w:b w:val="0"/>
        </w:rPr>
        <w:t xml:space="preserve">hey </w:t>
      </w:r>
      <w:r w:rsidRPr="000330CE">
        <w:rPr>
          <w:b w:val="0"/>
        </w:rPr>
        <w:t xml:space="preserve">may </w:t>
      </w:r>
      <w:r w:rsidR="00967E71">
        <w:rPr>
          <w:b w:val="0"/>
        </w:rPr>
        <w:t xml:space="preserve">also </w:t>
      </w:r>
      <w:r w:rsidRPr="000330CE">
        <w:rPr>
          <w:b w:val="0"/>
        </w:rPr>
        <w:t xml:space="preserve">have access to groups </w:t>
      </w:r>
      <w:r w:rsidR="00303444">
        <w:rPr>
          <w:b w:val="0"/>
        </w:rPr>
        <w:t xml:space="preserve">who </w:t>
      </w:r>
      <w:r w:rsidRPr="000330CE">
        <w:rPr>
          <w:b w:val="0"/>
        </w:rPr>
        <w:t xml:space="preserve">are less visible </w:t>
      </w:r>
      <w:r w:rsidR="00C3515A">
        <w:rPr>
          <w:b w:val="0"/>
        </w:rPr>
        <w:t>such as</w:t>
      </w:r>
      <w:r w:rsidRPr="000330CE">
        <w:rPr>
          <w:b w:val="0"/>
        </w:rPr>
        <w:t xml:space="preserve"> housebound or specific ethnic groups. Key opinion leaders within communities may be helpful in encouraging others to participate and engage within health promotion opportunities</w:t>
      </w:r>
      <w:r w:rsidR="00191F7C">
        <w:rPr>
          <w:b w:val="0"/>
        </w:rPr>
        <w:t xml:space="preserve">. </w:t>
      </w:r>
    </w:p>
    <w:p w:rsidR="001E079F" w:rsidRDefault="000330CE" w:rsidP="00664305">
      <w:pPr>
        <w:spacing w:line="480" w:lineRule="auto"/>
        <w:jc w:val="both"/>
        <w:rPr>
          <w:b w:val="0"/>
        </w:rPr>
      </w:pPr>
      <w:r w:rsidRPr="000330CE">
        <w:rPr>
          <w:b w:val="0"/>
        </w:rPr>
        <w:t>The most effective health promotion programmes have accurate information about the health determinants and needs of their target group</w:t>
      </w:r>
      <w:r w:rsidR="00443477">
        <w:rPr>
          <w:b w:val="0"/>
        </w:rPr>
        <w:t xml:space="preserve"> (</w:t>
      </w:r>
      <w:r w:rsidR="00443477" w:rsidRPr="00C546D3">
        <w:rPr>
          <w:b w:val="0"/>
        </w:rPr>
        <w:t>Corcoran</w:t>
      </w:r>
      <w:r w:rsidR="00443477">
        <w:rPr>
          <w:b w:val="0"/>
        </w:rPr>
        <w:t xml:space="preserve"> et al 2013)</w:t>
      </w:r>
      <w:r w:rsidRPr="000330CE">
        <w:rPr>
          <w:b w:val="0"/>
        </w:rPr>
        <w:t xml:space="preserve">. As older people are not a homogenous group identifying </w:t>
      </w:r>
      <w:r w:rsidR="005929D6">
        <w:rPr>
          <w:b w:val="0"/>
        </w:rPr>
        <w:t>key</w:t>
      </w:r>
      <w:r w:rsidR="005929D6" w:rsidRPr="000330CE">
        <w:rPr>
          <w:b w:val="0"/>
        </w:rPr>
        <w:t xml:space="preserve"> </w:t>
      </w:r>
      <w:r w:rsidRPr="000330CE">
        <w:rPr>
          <w:b w:val="0"/>
        </w:rPr>
        <w:t>target group</w:t>
      </w:r>
      <w:r w:rsidR="005929D6">
        <w:rPr>
          <w:b w:val="0"/>
        </w:rPr>
        <w:t>s</w:t>
      </w:r>
      <w:r w:rsidRPr="000330CE">
        <w:rPr>
          <w:b w:val="0"/>
        </w:rPr>
        <w:t xml:space="preserve"> is </w:t>
      </w:r>
      <w:r w:rsidR="009B5E1D">
        <w:rPr>
          <w:b w:val="0"/>
        </w:rPr>
        <w:t xml:space="preserve">imperative. </w:t>
      </w:r>
      <w:r w:rsidRPr="000330CE">
        <w:rPr>
          <w:b w:val="0"/>
        </w:rPr>
        <w:t>The health status of older people is linked to multiple influences and some may experience changes in their health status in a relatively short period of time. In an inner city context there may be complexities linked to experiences of poverty, migration, culture and ethnicity</w:t>
      </w:r>
      <w:r w:rsidR="009B5E1D">
        <w:rPr>
          <w:b w:val="0"/>
        </w:rPr>
        <w:t xml:space="preserve"> which impact on the design and delivery of health promotion. </w:t>
      </w:r>
      <w:r w:rsidRPr="000330CE">
        <w:rPr>
          <w:b w:val="0"/>
        </w:rPr>
        <w:t xml:space="preserve">Involvement of the target group within the planning of health promotion helps to address these issues </w:t>
      </w:r>
      <w:r w:rsidR="009B5E1D">
        <w:rPr>
          <w:b w:val="0"/>
        </w:rPr>
        <w:t xml:space="preserve">and </w:t>
      </w:r>
      <w:r w:rsidRPr="000330CE">
        <w:rPr>
          <w:b w:val="0"/>
        </w:rPr>
        <w:t>fosters participation</w:t>
      </w:r>
      <w:r w:rsidR="00F02AF7">
        <w:rPr>
          <w:b w:val="0"/>
        </w:rPr>
        <w:t xml:space="preserve"> and sustainability. </w:t>
      </w:r>
    </w:p>
    <w:p w:rsidR="001E079F" w:rsidRDefault="000330CE" w:rsidP="00664305">
      <w:pPr>
        <w:spacing w:line="480" w:lineRule="auto"/>
        <w:jc w:val="both"/>
        <w:rPr>
          <w:b w:val="0"/>
        </w:rPr>
      </w:pPr>
      <w:r w:rsidRPr="000330CE">
        <w:rPr>
          <w:b w:val="0"/>
        </w:rPr>
        <w:t xml:space="preserve">To </w:t>
      </w:r>
      <w:r w:rsidR="009B5E1D">
        <w:rPr>
          <w:b w:val="0"/>
        </w:rPr>
        <w:t xml:space="preserve">capture </w:t>
      </w:r>
      <w:r w:rsidR="00085E8B">
        <w:rPr>
          <w:b w:val="0"/>
        </w:rPr>
        <w:t xml:space="preserve">a </w:t>
      </w:r>
      <w:r w:rsidRPr="000330CE">
        <w:rPr>
          <w:b w:val="0"/>
        </w:rPr>
        <w:t xml:space="preserve">demographic picture of </w:t>
      </w:r>
      <w:r w:rsidR="009B5E1D">
        <w:rPr>
          <w:b w:val="0"/>
        </w:rPr>
        <w:t>the older</w:t>
      </w:r>
      <w:r w:rsidRPr="000330CE">
        <w:rPr>
          <w:b w:val="0"/>
        </w:rPr>
        <w:t xml:space="preserve"> population the </w:t>
      </w:r>
      <w:r w:rsidR="009B5E1D">
        <w:rPr>
          <w:b w:val="0"/>
        </w:rPr>
        <w:t xml:space="preserve">World Health Organization </w:t>
      </w:r>
      <w:proofErr w:type="gramStart"/>
      <w:r w:rsidRPr="000330CE">
        <w:rPr>
          <w:b w:val="0"/>
        </w:rPr>
        <w:t>have</w:t>
      </w:r>
      <w:proofErr w:type="gramEnd"/>
      <w:r w:rsidRPr="000330CE">
        <w:rPr>
          <w:b w:val="0"/>
        </w:rPr>
        <w:t xml:space="preserve"> produced guidance on healthy ag</w:t>
      </w:r>
      <w:r w:rsidR="00303444">
        <w:rPr>
          <w:b w:val="0"/>
        </w:rPr>
        <w:t>e</w:t>
      </w:r>
      <w:r w:rsidRPr="000330CE">
        <w:rPr>
          <w:b w:val="0"/>
        </w:rPr>
        <w:t xml:space="preserve">ing profiles </w:t>
      </w:r>
      <w:r w:rsidR="00443477">
        <w:rPr>
          <w:b w:val="0"/>
        </w:rPr>
        <w:t>(</w:t>
      </w:r>
      <w:proofErr w:type="spellStart"/>
      <w:r w:rsidR="00443477" w:rsidRPr="00C546D3">
        <w:rPr>
          <w:b w:val="0"/>
        </w:rPr>
        <w:t>Kanstrom</w:t>
      </w:r>
      <w:proofErr w:type="spellEnd"/>
      <w:r w:rsidR="00443477" w:rsidDel="00443477">
        <w:rPr>
          <w:b w:val="0"/>
        </w:rPr>
        <w:t xml:space="preserve"> </w:t>
      </w:r>
      <w:r w:rsidR="00443477">
        <w:rPr>
          <w:b w:val="0"/>
        </w:rPr>
        <w:t>et al 2008)</w:t>
      </w:r>
      <w:r w:rsidRPr="000330CE">
        <w:rPr>
          <w:b w:val="0"/>
        </w:rPr>
        <w:t xml:space="preserve">. This is a comprehensive plan </w:t>
      </w:r>
      <w:r w:rsidR="009B5E1D">
        <w:rPr>
          <w:b w:val="0"/>
        </w:rPr>
        <w:t xml:space="preserve">with 22 indicators </w:t>
      </w:r>
      <w:r w:rsidRPr="000330CE">
        <w:rPr>
          <w:b w:val="0"/>
        </w:rPr>
        <w:t xml:space="preserve">suggesting profiling </w:t>
      </w:r>
      <w:r w:rsidR="009B5E1D">
        <w:rPr>
          <w:b w:val="0"/>
        </w:rPr>
        <w:t xml:space="preserve">in </w:t>
      </w:r>
      <w:r w:rsidRPr="000330CE">
        <w:rPr>
          <w:b w:val="0"/>
        </w:rPr>
        <w:t xml:space="preserve">three sections; a population profile, </w:t>
      </w:r>
      <w:r w:rsidR="00D90FA7">
        <w:rPr>
          <w:b w:val="0"/>
        </w:rPr>
        <w:t xml:space="preserve">information about </w:t>
      </w:r>
      <w:r w:rsidRPr="000330CE">
        <w:rPr>
          <w:b w:val="0"/>
        </w:rPr>
        <w:t xml:space="preserve">access to health and social support services, </w:t>
      </w:r>
      <w:r w:rsidR="00D90FA7">
        <w:rPr>
          <w:b w:val="0"/>
        </w:rPr>
        <w:t xml:space="preserve">a </w:t>
      </w:r>
      <w:r w:rsidRPr="000330CE">
        <w:rPr>
          <w:b w:val="0"/>
        </w:rPr>
        <w:t xml:space="preserve">socioeconomic portrait and </w:t>
      </w:r>
      <w:r w:rsidR="00D90FA7">
        <w:rPr>
          <w:b w:val="0"/>
        </w:rPr>
        <w:t xml:space="preserve">identification of </w:t>
      </w:r>
      <w:r w:rsidRPr="000330CE">
        <w:rPr>
          <w:b w:val="0"/>
        </w:rPr>
        <w:t xml:space="preserve">vulnerabilities and strengths.  </w:t>
      </w:r>
      <w:r w:rsidR="00D90FA7">
        <w:rPr>
          <w:b w:val="0"/>
        </w:rPr>
        <w:lastRenderedPageBreak/>
        <w:t>The p</w:t>
      </w:r>
      <w:r w:rsidR="00D90FA7" w:rsidRPr="000330CE">
        <w:rPr>
          <w:b w:val="0"/>
        </w:rPr>
        <w:t xml:space="preserve">opulation </w:t>
      </w:r>
      <w:r w:rsidRPr="000330CE">
        <w:rPr>
          <w:b w:val="0"/>
        </w:rPr>
        <w:t>profile includes structure of households and health status indicators such as morbidity and mortality. Access to health and social support services includes values, responsibilities and city delivery. The socioeconomic portrait</w:t>
      </w:r>
      <w:r w:rsidR="00911D48">
        <w:rPr>
          <w:b w:val="0"/>
        </w:rPr>
        <w:t xml:space="preserve"> includes</w:t>
      </w:r>
      <w:r w:rsidRPr="000330CE">
        <w:rPr>
          <w:b w:val="0"/>
        </w:rPr>
        <w:t xml:space="preserve"> economics, transport and participation of older people. This </w:t>
      </w:r>
      <w:r w:rsidR="009B5E1D">
        <w:rPr>
          <w:b w:val="0"/>
        </w:rPr>
        <w:t>is</w:t>
      </w:r>
      <w:r w:rsidRPr="000330CE">
        <w:rPr>
          <w:b w:val="0"/>
        </w:rPr>
        <w:t xml:space="preserve"> a useful technique but may miss the fundamental realities of </w:t>
      </w:r>
      <w:r w:rsidR="00911D48" w:rsidRPr="00C65DE8">
        <w:rPr>
          <w:b w:val="0"/>
        </w:rPr>
        <w:t>day-to-day</w:t>
      </w:r>
      <w:r w:rsidRPr="000330CE">
        <w:rPr>
          <w:b w:val="0"/>
        </w:rPr>
        <w:t xml:space="preserve"> life for older people and the health promotion opportunities available</w:t>
      </w:r>
      <w:r w:rsidR="009B5E1D">
        <w:rPr>
          <w:b w:val="0"/>
        </w:rPr>
        <w:t xml:space="preserve"> in </w:t>
      </w:r>
      <w:r w:rsidR="005929D6">
        <w:rPr>
          <w:b w:val="0"/>
        </w:rPr>
        <w:t xml:space="preserve">different </w:t>
      </w:r>
      <w:r w:rsidR="009B5E1D">
        <w:rPr>
          <w:b w:val="0"/>
        </w:rPr>
        <w:t xml:space="preserve">inner cities. </w:t>
      </w:r>
      <w:r w:rsidRPr="000330CE">
        <w:rPr>
          <w:b w:val="0"/>
        </w:rPr>
        <w:t xml:space="preserve"> </w:t>
      </w:r>
      <w:r w:rsidR="009B5E1D">
        <w:rPr>
          <w:b w:val="0"/>
        </w:rPr>
        <w:t>A</w:t>
      </w:r>
      <w:r w:rsidR="00F02AF7">
        <w:rPr>
          <w:b w:val="0"/>
        </w:rPr>
        <w:t xml:space="preserve"> </w:t>
      </w:r>
      <w:r w:rsidRPr="000330CE">
        <w:rPr>
          <w:b w:val="0"/>
        </w:rPr>
        <w:t>hands-on profile</w:t>
      </w:r>
      <w:r w:rsidR="00F02AF7">
        <w:rPr>
          <w:b w:val="0"/>
        </w:rPr>
        <w:t xml:space="preserve"> compiled by older people</w:t>
      </w:r>
      <w:r w:rsidR="009B5E1D">
        <w:rPr>
          <w:b w:val="0"/>
        </w:rPr>
        <w:t xml:space="preserve"> could supplement this profile. </w:t>
      </w:r>
      <w:r w:rsidRPr="000330CE">
        <w:rPr>
          <w:b w:val="0"/>
        </w:rPr>
        <w:t xml:space="preserve">Standard methods </w:t>
      </w:r>
      <w:r w:rsidR="00F21D47">
        <w:rPr>
          <w:b w:val="0"/>
        </w:rPr>
        <w:t xml:space="preserve">could </w:t>
      </w:r>
      <w:r w:rsidRPr="000330CE">
        <w:rPr>
          <w:b w:val="0"/>
        </w:rPr>
        <w:t xml:space="preserve">include community based visits to inner city areas and accessing existing older people groups and services. Data could be collected using interviews, focus groups and other feedback </w:t>
      </w:r>
      <w:r w:rsidR="00911D48">
        <w:rPr>
          <w:b w:val="0"/>
        </w:rPr>
        <w:t>mechanism</w:t>
      </w:r>
      <w:r w:rsidR="005929D6">
        <w:rPr>
          <w:b w:val="0"/>
        </w:rPr>
        <w:t>s</w:t>
      </w:r>
      <w:r w:rsidRPr="000330CE">
        <w:rPr>
          <w:b w:val="0"/>
        </w:rPr>
        <w:t xml:space="preserve">. </w:t>
      </w:r>
      <w:r w:rsidR="00085E8B">
        <w:rPr>
          <w:b w:val="0"/>
        </w:rPr>
        <w:t>Situating</w:t>
      </w:r>
      <w:r w:rsidR="00085E8B" w:rsidRPr="000330CE">
        <w:rPr>
          <w:b w:val="0"/>
        </w:rPr>
        <w:t xml:space="preserve"> </w:t>
      </w:r>
      <w:r w:rsidRPr="000330CE">
        <w:rPr>
          <w:b w:val="0"/>
        </w:rPr>
        <w:t xml:space="preserve">a local spokesperson in a local community setting where feedback can be </w:t>
      </w:r>
      <w:r w:rsidR="00D90FA7">
        <w:rPr>
          <w:b w:val="0"/>
        </w:rPr>
        <w:t>sought</w:t>
      </w:r>
      <w:r w:rsidR="00D90FA7" w:rsidRPr="000330CE">
        <w:rPr>
          <w:b w:val="0"/>
        </w:rPr>
        <w:t xml:space="preserve"> </w:t>
      </w:r>
      <w:r w:rsidRPr="000330CE">
        <w:rPr>
          <w:b w:val="0"/>
        </w:rPr>
        <w:t>may also</w:t>
      </w:r>
      <w:r w:rsidR="009B0A2A">
        <w:rPr>
          <w:b w:val="0"/>
        </w:rPr>
        <w:t xml:space="preserve"> </w:t>
      </w:r>
      <w:r w:rsidR="004A4AF6">
        <w:rPr>
          <w:b w:val="0"/>
        </w:rPr>
        <w:t>highlight health concerns</w:t>
      </w:r>
      <w:r w:rsidR="009B5E1D">
        <w:rPr>
          <w:b w:val="0"/>
        </w:rPr>
        <w:t xml:space="preserve">. Less traditional </w:t>
      </w:r>
      <w:r w:rsidR="00F02AF7">
        <w:rPr>
          <w:b w:val="0"/>
        </w:rPr>
        <w:t>data</w:t>
      </w:r>
      <w:r w:rsidR="00085E8B">
        <w:rPr>
          <w:b w:val="0"/>
        </w:rPr>
        <w:t>-</w:t>
      </w:r>
      <w:r w:rsidR="00F02AF7">
        <w:rPr>
          <w:b w:val="0"/>
        </w:rPr>
        <w:t xml:space="preserve">collection techniques may also suit older people for example photo </w:t>
      </w:r>
      <w:r w:rsidR="005929D6">
        <w:rPr>
          <w:b w:val="0"/>
        </w:rPr>
        <w:t xml:space="preserve">or video </w:t>
      </w:r>
      <w:r w:rsidR="00F02AF7">
        <w:rPr>
          <w:b w:val="0"/>
        </w:rPr>
        <w:t xml:space="preserve">voice </w:t>
      </w:r>
      <w:r w:rsidR="00F02AF7" w:rsidRPr="00743846">
        <w:rPr>
          <w:b w:val="0"/>
        </w:rPr>
        <w:t xml:space="preserve">which </w:t>
      </w:r>
      <w:r w:rsidR="00085E8B">
        <w:rPr>
          <w:b w:val="0"/>
        </w:rPr>
        <w:t>could also</w:t>
      </w:r>
      <w:r w:rsidR="00085E8B" w:rsidRPr="00743846">
        <w:rPr>
          <w:b w:val="0"/>
        </w:rPr>
        <w:t xml:space="preserve"> </w:t>
      </w:r>
      <w:r w:rsidR="00F02AF7" w:rsidRPr="00743846">
        <w:rPr>
          <w:b w:val="0"/>
        </w:rPr>
        <w:t>be a means of health advocacy, health promotion and communication</w:t>
      </w:r>
      <w:r w:rsidR="00F02AF7">
        <w:rPr>
          <w:b w:val="0"/>
        </w:rPr>
        <w:t xml:space="preserve"> </w:t>
      </w:r>
      <w:r w:rsidR="00443477">
        <w:rPr>
          <w:b w:val="0"/>
        </w:rPr>
        <w:t>(</w:t>
      </w:r>
      <w:proofErr w:type="spellStart"/>
      <w:r w:rsidR="00443477" w:rsidRPr="00C546D3">
        <w:rPr>
          <w:b w:val="0"/>
        </w:rPr>
        <w:t>Catalani</w:t>
      </w:r>
      <w:proofErr w:type="spellEnd"/>
      <w:r w:rsidR="00443477" w:rsidDel="00443477">
        <w:rPr>
          <w:b w:val="0"/>
        </w:rPr>
        <w:t xml:space="preserve"> </w:t>
      </w:r>
      <w:r w:rsidR="00443477">
        <w:rPr>
          <w:b w:val="0"/>
        </w:rPr>
        <w:t>et al 2012)</w:t>
      </w:r>
      <w:r w:rsidR="00F02AF7">
        <w:rPr>
          <w:b w:val="0"/>
        </w:rPr>
        <w:t xml:space="preserve">. </w:t>
      </w:r>
    </w:p>
    <w:p w:rsidR="009B5E1D" w:rsidRDefault="009B5E1D" w:rsidP="00664305">
      <w:pPr>
        <w:spacing w:line="480" w:lineRule="auto"/>
        <w:jc w:val="both"/>
        <w:rPr>
          <w:b w:val="0"/>
        </w:rPr>
      </w:pPr>
      <w:r>
        <w:rPr>
          <w:b w:val="0"/>
        </w:rPr>
        <w:t xml:space="preserve">Inner cities </w:t>
      </w:r>
      <w:r w:rsidR="005929D6">
        <w:rPr>
          <w:b w:val="0"/>
        </w:rPr>
        <w:t>have potential to be drivers of change for older people as they have a wide</w:t>
      </w:r>
      <w:r>
        <w:rPr>
          <w:b w:val="0"/>
        </w:rPr>
        <w:t xml:space="preserve"> range of facilities and resources that can be utilised to improve health. As a society we frame older people based on the biological markers </w:t>
      </w:r>
      <w:r w:rsidR="00D90FA7">
        <w:rPr>
          <w:b w:val="0"/>
        </w:rPr>
        <w:t xml:space="preserve">of </w:t>
      </w:r>
      <w:r>
        <w:rPr>
          <w:b w:val="0"/>
        </w:rPr>
        <w:t>old age but we neglect to consider the individuality of older people</w:t>
      </w:r>
      <w:r w:rsidR="00D90FA7">
        <w:rPr>
          <w:b w:val="0"/>
        </w:rPr>
        <w:t>;</w:t>
      </w:r>
      <w:r w:rsidR="005929D6">
        <w:rPr>
          <w:b w:val="0"/>
        </w:rPr>
        <w:t xml:space="preserve"> yet a city is a perfect location to celebrate this diversity. </w:t>
      </w:r>
      <w:r>
        <w:rPr>
          <w:b w:val="0"/>
        </w:rPr>
        <w:t xml:space="preserve">Inner city areas are in a prime location to engage and encourage older people to participate and facilitate a wide range of health promotion opportunities. Locating and profiling older people </w:t>
      </w:r>
      <w:r w:rsidR="005929D6">
        <w:rPr>
          <w:b w:val="0"/>
        </w:rPr>
        <w:t xml:space="preserve">within these areas </w:t>
      </w:r>
      <w:r>
        <w:rPr>
          <w:b w:val="0"/>
        </w:rPr>
        <w:t xml:space="preserve">offers the catalyst to activate age friendly cities and capitalise on what an inner city can offer to everyone. </w:t>
      </w:r>
    </w:p>
    <w:p w:rsidR="00FC4005" w:rsidRPr="009B5E1D" w:rsidRDefault="000330CE" w:rsidP="00664305">
      <w:pPr>
        <w:spacing w:line="480" w:lineRule="auto"/>
        <w:jc w:val="both"/>
      </w:pPr>
      <w:r w:rsidRPr="000330CE">
        <w:t xml:space="preserve">Authors note </w:t>
      </w:r>
    </w:p>
    <w:p w:rsidR="009B5E1D" w:rsidRDefault="009B5E1D" w:rsidP="00664305">
      <w:pPr>
        <w:spacing w:line="480" w:lineRule="auto"/>
        <w:jc w:val="both"/>
        <w:rPr>
          <w:b w:val="0"/>
        </w:rPr>
      </w:pPr>
      <w:r>
        <w:rPr>
          <w:b w:val="0"/>
        </w:rPr>
        <w:lastRenderedPageBreak/>
        <w:t xml:space="preserve">This </w:t>
      </w:r>
      <w:r w:rsidR="000F5E91">
        <w:rPr>
          <w:b w:val="0"/>
        </w:rPr>
        <w:t>editorial</w:t>
      </w:r>
      <w:r>
        <w:rPr>
          <w:b w:val="0"/>
        </w:rPr>
        <w:t xml:space="preserve"> originates as a result of</w:t>
      </w:r>
      <w:r w:rsidR="00321679">
        <w:rPr>
          <w:b w:val="0"/>
        </w:rPr>
        <w:t xml:space="preserve"> </w:t>
      </w:r>
      <w:proofErr w:type="spellStart"/>
      <w:r w:rsidR="003F0801">
        <w:rPr>
          <w:b w:val="0"/>
        </w:rPr>
        <w:t>Moorley’s</w:t>
      </w:r>
      <w:proofErr w:type="spellEnd"/>
      <w:r>
        <w:rPr>
          <w:b w:val="0"/>
        </w:rPr>
        <w:t xml:space="preserve"> experience while undertaking his doctoral studies which examined life after stroke, personal, social and cultural factors – An inner city Afro-Caribbean Experience.  In a quest to recruit participants for his study considerable problems were encountered locating older people within an inner city area. </w:t>
      </w:r>
    </w:p>
    <w:p w:rsidR="00FC4005" w:rsidRDefault="00FC4005" w:rsidP="00664305">
      <w:pPr>
        <w:spacing w:line="480" w:lineRule="auto"/>
        <w:jc w:val="both"/>
        <w:rPr>
          <w:b w:val="0"/>
        </w:rPr>
      </w:pPr>
    </w:p>
    <w:p w:rsidR="00BA4E34" w:rsidRDefault="00BA4E34" w:rsidP="00664305">
      <w:pPr>
        <w:spacing w:line="480" w:lineRule="auto"/>
        <w:jc w:val="both"/>
        <w:rPr>
          <w:b w:val="0"/>
        </w:rPr>
      </w:pPr>
    </w:p>
    <w:p w:rsidR="00B0473F" w:rsidRDefault="00B0473F" w:rsidP="00664305">
      <w:pPr>
        <w:spacing w:line="480" w:lineRule="auto"/>
        <w:jc w:val="both"/>
        <w:rPr>
          <w:rFonts w:cs="Helvetica"/>
          <w:b w:val="0"/>
          <w:color w:val="262626"/>
          <w:szCs w:val="26"/>
          <w:lang w:val="en-US"/>
        </w:rPr>
      </w:pPr>
    </w:p>
    <w:p w:rsidR="000F5E91" w:rsidRPr="004828D8" w:rsidDel="000F5E91" w:rsidRDefault="004828D8" w:rsidP="00664305">
      <w:pPr>
        <w:spacing w:line="480" w:lineRule="auto"/>
        <w:jc w:val="both"/>
      </w:pPr>
      <w:r w:rsidRPr="004828D8">
        <w:rPr>
          <w:rFonts w:cs="Helvetica"/>
          <w:color w:val="262626"/>
          <w:szCs w:val="26"/>
          <w:lang w:val="en-US"/>
        </w:rPr>
        <w:t xml:space="preserve">References </w:t>
      </w:r>
    </w:p>
    <w:p w:rsidR="000F5E91" w:rsidRDefault="000F5E91" w:rsidP="000F5E91">
      <w:pPr>
        <w:spacing w:line="480" w:lineRule="auto"/>
        <w:jc w:val="both"/>
        <w:rPr>
          <w:b w:val="0"/>
        </w:rPr>
      </w:pPr>
      <w:r w:rsidRPr="00C546D3">
        <w:rPr>
          <w:b w:val="0"/>
        </w:rPr>
        <w:t xml:space="preserve"> BBHOP Back </w:t>
      </w:r>
      <w:r>
        <w:rPr>
          <w:b w:val="0"/>
        </w:rPr>
        <w:t>B</w:t>
      </w:r>
      <w:r w:rsidRPr="00C546D3">
        <w:rPr>
          <w:b w:val="0"/>
        </w:rPr>
        <w:t xml:space="preserve">arbershop </w:t>
      </w:r>
      <w:r>
        <w:rPr>
          <w:b w:val="0"/>
        </w:rPr>
        <w:t>(</w:t>
      </w:r>
      <w:r w:rsidRPr="00C546D3">
        <w:rPr>
          <w:b w:val="0"/>
        </w:rPr>
        <w:t>2013</w:t>
      </w:r>
      <w:r>
        <w:rPr>
          <w:b w:val="0"/>
        </w:rPr>
        <w:t>)</w:t>
      </w:r>
      <w:r w:rsidRPr="00C546D3">
        <w:rPr>
          <w:b w:val="0"/>
        </w:rPr>
        <w:t xml:space="preserve">, available at </w:t>
      </w:r>
      <w:hyperlink r:id="rId8" w:history="1">
        <w:r w:rsidRPr="00C546D3">
          <w:rPr>
            <w:rStyle w:val="Hyperlink"/>
            <w:b w:val="0"/>
            <w:color w:val="auto"/>
          </w:rPr>
          <w:t>www.blackbarbershop.org</w:t>
        </w:r>
      </w:hyperlink>
      <w:r w:rsidRPr="00C546D3">
        <w:rPr>
          <w:b w:val="0"/>
        </w:rPr>
        <w:t xml:space="preserve"> </w:t>
      </w:r>
      <w:r>
        <w:rPr>
          <w:b w:val="0"/>
        </w:rPr>
        <w:t>(A</w:t>
      </w:r>
      <w:r w:rsidRPr="00C546D3">
        <w:rPr>
          <w:b w:val="0"/>
        </w:rPr>
        <w:t xml:space="preserve">ccessed </w:t>
      </w:r>
      <w:r>
        <w:rPr>
          <w:b w:val="0"/>
        </w:rPr>
        <w:t xml:space="preserve">on </w:t>
      </w:r>
      <w:r w:rsidRPr="00C546D3">
        <w:rPr>
          <w:b w:val="0"/>
        </w:rPr>
        <w:t>17 07 2013</w:t>
      </w:r>
      <w:r>
        <w:rPr>
          <w:b w:val="0"/>
        </w:rPr>
        <w:t>)</w:t>
      </w:r>
    </w:p>
    <w:p w:rsidR="000F5E91" w:rsidRDefault="000F5E91" w:rsidP="000F5E91">
      <w:pPr>
        <w:spacing w:line="480" w:lineRule="auto"/>
        <w:jc w:val="both"/>
        <w:rPr>
          <w:b w:val="0"/>
        </w:rPr>
      </w:pPr>
      <w:proofErr w:type="spellStart"/>
      <w:r w:rsidRPr="00C546D3">
        <w:rPr>
          <w:b w:val="0"/>
        </w:rPr>
        <w:t>Catalani</w:t>
      </w:r>
      <w:proofErr w:type="spellEnd"/>
      <w:r w:rsidRPr="00C546D3">
        <w:rPr>
          <w:b w:val="0"/>
        </w:rPr>
        <w:t xml:space="preserve"> CECV, </w:t>
      </w:r>
      <w:proofErr w:type="spellStart"/>
      <w:r w:rsidRPr="00C546D3">
        <w:rPr>
          <w:b w:val="0"/>
        </w:rPr>
        <w:t>Veneziale</w:t>
      </w:r>
      <w:proofErr w:type="spellEnd"/>
      <w:r w:rsidRPr="00C546D3">
        <w:rPr>
          <w:b w:val="0"/>
        </w:rPr>
        <w:t xml:space="preserve"> A, Campbell L, </w:t>
      </w:r>
      <w:proofErr w:type="spellStart"/>
      <w:r w:rsidRPr="00C546D3">
        <w:rPr>
          <w:b w:val="0"/>
        </w:rPr>
        <w:t>Herbst</w:t>
      </w:r>
      <w:proofErr w:type="spellEnd"/>
      <w:r w:rsidRPr="00C546D3">
        <w:rPr>
          <w:b w:val="0"/>
        </w:rPr>
        <w:t xml:space="preserve"> S, Butler B, </w:t>
      </w:r>
      <w:proofErr w:type="spellStart"/>
      <w:r w:rsidRPr="00C546D3">
        <w:rPr>
          <w:b w:val="0"/>
        </w:rPr>
        <w:t>Springgate</w:t>
      </w:r>
      <w:proofErr w:type="spellEnd"/>
      <w:r w:rsidRPr="00C546D3">
        <w:rPr>
          <w:b w:val="0"/>
        </w:rPr>
        <w:t xml:space="preserve"> B &amp; </w:t>
      </w:r>
      <w:proofErr w:type="spellStart"/>
      <w:r w:rsidRPr="00C546D3">
        <w:rPr>
          <w:b w:val="0"/>
        </w:rPr>
        <w:t>Minkler</w:t>
      </w:r>
      <w:proofErr w:type="spellEnd"/>
      <w:r w:rsidRPr="00C546D3">
        <w:rPr>
          <w:b w:val="0"/>
        </w:rPr>
        <w:t xml:space="preserve"> </w:t>
      </w:r>
      <w:proofErr w:type="gramStart"/>
      <w:r w:rsidRPr="00C546D3">
        <w:rPr>
          <w:b w:val="0"/>
        </w:rPr>
        <w:t xml:space="preserve">M  </w:t>
      </w:r>
      <w:proofErr w:type="spellStart"/>
      <w:r w:rsidRPr="00C546D3">
        <w:rPr>
          <w:b w:val="0"/>
        </w:rPr>
        <w:t>Videovoice</w:t>
      </w:r>
      <w:proofErr w:type="spellEnd"/>
      <w:proofErr w:type="gramEnd"/>
      <w:r>
        <w:rPr>
          <w:b w:val="0"/>
        </w:rPr>
        <w:t xml:space="preserve"> (</w:t>
      </w:r>
      <w:r w:rsidRPr="00C546D3">
        <w:rPr>
          <w:b w:val="0"/>
        </w:rPr>
        <w:t>2012</w:t>
      </w:r>
      <w:r>
        <w:rPr>
          <w:b w:val="0"/>
        </w:rPr>
        <w:t>)</w:t>
      </w:r>
      <w:r w:rsidRPr="00C546D3">
        <w:rPr>
          <w:b w:val="0"/>
        </w:rPr>
        <w:t xml:space="preserve"> </w:t>
      </w:r>
      <w:r>
        <w:rPr>
          <w:b w:val="0"/>
        </w:rPr>
        <w:t>C</w:t>
      </w:r>
      <w:r w:rsidRPr="00C546D3">
        <w:rPr>
          <w:b w:val="0"/>
        </w:rPr>
        <w:t xml:space="preserve">ommunity assessment in post Katrina New Orleans </w:t>
      </w:r>
      <w:r w:rsidRPr="003F0801">
        <w:rPr>
          <w:b w:val="0"/>
          <w:i/>
        </w:rPr>
        <w:t>Health Promotion Practice</w:t>
      </w:r>
      <w:r>
        <w:rPr>
          <w:b w:val="0"/>
        </w:rPr>
        <w:t xml:space="preserve"> </w:t>
      </w:r>
      <w:r w:rsidRPr="00C546D3">
        <w:rPr>
          <w:b w:val="0"/>
        </w:rPr>
        <w:t>13 (1) 18-28</w:t>
      </w:r>
    </w:p>
    <w:p w:rsidR="000F5E91" w:rsidRDefault="000F5E91" w:rsidP="000F5E91">
      <w:pPr>
        <w:spacing w:line="480" w:lineRule="auto"/>
        <w:jc w:val="both"/>
        <w:rPr>
          <w:b w:val="0"/>
        </w:rPr>
      </w:pPr>
      <w:r w:rsidRPr="00C546D3">
        <w:rPr>
          <w:b w:val="0"/>
        </w:rPr>
        <w:t xml:space="preserve">Corcoran N, Bone A &amp; Everett C (2013) Using settings </w:t>
      </w:r>
      <w:r>
        <w:rPr>
          <w:b w:val="0"/>
        </w:rPr>
        <w:t>I</w:t>
      </w:r>
      <w:r w:rsidRPr="00C546D3">
        <w:rPr>
          <w:b w:val="0"/>
        </w:rPr>
        <w:t>n Corcoran N (</w:t>
      </w:r>
      <w:proofErr w:type="spellStart"/>
      <w:r w:rsidRPr="00C546D3">
        <w:rPr>
          <w:b w:val="0"/>
        </w:rPr>
        <w:t>ed</w:t>
      </w:r>
      <w:proofErr w:type="spellEnd"/>
      <w:r w:rsidRPr="00C546D3">
        <w:rPr>
          <w:b w:val="0"/>
        </w:rPr>
        <w:t>) Communicating Health 2</w:t>
      </w:r>
      <w:r w:rsidRPr="00C546D3">
        <w:rPr>
          <w:b w:val="0"/>
          <w:vertAlign w:val="superscript"/>
        </w:rPr>
        <w:t>nd</w:t>
      </w:r>
      <w:r w:rsidRPr="00C546D3">
        <w:rPr>
          <w:b w:val="0"/>
        </w:rPr>
        <w:t xml:space="preserve"> edition 2013, Sage, London.  </w:t>
      </w:r>
    </w:p>
    <w:p w:rsidR="000F5E91" w:rsidRDefault="000F5E91" w:rsidP="000F5E91">
      <w:pPr>
        <w:spacing w:line="480" w:lineRule="auto"/>
        <w:rPr>
          <w:b w:val="0"/>
        </w:rPr>
      </w:pPr>
      <w:r>
        <w:rPr>
          <w:b w:val="0"/>
        </w:rPr>
        <w:t xml:space="preserve">Government (UK) Retirement Age 2013 available at </w:t>
      </w:r>
      <w:hyperlink r:id="rId9" w:history="1">
        <w:r w:rsidRPr="00C546D3">
          <w:rPr>
            <w:rStyle w:val="Hyperlink"/>
            <w:b w:val="0"/>
            <w:color w:val="auto"/>
          </w:rPr>
          <w:t>https://www.gov.uk/retirement-age</w:t>
        </w:r>
      </w:hyperlink>
      <w:r w:rsidRPr="00C546D3">
        <w:rPr>
          <w:b w:val="0"/>
        </w:rPr>
        <w:t xml:space="preserve"> </w:t>
      </w:r>
      <w:r>
        <w:rPr>
          <w:b w:val="0"/>
        </w:rPr>
        <w:t>(A</w:t>
      </w:r>
      <w:r w:rsidRPr="00C546D3">
        <w:rPr>
          <w:b w:val="0"/>
        </w:rPr>
        <w:t xml:space="preserve">ccessed </w:t>
      </w:r>
      <w:r>
        <w:rPr>
          <w:b w:val="0"/>
        </w:rPr>
        <w:t xml:space="preserve">on </w:t>
      </w:r>
      <w:r w:rsidRPr="00C546D3">
        <w:rPr>
          <w:b w:val="0"/>
        </w:rPr>
        <w:t>17 07 2013</w:t>
      </w:r>
      <w:r>
        <w:rPr>
          <w:b w:val="0"/>
        </w:rPr>
        <w:t>)</w:t>
      </w:r>
    </w:p>
    <w:p w:rsidR="000F5E91" w:rsidRDefault="000F5E91" w:rsidP="000F5E91">
      <w:pPr>
        <w:spacing w:line="480" w:lineRule="auto"/>
        <w:jc w:val="both"/>
        <w:rPr>
          <w:b w:val="0"/>
        </w:rPr>
      </w:pPr>
      <w:proofErr w:type="spellStart"/>
      <w:r w:rsidRPr="00C546D3">
        <w:rPr>
          <w:b w:val="0"/>
        </w:rPr>
        <w:t>Kanstrom</w:t>
      </w:r>
      <w:proofErr w:type="spellEnd"/>
      <w:r w:rsidRPr="00C546D3">
        <w:rPr>
          <w:b w:val="0"/>
        </w:rPr>
        <w:t xml:space="preserve"> L, </w:t>
      </w:r>
      <w:proofErr w:type="spellStart"/>
      <w:r w:rsidRPr="00C546D3">
        <w:rPr>
          <w:b w:val="0"/>
        </w:rPr>
        <w:t>Zamaro</w:t>
      </w:r>
      <w:proofErr w:type="spellEnd"/>
      <w:r w:rsidRPr="00C546D3">
        <w:rPr>
          <w:b w:val="0"/>
        </w:rPr>
        <w:t xml:space="preserve"> G, </w:t>
      </w:r>
      <w:proofErr w:type="spellStart"/>
      <w:r w:rsidRPr="00C546D3">
        <w:rPr>
          <w:b w:val="0"/>
        </w:rPr>
        <w:t>Sjostedt</w:t>
      </w:r>
      <w:proofErr w:type="spellEnd"/>
      <w:r w:rsidRPr="00C546D3">
        <w:rPr>
          <w:b w:val="0"/>
        </w:rPr>
        <w:t xml:space="preserve"> C &amp; Green G </w:t>
      </w:r>
      <w:r>
        <w:rPr>
          <w:b w:val="0"/>
        </w:rPr>
        <w:t xml:space="preserve">(2008) </w:t>
      </w:r>
      <w:r w:rsidRPr="00C546D3">
        <w:rPr>
          <w:b w:val="0"/>
        </w:rPr>
        <w:t xml:space="preserve">Health ageing profiles. Guidance for producing local health profiles for older people available at </w:t>
      </w:r>
      <w:hyperlink r:id="rId10" w:history="1">
        <w:r w:rsidRPr="00C546D3">
          <w:rPr>
            <w:rStyle w:val="Hyperlink"/>
            <w:b w:val="0"/>
            <w:color w:val="auto"/>
          </w:rPr>
          <w:t>www.euro.who.int</w:t>
        </w:r>
      </w:hyperlink>
      <w:r w:rsidRPr="00C546D3">
        <w:rPr>
          <w:b w:val="0"/>
        </w:rPr>
        <w:t xml:space="preserve"> </w:t>
      </w:r>
      <w:proofErr w:type="gramStart"/>
      <w:r>
        <w:rPr>
          <w:b w:val="0"/>
        </w:rPr>
        <w:t>(</w:t>
      </w:r>
      <w:r w:rsidRPr="00C546D3">
        <w:rPr>
          <w:b w:val="0"/>
        </w:rPr>
        <w:t xml:space="preserve"> </w:t>
      </w:r>
      <w:r>
        <w:rPr>
          <w:b w:val="0"/>
        </w:rPr>
        <w:t>A</w:t>
      </w:r>
      <w:r w:rsidRPr="00C546D3">
        <w:rPr>
          <w:b w:val="0"/>
        </w:rPr>
        <w:t>ccessed</w:t>
      </w:r>
      <w:proofErr w:type="gramEnd"/>
      <w:r w:rsidRPr="00C546D3">
        <w:rPr>
          <w:b w:val="0"/>
        </w:rPr>
        <w:t xml:space="preserve"> </w:t>
      </w:r>
      <w:r>
        <w:rPr>
          <w:b w:val="0"/>
        </w:rPr>
        <w:t xml:space="preserve">on </w:t>
      </w:r>
      <w:r w:rsidRPr="00C546D3">
        <w:rPr>
          <w:b w:val="0"/>
        </w:rPr>
        <w:t>17 07 2013</w:t>
      </w:r>
      <w:r>
        <w:rPr>
          <w:b w:val="0"/>
        </w:rPr>
        <w:t>)</w:t>
      </w:r>
      <w:r w:rsidRPr="00C546D3">
        <w:rPr>
          <w:b w:val="0"/>
        </w:rPr>
        <w:t xml:space="preserve"> </w:t>
      </w:r>
    </w:p>
    <w:p w:rsidR="000F5E91" w:rsidRDefault="000F5E91" w:rsidP="000F5E91">
      <w:pPr>
        <w:spacing w:line="480" w:lineRule="auto"/>
        <w:jc w:val="both"/>
        <w:rPr>
          <w:b w:val="0"/>
        </w:rPr>
      </w:pPr>
      <w:proofErr w:type="spellStart"/>
      <w:r w:rsidRPr="00C546D3">
        <w:rPr>
          <w:b w:val="0"/>
        </w:rPr>
        <w:lastRenderedPageBreak/>
        <w:t>Kegler</w:t>
      </w:r>
      <w:proofErr w:type="spellEnd"/>
      <w:r w:rsidRPr="00C546D3">
        <w:rPr>
          <w:b w:val="0"/>
        </w:rPr>
        <w:t xml:space="preserve"> MC, </w:t>
      </w:r>
      <w:proofErr w:type="spellStart"/>
      <w:r w:rsidRPr="00C546D3">
        <w:rPr>
          <w:b w:val="0"/>
        </w:rPr>
        <w:t>Rigler</w:t>
      </w:r>
      <w:proofErr w:type="spellEnd"/>
      <w:r w:rsidRPr="00C546D3">
        <w:rPr>
          <w:b w:val="0"/>
        </w:rPr>
        <w:t xml:space="preserve"> J &amp; Honeycutt S </w:t>
      </w:r>
      <w:r>
        <w:rPr>
          <w:b w:val="0"/>
        </w:rPr>
        <w:t>(</w:t>
      </w:r>
      <w:r w:rsidRPr="00C546D3">
        <w:rPr>
          <w:b w:val="0"/>
        </w:rPr>
        <w:t>2011</w:t>
      </w:r>
      <w:r>
        <w:rPr>
          <w:b w:val="0"/>
        </w:rPr>
        <w:t xml:space="preserve">) </w:t>
      </w:r>
      <w:proofErr w:type="gramStart"/>
      <w:r w:rsidRPr="00C546D3">
        <w:rPr>
          <w:b w:val="0"/>
        </w:rPr>
        <w:t>The</w:t>
      </w:r>
      <w:proofErr w:type="gramEnd"/>
      <w:r w:rsidRPr="00C546D3">
        <w:rPr>
          <w:b w:val="0"/>
        </w:rPr>
        <w:t xml:space="preserve"> role of community context in planning and implementing community based health promotion projects. </w:t>
      </w:r>
      <w:r w:rsidRPr="003F0801">
        <w:rPr>
          <w:b w:val="0"/>
          <w:i/>
        </w:rPr>
        <w:t>Evaluation and Program Planning</w:t>
      </w:r>
      <w:r w:rsidRPr="00C546D3">
        <w:rPr>
          <w:b w:val="0"/>
        </w:rPr>
        <w:t xml:space="preserve"> 34 246-253  </w:t>
      </w:r>
    </w:p>
    <w:p w:rsidR="000F5E91" w:rsidRDefault="000F5E91" w:rsidP="000F5E91">
      <w:pPr>
        <w:spacing w:line="480" w:lineRule="auto"/>
        <w:jc w:val="both"/>
        <w:rPr>
          <w:b w:val="0"/>
        </w:rPr>
      </w:pPr>
      <w:r w:rsidRPr="00C546D3">
        <w:rPr>
          <w:b w:val="0"/>
        </w:rPr>
        <w:t xml:space="preserve">Lis K, Reichert M, </w:t>
      </w:r>
      <w:proofErr w:type="spellStart"/>
      <w:r w:rsidRPr="00C546D3">
        <w:rPr>
          <w:b w:val="0"/>
        </w:rPr>
        <w:t>Cosack</w:t>
      </w:r>
      <w:proofErr w:type="spellEnd"/>
      <w:r w:rsidRPr="00C546D3">
        <w:rPr>
          <w:b w:val="0"/>
        </w:rPr>
        <w:t xml:space="preserve"> A, Billings J &amp; Brown P (</w:t>
      </w:r>
      <w:proofErr w:type="spellStart"/>
      <w:r w:rsidRPr="00C546D3">
        <w:rPr>
          <w:b w:val="0"/>
        </w:rPr>
        <w:t>ed</w:t>
      </w:r>
      <w:proofErr w:type="spellEnd"/>
      <w:r w:rsidRPr="00C546D3">
        <w:rPr>
          <w:b w:val="0"/>
        </w:rPr>
        <w:t xml:space="preserve">) </w:t>
      </w:r>
      <w:r>
        <w:rPr>
          <w:b w:val="0"/>
        </w:rPr>
        <w:t>(</w:t>
      </w:r>
      <w:r w:rsidRPr="00C546D3">
        <w:rPr>
          <w:b w:val="0"/>
        </w:rPr>
        <w:t>2008</w:t>
      </w:r>
      <w:r>
        <w:rPr>
          <w:b w:val="0"/>
        </w:rPr>
        <w:t xml:space="preserve">) </w:t>
      </w:r>
      <w:r w:rsidRPr="00C546D3">
        <w:rPr>
          <w:b w:val="0"/>
        </w:rPr>
        <w:t xml:space="preserve">Evidence based guidelines on health promotion for older </w:t>
      </w:r>
      <w:proofErr w:type="gramStart"/>
      <w:r w:rsidRPr="00C546D3">
        <w:rPr>
          <w:b w:val="0"/>
        </w:rPr>
        <w:t>people  Austrian</w:t>
      </w:r>
      <w:proofErr w:type="gramEnd"/>
      <w:r w:rsidRPr="00C546D3">
        <w:rPr>
          <w:b w:val="0"/>
        </w:rPr>
        <w:t xml:space="preserve"> Red Cross, Vienna  </w:t>
      </w:r>
    </w:p>
    <w:p w:rsidR="000F5E91" w:rsidRDefault="000F5E91" w:rsidP="000F5E91">
      <w:pPr>
        <w:spacing w:line="480" w:lineRule="auto"/>
        <w:jc w:val="both"/>
        <w:rPr>
          <w:b w:val="0"/>
        </w:rPr>
      </w:pPr>
      <w:r>
        <w:rPr>
          <w:b w:val="0"/>
        </w:rPr>
        <w:t>Moorley C</w:t>
      </w:r>
      <w:r w:rsidRPr="00C546D3">
        <w:rPr>
          <w:b w:val="0"/>
        </w:rPr>
        <w:t xml:space="preserve">, </w:t>
      </w:r>
      <w:r>
        <w:rPr>
          <w:b w:val="0"/>
        </w:rPr>
        <w:t>(</w:t>
      </w:r>
      <w:r w:rsidRPr="00C546D3">
        <w:rPr>
          <w:b w:val="0"/>
        </w:rPr>
        <w:t>2012</w:t>
      </w:r>
      <w:r>
        <w:rPr>
          <w:b w:val="0"/>
        </w:rPr>
        <w:t xml:space="preserve">) </w:t>
      </w:r>
      <w:r w:rsidRPr="00C546D3">
        <w:rPr>
          <w:b w:val="0"/>
        </w:rPr>
        <w:t xml:space="preserve">Life after stroke: Personal, social and cultural factors – an inner city Afro-Caribbean experience PhD thesis, University of East London  </w:t>
      </w:r>
    </w:p>
    <w:p w:rsidR="000F5E91" w:rsidRDefault="000F5E91" w:rsidP="000F5E91">
      <w:pPr>
        <w:spacing w:line="480" w:lineRule="auto"/>
        <w:jc w:val="both"/>
        <w:rPr>
          <w:b w:val="0"/>
        </w:rPr>
      </w:pPr>
      <w:r w:rsidRPr="00C546D3">
        <w:rPr>
          <w:b w:val="0"/>
        </w:rPr>
        <w:t xml:space="preserve">Moorley C, </w:t>
      </w:r>
      <w:proofErr w:type="spellStart"/>
      <w:r w:rsidRPr="00C546D3">
        <w:rPr>
          <w:b w:val="0"/>
        </w:rPr>
        <w:t>Goodfellow</w:t>
      </w:r>
      <w:proofErr w:type="spellEnd"/>
      <w:r w:rsidRPr="00C546D3">
        <w:rPr>
          <w:b w:val="0"/>
        </w:rPr>
        <w:t xml:space="preserve"> B &amp; Corcoran N </w:t>
      </w:r>
      <w:r>
        <w:rPr>
          <w:b w:val="0"/>
        </w:rPr>
        <w:t>(</w:t>
      </w:r>
      <w:r w:rsidRPr="00C546D3">
        <w:rPr>
          <w:b w:val="0"/>
        </w:rPr>
        <w:t>2013</w:t>
      </w:r>
      <w:r>
        <w:rPr>
          <w:b w:val="0"/>
        </w:rPr>
        <w:t xml:space="preserve">) </w:t>
      </w:r>
      <w:r w:rsidRPr="00C546D3">
        <w:rPr>
          <w:b w:val="0"/>
        </w:rPr>
        <w:t xml:space="preserve">Reaching unreachable groups and crossing cultural barriers </w:t>
      </w:r>
      <w:r>
        <w:rPr>
          <w:b w:val="0"/>
        </w:rPr>
        <w:t>I</w:t>
      </w:r>
      <w:r w:rsidRPr="00C546D3">
        <w:rPr>
          <w:b w:val="0"/>
        </w:rPr>
        <w:t>n Corcoran N (</w:t>
      </w:r>
      <w:proofErr w:type="spellStart"/>
      <w:proofErr w:type="gramStart"/>
      <w:r w:rsidRPr="00C546D3">
        <w:rPr>
          <w:b w:val="0"/>
        </w:rPr>
        <w:t>ed</w:t>
      </w:r>
      <w:proofErr w:type="spellEnd"/>
      <w:proofErr w:type="gramEnd"/>
      <w:r w:rsidRPr="00C546D3">
        <w:rPr>
          <w:b w:val="0"/>
        </w:rPr>
        <w:t>) Communicating health strategies for Health Promotion 2</w:t>
      </w:r>
      <w:r w:rsidRPr="00C546D3">
        <w:rPr>
          <w:b w:val="0"/>
          <w:vertAlign w:val="superscript"/>
        </w:rPr>
        <w:t>nd</w:t>
      </w:r>
      <w:r w:rsidRPr="00C546D3">
        <w:rPr>
          <w:b w:val="0"/>
        </w:rPr>
        <w:t xml:space="preserve"> edition, Sage, London. </w:t>
      </w:r>
    </w:p>
    <w:p w:rsidR="000F5E91" w:rsidRDefault="000F5E91" w:rsidP="000F5E91">
      <w:pPr>
        <w:autoSpaceDE w:val="0"/>
        <w:autoSpaceDN w:val="0"/>
        <w:adjustRightInd w:val="0"/>
        <w:spacing w:after="0" w:line="480" w:lineRule="auto"/>
        <w:rPr>
          <w:rFonts w:ascii="FoundryFormSans-Bold" w:hAnsi="FoundryFormSans-Bold" w:cs="FoundryFormSans-Bold"/>
          <w:b w:val="0"/>
          <w:bCs/>
          <w:sz w:val="40"/>
          <w:szCs w:val="40"/>
        </w:rPr>
      </w:pPr>
      <w:r w:rsidRPr="00C546D3">
        <w:rPr>
          <w:rFonts w:cs="Times New Roman"/>
          <w:b w:val="0"/>
          <w:szCs w:val="24"/>
        </w:rPr>
        <w:t xml:space="preserve">Office of National Statistics (ONS) </w:t>
      </w:r>
      <w:r w:rsidRPr="00C546D3">
        <w:rPr>
          <w:rFonts w:cs="Times New Roman"/>
          <w:b w:val="0"/>
          <w:bCs/>
          <w:szCs w:val="24"/>
        </w:rPr>
        <w:t xml:space="preserve">Census first results: London boroughs’ populations by age and sex 2012 available at </w:t>
      </w:r>
      <w:hyperlink r:id="rId11" w:history="1">
        <w:r w:rsidRPr="00C546D3">
          <w:rPr>
            <w:rStyle w:val="Hyperlink"/>
            <w:rFonts w:cs="Times New Roman"/>
            <w:b w:val="0"/>
            <w:bCs/>
            <w:color w:val="auto"/>
            <w:szCs w:val="24"/>
          </w:rPr>
          <w:t>http://data.london.gov.uk/datastorefiles/documents/2011-census-first-results.pdf</w:t>
        </w:r>
      </w:hyperlink>
      <w:r w:rsidRPr="00C546D3">
        <w:rPr>
          <w:rFonts w:cs="Times New Roman"/>
          <w:b w:val="0"/>
          <w:bCs/>
          <w:szCs w:val="24"/>
        </w:rPr>
        <w:t xml:space="preserve"> last </w:t>
      </w:r>
      <w:r>
        <w:rPr>
          <w:rFonts w:cs="Times New Roman"/>
          <w:b w:val="0"/>
          <w:bCs/>
          <w:szCs w:val="24"/>
        </w:rPr>
        <w:t>(A</w:t>
      </w:r>
      <w:r w:rsidRPr="00C546D3">
        <w:rPr>
          <w:rFonts w:cs="Times New Roman"/>
          <w:b w:val="0"/>
          <w:bCs/>
          <w:szCs w:val="24"/>
        </w:rPr>
        <w:t xml:space="preserve">ccessed </w:t>
      </w:r>
      <w:r>
        <w:rPr>
          <w:rFonts w:cs="Times New Roman"/>
          <w:b w:val="0"/>
          <w:bCs/>
          <w:szCs w:val="24"/>
        </w:rPr>
        <w:t xml:space="preserve">on </w:t>
      </w:r>
      <w:r w:rsidRPr="00C546D3">
        <w:rPr>
          <w:rFonts w:cs="Times New Roman"/>
          <w:b w:val="0"/>
          <w:bCs/>
          <w:szCs w:val="24"/>
        </w:rPr>
        <w:t>17 07 2013</w:t>
      </w:r>
      <w:r>
        <w:rPr>
          <w:rFonts w:cs="Times New Roman"/>
          <w:b w:val="0"/>
          <w:bCs/>
          <w:szCs w:val="24"/>
        </w:rPr>
        <w:t>)</w:t>
      </w:r>
      <w:r w:rsidRPr="00C546D3">
        <w:rPr>
          <w:rFonts w:cs="Times New Roman"/>
          <w:b w:val="0"/>
          <w:bCs/>
          <w:szCs w:val="24"/>
        </w:rPr>
        <w:t xml:space="preserve"> </w:t>
      </w:r>
    </w:p>
    <w:p w:rsidR="000F5E91" w:rsidRPr="000F5E91" w:rsidRDefault="000F5E91" w:rsidP="000F5E91">
      <w:pPr>
        <w:autoSpaceDE w:val="0"/>
        <w:autoSpaceDN w:val="0"/>
        <w:adjustRightInd w:val="0"/>
        <w:spacing w:after="0" w:line="480" w:lineRule="auto"/>
        <w:rPr>
          <w:rFonts w:ascii="FoundryFormSans-Bold" w:hAnsi="FoundryFormSans-Bold" w:cs="FoundryFormSans-Bold"/>
          <w:b w:val="0"/>
          <w:bCs/>
          <w:sz w:val="40"/>
          <w:szCs w:val="40"/>
        </w:rPr>
      </w:pPr>
      <w:r w:rsidRPr="00C546D3">
        <w:rPr>
          <w:b w:val="0"/>
        </w:rPr>
        <w:t xml:space="preserve">Peterson J, Atwood JR &amp; Yates B </w:t>
      </w:r>
      <w:r>
        <w:rPr>
          <w:b w:val="0"/>
        </w:rPr>
        <w:t xml:space="preserve">(2002) </w:t>
      </w:r>
      <w:r w:rsidRPr="00C546D3">
        <w:rPr>
          <w:b w:val="0"/>
        </w:rPr>
        <w:t xml:space="preserve">Key elements for church based health promotion programs: Outcome based literature review. </w:t>
      </w:r>
      <w:r w:rsidRPr="00F474DF">
        <w:rPr>
          <w:b w:val="0"/>
          <w:i/>
        </w:rPr>
        <w:t>Public Health Nursing</w:t>
      </w:r>
      <w:r w:rsidRPr="00C546D3">
        <w:rPr>
          <w:b w:val="0"/>
        </w:rPr>
        <w:t xml:space="preserve"> 19 (6) 401-411 </w:t>
      </w:r>
    </w:p>
    <w:p w:rsidR="000F5E91" w:rsidRDefault="000F5E91" w:rsidP="000F5E91">
      <w:pPr>
        <w:spacing w:line="480" w:lineRule="auto"/>
        <w:jc w:val="both"/>
        <w:rPr>
          <w:b w:val="0"/>
        </w:rPr>
      </w:pPr>
      <w:proofErr w:type="spellStart"/>
      <w:r w:rsidRPr="00C546D3">
        <w:rPr>
          <w:b w:val="0"/>
        </w:rPr>
        <w:t>Tomassini</w:t>
      </w:r>
      <w:proofErr w:type="spellEnd"/>
      <w:r w:rsidRPr="00C546D3">
        <w:rPr>
          <w:b w:val="0"/>
        </w:rPr>
        <w:t xml:space="preserve"> C, </w:t>
      </w:r>
      <w:r>
        <w:rPr>
          <w:b w:val="0"/>
        </w:rPr>
        <w:t>(</w:t>
      </w:r>
      <w:r w:rsidRPr="00C546D3">
        <w:rPr>
          <w:b w:val="0"/>
        </w:rPr>
        <w:t>2005</w:t>
      </w:r>
      <w:r>
        <w:rPr>
          <w:b w:val="0"/>
        </w:rPr>
        <w:t xml:space="preserve">) </w:t>
      </w:r>
      <w:proofErr w:type="gramStart"/>
      <w:r w:rsidRPr="00C546D3">
        <w:rPr>
          <w:b w:val="0"/>
        </w:rPr>
        <w:t>The</w:t>
      </w:r>
      <w:proofErr w:type="gramEnd"/>
      <w:r w:rsidRPr="00C546D3">
        <w:rPr>
          <w:b w:val="0"/>
        </w:rPr>
        <w:t xml:space="preserve"> demographic characteristics of the oldest old in the United Kingdom. </w:t>
      </w:r>
      <w:r w:rsidRPr="003F0801">
        <w:rPr>
          <w:b w:val="0"/>
          <w:i/>
        </w:rPr>
        <w:t>Population Trends</w:t>
      </w:r>
      <w:r w:rsidRPr="00C546D3">
        <w:rPr>
          <w:b w:val="0"/>
        </w:rPr>
        <w:t xml:space="preserve"> 120 (Summer) 15 -22</w:t>
      </w:r>
    </w:p>
    <w:p w:rsidR="00486BE3" w:rsidRDefault="00C546D3">
      <w:pPr>
        <w:spacing w:line="480" w:lineRule="auto"/>
        <w:rPr>
          <w:rFonts w:cs="Arial"/>
          <w:b w:val="0"/>
          <w:sz w:val="26"/>
          <w:szCs w:val="26"/>
          <w:lang w:val="en-US"/>
        </w:rPr>
      </w:pPr>
      <w:r w:rsidRPr="00C546D3">
        <w:rPr>
          <w:rFonts w:cs="Arial"/>
          <w:b w:val="0"/>
          <w:sz w:val="26"/>
          <w:szCs w:val="26"/>
          <w:lang w:val="en-US"/>
        </w:rPr>
        <w:t xml:space="preserve">Victor C, </w:t>
      </w:r>
      <w:r w:rsidR="003F0801">
        <w:rPr>
          <w:rFonts w:cs="Arial"/>
          <w:b w:val="0"/>
          <w:sz w:val="26"/>
          <w:szCs w:val="26"/>
          <w:lang w:val="en-US"/>
        </w:rPr>
        <w:t>(</w:t>
      </w:r>
      <w:r w:rsidR="003F0801" w:rsidRPr="00C546D3">
        <w:rPr>
          <w:rFonts w:cs="Arial"/>
          <w:b w:val="0"/>
          <w:sz w:val="26"/>
          <w:szCs w:val="26"/>
          <w:lang w:val="en-US"/>
        </w:rPr>
        <w:t>2010</w:t>
      </w:r>
      <w:r w:rsidR="003F0801">
        <w:rPr>
          <w:rFonts w:cs="Arial"/>
          <w:b w:val="0"/>
          <w:sz w:val="26"/>
          <w:szCs w:val="26"/>
          <w:lang w:val="en-US"/>
        </w:rPr>
        <w:t>)</w:t>
      </w:r>
      <w:r w:rsidR="003F0801" w:rsidRPr="00C546D3">
        <w:rPr>
          <w:rFonts w:cs="Arial"/>
          <w:b w:val="0"/>
          <w:sz w:val="26"/>
          <w:szCs w:val="26"/>
          <w:lang w:val="en-US"/>
        </w:rPr>
        <w:t xml:space="preserve"> </w:t>
      </w:r>
      <w:r w:rsidRPr="00C546D3">
        <w:rPr>
          <w:rFonts w:cs="Arial"/>
          <w:b w:val="0"/>
          <w:sz w:val="26"/>
          <w:szCs w:val="26"/>
          <w:lang w:val="en-US"/>
        </w:rPr>
        <w:t xml:space="preserve">Ageing, health and care Policy Press, Bristol </w:t>
      </w:r>
    </w:p>
    <w:p w:rsidR="00486BE3" w:rsidRDefault="00486BE3">
      <w:pPr>
        <w:spacing w:line="480" w:lineRule="auto"/>
        <w:jc w:val="both"/>
        <w:rPr>
          <w:b w:val="0"/>
        </w:rPr>
      </w:pPr>
    </w:p>
    <w:sectPr w:rsidR="00486BE3" w:rsidSect="009772AB">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71" w:rsidRDefault="00334771">
      <w:pPr>
        <w:spacing w:after="0" w:line="240" w:lineRule="auto"/>
      </w:pPr>
      <w:r>
        <w:separator/>
      </w:r>
    </w:p>
  </w:endnote>
  <w:endnote w:type="continuationSeparator" w:id="0">
    <w:p w:rsidR="00334771" w:rsidRDefault="0033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oundryFormSans-Bold">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1" w:rsidRDefault="000F5E91" w:rsidP="00664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E91" w:rsidRDefault="000F5E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1" w:rsidRDefault="000F5E91" w:rsidP="00664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849">
      <w:rPr>
        <w:rStyle w:val="PageNumber"/>
        <w:noProof/>
      </w:rPr>
      <w:t>1</w:t>
    </w:r>
    <w:r>
      <w:rPr>
        <w:rStyle w:val="PageNumber"/>
      </w:rPr>
      <w:fldChar w:fldCharType="end"/>
    </w:r>
  </w:p>
  <w:p w:rsidR="000F5E91" w:rsidRDefault="000F5E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A5" w:rsidRDefault="00292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71" w:rsidRDefault="00334771">
      <w:pPr>
        <w:spacing w:after="0" w:line="240" w:lineRule="auto"/>
      </w:pPr>
      <w:r>
        <w:separator/>
      </w:r>
    </w:p>
  </w:footnote>
  <w:footnote w:type="continuationSeparator" w:id="0">
    <w:p w:rsidR="00334771" w:rsidRDefault="00334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A5" w:rsidRDefault="0033477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55pt;height:58.5pt;rotation:315;z-index:-251655168;mso-wrap-edited:f;mso-position-horizontal:center;mso-position-horizontal-relative:margin;mso-position-vertical:center;mso-position-vertical-relative:margin" wrapcoords="20615 5261 20276 8307 19969 8030 19630 8030 19569 8307 18738 3046 18553 4707 18861 8030 18307 6369 18123 7753 17876 8030 17600 8584 17200 7753 16861 7476 16800 8307 16000 7476 15846 8030 15723 8584 15600 10246 15169 6923 14953 8307 15107 11907 14523 6646 14307 8307 13969 8030 13938 7753 12523 7476 11969 3876 11600 2769 11446 3876 11200 8030 10430 4430 10123 3046 9846 3876 9846 4984 10030 10246 9076 3323 8830 2492 8646 3876 8400 8030 8030 11076 7692 8030 7323 6923 7107 8861 6615 5261 6553 5261 6307 8030 5600 7753 5384 8030 5046 8307 4307 7753 3261 8030 2984 9415 2523 8030 2184 7200 1784 10800 923 4153 830 3600 615 6646 153 15230 -30 16338 92 17446 123 17723 523 17723 615 13292 1169 17723 1784 17446 1661 15784 2400 18276 2830 14953 2769 13846 2276 9415 3292 18000 3692 16892 3815 16615 4584 18000 4615 17723 5600 21323 5630 21046 5446 18553 5969 17169 7476 18000 7815 16615 7876 16061 8030 16615 8707 18000 8769 17446 9076 18000 9261 16061 9230 14953 10092 18000 10153 17446 10492 17446 10461 17169 10276 12184 10923 17723 11969 17446 11969 17169 11784 13292 12338 18000 15692 18000 16307 17446 16400 16892 17200 18000 18153 17446 18184 16892 18030 13292 18892 20769 19507 22984 19661 21600 19907 17446 20153 15230 20215 14123 20892 17446 21046 15507 20738 12738 20953 10246 20953 8307 20738 6369 20615 5261" fillcolor="#7f7f7f [1612]" stroked="f">
          <v:fill opacity="42598f"/>
          <v:textpath style="font-family:&quot;Times New Roman&quot;;font-size:1pt" string="Accepted Manuscrip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A5" w:rsidRDefault="0033477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6.55pt;height:58.5pt;rotation:315;z-index:-251657216;mso-wrap-edited:f;mso-position-horizontal:center;mso-position-horizontal-relative:margin;mso-position-vertical:center;mso-position-vertical-relative:margin" wrapcoords="20615 5261 20276 8307 19969 8030 19630 8030 19569 8307 18738 3046 18553 4707 18861 8030 18307 6369 18123 7753 17876 8030 17600 8584 17200 7753 16861 7476 16800 8307 16000 7476 15846 8030 15723 8584 15600 10246 15169 6923 14953 8307 15107 11907 14523 6646 14307 8307 13969 8030 13938 7753 12523 7476 11969 3876 11600 2769 11446 3876 11200 8030 10430 4430 10123 3046 9846 3876 9846 4984 10030 10246 9076 3323 8830 2492 8646 3876 8400 8030 8030 11076 7692 8030 7323 6923 7107 8861 6615 5261 6553 5261 6307 8030 5600 7753 5384 8030 5046 8307 4307 7753 3261 8030 2984 9415 2523 8030 2184 7200 1784 10800 923 4153 830 3600 615 6646 153 15230 -30 16338 92 17446 123 17723 523 17723 615 13292 1169 17723 1784 17446 1661 15784 2400 18276 2830 14953 2769 13846 2276 9415 3292 18000 3692 16892 3815 16615 4584 18000 4615 17723 5600 21323 5630 21046 5446 18553 5969 17169 7476 18000 7815 16615 7876 16061 8030 16615 8707 18000 8769 17446 9076 18000 9261 16061 9230 14953 10092 18000 10153 17446 10492 17446 10461 17169 10276 12184 10923 17723 11969 17446 11969 17169 11784 13292 12338 18000 15692 18000 16307 17446 16400 16892 17200 18000 18153 17446 18184 16892 18030 13292 18892 20769 19507 22984 19661 21600 19907 17446 20153 15230 20215 14123 20892 17446 21046 15507 20738 12738 20953 10246 20953 8307 20738 6369 20615 5261" fillcolor="#7f7f7f [1612]" stroked="f">
          <v:fill opacity="42598f"/>
          <v:textpath style="font-family:&quot;Times New Roman&quot;;font-size:1pt" string="Accepted Manuscrip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A5" w:rsidRDefault="0033477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6.55pt;height:58.5pt;rotation:315;z-index:-251653120;mso-wrap-edited:f;mso-position-horizontal:center;mso-position-horizontal-relative:margin;mso-position-vertical:center;mso-position-vertical-relative:margin" wrapcoords="20615 5261 20276 8307 19969 8030 19630 8030 19569 8307 18738 3046 18553 4707 18861 8030 18307 6369 18123 7753 17876 8030 17600 8584 17200 7753 16861 7476 16800 8307 16000 7476 15846 8030 15723 8584 15600 10246 15169 6923 14953 8307 15107 11907 14523 6646 14307 8307 13969 8030 13938 7753 12523 7476 11969 3876 11600 2769 11446 3876 11200 8030 10430 4430 10123 3046 9846 3876 9846 4984 10030 10246 9076 3323 8830 2492 8646 3876 8400 8030 8030 11076 7692 8030 7323 6923 7107 8861 6615 5261 6553 5261 6307 8030 5600 7753 5384 8030 5046 8307 4307 7753 3261 8030 2984 9415 2523 8030 2184 7200 1784 10800 923 4153 830 3600 615 6646 153 15230 -30 16338 92 17446 123 17723 523 17723 615 13292 1169 17723 1784 17446 1661 15784 2400 18276 2830 14953 2769 13846 2276 9415 3292 18000 3692 16892 3815 16615 4584 18000 4615 17723 5600 21323 5630 21046 5446 18553 5969 17169 7476 18000 7815 16615 7876 16061 8030 16615 8707 18000 8769 17446 9076 18000 9261 16061 9230 14953 10092 18000 10153 17446 10492 17446 10461 17169 10276 12184 10923 17723 11969 17446 11969 17169 11784 13292 12338 18000 15692 18000 16307 17446 16400 16892 17200 18000 18153 17446 18184 16892 18030 13292 18892 20769 19507 22984 19661 21600 19907 17446 20153 15230 20215 14123 20892 17446 21046 15507 20738 12738 20953 10246 20953 8307 20738 6369 20615 5261" fillcolor="#7f7f7f [1612]" stroked="f">
          <v:fill opacity="42598f"/>
          <v:textpath style="font-family:&quot;Times New Roman&quot;;font-size:1pt" string="Accepted Manuscrip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B4"/>
    <w:multiLevelType w:val="multilevel"/>
    <w:tmpl w:val="D8DE7EF6"/>
    <w:lvl w:ilvl="0">
      <w:start w:val="2"/>
      <w:numFmt w:val="decimal"/>
      <w:lvlText w:val="%1.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3E7328"/>
    <w:multiLevelType w:val="multilevel"/>
    <w:tmpl w:val="8236F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AB"/>
    <w:rsid w:val="000330CE"/>
    <w:rsid w:val="000510F2"/>
    <w:rsid w:val="00085E8B"/>
    <w:rsid w:val="00091565"/>
    <w:rsid w:val="000F5E91"/>
    <w:rsid w:val="00115A8E"/>
    <w:rsid w:val="00154A42"/>
    <w:rsid w:val="00191F7C"/>
    <w:rsid w:val="001A01CE"/>
    <w:rsid w:val="001B4835"/>
    <w:rsid w:val="001D3056"/>
    <w:rsid w:val="001D6424"/>
    <w:rsid w:val="001E079F"/>
    <w:rsid w:val="00217585"/>
    <w:rsid w:val="00261724"/>
    <w:rsid w:val="00267702"/>
    <w:rsid w:val="002744B1"/>
    <w:rsid w:val="002929A5"/>
    <w:rsid w:val="00297585"/>
    <w:rsid w:val="002D72DC"/>
    <w:rsid w:val="002F0EB2"/>
    <w:rsid w:val="002F398C"/>
    <w:rsid w:val="00303444"/>
    <w:rsid w:val="00305849"/>
    <w:rsid w:val="00315B58"/>
    <w:rsid w:val="00321679"/>
    <w:rsid w:val="00334771"/>
    <w:rsid w:val="003A4DE8"/>
    <w:rsid w:val="003C6498"/>
    <w:rsid w:val="003D6185"/>
    <w:rsid w:val="003F0801"/>
    <w:rsid w:val="00411736"/>
    <w:rsid w:val="00443477"/>
    <w:rsid w:val="004828D8"/>
    <w:rsid w:val="00486BE3"/>
    <w:rsid w:val="004A4AF6"/>
    <w:rsid w:val="004B3211"/>
    <w:rsid w:val="004C41D7"/>
    <w:rsid w:val="004E4B8F"/>
    <w:rsid w:val="00510929"/>
    <w:rsid w:val="00536A66"/>
    <w:rsid w:val="00583712"/>
    <w:rsid w:val="005929D6"/>
    <w:rsid w:val="005C54A1"/>
    <w:rsid w:val="00632ADD"/>
    <w:rsid w:val="00647F12"/>
    <w:rsid w:val="00664305"/>
    <w:rsid w:val="006A622F"/>
    <w:rsid w:val="007107A5"/>
    <w:rsid w:val="00773AE1"/>
    <w:rsid w:val="007958EE"/>
    <w:rsid w:val="007A1341"/>
    <w:rsid w:val="008661F3"/>
    <w:rsid w:val="008B0FE2"/>
    <w:rsid w:val="008B14BE"/>
    <w:rsid w:val="00911D48"/>
    <w:rsid w:val="00967E71"/>
    <w:rsid w:val="009772AB"/>
    <w:rsid w:val="009B0A2A"/>
    <w:rsid w:val="009B51CC"/>
    <w:rsid w:val="009B5E1D"/>
    <w:rsid w:val="00A61DCB"/>
    <w:rsid w:val="00A70580"/>
    <w:rsid w:val="00A945EB"/>
    <w:rsid w:val="00AA1F75"/>
    <w:rsid w:val="00AC2CA1"/>
    <w:rsid w:val="00AC3F4C"/>
    <w:rsid w:val="00AE25AD"/>
    <w:rsid w:val="00AE2A42"/>
    <w:rsid w:val="00B0473F"/>
    <w:rsid w:val="00B3629A"/>
    <w:rsid w:val="00B52FA0"/>
    <w:rsid w:val="00BA4E34"/>
    <w:rsid w:val="00BE335A"/>
    <w:rsid w:val="00C3515A"/>
    <w:rsid w:val="00C546D3"/>
    <w:rsid w:val="00C652DE"/>
    <w:rsid w:val="00C65DE8"/>
    <w:rsid w:val="00D31F48"/>
    <w:rsid w:val="00D568E6"/>
    <w:rsid w:val="00D90FA7"/>
    <w:rsid w:val="00DF400A"/>
    <w:rsid w:val="00DF7480"/>
    <w:rsid w:val="00E118D9"/>
    <w:rsid w:val="00E12F0C"/>
    <w:rsid w:val="00E502FB"/>
    <w:rsid w:val="00E53E5E"/>
    <w:rsid w:val="00EB6B88"/>
    <w:rsid w:val="00EF47C3"/>
    <w:rsid w:val="00F02AF7"/>
    <w:rsid w:val="00F046E2"/>
    <w:rsid w:val="00F21D47"/>
    <w:rsid w:val="00F362AB"/>
    <w:rsid w:val="00F474DF"/>
    <w:rsid w:val="00F477E6"/>
    <w:rsid w:val="00FC4005"/>
    <w:rsid w:val="00FD44C8"/>
    <w:rsid w:val="00FF77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F9"/>
    <w:pPr>
      <w:spacing w:after="200" w:line="276" w:lineRule="auto"/>
    </w:pPr>
    <w:rPr>
      <w:rFonts w:ascii="Times New Roman" w:hAnsi="Times New Roman" w:cs="Calibri"/>
      <w:b/>
      <w:szCs w:val="22"/>
      <w:lang w:val="en-GB"/>
    </w:rPr>
  </w:style>
  <w:style w:type="paragraph" w:styleId="Heading2">
    <w:name w:val="heading 2"/>
    <w:basedOn w:val="Normal"/>
    <w:next w:val="Normal"/>
    <w:link w:val="Heading2Char"/>
    <w:autoRedefine/>
    <w:rsid w:val="002C1079"/>
    <w:pPr>
      <w:numPr>
        <w:ilvl w:val="1"/>
      </w:numPr>
      <w:spacing w:line="480" w:lineRule="auto"/>
      <w:outlineLvl w:val="1"/>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477E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B4D73"/>
    <w:rPr>
      <w:rFonts w:ascii="Lucida Grande" w:hAnsi="Lucida Grande"/>
      <w:sz w:val="18"/>
      <w:szCs w:val="18"/>
    </w:rPr>
  </w:style>
  <w:style w:type="character" w:customStyle="1" w:styleId="Heading2Char">
    <w:name w:val="Heading 2 Char"/>
    <w:basedOn w:val="DefaultParagraphFont"/>
    <w:link w:val="Heading2"/>
    <w:rsid w:val="002C1079"/>
    <w:rPr>
      <w:rFonts w:ascii="Arial" w:hAnsi="Arial" w:cs="Arial"/>
      <w:b/>
      <w:bCs/>
      <w:lang w:eastAsia="en-US"/>
    </w:rPr>
  </w:style>
  <w:style w:type="character" w:styleId="Strong">
    <w:name w:val="Strong"/>
    <w:basedOn w:val="DefaultParagraphFont"/>
    <w:uiPriority w:val="22"/>
    <w:qFormat/>
    <w:rsid w:val="002D72DC"/>
    <w:rPr>
      <w:b/>
      <w:bCs/>
    </w:rPr>
  </w:style>
  <w:style w:type="character" w:styleId="Hyperlink">
    <w:name w:val="Hyperlink"/>
    <w:basedOn w:val="DefaultParagraphFont"/>
    <w:uiPriority w:val="99"/>
    <w:unhideWhenUsed/>
    <w:rsid w:val="00E118D9"/>
    <w:rPr>
      <w:color w:val="0000FF" w:themeColor="hyperlink"/>
      <w:u w:val="single"/>
    </w:rPr>
  </w:style>
  <w:style w:type="character" w:styleId="CommentReference">
    <w:name w:val="annotation reference"/>
    <w:basedOn w:val="DefaultParagraphFont"/>
    <w:uiPriority w:val="99"/>
    <w:semiHidden/>
    <w:unhideWhenUsed/>
    <w:rsid w:val="00F477E6"/>
    <w:rPr>
      <w:sz w:val="16"/>
      <w:szCs w:val="16"/>
    </w:rPr>
  </w:style>
  <w:style w:type="paragraph" w:styleId="CommentText">
    <w:name w:val="annotation text"/>
    <w:basedOn w:val="Normal"/>
    <w:link w:val="CommentTextChar"/>
    <w:uiPriority w:val="99"/>
    <w:semiHidden/>
    <w:unhideWhenUsed/>
    <w:rsid w:val="00F477E6"/>
    <w:pPr>
      <w:spacing w:line="240" w:lineRule="auto"/>
    </w:pPr>
    <w:rPr>
      <w:sz w:val="20"/>
      <w:szCs w:val="20"/>
    </w:rPr>
  </w:style>
  <w:style w:type="character" w:customStyle="1" w:styleId="CommentTextChar">
    <w:name w:val="Comment Text Char"/>
    <w:basedOn w:val="DefaultParagraphFont"/>
    <w:link w:val="CommentText"/>
    <w:uiPriority w:val="99"/>
    <w:semiHidden/>
    <w:rsid w:val="00F477E6"/>
    <w:rPr>
      <w:rFonts w:ascii="Times New Roman" w:hAnsi="Times New Roman" w:cs="Calibri"/>
      <w:b/>
      <w:sz w:val="20"/>
      <w:szCs w:val="20"/>
      <w:lang w:val="en-GB"/>
    </w:rPr>
  </w:style>
  <w:style w:type="paragraph" w:styleId="CommentSubject">
    <w:name w:val="annotation subject"/>
    <w:basedOn w:val="CommentText"/>
    <w:next w:val="CommentText"/>
    <w:link w:val="CommentSubjectChar"/>
    <w:uiPriority w:val="99"/>
    <w:semiHidden/>
    <w:unhideWhenUsed/>
    <w:rsid w:val="00F477E6"/>
    <w:rPr>
      <w:bCs/>
    </w:rPr>
  </w:style>
  <w:style w:type="character" w:customStyle="1" w:styleId="CommentSubjectChar">
    <w:name w:val="Comment Subject Char"/>
    <w:basedOn w:val="CommentTextChar"/>
    <w:link w:val="CommentSubject"/>
    <w:uiPriority w:val="99"/>
    <w:semiHidden/>
    <w:rsid w:val="00F477E6"/>
    <w:rPr>
      <w:rFonts w:ascii="Times New Roman" w:hAnsi="Times New Roman" w:cs="Calibri"/>
      <w:b/>
      <w:bCs/>
      <w:sz w:val="20"/>
      <w:szCs w:val="20"/>
      <w:lang w:val="en-GB"/>
    </w:rPr>
  </w:style>
  <w:style w:type="character" w:customStyle="1" w:styleId="BalloonTextChar1">
    <w:name w:val="Balloon Text Char1"/>
    <w:basedOn w:val="DefaultParagraphFont"/>
    <w:link w:val="BalloonText"/>
    <w:uiPriority w:val="99"/>
    <w:semiHidden/>
    <w:rsid w:val="00F477E6"/>
    <w:rPr>
      <w:rFonts w:ascii="Tahoma" w:hAnsi="Tahoma" w:cs="Tahoma"/>
      <w:b/>
      <w:sz w:val="16"/>
      <w:szCs w:val="16"/>
      <w:lang w:val="en-GB"/>
    </w:rPr>
  </w:style>
  <w:style w:type="paragraph" w:styleId="Footer">
    <w:name w:val="footer"/>
    <w:basedOn w:val="Normal"/>
    <w:link w:val="FooterChar"/>
    <w:uiPriority w:val="99"/>
    <w:unhideWhenUsed/>
    <w:rsid w:val="006643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305"/>
    <w:rPr>
      <w:rFonts w:ascii="Times New Roman" w:hAnsi="Times New Roman" w:cs="Calibri"/>
      <w:b/>
      <w:szCs w:val="22"/>
      <w:lang w:val="en-GB"/>
    </w:rPr>
  </w:style>
  <w:style w:type="character" w:styleId="PageNumber">
    <w:name w:val="page number"/>
    <w:basedOn w:val="DefaultParagraphFont"/>
    <w:uiPriority w:val="99"/>
    <w:semiHidden/>
    <w:unhideWhenUsed/>
    <w:rsid w:val="00664305"/>
  </w:style>
  <w:style w:type="character" w:styleId="FollowedHyperlink">
    <w:name w:val="FollowedHyperlink"/>
    <w:basedOn w:val="DefaultParagraphFont"/>
    <w:uiPriority w:val="99"/>
    <w:semiHidden/>
    <w:unhideWhenUsed/>
    <w:rsid w:val="00A70580"/>
    <w:rPr>
      <w:color w:val="800080" w:themeColor="followedHyperlink"/>
      <w:u w:val="single"/>
    </w:rPr>
  </w:style>
  <w:style w:type="paragraph" w:styleId="Header">
    <w:name w:val="header"/>
    <w:basedOn w:val="Normal"/>
    <w:link w:val="HeaderChar"/>
    <w:uiPriority w:val="99"/>
    <w:unhideWhenUsed/>
    <w:rsid w:val="00292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9A5"/>
    <w:rPr>
      <w:rFonts w:ascii="Times New Roman" w:hAnsi="Times New Roman" w:cs="Calibri"/>
      <w:b/>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F9"/>
    <w:pPr>
      <w:spacing w:after="200" w:line="276" w:lineRule="auto"/>
    </w:pPr>
    <w:rPr>
      <w:rFonts w:ascii="Times New Roman" w:hAnsi="Times New Roman" w:cs="Calibri"/>
      <w:b/>
      <w:szCs w:val="22"/>
      <w:lang w:val="en-GB"/>
    </w:rPr>
  </w:style>
  <w:style w:type="paragraph" w:styleId="Heading2">
    <w:name w:val="heading 2"/>
    <w:basedOn w:val="Normal"/>
    <w:next w:val="Normal"/>
    <w:link w:val="Heading2Char"/>
    <w:autoRedefine/>
    <w:rsid w:val="002C1079"/>
    <w:pPr>
      <w:numPr>
        <w:ilvl w:val="1"/>
      </w:numPr>
      <w:spacing w:line="480" w:lineRule="auto"/>
      <w:outlineLvl w:val="1"/>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477E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B4D73"/>
    <w:rPr>
      <w:rFonts w:ascii="Lucida Grande" w:hAnsi="Lucida Grande"/>
      <w:sz w:val="18"/>
      <w:szCs w:val="18"/>
    </w:rPr>
  </w:style>
  <w:style w:type="character" w:customStyle="1" w:styleId="Heading2Char">
    <w:name w:val="Heading 2 Char"/>
    <w:basedOn w:val="DefaultParagraphFont"/>
    <w:link w:val="Heading2"/>
    <w:rsid w:val="002C1079"/>
    <w:rPr>
      <w:rFonts w:ascii="Arial" w:hAnsi="Arial" w:cs="Arial"/>
      <w:b/>
      <w:bCs/>
      <w:lang w:eastAsia="en-US"/>
    </w:rPr>
  </w:style>
  <w:style w:type="character" w:styleId="Strong">
    <w:name w:val="Strong"/>
    <w:basedOn w:val="DefaultParagraphFont"/>
    <w:uiPriority w:val="22"/>
    <w:qFormat/>
    <w:rsid w:val="002D72DC"/>
    <w:rPr>
      <w:b/>
      <w:bCs/>
    </w:rPr>
  </w:style>
  <w:style w:type="character" w:styleId="Hyperlink">
    <w:name w:val="Hyperlink"/>
    <w:basedOn w:val="DefaultParagraphFont"/>
    <w:uiPriority w:val="99"/>
    <w:unhideWhenUsed/>
    <w:rsid w:val="00E118D9"/>
    <w:rPr>
      <w:color w:val="0000FF" w:themeColor="hyperlink"/>
      <w:u w:val="single"/>
    </w:rPr>
  </w:style>
  <w:style w:type="character" w:styleId="CommentReference">
    <w:name w:val="annotation reference"/>
    <w:basedOn w:val="DefaultParagraphFont"/>
    <w:uiPriority w:val="99"/>
    <w:semiHidden/>
    <w:unhideWhenUsed/>
    <w:rsid w:val="00F477E6"/>
    <w:rPr>
      <w:sz w:val="16"/>
      <w:szCs w:val="16"/>
    </w:rPr>
  </w:style>
  <w:style w:type="paragraph" w:styleId="CommentText">
    <w:name w:val="annotation text"/>
    <w:basedOn w:val="Normal"/>
    <w:link w:val="CommentTextChar"/>
    <w:uiPriority w:val="99"/>
    <w:semiHidden/>
    <w:unhideWhenUsed/>
    <w:rsid w:val="00F477E6"/>
    <w:pPr>
      <w:spacing w:line="240" w:lineRule="auto"/>
    </w:pPr>
    <w:rPr>
      <w:sz w:val="20"/>
      <w:szCs w:val="20"/>
    </w:rPr>
  </w:style>
  <w:style w:type="character" w:customStyle="1" w:styleId="CommentTextChar">
    <w:name w:val="Comment Text Char"/>
    <w:basedOn w:val="DefaultParagraphFont"/>
    <w:link w:val="CommentText"/>
    <w:uiPriority w:val="99"/>
    <w:semiHidden/>
    <w:rsid w:val="00F477E6"/>
    <w:rPr>
      <w:rFonts w:ascii="Times New Roman" w:hAnsi="Times New Roman" w:cs="Calibri"/>
      <w:b/>
      <w:sz w:val="20"/>
      <w:szCs w:val="20"/>
      <w:lang w:val="en-GB"/>
    </w:rPr>
  </w:style>
  <w:style w:type="paragraph" w:styleId="CommentSubject">
    <w:name w:val="annotation subject"/>
    <w:basedOn w:val="CommentText"/>
    <w:next w:val="CommentText"/>
    <w:link w:val="CommentSubjectChar"/>
    <w:uiPriority w:val="99"/>
    <w:semiHidden/>
    <w:unhideWhenUsed/>
    <w:rsid w:val="00F477E6"/>
    <w:rPr>
      <w:bCs/>
    </w:rPr>
  </w:style>
  <w:style w:type="character" w:customStyle="1" w:styleId="CommentSubjectChar">
    <w:name w:val="Comment Subject Char"/>
    <w:basedOn w:val="CommentTextChar"/>
    <w:link w:val="CommentSubject"/>
    <w:uiPriority w:val="99"/>
    <w:semiHidden/>
    <w:rsid w:val="00F477E6"/>
    <w:rPr>
      <w:rFonts w:ascii="Times New Roman" w:hAnsi="Times New Roman" w:cs="Calibri"/>
      <w:b/>
      <w:bCs/>
      <w:sz w:val="20"/>
      <w:szCs w:val="20"/>
      <w:lang w:val="en-GB"/>
    </w:rPr>
  </w:style>
  <w:style w:type="character" w:customStyle="1" w:styleId="BalloonTextChar1">
    <w:name w:val="Balloon Text Char1"/>
    <w:basedOn w:val="DefaultParagraphFont"/>
    <w:link w:val="BalloonText"/>
    <w:uiPriority w:val="99"/>
    <w:semiHidden/>
    <w:rsid w:val="00F477E6"/>
    <w:rPr>
      <w:rFonts w:ascii="Tahoma" w:hAnsi="Tahoma" w:cs="Tahoma"/>
      <w:b/>
      <w:sz w:val="16"/>
      <w:szCs w:val="16"/>
      <w:lang w:val="en-GB"/>
    </w:rPr>
  </w:style>
  <w:style w:type="paragraph" w:styleId="Footer">
    <w:name w:val="footer"/>
    <w:basedOn w:val="Normal"/>
    <w:link w:val="FooterChar"/>
    <w:uiPriority w:val="99"/>
    <w:unhideWhenUsed/>
    <w:rsid w:val="006643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305"/>
    <w:rPr>
      <w:rFonts w:ascii="Times New Roman" w:hAnsi="Times New Roman" w:cs="Calibri"/>
      <w:b/>
      <w:szCs w:val="22"/>
      <w:lang w:val="en-GB"/>
    </w:rPr>
  </w:style>
  <w:style w:type="character" w:styleId="PageNumber">
    <w:name w:val="page number"/>
    <w:basedOn w:val="DefaultParagraphFont"/>
    <w:uiPriority w:val="99"/>
    <w:semiHidden/>
    <w:unhideWhenUsed/>
    <w:rsid w:val="00664305"/>
  </w:style>
  <w:style w:type="character" w:styleId="FollowedHyperlink">
    <w:name w:val="FollowedHyperlink"/>
    <w:basedOn w:val="DefaultParagraphFont"/>
    <w:uiPriority w:val="99"/>
    <w:semiHidden/>
    <w:unhideWhenUsed/>
    <w:rsid w:val="00A70580"/>
    <w:rPr>
      <w:color w:val="800080" w:themeColor="followedHyperlink"/>
      <w:u w:val="single"/>
    </w:rPr>
  </w:style>
  <w:style w:type="paragraph" w:styleId="Header">
    <w:name w:val="header"/>
    <w:basedOn w:val="Normal"/>
    <w:link w:val="HeaderChar"/>
    <w:uiPriority w:val="99"/>
    <w:unhideWhenUsed/>
    <w:rsid w:val="00292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9A5"/>
    <w:rPr>
      <w:rFonts w:ascii="Times New Roman" w:hAnsi="Times New Roman" w:cs="Calibri"/>
      <w:b/>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arbershop.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london.gov.uk/datastorefiles/documents/2011-census-first-resul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wh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retirement-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Moorley</dc:creator>
  <cp:lastModifiedBy>Grace, Stephen E P</cp:lastModifiedBy>
  <cp:revision>2</cp:revision>
  <dcterms:created xsi:type="dcterms:W3CDTF">2016-09-28T13:59:00Z</dcterms:created>
  <dcterms:modified xsi:type="dcterms:W3CDTF">2016-09-28T13:59:00Z</dcterms:modified>
</cp:coreProperties>
</file>