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53A1" w14:textId="77777777" w:rsidR="00F14D91" w:rsidRPr="00716B4A" w:rsidRDefault="00F14D91" w:rsidP="00F14D91">
      <w:pPr>
        <w:pStyle w:val="Heading1"/>
        <w:shd w:val="clear" w:color="auto" w:fill="FFFFFF"/>
        <w:spacing w:before="400" w:beforeAutospacing="0" w:after="200" w:afterAutospacing="0" w:line="450" w:lineRule="atLeast"/>
        <w:rPr>
          <w:rFonts w:asciiTheme="minorHAnsi" w:hAnsiTheme="minorHAnsi" w:cstheme="minorHAnsi"/>
          <w:b w:val="0"/>
          <w:bCs w:val="0"/>
          <w:color w:val="000000"/>
          <w:spacing w:val="-2"/>
          <w:sz w:val="22"/>
          <w:szCs w:val="22"/>
        </w:rPr>
      </w:pPr>
      <w:r w:rsidRPr="00C161A6">
        <w:rPr>
          <w:rFonts w:asciiTheme="minorHAnsi" w:hAnsiTheme="minorHAnsi" w:cstheme="minorHAnsi"/>
          <w:b w:val="0"/>
          <w:bCs w:val="0"/>
          <w:color w:val="000000"/>
          <w:spacing w:val="-2"/>
          <w:sz w:val="22"/>
          <w:szCs w:val="22"/>
        </w:rPr>
        <w:t xml:space="preserve">Table </w:t>
      </w:r>
      <w:r>
        <w:rPr>
          <w:rFonts w:asciiTheme="minorHAnsi" w:hAnsiTheme="minorHAnsi" w:cstheme="minorHAnsi"/>
          <w:b w:val="0"/>
          <w:bCs w:val="0"/>
          <w:color w:val="000000"/>
          <w:spacing w:val="-2"/>
          <w:sz w:val="22"/>
          <w:szCs w:val="22"/>
        </w:rPr>
        <w:t>1</w:t>
      </w:r>
      <w:r w:rsidRPr="00C161A6">
        <w:rPr>
          <w:rFonts w:asciiTheme="minorHAnsi" w:hAnsiTheme="minorHAnsi" w:cstheme="minorHAnsi"/>
          <w:b w:val="0"/>
          <w:bCs w:val="0"/>
          <w:color w:val="000000"/>
          <w:spacing w:val="-2"/>
          <w:sz w:val="22"/>
          <w:szCs w:val="22"/>
        </w:rPr>
        <w:t xml:space="preserve"> </w:t>
      </w:r>
      <w:r w:rsidRPr="00716B4A">
        <w:rPr>
          <w:rFonts w:asciiTheme="minorHAnsi" w:hAnsiTheme="minorHAnsi" w:cstheme="minorHAnsi"/>
          <w:b w:val="0"/>
          <w:bCs w:val="0"/>
          <w:color w:val="333333"/>
          <w:sz w:val="22"/>
          <w:szCs w:val="22"/>
        </w:rPr>
        <w:t>Participant characteristics at baseline.</w:t>
      </w:r>
    </w:p>
    <w:p w14:paraId="653C3E59" w14:textId="77777777" w:rsidR="00F14D91" w:rsidRDefault="00F14D91" w:rsidP="00F14D91">
      <w:pPr>
        <w:rPr>
          <w:noProof/>
        </w:rPr>
      </w:pPr>
      <w:r>
        <w:t xml:space="preserve">(Cited from main trial publication paper; </w:t>
      </w:r>
      <w:r w:rsidRPr="00C161A6">
        <w:t>Mulligan K, Hirani SP, Harris S, Taylor J, Wedderburn LR, Newman S; WebParC Investigator group. The Effects of a Web-Based Tool for Parents of Children With Juvenile Idiopathic Arthritis: Randomized Controlled Trial. J Med Internet Res. 2022 May 12;24(5):e29787. doi: 10.2196/29787. PMID: 35551065; PMCID: PMC9136652</w:t>
      </w:r>
      <w:r>
        <w:t>.</w:t>
      </w:r>
      <w:r w:rsidRPr="00F14D91">
        <w:rPr>
          <w:noProof/>
        </w:rPr>
        <w:t xml:space="preserve"> </w:t>
      </w:r>
    </w:p>
    <w:p w14:paraId="0ED50724" w14:textId="77777777" w:rsidR="00F14D91" w:rsidRDefault="00F14D91" w:rsidP="00F14D91">
      <w:pPr>
        <w:rPr>
          <w:noProof/>
        </w:rPr>
      </w:pPr>
    </w:p>
    <w:p w14:paraId="0F3D1318" w14:textId="5330B678" w:rsidR="00F14D91" w:rsidRDefault="00F14D91" w:rsidP="00F14D91">
      <w:pPr>
        <w:sectPr w:rsidR="00F14D91" w:rsidSect="00232DC2">
          <w:pgSz w:w="11906" w:h="16838"/>
          <w:pgMar w:top="1440" w:right="1440" w:bottom="1440" w:left="1440" w:header="709" w:footer="709" w:gutter="0"/>
          <w:cols w:space="708"/>
          <w:docGrid w:linePitch="360"/>
        </w:sectPr>
      </w:pPr>
      <w:r w:rsidRPr="00E62312">
        <w:rPr>
          <w:noProof/>
        </w:rPr>
        <w:drawing>
          <wp:inline distT="0" distB="0" distL="0" distR="0" wp14:anchorId="230A1E3F" wp14:editId="563718BF">
            <wp:extent cx="5341545" cy="5720549"/>
            <wp:effectExtent l="0" t="0" r="0" b="9525"/>
            <wp:docPr id="15144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545" cy="5720549"/>
                    </a:xfrm>
                    <a:prstGeom prst="rect">
                      <a:avLst/>
                    </a:prstGeom>
                    <a:noFill/>
                    <a:ln>
                      <a:noFill/>
                    </a:ln>
                  </pic:spPr>
                </pic:pic>
              </a:graphicData>
            </a:graphic>
          </wp:inline>
        </w:drawing>
      </w:r>
    </w:p>
    <w:p w14:paraId="52B7ED1A" w14:textId="71359E2D" w:rsidR="007262AD" w:rsidRDefault="007262AD"/>
    <w:p w14:paraId="57FE2E3E" w14:textId="6837BB4E" w:rsidR="0002431C" w:rsidRDefault="004E59E1">
      <w:r>
        <w:t xml:space="preserve">Table </w:t>
      </w:r>
      <w:r w:rsidR="00C93F13">
        <w:t>2</w:t>
      </w:r>
      <w:r>
        <w:t xml:space="preserve">. Cost per </w:t>
      </w:r>
      <w:r w:rsidRPr="005A49A9">
        <w:t>participant</w:t>
      </w:r>
      <w:r>
        <w:t xml:space="preserve"> by treatment arm (</w:t>
      </w:r>
      <w:r w:rsidR="00BF0A08">
        <w:t xml:space="preserve">£ </w:t>
      </w:r>
      <w:r w:rsidR="00E97138">
        <w:t>S</w:t>
      </w:r>
      <w:r w:rsidR="00BF0A08">
        <w:t xml:space="preserve">terling) – First follow up at 4 months </w:t>
      </w:r>
    </w:p>
    <w:p w14:paraId="51D81732" w14:textId="3878AA18" w:rsidR="0002431C" w:rsidRDefault="00C7047E">
      <w:r w:rsidRPr="00C7047E">
        <w:rPr>
          <w:noProof/>
        </w:rPr>
        <w:drawing>
          <wp:inline distT="0" distB="0" distL="0" distR="0" wp14:anchorId="08222833" wp14:editId="2FC980BB">
            <wp:extent cx="8863330" cy="2563495"/>
            <wp:effectExtent l="0" t="0" r="0" b="825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8863330" cy="2563495"/>
                    </a:xfrm>
                    <a:prstGeom prst="rect">
                      <a:avLst/>
                    </a:prstGeom>
                  </pic:spPr>
                </pic:pic>
              </a:graphicData>
            </a:graphic>
          </wp:inline>
        </w:drawing>
      </w:r>
    </w:p>
    <w:p w14:paraId="51910CA3" w14:textId="0EFFEB90" w:rsidR="00AA7E1D" w:rsidRDefault="00AA7E1D"/>
    <w:p w14:paraId="3A69A4E0" w14:textId="62D91A32" w:rsidR="00DB20CD" w:rsidRDefault="00DB20CD"/>
    <w:p w14:paraId="2D1FE2FC" w14:textId="16AC03F8" w:rsidR="00AA7E1D" w:rsidRDefault="00AA7E1D"/>
    <w:p w14:paraId="6021032E" w14:textId="6D83DD7D" w:rsidR="00573A4B" w:rsidRDefault="00573A4B"/>
    <w:p w14:paraId="0C09043A" w14:textId="77777777" w:rsidR="009D16DF" w:rsidRDefault="009D16DF"/>
    <w:p w14:paraId="6137157C" w14:textId="77777777" w:rsidR="009D16DF" w:rsidRDefault="009D16DF"/>
    <w:p w14:paraId="4C99A783" w14:textId="77777777" w:rsidR="009D16DF" w:rsidRDefault="009D16DF"/>
    <w:p w14:paraId="767157C0" w14:textId="77777777" w:rsidR="009D16DF" w:rsidRDefault="009D16DF"/>
    <w:p w14:paraId="407B51E8" w14:textId="77777777" w:rsidR="009D16DF" w:rsidRDefault="009D16DF"/>
    <w:p w14:paraId="187D9E60" w14:textId="77777777" w:rsidR="009D16DF" w:rsidRDefault="009D16DF"/>
    <w:p w14:paraId="6CB052A9" w14:textId="184A027E" w:rsidR="00573A4B" w:rsidRDefault="009D16DF">
      <w:r>
        <w:t xml:space="preserve">Table </w:t>
      </w:r>
      <w:r w:rsidR="00C93F13">
        <w:t>3</w:t>
      </w:r>
      <w:r>
        <w:t xml:space="preserve">. Cost per participant by treatment arm (£ Sterling) – second follow up at 12 months </w:t>
      </w:r>
    </w:p>
    <w:p w14:paraId="57D2910C" w14:textId="4DBA173D" w:rsidR="000611B0" w:rsidRDefault="009D16DF">
      <w:r w:rsidRPr="00A14A6A">
        <w:rPr>
          <w:noProof/>
        </w:rPr>
        <w:drawing>
          <wp:inline distT="0" distB="0" distL="0" distR="0" wp14:anchorId="5E8FC619" wp14:editId="736D58FE">
            <wp:extent cx="8863330" cy="2681605"/>
            <wp:effectExtent l="0" t="0" r="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9"/>
                    <a:stretch>
                      <a:fillRect/>
                    </a:stretch>
                  </pic:blipFill>
                  <pic:spPr>
                    <a:xfrm>
                      <a:off x="0" y="0"/>
                      <a:ext cx="8863330" cy="2681605"/>
                    </a:xfrm>
                    <a:prstGeom prst="rect">
                      <a:avLst/>
                    </a:prstGeom>
                  </pic:spPr>
                </pic:pic>
              </a:graphicData>
            </a:graphic>
          </wp:inline>
        </w:drawing>
      </w:r>
    </w:p>
    <w:p w14:paraId="771A5925" w14:textId="77777777" w:rsidR="000611B0" w:rsidRDefault="000611B0">
      <w:r>
        <w:br w:type="page"/>
      </w:r>
    </w:p>
    <w:p w14:paraId="33ED53F7" w14:textId="6FE7F795" w:rsidR="000546E2" w:rsidRDefault="000546E2" w:rsidP="00C50E51">
      <w:pPr>
        <w:sectPr w:rsidR="000546E2" w:rsidSect="00232DC2">
          <w:pgSz w:w="16838" w:h="11906" w:orient="landscape"/>
          <w:pgMar w:top="1440" w:right="1440" w:bottom="1440" w:left="1440" w:header="709" w:footer="709" w:gutter="0"/>
          <w:cols w:space="708"/>
          <w:docGrid w:linePitch="360"/>
        </w:sectPr>
      </w:pPr>
    </w:p>
    <w:p w14:paraId="5D6D72D2" w14:textId="7C9559F8" w:rsidR="00CB6CAE" w:rsidRDefault="006B3764">
      <w:r w:rsidRPr="006B3764">
        <w:lastRenderedPageBreak/>
        <w:t>Figure 1</w:t>
      </w:r>
      <w:r w:rsidR="004A211B">
        <w:t>.</w:t>
      </w:r>
      <w:r w:rsidRPr="006B3764">
        <w:t xml:space="preserve"> Cost effectiveness plane showing distribution of 1000 replicates of cost and effects for the WebParC intervention versus care as usual using a change in score for both the frequency of stress and associated difficulties at 4 months.</w:t>
      </w:r>
      <w:r w:rsidR="004A211B" w:rsidRPr="004A211B">
        <w:t xml:space="preserve"> </w:t>
      </w:r>
      <w:r w:rsidR="004A211B">
        <w:t>B</w:t>
      </w:r>
      <w:r w:rsidR="004A211B" w:rsidRPr="004A211B">
        <w:t>rown squares representing the frequency scores combined with cost data whilst the blue circled data points represent data from the difficulty scores combined with cost data</w:t>
      </w:r>
      <w:r w:rsidR="004A211B">
        <w:t>.</w:t>
      </w:r>
    </w:p>
    <w:p w14:paraId="05582D4A" w14:textId="69EC8530" w:rsidR="00573A4B" w:rsidRDefault="00AB14C5">
      <w:r w:rsidRPr="00AB14C5">
        <w:rPr>
          <w:noProof/>
        </w:rPr>
        <w:drawing>
          <wp:inline distT="0" distB="0" distL="0" distR="0" wp14:anchorId="6DA5F47D" wp14:editId="44882200">
            <wp:extent cx="7910195" cy="4965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4133" cy="4967877"/>
                    </a:xfrm>
                    <a:prstGeom prst="rect">
                      <a:avLst/>
                    </a:prstGeom>
                    <a:noFill/>
                    <a:ln>
                      <a:noFill/>
                    </a:ln>
                  </pic:spPr>
                </pic:pic>
              </a:graphicData>
            </a:graphic>
          </wp:inline>
        </w:drawing>
      </w:r>
    </w:p>
    <w:p w14:paraId="2EFF12AE" w14:textId="16B35F20" w:rsidR="00042FBC" w:rsidRDefault="00042FBC" w:rsidP="00042FBC">
      <w:r w:rsidRPr="00EC18BB">
        <w:rPr>
          <w:noProof/>
        </w:rPr>
        <w:lastRenderedPageBreak/>
        <w:drawing>
          <wp:anchor distT="0" distB="0" distL="114300" distR="114300" simplePos="0" relativeHeight="251660288" behindDoc="0" locked="0" layoutInCell="1" allowOverlap="1" wp14:anchorId="3EC32C21" wp14:editId="0FF2D9CD">
            <wp:simplePos x="0" y="0"/>
            <wp:positionH relativeFrom="margin">
              <wp:posOffset>-252248</wp:posOffset>
            </wp:positionH>
            <wp:positionV relativeFrom="paragraph">
              <wp:posOffset>550173</wp:posOffset>
            </wp:positionV>
            <wp:extent cx="7612912" cy="517893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2912" cy="5178938"/>
                    </a:xfrm>
                    <a:prstGeom prst="rect">
                      <a:avLst/>
                    </a:prstGeom>
                    <a:noFill/>
                    <a:ln>
                      <a:noFill/>
                    </a:ln>
                  </pic:spPr>
                </pic:pic>
              </a:graphicData>
            </a:graphic>
          </wp:anchor>
        </w:drawing>
      </w:r>
      <w:r>
        <w:t xml:space="preserve">Figure </w:t>
      </w:r>
      <w:r w:rsidR="00B43C72">
        <w:t>2</w:t>
      </w:r>
      <w:r>
        <w:t xml:space="preserve">. </w:t>
      </w:r>
      <w:r w:rsidRPr="00E310DD">
        <w:t>Cost effectiveness plane showing distribution of 1000 replicates of cost and effects for the WebParC intervention versus care as usual using a change in score for both the frequency of stress and associated difficulties at 12 months. Brown squares representing the frequency scores combined with cost data whilst the blue circled data points represent data from the difficulty scores combined with cost data.</w:t>
      </w:r>
    </w:p>
    <w:p w14:paraId="23E8460A" w14:textId="77777777" w:rsidR="00351B49" w:rsidRDefault="00351B49" w:rsidP="00042FBC"/>
    <w:p w14:paraId="0A7C5D0E" w14:textId="77777777" w:rsidR="00042FBC" w:rsidRDefault="00042FBC" w:rsidP="00042FBC"/>
    <w:p w14:paraId="600A8C45" w14:textId="77777777" w:rsidR="00042FBC" w:rsidRDefault="00042FBC" w:rsidP="00042FBC"/>
    <w:p w14:paraId="25E5177B" w14:textId="77777777" w:rsidR="00042FBC" w:rsidRDefault="00042FBC"/>
    <w:p w14:paraId="2447B187" w14:textId="77777777" w:rsidR="00042FBC" w:rsidRDefault="00042FBC"/>
    <w:p w14:paraId="56AC3D96" w14:textId="77777777" w:rsidR="00042FBC" w:rsidRDefault="00042FBC"/>
    <w:p w14:paraId="6E66FAA7" w14:textId="77777777" w:rsidR="00042FBC" w:rsidRDefault="00042FBC"/>
    <w:p w14:paraId="55D09178" w14:textId="77777777" w:rsidR="00042FBC" w:rsidRDefault="00042FBC"/>
    <w:p w14:paraId="13DA6CB5" w14:textId="77777777" w:rsidR="00042FBC" w:rsidRDefault="00042FBC"/>
    <w:p w14:paraId="4D9BA1CC" w14:textId="77777777" w:rsidR="00042FBC" w:rsidRDefault="00042FBC"/>
    <w:p w14:paraId="5E43D6D4" w14:textId="77777777" w:rsidR="00042FBC" w:rsidRDefault="00042FBC"/>
    <w:p w14:paraId="5FF4E2BE" w14:textId="77777777" w:rsidR="00042FBC" w:rsidRDefault="00042FBC"/>
    <w:p w14:paraId="5BB5A95E" w14:textId="77777777" w:rsidR="00042FBC" w:rsidRDefault="00042FBC"/>
    <w:p w14:paraId="2EB047F9" w14:textId="77777777" w:rsidR="00042FBC" w:rsidRDefault="00042FBC"/>
    <w:p w14:paraId="333543BB" w14:textId="77777777" w:rsidR="00042FBC" w:rsidRDefault="00042FBC"/>
    <w:p w14:paraId="0F51D100" w14:textId="77777777" w:rsidR="00042FBC" w:rsidRDefault="00042FBC"/>
    <w:p w14:paraId="2FE0AE18" w14:textId="77777777" w:rsidR="00042FBC" w:rsidRDefault="00042FBC"/>
    <w:p w14:paraId="2B8180A4" w14:textId="77777777" w:rsidR="00042FBC" w:rsidRDefault="00042FBC"/>
    <w:p w14:paraId="623B3617" w14:textId="284A436B" w:rsidR="002D4A35" w:rsidRDefault="00042FBC">
      <w:r>
        <w:lastRenderedPageBreak/>
        <w:t xml:space="preserve">Figure </w:t>
      </w:r>
      <w:r w:rsidR="008D1FDC">
        <w:t>3</w:t>
      </w:r>
      <w:r>
        <w:t xml:space="preserve">. </w:t>
      </w:r>
      <w:r w:rsidRPr="009B7939">
        <w:t>Cost-</w:t>
      </w:r>
      <w:r w:rsidRPr="00042FBC">
        <w:t xml:space="preserve"> </w:t>
      </w:r>
      <w:r w:rsidR="009B7939" w:rsidRPr="009B7939">
        <w:t xml:space="preserve">effectiveness acceptability curves for the WebParc service and care as usual versus just care as usual at 4 month follow-up. The brown line - frequency subscale scores. The blue line - difficulty subscale scores. </w:t>
      </w:r>
      <w:r w:rsidR="00C62D9A">
        <w:rPr>
          <w:noProof/>
        </w:rPr>
        <w:drawing>
          <wp:inline distT="0" distB="0" distL="0" distR="0" wp14:anchorId="29D2D2C6" wp14:editId="40374C90">
            <wp:extent cx="8337550" cy="5304108"/>
            <wp:effectExtent l="0" t="0" r="635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4266" cy="5321104"/>
                    </a:xfrm>
                    <a:prstGeom prst="rect">
                      <a:avLst/>
                    </a:prstGeom>
                    <a:noFill/>
                  </pic:spPr>
                </pic:pic>
              </a:graphicData>
            </a:graphic>
          </wp:inline>
        </w:drawing>
      </w:r>
    </w:p>
    <w:p w14:paraId="7886D3E8" w14:textId="6CA99F32" w:rsidR="004214C5" w:rsidRDefault="004214C5" w:rsidP="004214C5">
      <w:r>
        <w:rPr>
          <w:noProof/>
        </w:rPr>
        <w:lastRenderedPageBreak/>
        <w:drawing>
          <wp:anchor distT="0" distB="0" distL="114300" distR="114300" simplePos="0" relativeHeight="251659264" behindDoc="0" locked="0" layoutInCell="1" allowOverlap="1" wp14:anchorId="5EC85367" wp14:editId="0E7AA75D">
            <wp:simplePos x="0" y="0"/>
            <wp:positionH relativeFrom="margin">
              <wp:align>left</wp:align>
            </wp:positionH>
            <wp:positionV relativeFrom="paragraph">
              <wp:posOffset>479425</wp:posOffset>
            </wp:positionV>
            <wp:extent cx="8712200" cy="5200650"/>
            <wp:effectExtent l="0" t="0" r="0" b="0"/>
            <wp:wrapTopAndBottom/>
            <wp:docPr id="3" name="Chart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t xml:space="preserve">Figure 4. </w:t>
      </w:r>
      <w:r w:rsidR="00B62835" w:rsidRPr="00B62835">
        <w:t>Cost-effectiveness acceptability curves for the WebParc service and care as usual versus just care as usual at 12 month follow-up. The brown line - frequency subscale scores. the blue line - difficulty subscale scores.</w:t>
      </w:r>
    </w:p>
    <w:sectPr w:rsidR="004214C5" w:rsidSect="00232DC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A8FC" w14:textId="77777777" w:rsidR="00232DC2" w:rsidRDefault="00232DC2" w:rsidP="00573A4B">
      <w:pPr>
        <w:spacing w:after="0" w:line="240" w:lineRule="auto"/>
      </w:pPr>
      <w:r>
        <w:separator/>
      </w:r>
    </w:p>
  </w:endnote>
  <w:endnote w:type="continuationSeparator" w:id="0">
    <w:p w14:paraId="7166D08F" w14:textId="77777777" w:rsidR="00232DC2" w:rsidRDefault="00232DC2" w:rsidP="0057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B2A1" w14:textId="77777777" w:rsidR="00232DC2" w:rsidRDefault="00232DC2" w:rsidP="00573A4B">
      <w:pPr>
        <w:spacing w:after="0" w:line="240" w:lineRule="auto"/>
      </w:pPr>
      <w:r>
        <w:separator/>
      </w:r>
    </w:p>
  </w:footnote>
  <w:footnote w:type="continuationSeparator" w:id="0">
    <w:p w14:paraId="70489471" w14:textId="77777777" w:rsidR="00232DC2" w:rsidRDefault="00232DC2" w:rsidP="00573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1C"/>
    <w:rsid w:val="00002C94"/>
    <w:rsid w:val="0002431C"/>
    <w:rsid w:val="00036D42"/>
    <w:rsid w:val="00042FBC"/>
    <w:rsid w:val="00046BBA"/>
    <w:rsid w:val="00053E61"/>
    <w:rsid w:val="000546E2"/>
    <w:rsid w:val="000611B0"/>
    <w:rsid w:val="0006304F"/>
    <w:rsid w:val="00074586"/>
    <w:rsid w:val="00090BEB"/>
    <w:rsid w:val="0009326D"/>
    <w:rsid w:val="000A3F31"/>
    <w:rsid w:val="000B4C0E"/>
    <w:rsid w:val="000E4031"/>
    <w:rsid w:val="00132466"/>
    <w:rsid w:val="00151ECB"/>
    <w:rsid w:val="00173D62"/>
    <w:rsid w:val="001C1BEE"/>
    <w:rsid w:val="00232DC2"/>
    <w:rsid w:val="0025013E"/>
    <w:rsid w:val="00262660"/>
    <w:rsid w:val="002A38CA"/>
    <w:rsid w:val="002B7034"/>
    <w:rsid w:val="002D23B2"/>
    <w:rsid w:val="002D4A35"/>
    <w:rsid w:val="002E0307"/>
    <w:rsid w:val="002E76C2"/>
    <w:rsid w:val="00316D7E"/>
    <w:rsid w:val="00331A7B"/>
    <w:rsid w:val="003417F0"/>
    <w:rsid w:val="00351B49"/>
    <w:rsid w:val="00362A4C"/>
    <w:rsid w:val="00392961"/>
    <w:rsid w:val="003A5353"/>
    <w:rsid w:val="003C0221"/>
    <w:rsid w:val="003C3BD3"/>
    <w:rsid w:val="003C76C7"/>
    <w:rsid w:val="003E1815"/>
    <w:rsid w:val="00400DF7"/>
    <w:rsid w:val="004127D2"/>
    <w:rsid w:val="004214C5"/>
    <w:rsid w:val="0047086E"/>
    <w:rsid w:val="004A211B"/>
    <w:rsid w:val="004A25C8"/>
    <w:rsid w:val="004A6E04"/>
    <w:rsid w:val="004E59E1"/>
    <w:rsid w:val="004F2DBC"/>
    <w:rsid w:val="00523960"/>
    <w:rsid w:val="00533288"/>
    <w:rsid w:val="0054596C"/>
    <w:rsid w:val="005555FB"/>
    <w:rsid w:val="00572745"/>
    <w:rsid w:val="00573A4B"/>
    <w:rsid w:val="005A49A9"/>
    <w:rsid w:val="005C69EC"/>
    <w:rsid w:val="005D089D"/>
    <w:rsid w:val="005D6F9D"/>
    <w:rsid w:val="005F1167"/>
    <w:rsid w:val="00603B01"/>
    <w:rsid w:val="006132D3"/>
    <w:rsid w:val="00617B4A"/>
    <w:rsid w:val="00635042"/>
    <w:rsid w:val="00636097"/>
    <w:rsid w:val="0066658A"/>
    <w:rsid w:val="006764B2"/>
    <w:rsid w:val="006975A9"/>
    <w:rsid w:val="006B2D43"/>
    <w:rsid w:val="006B3137"/>
    <w:rsid w:val="006B3764"/>
    <w:rsid w:val="006C032D"/>
    <w:rsid w:val="006F7907"/>
    <w:rsid w:val="00716B4A"/>
    <w:rsid w:val="00720182"/>
    <w:rsid w:val="007262AD"/>
    <w:rsid w:val="0074156B"/>
    <w:rsid w:val="00762EC2"/>
    <w:rsid w:val="007A7123"/>
    <w:rsid w:val="007E70E6"/>
    <w:rsid w:val="007F2A83"/>
    <w:rsid w:val="00804F88"/>
    <w:rsid w:val="00824D5C"/>
    <w:rsid w:val="00837014"/>
    <w:rsid w:val="00843DC9"/>
    <w:rsid w:val="008A0811"/>
    <w:rsid w:val="008C044F"/>
    <w:rsid w:val="008C6DBD"/>
    <w:rsid w:val="008D1FDC"/>
    <w:rsid w:val="008E6686"/>
    <w:rsid w:val="00901612"/>
    <w:rsid w:val="00932532"/>
    <w:rsid w:val="00961782"/>
    <w:rsid w:val="00985D7C"/>
    <w:rsid w:val="009A56CD"/>
    <w:rsid w:val="009B2C67"/>
    <w:rsid w:val="009B5A4D"/>
    <w:rsid w:val="009B7939"/>
    <w:rsid w:val="009C5547"/>
    <w:rsid w:val="009D11E6"/>
    <w:rsid w:val="009D16DF"/>
    <w:rsid w:val="009D1FDE"/>
    <w:rsid w:val="009D555A"/>
    <w:rsid w:val="00A14A6A"/>
    <w:rsid w:val="00A14E75"/>
    <w:rsid w:val="00A5619C"/>
    <w:rsid w:val="00AA7E1D"/>
    <w:rsid w:val="00AB14C5"/>
    <w:rsid w:val="00AC44ED"/>
    <w:rsid w:val="00AD7BA5"/>
    <w:rsid w:val="00AF0007"/>
    <w:rsid w:val="00AF39BA"/>
    <w:rsid w:val="00AF5324"/>
    <w:rsid w:val="00B0359D"/>
    <w:rsid w:val="00B12042"/>
    <w:rsid w:val="00B37879"/>
    <w:rsid w:val="00B43C72"/>
    <w:rsid w:val="00B512E3"/>
    <w:rsid w:val="00B62835"/>
    <w:rsid w:val="00B64049"/>
    <w:rsid w:val="00B8198F"/>
    <w:rsid w:val="00B85F13"/>
    <w:rsid w:val="00B8747E"/>
    <w:rsid w:val="00BB49CD"/>
    <w:rsid w:val="00BD6E8B"/>
    <w:rsid w:val="00BE786C"/>
    <w:rsid w:val="00BF0A08"/>
    <w:rsid w:val="00BF674B"/>
    <w:rsid w:val="00C05B0E"/>
    <w:rsid w:val="00C156BD"/>
    <w:rsid w:val="00C161A6"/>
    <w:rsid w:val="00C268FF"/>
    <w:rsid w:val="00C355BA"/>
    <w:rsid w:val="00C50E51"/>
    <w:rsid w:val="00C62D9A"/>
    <w:rsid w:val="00C7047E"/>
    <w:rsid w:val="00C86E18"/>
    <w:rsid w:val="00C87AE8"/>
    <w:rsid w:val="00C92DE0"/>
    <w:rsid w:val="00C93F13"/>
    <w:rsid w:val="00CB6CAE"/>
    <w:rsid w:val="00CC32D2"/>
    <w:rsid w:val="00D01EC1"/>
    <w:rsid w:val="00D53018"/>
    <w:rsid w:val="00D659A9"/>
    <w:rsid w:val="00D744BB"/>
    <w:rsid w:val="00D84739"/>
    <w:rsid w:val="00DA33C0"/>
    <w:rsid w:val="00DA5D9B"/>
    <w:rsid w:val="00DB20CD"/>
    <w:rsid w:val="00DC179F"/>
    <w:rsid w:val="00DC5C7B"/>
    <w:rsid w:val="00DD409D"/>
    <w:rsid w:val="00DE7111"/>
    <w:rsid w:val="00E17640"/>
    <w:rsid w:val="00E24F30"/>
    <w:rsid w:val="00E310DD"/>
    <w:rsid w:val="00E32909"/>
    <w:rsid w:val="00E45EB7"/>
    <w:rsid w:val="00E56EC2"/>
    <w:rsid w:val="00E57A7F"/>
    <w:rsid w:val="00E62312"/>
    <w:rsid w:val="00E62D8E"/>
    <w:rsid w:val="00E67E72"/>
    <w:rsid w:val="00E722BA"/>
    <w:rsid w:val="00E80067"/>
    <w:rsid w:val="00E945E0"/>
    <w:rsid w:val="00E97138"/>
    <w:rsid w:val="00EC18BB"/>
    <w:rsid w:val="00EC228F"/>
    <w:rsid w:val="00EE7A0D"/>
    <w:rsid w:val="00F04E02"/>
    <w:rsid w:val="00F05F44"/>
    <w:rsid w:val="00F14D91"/>
    <w:rsid w:val="00F26A97"/>
    <w:rsid w:val="00F33449"/>
    <w:rsid w:val="00F53533"/>
    <w:rsid w:val="00F66646"/>
    <w:rsid w:val="00F91278"/>
    <w:rsid w:val="00FE0851"/>
    <w:rsid w:val="18104009"/>
    <w:rsid w:val="1B47E0CB"/>
    <w:rsid w:val="5394ACFE"/>
    <w:rsid w:val="5B46B0BF"/>
    <w:rsid w:val="739F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FAF7"/>
  <w15:chartTrackingRefBased/>
  <w15:docId w15:val="{2B3ADDF3-63B7-45CE-ACCB-AE6F4990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6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0007"/>
    <w:pPr>
      <w:spacing w:after="0" w:line="240" w:lineRule="auto"/>
    </w:pPr>
  </w:style>
  <w:style w:type="paragraph" w:styleId="Header">
    <w:name w:val="header"/>
    <w:basedOn w:val="Normal"/>
    <w:link w:val="HeaderChar"/>
    <w:uiPriority w:val="99"/>
    <w:unhideWhenUsed/>
    <w:rsid w:val="0057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4B"/>
  </w:style>
  <w:style w:type="paragraph" w:styleId="Footer">
    <w:name w:val="footer"/>
    <w:basedOn w:val="Normal"/>
    <w:link w:val="FooterChar"/>
    <w:uiPriority w:val="99"/>
    <w:unhideWhenUsed/>
    <w:rsid w:val="0057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4B"/>
  </w:style>
  <w:style w:type="character" w:customStyle="1" w:styleId="Heading1Char">
    <w:name w:val="Heading 1 Char"/>
    <w:basedOn w:val="DefaultParagraphFont"/>
    <w:link w:val="Heading1"/>
    <w:uiPriority w:val="9"/>
    <w:rsid w:val="00716B4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16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4020">
      <w:bodyDiv w:val="1"/>
      <w:marLeft w:val="0"/>
      <w:marRight w:val="0"/>
      <w:marTop w:val="0"/>
      <w:marBottom w:val="0"/>
      <w:divBdr>
        <w:top w:val="none" w:sz="0" w:space="0" w:color="auto"/>
        <w:left w:val="none" w:sz="0" w:space="0" w:color="auto"/>
        <w:bottom w:val="none" w:sz="0" w:space="0" w:color="auto"/>
        <w:right w:val="none" w:sz="0" w:space="0" w:color="auto"/>
      </w:divBdr>
      <w:divsChild>
        <w:div w:id="279339547">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stulsbuac-my.sharepoint.com/personal/floodc_lsbu_ac_uk/Documents/ZZZ-I-Drive/WebParc%20study/Missing%20data%20analysis/Bootstrap%20analyses%20based%20on%20MI%20for%20T1%20and%20T2%20for%20both%20PIP%20frequency%20and%20difficulty/Bootstrapping%20macro"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808524361076021E-2"/>
          <c:y val="3.1890791718920251E-2"/>
          <c:w val="0.85729058945191305"/>
          <c:h val="0.8"/>
        </c:manualLayout>
      </c:layout>
      <c:scatterChart>
        <c:scatterStyle val="smoothMarker"/>
        <c:varyColors val="0"/>
        <c:ser>
          <c:idx val="2"/>
          <c:order val="0"/>
          <c:spPr>
            <a:ln w="38100">
              <a:solidFill>
                <a:srgbClr val="C00000"/>
              </a:solidFill>
              <a:prstDash val="solid"/>
            </a:ln>
          </c:spPr>
          <c:marker>
            <c:symbol val="none"/>
          </c:marker>
          <c:xVal>
            <c:numRef>
              <c:f>'[Bootstrapping macro MI with Freq time point 2 data.xlsm]Bootstrapping'!$AC$8:$AC$58</c:f>
              <c:numCache>
                <c:formatCode>"£"#,##0</c:formatCode>
                <c:ptCount val="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numCache>
            </c:numRef>
          </c:xVal>
          <c:yVal>
            <c:numRef>
              <c:f>'[Bootstrapping macro MI with Freq time point 2 data.xlsm]Bootstrapping'!$AD$8:$AD$58</c:f>
              <c:numCache>
                <c:formatCode>General</c:formatCode>
                <c:ptCount val="51"/>
                <c:pt idx="0">
                  <c:v>0.60799999999999998</c:v>
                </c:pt>
                <c:pt idx="1">
                  <c:v>0.50600000000000001</c:v>
                </c:pt>
                <c:pt idx="2">
                  <c:v>0.502</c:v>
                </c:pt>
                <c:pt idx="3">
                  <c:v>0.502</c:v>
                </c:pt>
                <c:pt idx="4">
                  <c:v>0.501</c:v>
                </c:pt>
                <c:pt idx="5">
                  <c:v>0.501</c:v>
                </c:pt>
                <c:pt idx="6">
                  <c:v>0.501</c:v>
                </c:pt>
                <c:pt idx="7">
                  <c:v>0.501</c:v>
                </c:pt>
                <c:pt idx="8">
                  <c:v>0.501</c:v>
                </c:pt>
                <c:pt idx="9">
                  <c:v>0.501</c:v>
                </c:pt>
                <c:pt idx="10">
                  <c:v>0.501</c:v>
                </c:pt>
                <c:pt idx="11">
                  <c:v>0.501</c:v>
                </c:pt>
                <c:pt idx="12">
                  <c:v>0.501</c:v>
                </c:pt>
                <c:pt idx="13">
                  <c:v>0.501</c:v>
                </c:pt>
                <c:pt idx="14">
                  <c:v>0.501</c:v>
                </c:pt>
                <c:pt idx="15">
                  <c:v>0.501</c:v>
                </c:pt>
                <c:pt idx="16">
                  <c:v>0.501</c:v>
                </c:pt>
                <c:pt idx="17">
                  <c:v>0.501</c:v>
                </c:pt>
                <c:pt idx="18">
                  <c:v>0.501</c:v>
                </c:pt>
                <c:pt idx="19">
                  <c:v>0.501</c:v>
                </c:pt>
                <c:pt idx="20">
                  <c:v>0.501</c:v>
                </c:pt>
                <c:pt idx="21">
                  <c:v>0.501</c:v>
                </c:pt>
                <c:pt idx="22">
                  <c:v>0.501</c:v>
                </c:pt>
                <c:pt idx="23">
                  <c:v>0.501</c:v>
                </c:pt>
                <c:pt idx="24">
                  <c:v>0.501</c:v>
                </c:pt>
                <c:pt idx="25">
                  <c:v>0.501</c:v>
                </c:pt>
                <c:pt idx="26">
                  <c:v>0.501</c:v>
                </c:pt>
                <c:pt idx="27">
                  <c:v>0.501</c:v>
                </c:pt>
                <c:pt idx="28">
                  <c:v>0.501</c:v>
                </c:pt>
                <c:pt idx="29">
                  <c:v>0.501</c:v>
                </c:pt>
                <c:pt idx="30">
                  <c:v>0.501</c:v>
                </c:pt>
                <c:pt idx="31">
                  <c:v>0.501</c:v>
                </c:pt>
                <c:pt idx="32">
                  <c:v>0.501</c:v>
                </c:pt>
                <c:pt idx="33">
                  <c:v>0.501</c:v>
                </c:pt>
                <c:pt idx="34">
                  <c:v>0.501</c:v>
                </c:pt>
                <c:pt idx="35">
                  <c:v>0.501</c:v>
                </c:pt>
                <c:pt idx="36">
                  <c:v>0.501</c:v>
                </c:pt>
                <c:pt idx="37">
                  <c:v>0.501</c:v>
                </c:pt>
                <c:pt idx="38">
                  <c:v>0.501</c:v>
                </c:pt>
                <c:pt idx="39">
                  <c:v>0.501</c:v>
                </c:pt>
                <c:pt idx="40">
                  <c:v>0.501</c:v>
                </c:pt>
                <c:pt idx="41">
                  <c:v>0.501</c:v>
                </c:pt>
                <c:pt idx="42">
                  <c:v>0.501</c:v>
                </c:pt>
                <c:pt idx="43">
                  <c:v>0.501</c:v>
                </c:pt>
                <c:pt idx="44">
                  <c:v>0.501</c:v>
                </c:pt>
                <c:pt idx="45">
                  <c:v>0.501</c:v>
                </c:pt>
                <c:pt idx="46">
                  <c:v>0.501</c:v>
                </c:pt>
                <c:pt idx="47">
                  <c:v>0.501</c:v>
                </c:pt>
                <c:pt idx="48">
                  <c:v>0.501</c:v>
                </c:pt>
                <c:pt idx="49">
                  <c:v>0.501</c:v>
                </c:pt>
                <c:pt idx="50">
                  <c:v>0.501</c:v>
                </c:pt>
              </c:numCache>
            </c:numRef>
          </c:yVal>
          <c:smooth val="1"/>
          <c:extLst>
            <c:ext xmlns:c16="http://schemas.microsoft.com/office/drawing/2014/chart" uri="{C3380CC4-5D6E-409C-BE32-E72D297353CC}">
              <c16:uniqueId val="{00000000-8E5C-49B9-A192-425FBE60A336}"/>
            </c:ext>
          </c:extLst>
        </c:ser>
        <c:ser>
          <c:idx val="0"/>
          <c:order val="1"/>
          <c:spPr>
            <a:ln w="38100">
              <a:solidFill>
                <a:srgbClr val="002060"/>
              </a:solidFill>
              <a:prstDash val="solid"/>
            </a:ln>
          </c:spPr>
          <c:marker>
            <c:symbol val="none"/>
          </c:marker>
          <c:xVal>
            <c:numRef>
              <c:f>'https://stulsbuac-my.sharepoint.com/personal/floodc_lsbu_ac_uk/Documents/ZZZ-I-Drive/WebParc study/Missing data analysis/Bootstrap analyses based on MI for T1 and T2 for both PIP frequency and difficulty/[Bootstrapping macro MI with Diff time point 2 data.xlsm]Bootstrapping'!$AC$8:$AC$58</c:f>
              <c:numCache>
                <c:formatCode>General</c:formatCode>
                <c:ptCount val="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numCache>
            </c:numRef>
          </c:xVal>
          <c:yVal>
            <c:numRef>
              <c:f>'https://stulsbuac-my.sharepoint.com/personal/floodc_lsbu_ac_uk/Documents/ZZZ-I-Drive/WebParc study/Missing data analysis/Bootstrap analyses based on MI for T1 and T2 for both PIP frequency and difficulty/[Bootstrapping macro MI with Diff time point 2 data.xlsm]Bootstrapping'!$AD$8:$AD$58</c:f>
              <c:numCache>
                <c:formatCode>General</c:formatCode>
                <c:ptCount val="51"/>
                <c:pt idx="0">
                  <c:v>0.42699999999999999</c:v>
                </c:pt>
                <c:pt idx="1">
                  <c:v>0.496</c:v>
                </c:pt>
                <c:pt idx="2">
                  <c:v>0.48899999999999999</c:v>
                </c:pt>
                <c:pt idx="3">
                  <c:v>0.49099999999999999</c:v>
                </c:pt>
                <c:pt idx="4">
                  <c:v>0.49299999999999999</c:v>
                </c:pt>
                <c:pt idx="5">
                  <c:v>0.49099999999999999</c:v>
                </c:pt>
                <c:pt idx="6">
                  <c:v>0.49199999999999999</c:v>
                </c:pt>
                <c:pt idx="7">
                  <c:v>0.49099999999999999</c:v>
                </c:pt>
                <c:pt idx="8">
                  <c:v>0.49199999999999999</c:v>
                </c:pt>
                <c:pt idx="9">
                  <c:v>0.49199999999999999</c:v>
                </c:pt>
                <c:pt idx="10">
                  <c:v>0.49199999999999999</c:v>
                </c:pt>
                <c:pt idx="11">
                  <c:v>0.49199999999999999</c:v>
                </c:pt>
                <c:pt idx="12">
                  <c:v>0.49199999999999999</c:v>
                </c:pt>
                <c:pt idx="13">
                  <c:v>0.49199999999999999</c:v>
                </c:pt>
                <c:pt idx="14">
                  <c:v>0.49199999999999999</c:v>
                </c:pt>
                <c:pt idx="15">
                  <c:v>0.49199999999999999</c:v>
                </c:pt>
                <c:pt idx="16">
                  <c:v>0.49199999999999999</c:v>
                </c:pt>
                <c:pt idx="17">
                  <c:v>0.49199999999999999</c:v>
                </c:pt>
                <c:pt idx="18">
                  <c:v>0.49199999999999999</c:v>
                </c:pt>
                <c:pt idx="19">
                  <c:v>0.49199999999999999</c:v>
                </c:pt>
                <c:pt idx="20">
                  <c:v>0.49199999999999999</c:v>
                </c:pt>
                <c:pt idx="21">
                  <c:v>0.49299999999999999</c:v>
                </c:pt>
                <c:pt idx="22">
                  <c:v>0.49299999999999999</c:v>
                </c:pt>
                <c:pt idx="23">
                  <c:v>0.49299999999999999</c:v>
                </c:pt>
                <c:pt idx="24">
                  <c:v>0.49299999999999999</c:v>
                </c:pt>
                <c:pt idx="25">
                  <c:v>0.49299999999999999</c:v>
                </c:pt>
                <c:pt idx="26">
                  <c:v>0.49299999999999999</c:v>
                </c:pt>
                <c:pt idx="27">
                  <c:v>0.49299999999999999</c:v>
                </c:pt>
                <c:pt idx="28">
                  <c:v>0.49299999999999999</c:v>
                </c:pt>
                <c:pt idx="29">
                  <c:v>0.49299999999999999</c:v>
                </c:pt>
                <c:pt idx="30">
                  <c:v>0.49299999999999999</c:v>
                </c:pt>
                <c:pt idx="31">
                  <c:v>0.49299999999999999</c:v>
                </c:pt>
                <c:pt idx="32">
                  <c:v>0.49299999999999999</c:v>
                </c:pt>
                <c:pt idx="33">
                  <c:v>0.49299999999999999</c:v>
                </c:pt>
                <c:pt idx="34">
                  <c:v>0.49299999999999999</c:v>
                </c:pt>
                <c:pt idx="35">
                  <c:v>0.49299999999999999</c:v>
                </c:pt>
                <c:pt idx="36">
                  <c:v>0.49299999999999999</c:v>
                </c:pt>
                <c:pt idx="37">
                  <c:v>0.49299999999999999</c:v>
                </c:pt>
                <c:pt idx="38">
                  <c:v>0.49299999999999999</c:v>
                </c:pt>
                <c:pt idx="39">
                  <c:v>0.49299999999999999</c:v>
                </c:pt>
                <c:pt idx="40">
                  <c:v>0.49299999999999999</c:v>
                </c:pt>
                <c:pt idx="41">
                  <c:v>0.49299999999999999</c:v>
                </c:pt>
                <c:pt idx="42">
                  <c:v>0.49299999999999999</c:v>
                </c:pt>
                <c:pt idx="43">
                  <c:v>0.49299999999999999</c:v>
                </c:pt>
                <c:pt idx="44">
                  <c:v>0.49299999999999999</c:v>
                </c:pt>
                <c:pt idx="45">
                  <c:v>0.49299999999999999</c:v>
                </c:pt>
                <c:pt idx="46">
                  <c:v>0.49299999999999999</c:v>
                </c:pt>
                <c:pt idx="47">
                  <c:v>0.49299999999999999</c:v>
                </c:pt>
                <c:pt idx="48">
                  <c:v>0.49299999999999999</c:v>
                </c:pt>
                <c:pt idx="49">
                  <c:v>0.49299999999999999</c:v>
                </c:pt>
                <c:pt idx="50">
                  <c:v>0.49299999999999999</c:v>
                </c:pt>
              </c:numCache>
            </c:numRef>
          </c:yVal>
          <c:smooth val="1"/>
          <c:extLst>
            <c:ext xmlns:c16="http://schemas.microsoft.com/office/drawing/2014/chart" uri="{C3380CC4-5D6E-409C-BE32-E72D297353CC}">
              <c16:uniqueId val="{00000001-8E5C-49B9-A192-425FBE60A336}"/>
            </c:ext>
          </c:extLst>
        </c:ser>
        <c:dLbls>
          <c:showLegendKey val="0"/>
          <c:showVal val="0"/>
          <c:showCatName val="0"/>
          <c:showSerName val="0"/>
          <c:showPercent val="0"/>
          <c:showBubbleSize val="0"/>
        </c:dLbls>
        <c:axId val="-2013217400"/>
        <c:axId val="-2013223352"/>
      </c:scatterChart>
      <c:valAx>
        <c:axId val="-2013217400"/>
        <c:scaling>
          <c:orientation val="minMax"/>
          <c:max val="50000"/>
        </c:scaling>
        <c:delete val="0"/>
        <c:axPos val="b"/>
        <c:title>
          <c:tx>
            <c:rich>
              <a:bodyPr/>
              <a:lstStyle/>
              <a:p>
                <a:pPr>
                  <a:defRPr sz="1725" b="1" i="0" u="none" strike="noStrike" baseline="0">
                    <a:solidFill>
                      <a:srgbClr val="000000"/>
                    </a:solidFill>
                    <a:latin typeface="Arial"/>
                    <a:ea typeface="Arial"/>
                    <a:cs typeface="Arial"/>
                  </a:defRPr>
                </a:pPr>
                <a:r>
                  <a:rPr lang="en-GB"/>
                  <a:t>Value of ceiling ratio</a:t>
                </a:r>
              </a:p>
            </c:rich>
          </c:tx>
          <c:layout>
            <c:manualLayout>
              <c:xMode val="edge"/>
              <c:yMode val="edge"/>
              <c:x val="0.40124095139607002"/>
              <c:y val="0.91525423728813604"/>
            </c:manualLayout>
          </c:layout>
          <c:overlay val="0"/>
          <c:spPr>
            <a:noFill/>
            <a:ln w="25400">
              <a:noFill/>
            </a:ln>
          </c:spPr>
        </c:title>
        <c:numFmt formatCode="&quot;£&quot;#,##0" sourceLinked="0"/>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Arial"/>
                <a:ea typeface="Arial"/>
                <a:cs typeface="Arial"/>
              </a:defRPr>
            </a:pPr>
            <a:endParaRPr lang="en-US"/>
          </a:p>
        </c:txPr>
        <c:crossAx val="-2013223352"/>
        <c:crosses val="autoZero"/>
        <c:crossBetween val="midCat"/>
      </c:valAx>
      <c:valAx>
        <c:axId val="-2013223352"/>
        <c:scaling>
          <c:orientation val="minMax"/>
          <c:max val="1"/>
        </c:scaling>
        <c:delete val="0"/>
        <c:axPos val="l"/>
        <c:title>
          <c:tx>
            <c:rich>
              <a:bodyPr/>
              <a:lstStyle/>
              <a:p>
                <a:pPr>
                  <a:defRPr sz="1725" b="1" i="0" u="none" strike="noStrike" baseline="0">
                    <a:solidFill>
                      <a:srgbClr val="000000"/>
                    </a:solidFill>
                    <a:latin typeface="Arial"/>
                    <a:ea typeface="Arial"/>
                    <a:cs typeface="Arial"/>
                  </a:defRPr>
                </a:pPr>
                <a:r>
                  <a:rPr lang="en-GB"/>
                  <a:t>Probability cost-effective</a:t>
                </a:r>
              </a:p>
            </c:rich>
          </c:tx>
          <c:layout>
            <c:manualLayout>
              <c:xMode val="edge"/>
              <c:yMode val="edge"/>
              <c:x val="1.1375387797311299E-2"/>
              <c:y val="0.201694915254236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Arial"/>
                <a:ea typeface="Arial"/>
                <a:cs typeface="Arial"/>
              </a:defRPr>
            </a:pPr>
            <a:endParaRPr lang="en-US"/>
          </a:p>
        </c:txPr>
        <c:crossAx val="-2013217400"/>
        <c:crosses val="autoZero"/>
        <c:crossBetween val="midCat"/>
      </c:valAx>
      <c:spPr>
        <a:noFill/>
        <a:ln w="25400">
          <a:noFill/>
        </a:ln>
      </c:spPr>
    </c:plotArea>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5C25-BEE7-4667-A6DC-298238B6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Chris</dc:creator>
  <cp:keywords/>
  <dc:description/>
  <cp:lastModifiedBy>Chris Flood</cp:lastModifiedBy>
  <cp:revision>153</cp:revision>
  <dcterms:created xsi:type="dcterms:W3CDTF">2023-01-17T16:44:00Z</dcterms:created>
  <dcterms:modified xsi:type="dcterms:W3CDTF">2024-01-29T18:43:00Z</dcterms:modified>
</cp:coreProperties>
</file>