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50" w:rsidRPr="006853EA" w:rsidRDefault="0026184D" w:rsidP="00AF6503">
      <w:pPr>
        <w:spacing w:after="0" w:line="480" w:lineRule="auto"/>
        <w:ind w:right="282"/>
        <w:rPr>
          <w:rFonts w:ascii="Times New Roman" w:hAnsi="Times New Roman" w:cs="Times New Roman"/>
          <w:b/>
          <w:sz w:val="28"/>
          <w:szCs w:val="28"/>
        </w:rPr>
      </w:pPr>
      <w:bookmarkStart w:id="0" w:name="_GoBack"/>
      <w:bookmarkEnd w:id="0"/>
      <w:r>
        <w:rPr>
          <w:rFonts w:ascii="Times New Roman" w:hAnsi="Times New Roman" w:cs="Times New Roman"/>
          <w:b/>
          <w:sz w:val="28"/>
          <w:szCs w:val="28"/>
        </w:rPr>
        <w:t>S</w:t>
      </w:r>
      <w:r w:rsidR="00166050" w:rsidRPr="006853EA">
        <w:rPr>
          <w:rFonts w:ascii="Times New Roman" w:hAnsi="Times New Roman" w:cs="Times New Roman"/>
          <w:b/>
          <w:sz w:val="28"/>
          <w:szCs w:val="28"/>
        </w:rPr>
        <w:t xml:space="preserve">tock </w:t>
      </w:r>
      <w:r w:rsidR="00505395">
        <w:rPr>
          <w:rFonts w:ascii="Times New Roman" w:hAnsi="Times New Roman" w:cs="Times New Roman"/>
          <w:b/>
          <w:sz w:val="28"/>
          <w:szCs w:val="28"/>
        </w:rPr>
        <w:t>m</w:t>
      </w:r>
      <w:r w:rsidR="00166050" w:rsidRPr="006853EA">
        <w:rPr>
          <w:rFonts w:ascii="Times New Roman" w:hAnsi="Times New Roman" w:cs="Times New Roman"/>
          <w:b/>
          <w:sz w:val="28"/>
          <w:szCs w:val="28"/>
        </w:rPr>
        <w:t xml:space="preserve">arket </w:t>
      </w:r>
      <w:r w:rsidR="00505395">
        <w:rPr>
          <w:rFonts w:ascii="Times New Roman" w:hAnsi="Times New Roman" w:cs="Times New Roman"/>
          <w:b/>
          <w:sz w:val="28"/>
          <w:szCs w:val="28"/>
        </w:rPr>
        <w:t>i</w:t>
      </w:r>
      <w:r w:rsidR="00166050" w:rsidRPr="006853EA">
        <w:rPr>
          <w:rFonts w:ascii="Times New Roman" w:hAnsi="Times New Roman" w:cs="Times New Roman"/>
          <w:b/>
          <w:sz w:val="28"/>
          <w:szCs w:val="28"/>
        </w:rPr>
        <w:t xml:space="preserve">ntegration between </w:t>
      </w:r>
      <w:r w:rsidR="001B302F">
        <w:rPr>
          <w:rFonts w:ascii="Times New Roman" w:hAnsi="Times New Roman" w:cs="Times New Roman"/>
          <w:b/>
          <w:sz w:val="28"/>
          <w:szCs w:val="28"/>
        </w:rPr>
        <w:t xml:space="preserve">the </w:t>
      </w:r>
      <w:r w:rsidR="00166050" w:rsidRPr="006853EA">
        <w:rPr>
          <w:rFonts w:ascii="Times New Roman" w:hAnsi="Times New Roman" w:cs="Times New Roman"/>
          <w:b/>
          <w:sz w:val="28"/>
          <w:szCs w:val="28"/>
        </w:rPr>
        <w:t xml:space="preserve">UK and </w:t>
      </w:r>
      <w:r w:rsidR="006671C6">
        <w:rPr>
          <w:rFonts w:ascii="Times New Roman" w:hAnsi="Times New Roman" w:cs="Times New Roman"/>
          <w:b/>
          <w:sz w:val="28"/>
          <w:szCs w:val="28"/>
        </w:rPr>
        <w:t xml:space="preserve">the </w:t>
      </w:r>
      <w:r w:rsidR="00166050" w:rsidRPr="006853EA">
        <w:rPr>
          <w:rFonts w:ascii="Times New Roman" w:hAnsi="Times New Roman" w:cs="Times New Roman"/>
          <w:b/>
          <w:sz w:val="28"/>
          <w:szCs w:val="28"/>
        </w:rPr>
        <w:t xml:space="preserve">US: Evidence </w:t>
      </w:r>
      <w:r w:rsidR="006671C6">
        <w:rPr>
          <w:rFonts w:ascii="Times New Roman" w:hAnsi="Times New Roman" w:cs="Times New Roman"/>
          <w:b/>
          <w:sz w:val="28"/>
          <w:szCs w:val="28"/>
        </w:rPr>
        <w:t xml:space="preserve">over </w:t>
      </w:r>
      <w:r w:rsidR="00505395">
        <w:rPr>
          <w:rFonts w:ascii="Times New Roman" w:hAnsi="Times New Roman" w:cs="Times New Roman"/>
          <w:b/>
          <w:sz w:val="28"/>
          <w:szCs w:val="28"/>
        </w:rPr>
        <w:t>e</w:t>
      </w:r>
      <w:r w:rsidR="00AD0DE8">
        <w:rPr>
          <w:rFonts w:ascii="Times New Roman" w:hAnsi="Times New Roman" w:cs="Times New Roman"/>
          <w:b/>
          <w:sz w:val="28"/>
          <w:szCs w:val="28"/>
        </w:rPr>
        <w:t>ight</w:t>
      </w:r>
      <w:r w:rsidR="00534524">
        <w:rPr>
          <w:rFonts w:ascii="Times New Roman" w:hAnsi="Times New Roman" w:cs="Times New Roman"/>
          <w:b/>
          <w:sz w:val="28"/>
          <w:szCs w:val="28"/>
        </w:rPr>
        <w:t xml:space="preserve"> </w:t>
      </w:r>
      <w:r w:rsidR="00505395">
        <w:rPr>
          <w:rFonts w:ascii="Times New Roman" w:hAnsi="Times New Roman" w:cs="Times New Roman"/>
          <w:b/>
          <w:sz w:val="28"/>
          <w:szCs w:val="28"/>
        </w:rPr>
        <w:t>d</w:t>
      </w:r>
      <w:r w:rsidR="00166050" w:rsidRPr="006853EA">
        <w:rPr>
          <w:rFonts w:ascii="Times New Roman" w:hAnsi="Times New Roman" w:cs="Times New Roman"/>
          <w:b/>
          <w:sz w:val="28"/>
          <w:szCs w:val="28"/>
        </w:rPr>
        <w:t>ecade</w:t>
      </w:r>
      <w:r w:rsidR="00A466CD">
        <w:rPr>
          <w:rFonts w:ascii="Times New Roman" w:hAnsi="Times New Roman" w:cs="Times New Roman"/>
          <w:b/>
          <w:sz w:val="28"/>
          <w:szCs w:val="28"/>
        </w:rPr>
        <w:t>s</w:t>
      </w:r>
    </w:p>
    <w:p w:rsidR="00505395" w:rsidRDefault="00505395" w:rsidP="00AF6503">
      <w:pPr>
        <w:tabs>
          <w:tab w:val="center" w:pos="4819"/>
          <w:tab w:val="left" w:pos="6853"/>
        </w:tabs>
        <w:spacing w:after="0" w:line="480" w:lineRule="auto"/>
        <w:ind w:right="288"/>
        <w:rPr>
          <w:rFonts w:ascii="Times New Roman" w:hAnsi="Times New Roman" w:cs="Times New Roman"/>
          <w:b/>
          <w:sz w:val="24"/>
          <w:szCs w:val="24"/>
        </w:rPr>
      </w:pPr>
    </w:p>
    <w:p w:rsidR="00166050" w:rsidRPr="00AF6503" w:rsidRDefault="00166050" w:rsidP="00AF6503">
      <w:pPr>
        <w:tabs>
          <w:tab w:val="center" w:pos="4819"/>
          <w:tab w:val="left" w:pos="6853"/>
        </w:tabs>
        <w:spacing w:after="0" w:line="480" w:lineRule="auto"/>
        <w:ind w:right="288"/>
        <w:rPr>
          <w:rFonts w:ascii="Times New Roman" w:hAnsi="Times New Roman" w:cs="Times New Roman"/>
          <w:caps/>
          <w:sz w:val="24"/>
          <w:szCs w:val="24"/>
        </w:rPr>
      </w:pPr>
      <w:r w:rsidRPr="00AF6503">
        <w:rPr>
          <w:rFonts w:ascii="Times New Roman" w:hAnsi="Times New Roman" w:cs="Times New Roman"/>
          <w:caps/>
          <w:sz w:val="24"/>
          <w:szCs w:val="24"/>
        </w:rPr>
        <w:t>Abstract</w:t>
      </w:r>
      <w:r w:rsidR="00F17CD0" w:rsidRPr="00AF6503">
        <w:rPr>
          <w:rFonts w:ascii="Times New Roman" w:hAnsi="Times New Roman" w:cs="Times New Roman"/>
          <w:caps/>
          <w:sz w:val="24"/>
          <w:szCs w:val="24"/>
        </w:rPr>
        <w:tab/>
      </w:r>
    </w:p>
    <w:p w:rsidR="009A225D" w:rsidRDefault="00735A4D" w:rsidP="00AF6503">
      <w:pPr>
        <w:spacing w:after="0" w:line="48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 xml:space="preserve">This study investigates how the impact </w:t>
      </w:r>
      <w:r w:rsidR="00423BBE">
        <w:rPr>
          <w:rFonts w:ascii="Times New Roman" w:hAnsi="Times New Roman" w:cs="Times New Roman"/>
          <w:color w:val="000000"/>
          <w:sz w:val="24"/>
          <w:szCs w:val="24"/>
        </w:rPr>
        <w:t xml:space="preserve">made </w:t>
      </w:r>
      <w:r w:rsidR="00A466CD">
        <w:rPr>
          <w:rFonts w:ascii="Times New Roman" w:hAnsi="Times New Roman" w:cs="Times New Roman"/>
          <w:color w:val="000000"/>
          <w:sz w:val="24"/>
          <w:szCs w:val="24"/>
        </w:rPr>
        <w:t xml:space="preserve">on stock market integration </w:t>
      </w:r>
      <w:r w:rsidR="00423BBE">
        <w:rPr>
          <w:rFonts w:ascii="Times New Roman" w:hAnsi="Times New Roman" w:cs="Times New Roman"/>
          <w:color w:val="000000"/>
          <w:sz w:val="24"/>
          <w:szCs w:val="24"/>
        </w:rPr>
        <w:t>by</w:t>
      </w:r>
      <w:r>
        <w:rPr>
          <w:rFonts w:ascii="Times New Roman" w:hAnsi="Times New Roman" w:cs="Times New Roman"/>
          <w:color w:val="000000"/>
          <w:sz w:val="24"/>
          <w:szCs w:val="24"/>
        </w:rPr>
        <w:t xml:space="preserve"> macroeconomic determinants such as various </w:t>
      </w:r>
      <w:r w:rsidR="00E1424B">
        <w:rPr>
          <w:rFonts w:ascii="Times New Roman" w:hAnsi="Times New Roman" w:cs="Times New Roman"/>
          <w:color w:val="000000"/>
          <w:sz w:val="24"/>
          <w:szCs w:val="24"/>
        </w:rPr>
        <w:t>measures</w:t>
      </w:r>
      <w:r>
        <w:rPr>
          <w:rFonts w:ascii="Times New Roman" w:hAnsi="Times New Roman" w:cs="Times New Roman"/>
          <w:color w:val="000000"/>
          <w:sz w:val="24"/>
          <w:szCs w:val="24"/>
        </w:rPr>
        <w:t xml:space="preserve"> of convergence and financial volatility, as well as crisis episodes</w:t>
      </w:r>
      <w:r w:rsidR="00522D74">
        <w:rPr>
          <w:rFonts w:ascii="Times New Roman" w:hAnsi="Times New Roman" w:cs="Times New Roman"/>
          <w:color w:val="000000"/>
          <w:sz w:val="24"/>
          <w:szCs w:val="24"/>
        </w:rPr>
        <w:t>,</w:t>
      </w:r>
      <w:r>
        <w:rPr>
          <w:rFonts w:ascii="Times New Roman" w:hAnsi="Times New Roman" w:cs="Times New Roman"/>
          <w:color w:val="000000"/>
          <w:sz w:val="24"/>
          <w:szCs w:val="24"/>
        </w:rPr>
        <w:t xml:space="preserve"> varies over </w:t>
      </w:r>
      <w:r w:rsidR="0050539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period 1935</w:t>
      </w:r>
      <w:r w:rsidR="001B302F">
        <w:rPr>
          <w:rFonts w:ascii="Times New Roman" w:hAnsi="Times New Roman" w:cs="Times New Roman"/>
          <w:color w:val="000000"/>
          <w:sz w:val="24"/>
          <w:szCs w:val="24"/>
        </w:rPr>
        <w:t>–</w:t>
      </w:r>
      <w:r>
        <w:rPr>
          <w:rFonts w:ascii="Times New Roman" w:hAnsi="Times New Roman" w:cs="Times New Roman"/>
          <w:color w:val="000000"/>
          <w:sz w:val="24"/>
          <w:szCs w:val="24"/>
        </w:rPr>
        <w:t>2015. We gauge how the level of integration between</w:t>
      </w:r>
      <w:r w:rsidR="008931C6">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U</w:t>
      </w:r>
      <w:r w:rsidR="00473C51">
        <w:rPr>
          <w:rFonts w:ascii="Times New Roman" w:hAnsi="Times New Roman" w:cs="Times New Roman"/>
          <w:color w:val="000000"/>
          <w:sz w:val="24"/>
          <w:szCs w:val="24"/>
        </w:rPr>
        <w:t>K and US</w:t>
      </w:r>
      <w:r>
        <w:rPr>
          <w:rFonts w:ascii="Times New Roman" w:hAnsi="Times New Roman" w:cs="Times New Roman"/>
          <w:color w:val="000000"/>
          <w:sz w:val="24"/>
          <w:szCs w:val="24"/>
        </w:rPr>
        <w:t xml:space="preserve"> stock markets changes across three monetary regimes </w:t>
      </w:r>
      <w:r w:rsidR="00E129E9">
        <w:rPr>
          <w:rFonts w:ascii="Times New Roman" w:hAnsi="Times New Roman" w:cs="Times New Roman"/>
          <w:color w:val="000000"/>
          <w:sz w:val="24"/>
          <w:szCs w:val="24"/>
        </w:rPr>
        <w:t xml:space="preserve">during </w:t>
      </w:r>
      <w:r w:rsidR="00522D74">
        <w:rPr>
          <w:rFonts w:ascii="Times New Roman" w:hAnsi="Times New Roman" w:cs="Times New Roman"/>
          <w:color w:val="000000"/>
          <w:sz w:val="24"/>
          <w:szCs w:val="24"/>
        </w:rPr>
        <w:t xml:space="preserve">this </w:t>
      </w:r>
      <w:r>
        <w:rPr>
          <w:rFonts w:ascii="Times New Roman" w:hAnsi="Times New Roman" w:cs="Times New Roman"/>
          <w:color w:val="000000"/>
          <w:sz w:val="24"/>
          <w:szCs w:val="24"/>
        </w:rPr>
        <w:t>period: pre</w:t>
      </w:r>
      <w:r w:rsidR="00505395">
        <w:rPr>
          <w:rFonts w:ascii="Times New Roman" w:hAnsi="Times New Roman" w:cs="Times New Roman"/>
          <w:color w:val="000000"/>
          <w:sz w:val="24"/>
          <w:szCs w:val="24"/>
        </w:rPr>
        <w:t>–</w:t>
      </w:r>
      <w:r>
        <w:rPr>
          <w:rFonts w:ascii="Times New Roman" w:hAnsi="Times New Roman" w:cs="Times New Roman"/>
          <w:color w:val="000000"/>
          <w:sz w:val="24"/>
          <w:szCs w:val="24"/>
        </w:rPr>
        <w:t>Bretton Wood</w:t>
      </w:r>
      <w:r w:rsidR="00522D74">
        <w:rPr>
          <w:rFonts w:ascii="Times New Roman" w:hAnsi="Times New Roman" w:cs="Times New Roman"/>
          <w:color w:val="000000"/>
          <w:sz w:val="24"/>
          <w:szCs w:val="24"/>
        </w:rPr>
        <w:t>s</w:t>
      </w:r>
      <w:r>
        <w:rPr>
          <w:rFonts w:ascii="Times New Roman" w:hAnsi="Times New Roman" w:cs="Times New Roman"/>
          <w:color w:val="000000"/>
          <w:sz w:val="24"/>
          <w:szCs w:val="24"/>
        </w:rPr>
        <w:t xml:space="preserve"> (BW), the BW</w:t>
      </w:r>
      <w:r w:rsidR="008931C6">
        <w:rPr>
          <w:rFonts w:ascii="Times New Roman" w:hAnsi="Times New Roman" w:cs="Times New Roman"/>
          <w:color w:val="000000"/>
          <w:sz w:val="24"/>
          <w:szCs w:val="24"/>
        </w:rPr>
        <w:t xml:space="preserve"> fixed exchange rate</w:t>
      </w:r>
      <w:r>
        <w:rPr>
          <w:rFonts w:ascii="Times New Roman" w:hAnsi="Times New Roman" w:cs="Times New Roman"/>
          <w:color w:val="000000"/>
          <w:sz w:val="24"/>
          <w:szCs w:val="24"/>
        </w:rPr>
        <w:t xml:space="preserve">, and the post-BW flexible rates. </w:t>
      </w:r>
      <w:r w:rsidR="00FF20E2">
        <w:rPr>
          <w:rFonts w:ascii="Times New Roman" w:hAnsi="Times New Roman" w:cs="Times New Roman"/>
          <w:color w:val="000000"/>
          <w:sz w:val="24"/>
          <w:szCs w:val="24"/>
        </w:rPr>
        <w:t>Our empirical result</w:t>
      </w:r>
      <w:r w:rsidR="00522D74">
        <w:rPr>
          <w:rFonts w:ascii="Times New Roman" w:hAnsi="Times New Roman" w:cs="Times New Roman"/>
          <w:color w:val="000000"/>
          <w:sz w:val="24"/>
          <w:szCs w:val="24"/>
        </w:rPr>
        <w:t>s</w:t>
      </w:r>
      <w:r w:rsidR="007151BE">
        <w:rPr>
          <w:rFonts w:ascii="Times New Roman" w:hAnsi="Times New Roman" w:cs="Times New Roman"/>
          <w:color w:val="000000"/>
          <w:sz w:val="24"/>
          <w:szCs w:val="24"/>
        </w:rPr>
        <w:t xml:space="preserve"> suggest</w:t>
      </w:r>
      <w:r w:rsidR="00FF20E2">
        <w:rPr>
          <w:rFonts w:ascii="Times New Roman" w:hAnsi="Times New Roman" w:cs="Times New Roman"/>
          <w:color w:val="000000"/>
          <w:sz w:val="24"/>
          <w:szCs w:val="24"/>
        </w:rPr>
        <w:t xml:space="preserve"> that integration was strongest under the </w:t>
      </w:r>
      <w:r w:rsidR="004E0B26">
        <w:rPr>
          <w:rFonts w:ascii="Times New Roman" w:hAnsi="Times New Roman" w:cs="Times New Roman"/>
          <w:color w:val="000000"/>
          <w:sz w:val="24"/>
          <w:szCs w:val="24"/>
        </w:rPr>
        <w:t>post-B</w:t>
      </w:r>
      <w:r w:rsidR="00875B54">
        <w:rPr>
          <w:rFonts w:ascii="Times New Roman" w:hAnsi="Times New Roman" w:cs="Times New Roman"/>
          <w:color w:val="000000"/>
          <w:sz w:val="24"/>
          <w:szCs w:val="24"/>
        </w:rPr>
        <w:t>W</w:t>
      </w:r>
      <w:r w:rsidR="00FF20E2">
        <w:rPr>
          <w:rFonts w:ascii="Times New Roman" w:hAnsi="Times New Roman" w:cs="Times New Roman"/>
          <w:color w:val="000000"/>
          <w:sz w:val="24"/>
          <w:szCs w:val="24"/>
        </w:rPr>
        <w:t xml:space="preserve"> regime</w:t>
      </w:r>
      <w:r w:rsidR="00D43B0C">
        <w:rPr>
          <w:rFonts w:ascii="Times New Roman" w:hAnsi="Times New Roman" w:cs="Times New Roman"/>
          <w:color w:val="000000"/>
          <w:sz w:val="24"/>
          <w:szCs w:val="24"/>
        </w:rPr>
        <w:t xml:space="preserve"> and weakest under the </w:t>
      </w:r>
      <w:r w:rsidR="004E0B26">
        <w:rPr>
          <w:rFonts w:ascii="Times New Roman" w:hAnsi="Times New Roman" w:cs="Times New Roman"/>
          <w:color w:val="000000"/>
          <w:sz w:val="24"/>
          <w:szCs w:val="24"/>
        </w:rPr>
        <w:t>B</w:t>
      </w:r>
      <w:r w:rsidR="00875B54">
        <w:rPr>
          <w:rFonts w:ascii="Times New Roman" w:hAnsi="Times New Roman" w:cs="Times New Roman"/>
          <w:color w:val="000000"/>
          <w:sz w:val="24"/>
          <w:szCs w:val="24"/>
        </w:rPr>
        <w:t>W</w:t>
      </w:r>
      <w:r w:rsidR="00D43B0C">
        <w:rPr>
          <w:rFonts w:ascii="Times New Roman" w:hAnsi="Times New Roman" w:cs="Times New Roman"/>
          <w:color w:val="000000"/>
          <w:sz w:val="24"/>
          <w:szCs w:val="24"/>
        </w:rPr>
        <w:t xml:space="preserve"> regime</w:t>
      </w:r>
      <w:r w:rsidR="00FF20E2">
        <w:rPr>
          <w:rFonts w:ascii="Times New Roman" w:hAnsi="Times New Roman" w:cs="Times New Roman"/>
          <w:color w:val="000000"/>
          <w:sz w:val="24"/>
          <w:szCs w:val="24"/>
        </w:rPr>
        <w:t>.</w:t>
      </w:r>
      <w:r w:rsidR="00AF6334">
        <w:rPr>
          <w:rFonts w:ascii="Times New Roman" w:hAnsi="Times New Roman" w:cs="Times New Roman"/>
          <w:color w:val="000000"/>
          <w:sz w:val="24"/>
          <w:szCs w:val="24"/>
        </w:rPr>
        <w:t xml:space="preserve"> </w:t>
      </w:r>
      <w:r w:rsidR="009A225D">
        <w:rPr>
          <w:rFonts w:ascii="Times New Roman" w:hAnsi="Times New Roman" w:cs="Times New Roman"/>
          <w:color w:val="000000"/>
          <w:sz w:val="24"/>
          <w:szCs w:val="24"/>
        </w:rPr>
        <w:t xml:space="preserve">We further demonstrate that </w:t>
      </w:r>
      <w:r w:rsidR="009A225D" w:rsidRPr="006853EA">
        <w:rPr>
          <w:rFonts w:ascii="Times New Roman" w:hAnsi="Times New Roman" w:cs="Times New Roman"/>
          <w:color w:val="000000"/>
          <w:sz w:val="24"/>
          <w:szCs w:val="24"/>
        </w:rPr>
        <w:t xml:space="preserve">stock market integration </w:t>
      </w:r>
      <w:r w:rsidR="009A225D">
        <w:rPr>
          <w:rFonts w:ascii="Times New Roman" w:hAnsi="Times New Roman" w:cs="Times New Roman"/>
          <w:color w:val="000000"/>
          <w:sz w:val="24"/>
          <w:szCs w:val="24"/>
        </w:rPr>
        <w:t xml:space="preserve">between the two markets </w:t>
      </w:r>
      <w:r w:rsidR="009A225D" w:rsidRPr="006853EA">
        <w:rPr>
          <w:rFonts w:ascii="Times New Roman" w:hAnsi="Times New Roman" w:cs="Times New Roman"/>
          <w:color w:val="000000"/>
          <w:sz w:val="24"/>
          <w:szCs w:val="24"/>
        </w:rPr>
        <w:t xml:space="preserve">has been </w:t>
      </w:r>
      <w:r w:rsidR="009A225D">
        <w:rPr>
          <w:rFonts w:ascii="Times New Roman" w:hAnsi="Times New Roman" w:cs="Times New Roman"/>
          <w:color w:val="000000"/>
          <w:sz w:val="24"/>
          <w:szCs w:val="24"/>
        </w:rPr>
        <w:t xml:space="preserve">driven largely </w:t>
      </w:r>
      <w:r w:rsidR="009A225D" w:rsidRPr="006853EA">
        <w:rPr>
          <w:rFonts w:ascii="Times New Roman" w:hAnsi="Times New Roman" w:cs="Times New Roman"/>
          <w:color w:val="000000"/>
          <w:sz w:val="24"/>
          <w:szCs w:val="24"/>
        </w:rPr>
        <w:t>by</w:t>
      </w:r>
      <w:r w:rsidR="00AF6334">
        <w:rPr>
          <w:rFonts w:ascii="Times New Roman" w:hAnsi="Times New Roman" w:cs="Times New Roman"/>
          <w:color w:val="000000"/>
          <w:sz w:val="24"/>
          <w:szCs w:val="24"/>
        </w:rPr>
        <w:t xml:space="preserve"> </w:t>
      </w:r>
      <w:r w:rsidR="009A225D">
        <w:rPr>
          <w:rFonts w:ascii="Times New Roman" w:hAnsi="Times New Roman" w:cs="Times New Roman"/>
          <w:color w:val="000000"/>
          <w:sz w:val="24"/>
          <w:szCs w:val="24"/>
        </w:rPr>
        <w:t>macroeconomic convergence</w:t>
      </w:r>
      <w:r w:rsidR="00AF63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w:t>
      </w:r>
      <w:r w:rsidR="00AF6334">
        <w:rPr>
          <w:rFonts w:ascii="Times New Roman" w:hAnsi="Times New Roman" w:cs="Times New Roman"/>
          <w:color w:val="000000"/>
          <w:sz w:val="24"/>
          <w:szCs w:val="24"/>
        </w:rPr>
        <w:t xml:space="preserve"> </w:t>
      </w:r>
      <w:r w:rsidR="009A225D" w:rsidRPr="006853EA">
        <w:rPr>
          <w:rFonts w:ascii="Times New Roman" w:hAnsi="Times New Roman" w:cs="Times New Roman"/>
          <w:color w:val="000000"/>
          <w:sz w:val="24"/>
          <w:szCs w:val="24"/>
        </w:rPr>
        <w:t>financial</w:t>
      </w:r>
      <w:r w:rsidR="009A225D">
        <w:rPr>
          <w:rFonts w:ascii="Times New Roman" w:hAnsi="Times New Roman" w:cs="Times New Roman"/>
          <w:color w:val="000000"/>
          <w:sz w:val="24"/>
          <w:szCs w:val="24"/>
        </w:rPr>
        <w:t xml:space="preserve"> volatility</w:t>
      </w:r>
      <w:r w:rsidR="00AF6334">
        <w:rPr>
          <w:rFonts w:ascii="Times New Roman" w:hAnsi="Times New Roman" w:cs="Times New Roman"/>
          <w:color w:val="000000"/>
          <w:sz w:val="24"/>
          <w:szCs w:val="24"/>
        </w:rPr>
        <w:t xml:space="preserve"> </w:t>
      </w:r>
      <w:r w:rsidR="009A225D">
        <w:rPr>
          <w:rFonts w:ascii="Times New Roman" w:hAnsi="Times New Roman" w:cs="Times New Roman"/>
          <w:color w:val="000000"/>
          <w:sz w:val="24"/>
          <w:szCs w:val="24"/>
        </w:rPr>
        <w:t xml:space="preserve">as well </w:t>
      </w:r>
      <w:r w:rsidR="00505395">
        <w:rPr>
          <w:rFonts w:ascii="Times New Roman" w:hAnsi="Times New Roman" w:cs="Times New Roman"/>
          <w:color w:val="000000"/>
          <w:sz w:val="24"/>
          <w:szCs w:val="24"/>
        </w:rPr>
        <w:t xml:space="preserve">as </w:t>
      </w:r>
      <w:r w:rsidR="00522D74">
        <w:rPr>
          <w:rFonts w:ascii="Times New Roman" w:hAnsi="Times New Roman" w:cs="Times New Roman"/>
          <w:color w:val="000000"/>
          <w:sz w:val="24"/>
          <w:szCs w:val="24"/>
        </w:rPr>
        <w:t xml:space="preserve">by </w:t>
      </w:r>
      <w:r w:rsidR="009A225D">
        <w:rPr>
          <w:rFonts w:ascii="Times New Roman" w:hAnsi="Times New Roman" w:cs="Times New Roman"/>
          <w:color w:val="000000"/>
          <w:sz w:val="24"/>
          <w:szCs w:val="24"/>
        </w:rPr>
        <w:t>cris</w:t>
      </w:r>
      <w:r w:rsidR="00E129E9">
        <w:rPr>
          <w:rFonts w:ascii="Times New Roman" w:hAnsi="Times New Roman" w:cs="Times New Roman"/>
          <w:color w:val="000000"/>
          <w:sz w:val="24"/>
          <w:szCs w:val="24"/>
        </w:rPr>
        <w:t>e</w:t>
      </w:r>
      <w:r w:rsidR="009A225D">
        <w:rPr>
          <w:rFonts w:ascii="Times New Roman" w:hAnsi="Times New Roman" w:cs="Times New Roman"/>
          <w:color w:val="000000"/>
          <w:sz w:val="24"/>
          <w:szCs w:val="24"/>
        </w:rPr>
        <w:t>s</w:t>
      </w:r>
      <w:r w:rsidR="00522D74">
        <w:rPr>
          <w:rFonts w:ascii="Times New Roman" w:hAnsi="Times New Roman" w:cs="Times New Roman"/>
          <w:color w:val="000000"/>
          <w:sz w:val="24"/>
          <w:szCs w:val="24"/>
        </w:rPr>
        <w:t>,</w:t>
      </w:r>
      <w:r w:rsidR="00AA53E5">
        <w:rPr>
          <w:rFonts w:ascii="Times New Roman" w:hAnsi="Times New Roman" w:cs="Times New Roman"/>
          <w:color w:val="000000"/>
          <w:sz w:val="24"/>
          <w:szCs w:val="24"/>
        </w:rPr>
        <w:t xml:space="preserve"> especially</w:t>
      </w:r>
      <w:r w:rsidR="006450D8">
        <w:rPr>
          <w:rFonts w:ascii="Times New Roman" w:hAnsi="Times New Roman" w:cs="Times New Roman"/>
          <w:color w:val="000000"/>
          <w:sz w:val="24"/>
          <w:szCs w:val="24"/>
        </w:rPr>
        <w:t xml:space="preserve"> since the demise of the B</w:t>
      </w:r>
      <w:r w:rsidR="00875B54">
        <w:rPr>
          <w:rFonts w:ascii="Times New Roman" w:hAnsi="Times New Roman" w:cs="Times New Roman"/>
          <w:color w:val="000000"/>
          <w:sz w:val="24"/>
          <w:szCs w:val="24"/>
        </w:rPr>
        <w:t>W</w:t>
      </w:r>
      <w:r w:rsidR="006E6811">
        <w:rPr>
          <w:rFonts w:ascii="Times New Roman" w:hAnsi="Times New Roman" w:cs="Times New Roman"/>
          <w:color w:val="000000"/>
          <w:sz w:val="24"/>
          <w:szCs w:val="24"/>
        </w:rPr>
        <w:t xml:space="preserve"> system</w:t>
      </w:r>
      <w:r w:rsidR="009A225D" w:rsidRPr="006853EA">
        <w:rPr>
          <w:rFonts w:ascii="Times New Roman" w:hAnsi="Times New Roman" w:cs="Times New Roman"/>
          <w:color w:val="000000"/>
          <w:sz w:val="24"/>
          <w:szCs w:val="24"/>
        </w:rPr>
        <w:t>.</w:t>
      </w:r>
    </w:p>
    <w:p w:rsidR="00FF20E2" w:rsidRDefault="00FF20E2" w:rsidP="00AF6503">
      <w:pPr>
        <w:spacing w:after="0" w:line="480" w:lineRule="auto"/>
        <w:ind w:right="282"/>
        <w:rPr>
          <w:rFonts w:ascii="Times New Roman" w:hAnsi="Times New Roman" w:cs="Times New Roman"/>
          <w:color w:val="000000"/>
          <w:sz w:val="24"/>
          <w:szCs w:val="24"/>
        </w:rPr>
      </w:pPr>
    </w:p>
    <w:p w:rsidR="00505395" w:rsidRPr="00817CB4" w:rsidRDefault="00505395" w:rsidP="00AF6503">
      <w:pPr>
        <w:spacing w:after="0" w:line="480" w:lineRule="auto"/>
        <w:ind w:right="282"/>
        <w:rPr>
          <w:rFonts w:ascii="Times New Roman" w:hAnsi="Times New Roman" w:cs="Times New Roman"/>
          <w:i/>
          <w:sz w:val="24"/>
          <w:szCs w:val="24"/>
          <w:lang w:val="en-US"/>
        </w:rPr>
      </w:pPr>
      <w:r w:rsidRPr="00817CB4">
        <w:rPr>
          <w:rFonts w:ascii="Times New Roman" w:hAnsi="Times New Roman" w:cs="Times New Roman"/>
          <w:i/>
          <w:sz w:val="24"/>
          <w:szCs w:val="24"/>
          <w:lang w:val="en-US"/>
        </w:rPr>
        <w:t>JEL classifications:</w:t>
      </w:r>
    </w:p>
    <w:p w:rsidR="00505395" w:rsidRPr="00817CB4" w:rsidRDefault="00505395" w:rsidP="00AF6503">
      <w:pPr>
        <w:spacing w:after="0" w:line="480" w:lineRule="auto"/>
        <w:ind w:right="282"/>
        <w:rPr>
          <w:rFonts w:ascii="Times New Roman" w:hAnsi="Times New Roman" w:cs="Times New Roman"/>
          <w:sz w:val="24"/>
          <w:szCs w:val="24"/>
          <w:lang w:val="en-US"/>
        </w:rPr>
      </w:pPr>
      <w:r w:rsidRPr="00817CB4">
        <w:rPr>
          <w:rFonts w:ascii="Times New Roman" w:hAnsi="Times New Roman" w:cs="Times New Roman"/>
          <w:sz w:val="24"/>
          <w:szCs w:val="24"/>
          <w:lang w:val="en-US"/>
        </w:rPr>
        <w:t xml:space="preserve">C12 </w:t>
      </w:r>
    </w:p>
    <w:p w:rsidR="00505395" w:rsidRPr="00817CB4" w:rsidRDefault="00505395" w:rsidP="00AF6503">
      <w:pPr>
        <w:spacing w:after="0" w:line="480" w:lineRule="auto"/>
        <w:ind w:right="282"/>
        <w:rPr>
          <w:rFonts w:ascii="Times New Roman" w:hAnsi="Times New Roman" w:cs="Times New Roman"/>
          <w:sz w:val="24"/>
          <w:szCs w:val="24"/>
          <w:lang w:val="en-US"/>
        </w:rPr>
      </w:pPr>
      <w:r w:rsidRPr="00817CB4">
        <w:rPr>
          <w:rFonts w:ascii="Times New Roman" w:hAnsi="Times New Roman" w:cs="Times New Roman"/>
          <w:sz w:val="24"/>
          <w:szCs w:val="24"/>
          <w:lang w:val="en-US"/>
        </w:rPr>
        <w:t xml:space="preserve">E44 </w:t>
      </w:r>
    </w:p>
    <w:p w:rsidR="00505395" w:rsidRDefault="00505395" w:rsidP="00AF6503">
      <w:pPr>
        <w:spacing w:after="0" w:line="480" w:lineRule="auto"/>
        <w:ind w:right="282"/>
        <w:rPr>
          <w:rFonts w:ascii="Times New Roman" w:hAnsi="Times New Roman" w:cs="Times New Roman"/>
          <w:b/>
          <w:i/>
          <w:color w:val="000000"/>
          <w:sz w:val="24"/>
          <w:szCs w:val="24"/>
        </w:rPr>
      </w:pPr>
      <w:r w:rsidRPr="00817CB4">
        <w:rPr>
          <w:rFonts w:ascii="Times New Roman" w:hAnsi="Times New Roman" w:cs="Times New Roman"/>
          <w:sz w:val="24"/>
          <w:szCs w:val="24"/>
          <w:lang w:val="en-US"/>
        </w:rPr>
        <w:t>F36</w:t>
      </w:r>
    </w:p>
    <w:p w:rsidR="00505395" w:rsidRDefault="00505395" w:rsidP="00AF6503">
      <w:pPr>
        <w:spacing w:after="0" w:line="480" w:lineRule="auto"/>
        <w:ind w:right="282"/>
        <w:rPr>
          <w:rFonts w:ascii="Times New Roman" w:hAnsi="Times New Roman" w:cs="Times New Roman"/>
          <w:b/>
          <w:i/>
          <w:color w:val="000000"/>
          <w:sz w:val="24"/>
          <w:szCs w:val="24"/>
        </w:rPr>
      </w:pPr>
    </w:p>
    <w:p w:rsidR="00505395" w:rsidRDefault="00166050" w:rsidP="00AF6503">
      <w:pPr>
        <w:spacing w:after="0" w:line="480" w:lineRule="auto"/>
        <w:ind w:right="282"/>
        <w:rPr>
          <w:rFonts w:ascii="Times New Roman" w:hAnsi="Times New Roman" w:cs="Times New Roman"/>
          <w:i/>
          <w:color w:val="000000"/>
          <w:sz w:val="24"/>
          <w:szCs w:val="24"/>
        </w:rPr>
      </w:pPr>
      <w:r w:rsidRPr="00AF6503">
        <w:rPr>
          <w:rFonts w:ascii="Times New Roman" w:hAnsi="Times New Roman" w:cs="Times New Roman"/>
          <w:i/>
          <w:color w:val="000000"/>
          <w:sz w:val="24"/>
          <w:szCs w:val="24"/>
        </w:rPr>
        <w:t xml:space="preserve">Keywords: </w:t>
      </w:r>
    </w:p>
    <w:p w:rsidR="00505395" w:rsidRPr="00AF6503" w:rsidRDefault="00505395" w:rsidP="00AF6503">
      <w:pPr>
        <w:spacing w:after="0" w:line="48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S</w:t>
      </w:r>
      <w:r w:rsidR="00166050" w:rsidRPr="00AF6503">
        <w:rPr>
          <w:rFonts w:ascii="Times New Roman" w:hAnsi="Times New Roman" w:cs="Times New Roman"/>
          <w:color w:val="000000"/>
          <w:sz w:val="24"/>
          <w:szCs w:val="24"/>
        </w:rPr>
        <w:t>tock market integration</w:t>
      </w:r>
    </w:p>
    <w:p w:rsidR="00505395" w:rsidRPr="00AF6503" w:rsidRDefault="00C445C3" w:rsidP="00AF6503">
      <w:pPr>
        <w:spacing w:after="0" w:line="480" w:lineRule="auto"/>
        <w:ind w:right="282"/>
        <w:rPr>
          <w:rFonts w:ascii="Times New Roman" w:hAnsi="Times New Roman" w:cs="Times New Roman"/>
          <w:color w:val="000000"/>
          <w:sz w:val="24"/>
          <w:szCs w:val="24"/>
        </w:rPr>
      </w:pPr>
      <w:r w:rsidRPr="00AF6503">
        <w:rPr>
          <w:rFonts w:ascii="Times New Roman" w:hAnsi="Times New Roman" w:cs="Times New Roman"/>
          <w:color w:val="000000"/>
          <w:sz w:val="24"/>
          <w:szCs w:val="24"/>
        </w:rPr>
        <w:t>Bretton Woods</w:t>
      </w:r>
    </w:p>
    <w:p w:rsidR="00505395" w:rsidRPr="00AF6503" w:rsidRDefault="00505395" w:rsidP="00AF6503">
      <w:pPr>
        <w:spacing w:after="0" w:line="48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E</w:t>
      </w:r>
      <w:r w:rsidR="009B75BA" w:rsidRPr="00AF6503">
        <w:rPr>
          <w:rFonts w:ascii="Times New Roman" w:hAnsi="Times New Roman" w:cs="Times New Roman"/>
          <w:color w:val="000000"/>
          <w:sz w:val="24"/>
          <w:szCs w:val="24"/>
        </w:rPr>
        <w:t>conomic policy uncertainty index</w:t>
      </w:r>
    </w:p>
    <w:p w:rsidR="00505395" w:rsidRPr="00AF6503" w:rsidRDefault="00505395" w:rsidP="00AF6503">
      <w:pPr>
        <w:spacing w:after="0" w:line="48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C</w:t>
      </w:r>
      <w:r w:rsidR="006706BA" w:rsidRPr="00AF6503">
        <w:rPr>
          <w:rFonts w:ascii="Times New Roman" w:hAnsi="Times New Roman" w:cs="Times New Roman"/>
          <w:color w:val="000000"/>
          <w:sz w:val="24"/>
          <w:szCs w:val="24"/>
        </w:rPr>
        <w:t>o</w:t>
      </w:r>
      <w:r w:rsidR="00FF2115">
        <w:rPr>
          <w:rFonts w:ascii="Times New Roman" w:hAnsi="Times New Roman" w:cs="Times New Roman"/>
          <w:color w:val="000000"/>
          <w:sz w:val="24"/>
          <w:szCs w:val="24"/>
        </w:rPr>
        <w:t>-</w:t>
      </w:r>
      <w:r w:rsidR="006706BA" w:rsidRPr="00AF6503">
        <w:rPr>
          <w:rFonts w:ascii="Times New Roman" w:hAnsi="Times New Roman" w:cs="Times New Roman"/>
          <w:color w:val="000000"/>
          <w:sz w:val="24"/>
          <w:szCs w:val="24"/>
        </w:rPr>
        <w:t>integration</w:t>
      </w:r>
    </w:p>
    <w:p w:rsidR="00166050" w:rsidRPr="00AF6503" w:rsidRDefault="00505395" w:rsidP="00AF6503">
      <w:pPr>
        <w:spacing w:after="0" w:line="480" w:lineRule="auto"/>
        <w:ind w:right="282"/>
        <w:rPr>
          <w:rFonts w:ascii="Times New Roman" w:hAnsi="Times New Roman" w:cs="Times New Roman"/>
          <w:color w:val="000000"/>
          <w:sz w:val="24"/>
          <w:szCs w:val="24"/>
        </w:rPr>
      </w:pPr>
      <w:r>
        <w:rPr>
          <w:rFonts w:ascii="Times New Roman" w:hAnsi="Times New Roman" w:cs="Times New Roman"/>
          <w:color w:val="000000"/>
          <w:sz w:val="24"/>
          <w:szCs w:val="24"/>
        </w:rPr>
        <w:t>M</w:t>
      </w:r>
      <w:r w:rsidR="009B75BA" w:rsidRPr="00AF6503">
        <w:rPr>
          <w:rFonts w:ascii="Times New Roman" w:hAnsi="Times New Roman" w:cs="Times New Roman"/>
          <w:color w:val="000000"/>
          <w:sz w:val="24"/>
          <w:szCs w:val="24"/>
        </w:rPr>
        <w:t>ultivariate GARCH</w:t>
      </w:r>
    </w:p>
    <w:p w:rsidR="00166050" w:rsidRPr="006853EA" w:rsidRDefault="00166050" w:rsidP="00AF6503">
      <w:pPr>
        <w:spacing w:after="0" w:line="480" w:lineRule="auto"/>
        <w:ind w:right="282"/>
        <w:rPr>
          <w:rFonts w:ascii="Times New Roman" w:hAnsi="Times New Roman" w:cs="Times New Roman"/>
          <w:i/>
          <w:sz w:val="24"/>
          <w:szCs w:val="24"/>
        </w:rPr>
      </w:pPr>
    </w:p>
    <w:p w:rsidR="00166050" w:rsidRPr="006853EA" w:rsidRDefault="005369EE" w:rsidP="00AF6503">
      <w:pPr>
        <w:pStyle w:val="Heading1"/>
        <w:numPr>
          <w:ilvl w:val="0"/>
          <w:numId w:val="35"/>
        </w:numPr>
        <w:spacing w:before="120" w:after="120" w:line="360" w:lineRule="auto"/>
        <w:ind w:left="714" w:right="282" w:hanging="714"/>
        <w:rPr>
          <w:rFonts w:ascii="Times New Roman" w:hAnsi="Times New Roman" w:cs="Times New Roman"/>
          <w:color w:val="auto"/>
          <w:sz w:val="24"/>
          <w:szCs w:val="24"/>
        </w:rPr>
      </w:pPr>
      <w:r w:rsidRPr="006853EA">
        <w:rPr>
          <w:rFonts w:ascii="Times New Roman" w:hAnsi="Times New Roman" w:cs="Times New Roman"/>
          <w:color w:val="auto"/>
          <w:sz w:val="24"/>
          <w:szCs w:val="24"/>
        </w:rPr>
        <w:t>Introduction</w:t>
      </w:r>
    </w:p>
    <w:p w:rsidR="009B7BCF" w:rsidRPr="00875B54" w:rsidRDefault="00DD13D9" w:rsidP="00AF6503">
      <w:pPr>
        <w:spacing w:after="0" w:line="480" w:lineRule="auto"/>
        <w:ind w:right="282" w:firstLine="720"/>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Which international monetary system </w:t>
      </w:r>
      <w:r w:rsidR="00522D74">
        <w:rPr>
          <w:rFonts w:ascii="Times New Roman" w:hAnsi="Times New Roman" w:cs="Times New Roman"/>
          <w:color w:val="000000"/>
          <w:sz w:val="24"/>
          <w:szCs w:val="24"/>
        </w:rPr>
        <w:t xml:space="preserve">most </w:t>
      </w:r>
      <w:r>
        <w:rPr>
          <w:rFonts w:ascii="Times New Roman" w:hAnsi="Times New Roman" w:cs="Times New Roman"/>
          <w:color w:val="000000"/>
          <w:sz w:val="24"/>
          <w:szCs w:val="24"/>
        </w:rPr>
        <w:t>induce</w:t>
      </w:r>
      <w:r w:rsidR="00522D74">
        <w:rPr>
          <w:rFonts w:ascii="Times New Roman" w:hAnsi="Times New Roman" w:cs="Times New Roman"/>
          <w:color w:val="000000"/>
          <w:sz w:val="24"/>
          <w:szCs w:val="24"/>
        </w:rPr>
        <w:t>d</w:t>
      </w:r>
      <w:r>
        <w:rPr>
          <w:rFonts w:ascii="Times New Roman" w:hAnsi="Times New Roman" w:cs="Times New Roman"/>
          <w:color w:val="000000"/>
          <w:sz w:val="24"/>
          <w:szCs w:val="24"/>
        </w:rPr>
        <w:t xml:space="preserve"> stock market integration between the UK and US</w:t>
      </w:r>
      <w:r w:rsidR="007F2EF3">
        <w:rPr>
          <w:rFonts w:ascii="Times New Roman" w:hAnsi="Times New Roman" w:cs="Times New Roman"/>
          <w:color w:val="000000"/>
          <w:sz w:val="24"/>
          <w:szCs w:val="24"/>
        </w:rPr>
        <w:t>—</w:t>
      </w:r>
      <w:r w:rsidR="00522D74">
        <w:rPr>
          <w:rFonts w:ascii="Times New Roman" w:hAnsi="Times New Roman" w:cs="Times New Roman"/>
          <w:color w:val="000000"/>
          <w:sz w:val="24"/>
          <w:szCs w:val="24"/>
        </w:rPr>
        <w:t>the i</w:t>
      </w:r>
      <w:r w:rsidR="009D74C4">
        <w:rPr>
          <w:rFonts w:ascii="Times New Roman" w:hAnsi="Times New Roman" w:cs="Times New Roman"/>
          <w:color w:val="000000"/>
          <w:sz w:val="24"/>
          <w:szCs w:val="24"/>
        </w:rPr>
        <w:t>nterwar/WWII system</w:t>
      </w:r>
      <w:r w:rsidR="00522D74">
        <w:rPr>
          <w:rFonts w:ascii="Times New Roman" w:hAnsi="Times New Roman" w:cs="Times New Roman"/>
          <w:color w:val="000000"/>
          <w:sz w:val="24"/>
          <w:szCs w:val="24"/>
        </w:rPr>
        <w:t>, the</w:t>
      </w:r>
      <w:r w:rsidR="00A17517">
        <w:rPr>
          <w:rFonts w:ascii="Times New Roman" w:hAnsi="Times New Roman" w:cs="Times New Roman"/>
          <w:color w:val="000000"/>
          <w:sz w:val="24"/>
          <w:szCs w:val="24"/>
        </w:rPr>
        <w:t xml:space="preserve"> </w:t>
      </w:r>
      <w:r w:rsidR="009D74C4">
        <w:rPr>
          <w:rFonts w:ascii="Times New Roman" w:hAnsi="Times New Roman" w:cs="Times New Roman"/>
          <w:color w:val="000000"/>
          <w:sz w:val="24"/>
          <w:szCs w:val="24"/>
        </w:rPr>
        <w:t xml:space="preserve">Bretton Woods </w:t>
      </w:r>
      <w:r w:rsidR="00875B54">
        <w:rPr>
          <w:rFonts w:ascii="Times New Roman" w:hAnsi="Times New Roman" w:cs="Times New Roman"/>
          <w:color w:val="000000"/>
          <w:sz w:val="24"/>
          <w:szCs w:val="24"/>
        </w:rPr>
        <w:t xml:space="preserve">(BW) </w:t>
      </w:r>
      <w:r w:rsidR="009D74C4">
        <w:rPr>
          <w:rFonts w:ascii="Times New Roman" w:hAnsi="Times New Roman" w:cs="Times New Roman"/>
          <w:color w:val="000000"/>
          <w:sz w:val="24"/>
          <w:szCs w:val="24"/>
        </w:rPr>
        <w:t>system of fixed exchange rate</w:t>
      </w:r>
      <w:r w:rsidR="007642BE">
        <w:rPr>
          <w:rFonts w:ascii="Times New Roman" w:hAnsi="Times New Roman" w:cs="Times New Roman"/>
          <w:color w:val="000000"/>
          <w:sz w:val="24"/>
          <w:szCs w:val="24"/>
        </w:rPr>
        <w:t>s</w:t>
      </w:r>
      <w:r w:rsidR="007F2EF3">
        <w:rPr>
          <w:rFonts w:ascii="Times New Roman" w:hAnsi="Times New Roman" w:cs="Times New Roman"/>
          <w:color w:val="000000"/>
          <w:sz w:val="24"/>
          <w:szCs w:val="24"/>
        </w:rPr>
        <w:t>,</w:t>
      </w:r>
      <w:r w:rsidR="009D74C4">
        <w:rPr>
          <w:rFonts w:ascii="Times New Roman" w:hAnsi="Times New Roman" w:cs="Times New Roman"/>
          <w:color w:val="000000"/>
          <w:sz w:val="24"/>
          <w:szCs w:val="24"/>
        </w:rPr>
        <w:t xml:space="preserve"> o</w:t>
      </w:r>
      <w:r>
        <w:rPr>
          <w:rFonts w:ascii="Times New Roman" w:hAnsi="Times New Roman" w:cs="Times New Roman"/>
          <w:color w:val="000000"/>
          <w:sz w:val="24"/>
          <w:szCs w:val="24"/>
        </w:rPr>
        <w:t xml:space="preserve">r </w:t>
      </w:r>
      <w:r w:rsidR="00522D74">
        <w:rPr>
          <w:rFonts w:ascii="Times New Roman" w:hAnsi="Times New Roman" w:cs="Times New Roman"/>
          <w:color w:val="000000"/>
          <w:sz w:val="24"/>
          <w:szCs w:val="24"/>
        </w:rPr>
        <w:t xml:space="preserve">the </w:t>
      </w:r>
      <w:r w:rsidR="009D74C4">
        <w:rPr>
          <w:rFonts w:ascii="Times New Roman" w:hAnsi="Times New Roman" w:cs="Times New Roman"/>
          <w:color w:val="000000"/>
          <w:sz w:val="24"/>
          <w:szCs w:val="24"/>
        </w:rPr>
        <w:t>post-</w:t>
      </w:r>
      <w:r w:rsidR="00875B54">
        <w:rPr>
          <w:rFonts w:ascii="Times New Roman" w:hAnsi="Times New Roman" w:cs="Times New Roman"/>
          <w:color w:val="000000"/>
          <w:sz w:val="24"/>
          <w:szCs w:val="24"/>
        </w:rPr>
        <w:t>BW</w:t>
      </w:r>
      <w:r w:rsidR="009D74C4">
        <w:rPr>
          <w:rFonts w:ascii="Times New Roman" w:hAnsi="Times New Roman" w:cs="Times New Roman"/>
          <w:color w:val="000000"/>
          <w:sz w:val="24"/>
          <w:szCs w:val="24"/>
        </w:rPr>
        <w:t xml:space="preserve"> system of </w:t>
      </w:r>
      <w:r>
        <w:rPr>
          <w:rFonts w:ascii="Times New Roman" w:hAnsi="Times New Roman" w:cs="Times New Roman"/>
          <w:color w:val="000000"/>
          <w:sz w:val="24"/>
          <w:szCs w:val="24"/>
        </w:rPr>
        <w:t xml:space="preserve">floating exchange </w:t>
      </w:r>
      <w:r w:rsidR="007642BE">
        <w:rPr>
          <w:rFonts w:ascii="Times New Roman" w:hAnsi="Times New Roman" w:cs="Times New Roman"/>
          <w:color w:val="000000"/>
          <w:sz w:val="24"/>
          <w:szCs w:val="24"/>
        </w:rPr>
        <w:t>rates</w:t>
      </w:r>
      <w:r w:rsidR="007F2EF3">
        <w:rPr>
          <w:rFonts w:ascii="Times New Roman" w:hAnsi="Times New Roman" w:cs="Times New Roman"/>
          <w:color w:val="000000"/>
          <w:sz w:val="24"/>
          <w:szCs w:val="24"/>
        </w:rPr>
        <w:t>?</w:t>
      </w:r>
      <w:r w:rsidR="00A17517">
        <w:rPr>
          <w:rFonts w:ascii="Times New Roman" w:hAnsi="Times New Roman" w:cs="Times New Roman"/>
          <w:color w:val="000000"/>
          <w:sz w:val="24"/>
          <w:szCs w:val="24"/>
        </w:rPr>
        <w:t xml:space="preserve"> </w:t>
      </w:r>
      <w:r w:rsidR="009B7BCF">
        <w:rPr>
          <w:rFonts w:ascii="Times New Roman" w:hAnsi="Times New Roman" w:cs="Times New Roman"/>
          <w:color w:val="000000"/>
          <w:sz w:val="24"/>
          <w:szCs w:val="24"/>
        </w:rPr>
        <w:t xml:space="preserve">In a similar vein, </w:t>
      </w:r>
      <w:r w:rsidR="007F2EF3">
        <w:rPr>
          <w:rFonts w:ascii="Times New Roman" w:hAnsi="Times New Roman" w:cs="Times New Roman"/>
          <w:color w:val="000000"/>
          <w:sz w:val="24"/>
          <w:szCs w:val="24"/>
        </w:rPr>
        <w:t xml:space="preserve">how did </w:t>
      </w:r>
      <w:r w:rsidR="009B7BCF">
        <w:rPr>
          <w:rFonts w:ascii="Times New Roman" w:hAnsi="Times New Roman" w:cs="Times New Roman"/>
          <w:color w:val="000000"/>
          <w:sz w:val="24"/>
          <w:szCs w:val="24"/>
        </w:rPr>
        <w:t>macroeconomic convergence</w:t>
      </w:r>
      <w:r w:rsidR="0075624D">
        <w:rPr>
          <w:rFonts w:ascii="Times New Roman" w:hAnsi="Times New Roman" w:cs="Times New Roman"/>
          <w:color w:val="000000"/>
          <w:sz w:val="24"/>
          <w:szCs w:val="24"/>
        </w:rPr>
        <w:t>,</w:t>
      </w:r>
      <w:r w:rsidR="009B7BCF">
        <w:rPr>
          <w:rFonts w:ascii="Times New Roman" w:hAnsi="Times New Roman" w:cs="Times New Roman"/>
          <w:color w:val="000000"/>
          <w:sz w:val="24"/>
          <w:szCs w:val="24"/>
        </w:rPr>
        <w:t xml:space="preserve"> financial volatility</w:t>
      </w:r>
      <w:r w:rsidR="007F2EF3">
        <w:rPr>
          <w:rFonts w:ascii="Times New Roman" w:hAnsi="Times New Roman" w:cs="Times New Roman"/>
          <w:color w:val="000000"/>
          <w:sz w:val="24"/>
          <w:szCs w:val="24"/>
        </w:rPr>
        <w:t>,</w:t>
      </w:r>
      <w:r w:rsidR="007642BE">
        <w:rPr>
          <w:rFonts w:ascii="Times New Roman" w:hAnsi="Times New Roman" w:cs="Times New Roman"/>
          <w:color w:val="000000"/>
          <w:sz w:val="24"/>
          <w:szCs w:val="24"/>
        </w:rPr>
        <w:t xml:space="preserve"> and crisi</w:t>
      </w:r>
      <w:r w:rsidR="0075624D">
        <w:rPr>
          <w:rFonts w:ascii="Times New Roman" w:hAnsi="Times New Roman" w:cs="Times New Roman"/>
          <w:color w:val="000000"/>
          <w:sz w:val="24"/>
          <w:szCs w:val="24"/>
        </w:rPr>
        <w:t>s episodes</w:t>
      </w:r>
      <w:r w:rsidR="00A17517">
        <w:rPr>
          <w:rFonts w:ascii="Times New Roman" w:hAnsi="Times New Roman" w:cs="Times New Roman"/>
          <w:color w:val="000000"/>
          <w:sz w:val="24"/>
          <w:szCs w:val="24"/>
        </w:rPr>
        <w:t xml:space="preserve"> </w:t>
      </w:r>
      <w:r w:rsidR="007F2EF3">
        <w:rPr>
          <w:rFonts w:ascii="Times New Roman" w:hAnsi="Times New Roman" w:cs="Times New Roman"/>
          <w:color w:val="000000"/>
          <w:sz w:val="24"/>
          <w:szCs w:val="24"/>
        </w:rPr>
        <w:t>affect</w:t>
      </w:r>
      <w:r w:rsidR="009B7BCF">
        <w:rPr>
          <w:rFonts w:ascii="Times New Roman" w:hAnsi="Times New Roman" w:cs="Times New Roman"/>
          <w:color w:val="000000"/>
          <w:sz w:val="24"/>
          <w:szCs w:val="24"/>
        </w:rPr>
        <w:t xml:space="preserve"> the evolution </w:t>
      </w:r>
      <w:r w:rsidR="00522D74">
        <w:rPr>
          <w:rFonts w:ascii="Times New Roman" w:hAnsi="Times New Roman" w:cs="Times New Roman"/>
          <w:color w:val="000000"/>
          <w:sz w:val="24"/>
          <w:szCs w:val="24"/>
        </w:rPr>
        <w:t xml:space="preserve">of </w:t>
      </w:r>
      <w:r w:rsidR="009B7BCF">
        <w:rPr>
          <w:rFonts w:ascii="Times New Roman" w:hAnsi="Times New Roman" w:cs="Times New Roman"/>
          <w:color w:val="000000"/>
          <w:sz w:val="24"/>
          <w:szCs w:val="24"/>
        </w:rPr>
        <w:t xml:space="preserve">stock market integration under </w:t>
      </w:r>
      <w:r w:rsidR="00875B54">
        <w:rPr>
          <w:rFonts w:ascii="Times New Roman" w:hAnsi="Times New Roman" w:cs="Times New Roman"/>
          <w:color w:val="000000"/>
          <w:sz w:val="24"/>
          <w:szCs w:val="24"/>
        </w:rPr>
        <w:t>BW</w:t>
      </w:r>
      <w:r w:rsidR="009B7BCF">
        <w:rPr>
          <w:rFonts w:ascii="Times New Roman" w:hAnsi="Times New Roman" w:cs="Times New Roman"/>
          <w:color w:val="000000"/>
          <w:sz w:val="24"/>
          <w:szCs w:val="24"/>
        </w:rPr>
        <w:t xml:space="preserve">, compared to periods before and since? </w:t>
      </w:r>
    </w:p>
    <w:p w:rsidR="00F5223E" w:rsidRPr="006853EA" w:rsidRDefault="00913033"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color w:val="000000"/>
          <w:sz w:val="24"/>
          <w:szCs w:val="24"/>
        </w:rPr>
        <w:t>This study</w:t>
      </w:r>
      <w:r w:rsidR="00AF6334">
        <w:rPr>
          <w:rFonts w:ascii="Times New Roman" w:hAnsi="Times New Roman" w:cs="Times New Roman"/>
          <w:color w:val="000000"/>
          <w:sz w:val="24"/>
          <w:szCs w:val="24"/>
        </w:rPr>
        <w:t xml:space="preserve"> </w:t>
      </w:r>
      <w:r w:rsidR="00E120CD">
        <w:rPr>
          <w:rFonts w:ascii="Times New Roman" w:hAnsi="Times New Roman" w:cs="Times New Roman"/>
          <w:color w:val="000000"/>
          <w:sz w:val="24"/>
          <w:szCs w:val="24"/>
        </w:rPr>
        <w:t>seeks to answer these</w:t>
      </w:r>
      <w:r w:rsidR="00DD13D9">
        <w:rPr>
          <w:rFonts w:ascii="Times New Roman" w:hAnsi="Times New Roman" w:cs="Times New Roman"/>
          <w:color w:val="000000"/>
          <w:sz w:val="24"/>
          <w:szCs w:val="24"/>
        </w:rPr>
        <w:t xml:space="preserve"> fundamental questions.</w:t>
      </w:r>
      <w:r w:rsidR="009C4BA7">
        <w:rPr>
          <w:rFonts w:ascii="Times New Roman" w:hAnsi="Times New Roman" w:cs="Times New Roman"/>
          <w:color w:val="000000"/>
          <w:sz w:val="24"/>
          <w:szCs w:val="24"/>
        </w:rPr>
        <w:t xml:space="preserve"> To answer the first question, we </w:t>
      </w:r>
      <w:r w:rsidR="00302C7C">
        <w:rPr>
          <w:rFonts w:ascii="Times New Roman" w:hAnsi="Times New Roman" w:cs="Times New Roman"/>
          <w:color w:val="000000"/>
          <w:sz w:val="24"/>
          <w:szCs w:val="24"/>
        </w:rPr>
        <w:t xml:space="preserve">use </w:t>
      </w:r>
      <w:r w:rsidR="00E63943">
        <w:rPr>
          <w:rFonts w:ascii="Times New Roman" w:hAnsi="Times New Roman" w:cs="Times New Roman"/>
          <w:color w:val="000000"/>
          <w:sz w:val="24"/>
          <w:szCs w:val="24"/>
        </w:rPr>
        <w:t>a</w:t>
      </w:r>
      <w:r w:rsidR="00302C7C">
        <w:rPr>
          <w:rFonts w:ascii="Times New Roman" w:hAnsi="Times New Roman" w:cs="Times New Roman"/>
          <w:color w:val="000000"/>
          <w:sz w:val="24"/>
          <w:szCs w:val="24"/>
        </w:rPr>
        <w:t xml:space="preserve"> bivariate asymmetric BEKK GARCH model to </w:t>
      </w:r>
      <w:r w:rsidR="00E1424B">
        <w:rPr>
          <w:rFonts w:ascii="Times New Roman" w:hAnsi="Times New Roman" w:cs="Times New Roman"/>
          <w:color w:val="000000"/>
          <w:sz w:val="24"/>
          <w:szCs w:val="24"/>
        </w:rPr>
        <w:t>investigate</w:t>
      </w:r>
      <w:r w:rsidR="00AF6334">
        <w:rPr>
          <w:rFonts w:ascii="Times New Roman" w:hAnsi="Times New Roman" w:cs="Times New Roman"/>
          <w:color w:val="000000"/>
          <w:sz w:val="24"/>
          <w:szCs w:val="24"/>
        </w:rPr>
        <w:t xml:space="preserve"> </w:t>
      </w:r>
      <w:r w:rsidR="009C4BA7">
        <w:rPr>
          <w:rFonts w:ascii="Times New Roman" w:hAnsi="Times New Roman" w:cs="Times New Roman"/>
          <w:color w:val="000000"/>
          <w:sz w:val="24"/>
          <w:szCs w:val="24"/>
        </w:rPr>
        <w:t xml:space="preserve">how different monetary regimes </w:t>
      </w:r>
      <w:r w:rsidR="00AD0DE8">
        <w:rPr>
          <w:rFonts w:ascii="Times New Roman" w:hAnsi="Times New Roman" w:cs="Times New Roman"/>
          <w:color w:val="000000"/>
          <w:sz w:val="24"/>
          <w:szCs w:val="24"/>
        </w:rPr>
        <w:t xml:space="preserve">have </w:t>
      </w:r>
      <w:r w:rsidR="009C4BA7">
        <w:rPr>
          <w:rFonts w:ascii="Times New Roman" w:hAnsi="Times New Roman" w:cs="Times New Roman"/>
          <w:color w:val="000000"/>
          <w:sz w:val="24"/>
          <w:szCs w:val="24"/>
        </w:rPr>
        <w:t>foster</w:t>
      </w:r>
      <w:r w:rsidR="00AD0DE8">
        <w:rPr>
          <w:rFonts w:ascii="Times New Roman" w:hAnsi="Times New Roman" w:cs="Times New Roman"/>
          <w:color w:val="000000"/>
          <w:sz w:val="24"/>
          <w:szCs w:val="24"/>
        </w:rPr>
        <w:t>ed</w:t>
      </w:r>
      <w:r w:rsidR="00AF6334">
        <w:rPr>
          <w:rFonts w:ascii="Times New Roman" w:hAnsi="Times New Roman" w:cs="Times New Roman"/>
          <w:color w:val="000000"/>
          <w:sz w:val="24"/>
          <w:szCs w:val="24"/>
        </w:rPr>
        <w:t xml:space="preserve"> </w:t>
      </w:r>
      <w:r w:rsidR="00573FA9">
        <w:rPr>
          <w:rFonts w:ascii="Times New Roman" w:hAnsi="Times New Roman" w:cs="Times New Roman"/>
          <w:sz w:val="24"/>
          <w:szCs w:val="24"/>
        </w:rPr>
        <w:t>stock</w:t>
      </w:r>
      <w:r w:rsidR="00AF6334">
        <w:rPr>
          <w:rFonts w:ascii="Times New Roman" w:hAnsi="Times New Roman" w:cs="Times New Roman"/>
          <w:sz w:val="24"/>
          <w:szCs w:val="24"/>
        </w:rPr>
        <w:t xml:space="preserve"> </w:t>
      </w:r>
      <w:r w:rsidR="00354292">
        <w:rPr>
          <w:rFonts w:ascii="Times New Roman" w:hAnsi="Times New Roman" w:cs="Times New Roman"/>
          <w:sz w:val="24"/>
          <w:szCs w:val="24"/>
        </w:rPr>
        <w:t xml:space="preserve">market </w:t>
      </w:r>
      <w:r w:rsidR="00166050" w:rsidRPr="00E339DB">
        <w:rPr>
          <w:rFonts w:ascii="Times New Roman" w:hAnsi="Times New Roman" w:cs="Times New Roman"/>
          <w:sz w:val="24"/>
          <w:szCs w:val="24"/>
        </w:rPr>
        <w:t>integration</w:t>
      </w:r>
      <w:r w:rsidR="000F4E5B" w:rsidRPr="00E339DB">
        <w:rPr>
          <w:rFonts w:ascii="Times New Roman" w:hAnsi="Times New Roman" w:cs="Times New Roman"/>
          <w:sz w:val="24"/>
          <w:szCs w:val="24"/>
        </w:rPr>
        <w:t xml:space="preserve"> between the UK and US </w:t>
      </w:r>
      <w:r w:rsidR="00166050" w:rsidRPr="006853EA">
        <w:rPr>
          <w:rFonts w:ascii="Times New Roman" w:hAnsi="Times New Roman" w:cs="Times New Roman"/>
          <w:sz w:val="24"/>
          <w:szCs w:val="24"/>
        </w:rPr>
        <w:t xml:space="preserve">over </w:t>
      </w:r>
      <w:r w:rsidR="00AD0DE8">
        <w:rPr>
          <w:rFonts w:ascii="Times New Roman" w:hAnsi="Times New Roman" w:cs="Times New Roman"/>
          <w:sz w:val="24"/>
          <w:szCs w:val="24"/>
        </w:rPr>
        <w:t>eight</w:t>
      </w:r>
      <w:r w:rsidR="00166050" w:rsidRPr="006853EA">
        <w:rPr>
          <w:rFonts w:ascii="Times New Roman" w:hAnsi="Times New Roman" w:cs="Times New Roman"/>
          <w:sz w:val="24"/>
          <w:szCs w:val="24"/>
        </w:rPr>
        <w:t xml:space="preserve"> decades starting from 1935</w:t>
      </w:r>
      <w:r w:rsidR="00166050" w:rsidRPr="00E339DB">
        <w:rPr>
          <w:rFonts w:ascii="Times New Roman" w:hAnsi="Times New Roman" w:cs="Times New Roman"/>
          <w:sz w:val="24"/>
          <w:szCs w:val="24"/>
        </w:rPr>
        <w:t>.</w:t>
      </w:r>
      <w:r w:rsidR="00302C7C">
        <w:rPr>
          <w:rFonts w:ascii="Times New Roman" w:hAnsi="Times New Roman" w:cs="Times New Roman"/>
          <w:sz w:val="24"/>
          <w:szCs w:val="24"/>
        </w:rPr>
        <w:t xml:space="preserve"> We then use the model’s result</w:t>
      </w:r>
      <w:r w:rsidR="00AD0DE8">
        <w:rPr>
          <w:rFonts w:ascii="Times New Roman" w:hAnsi="Times New Roman" w:cs="Times New Roman"/>
          <w:sz w:val="24"/>
          <w:szCs w:val="24"/>
        </w:rPr>
        <w:t>s</w:t>
      </w:r>
      <w:r w:rsidR="00302C7C">
        <w:rPr>
          <w:rFonts w:ascii="Times New Roman" w:hAnsi="Times New Roman" w:cs="Times New Roman"/>
          <w:sz w:val="24"/>
          <w:szCs w:val="24"/>
        </w:rPr>
        <w:t xml:space="preserve"> to investigate the impact of macroeconomic determinants on the evolution of stock market integration over the full period and </w:t>
      </w:r>
      <w:r w:rsidR="00BD05F1">
        <w:rPr>
          <w:rFonts w:ascii="Times New Roman" w:hAnsi="Times New Roman" w:cs="Times New Roman"/>
          <w:sz w:val="24"/>
          <w:szCs w:val="24"/>
        </w:rPr>
        <w:t>across the three monetary regim</w:t>
      </w:r>
      <w:r w:rsidR="00943164">
        <w:rPr>
          <w:rFonts w:ascii="Times New Roman" w:hAnsi="Times New Roman" w:cs="Times New Roman"/>
          <w:sz w:val="24"/>
          <w:szCs w:val="24"/>
        </w:rPr>
        <w:t>es</w:t>
      </w:r>
      <w:r w:rsidR="00302C7C">
        <w:rPr>
          <w:rFonts w:ascii="Times New Roman" w:hAnsi="Times New Roman" w:cs="Times New Roman"/>
          <w:sz w:val="24"/>
          <w:szCs w:val="24"/>
        </w:rPr>
        <w:t>.</w:t>
      </w:r>
      <w:r w:rsidR="00AF6334">
        <w:rPr>
          <w:rFonts w:ascii="Times New Roman" w:hAnsi="Times New Roman" w:cs="Times New Roman"/>
          <w:sz w:val="24"/>
          <w:szCs w:val="24"/>
        </w:rPr>
        <w:t xml:space="preserve"> </w:t>
      </w:r>
      <w:r w:rsidR="006B45CF">
        <w:rPr>
          <w:rFonts w:ascii="Times New Roman" w:hAnsi="Times New Roman" w:cs="Times New Roman"/>
          <w:sz w:val="24"/>
          <w:szCs w:val="24"/>
        </w:rPr>
        <w:t>T</w:t>
      </w:r>
      <w:r w:rsidR="00166050" w:rsidRPr="006853EA">
        <w:rPr>
          <w:rFonts w:ascii="Times New Roman" w:hAnsi="Times New Roman" w:cs="Times New Roman"/>
          <w:sz w:val="24"/>
          <w:szCs w:val="24"/>
        </w:rPr>
        <w:t>he</w:t>
      </w:r>
      <w:r w:rsidR="00FF2115">
        <w:rPr>
          <w:rFonts w:ascii="Times New Roman" w:hAnsi="Times New Roman" w:cs="Times New Roman"/>
          <w:sz w:val="24"/>
          <w:szCs w:val="24"/>
        </w:rPr>
        <w:t xml:space="preserve"> dynamic</w:t>
      </w:r>
      <w:r w:rsidR="00AF6334">
        <w:rPr>
          <w:rFonts w:ascii="Times New Roman" w:hAnsi="Times New Roman" w:cs="Times New Roman"/>
          <w:sz w:val="24"/>
          <w:szCs w:val="24"/>
        </w:rPr>
        <w:t xml:space="preserve"> </w:t>
      </w:r>
      <w:r w:rsidR="0004550E">
        <w:rPr>
          <w:rFonts w:ascii="Times New Roman" w:hAnsi="Times New Roman" w:cs="Times New Roman"/>
          <w:sz w:val="24"/>
          <w:szCs w:val="24"/>
        </w:rPr>
        <w:t>nature of</w:t>
      </w:r>
      <w:r w:rsidR="00166050" w:rsidRPr="006853EA">
        <w:rPr>
          <w:rFonts w:ascii="Times New Roman" w:hAnsi="Times New Roman" w:cs="Times New Roman"/>
          <w:sz w:val="24"/>
          <w:szCs w:val="24"/>
        </w:rPr>
        <w:t xml:space="preserve"> integration between the two oldest stock market indices</w:t>
      </w:r>
      <w:r w:rsidR="006B45CF">
        <w:rPr>
          <w:rFonts w:ascii="Times New Roman" w:hAnsi="Times New Roman" w:cs="Times New Roman"/>
          <w:sz w:val="24"/>
          <w:szCs w:val="24"/>
        </w:rPr>
        <w:t>,</w:t>
      </w:r>
      <w:r w:rsidR="00166050" w:rsidRPr="006853EA">
        <w:rPr>
          <w:rFonts w:ascii="Times New Roman" w:hAnsi="Times New Roman" w:cs="Times New Roman"/>
          <w:sz w:val="24"/>
          <w:szCs w:val="24"/>
        </w:rPr>
        <w:t xml:space="preserve"> namely, the FT30 and Dow30</w:t>
      </w:r>
      <w:r w:rsidR="00AD0DE8">
        <w:rPr>
          <w:rFonts w:ascii="Times New Roman" w:hAnsi="Times New Roman" w:cs="Times New Roman"/>
          <w:sz w:val="24"/>
          <w:szCs w:val="24"/>
        </w:rPr>
        <w:t>,</w:t>
      </w:r>
      <w:r w:rsidR="00166050" w:rsidRPr="006853EA">
        <w:rPr>
          <w:rFonts w:ascii="Times New Roman" w:hAnsi="Times New Roman" w:cs="Times New Roman"/>
          <w:sz w:val="24"/>
          <w:szCs w:val="24"/>
        </w:rPr>
        <w:t xml:space="preserve"> is </w:t>
      </w:r>
      <w:r w:rsidR="00176A3E">
        <w:rPr>
          <w:rFonts w:ascii="Times New Roman" w:hAnsi="Times New Roman" w:cs="Times New Roman"/>
          <w:sz w:val="24"/>
          <w:szCs w:val="24"/>
        </w:rPr>
        <w:t xml:space="preserve">markedly </w:t>
      </w:r>
      <w:r w:rsidR="00166050" w:rsidRPr="006853EA">
        <w:rPr>
          <w:rFonts w:ascii="Times New Roman" w:hAnsi="Times New Roman" w:cs="Times New Roman"/>
          <w:sz w:val="24"/>
          <w:szCs w:val="24"/>
        </w:rPr>
        <w:t xml:space="preserve">important </w:t>
      </w:r>
      <w:r w:rsidR="00DD7B69">
        <w:rPr>
          <w:rFonts w:ascii="Times New Roman" w:hAnsi="Times New Roman" w:cs="Times New Roman"/>
          <w:sz w:val="24"/>
          <w:szCs w:val="24"/>
        </w:rPr>
        <w:t xml:space="preserve">in light of </w:t>
      </w:r>
      <w:r w:rsidR="006B45CF">
        <w:rPr>
          <w:rFonts w:ascii="Times New Roman" w:hAnsi="Times New Roman" w:cs="Times New Roman"/>
          <w:sz w:val="24"/>
          <w:szCs w:val="24"/>
        </w:rPr>
        <w:t xml:space="preserve">the </w:t>
      </w:r>
      <w:r w:rsidR="00166050" w:rsidRPr="006853EA">
        <w:rPr>
          <w:rFonts w:ascii="Times New Roman" w:hAnsi="Times New Roman" w:cs="Times New Roman"/>
          <w:sz w:val="24"/>
          <w:szCs w:val="24"/>
        </w:rPr>
        <w:t xml:space="preserve">changes in </w:t>
      </w:r>
      <w:r w:rsidR="009C4BA7">
        <w:rPr>
          <w:rFonts w:ascii="Times New Roman" w:hAnsi="Times New Roman" w:cs="Times New Roman"/>
          <w:sz w:val="24"/>
          <w:szCs w:val="24"/>
        </w:rPr>
        <w:t>international monetary regimes</w:t>
      </w:r>
      <w:r w:rsidR="00AF6334">
        <w:rPr>
          <w:rFonts w:ascii="Times New Roman" w:hAnsi="Times New Roman" w:cs="Times New Roman"/>
          <w:sz w:val="24"/>
          <w:szCs w:val="24"/>
        </w:rPr>
        <w:t xml:space="preserve"> </w:t>
      </w:r>
      <w:r w:rsidR="0075624D">
        <w:rPr>
          <w:rFonts w:ascii="Times New Roman" w:hAnsi="Times New Roman" w:cs="Times New Roman"/>
          <w:sz w:val="24"/>
          <w:szCs w:val="24"/>
        </w:rPr>
        <w:t>since 1935</w:t>
      </w:r>
      <w:r w:rsidR="00166050" w:rsidRPr="006853EA">
        <w:rPr>
          <w:rFonts w:ascii="Times New Roman" w:hAnsi="Times New Roman" w:cs="Times New Roman"/>
          <w:sz w:val="24"/>
          <w:szCs w:val="24"/>
        </w:rPr>
        <w:t xml:space="preserve">. </w:t>
      </w:r>
    </w:p>
    <w:p w:rsidR="001A7E76" w:rsidRDefault="002E0567"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T</w:t>
      </w:r>
      <w:r w:rsidRPr="006853EA">
        <w:rPr>
          <w:rFonts w:ascii="Times New Roman" w:hAnsi="Times New Roman" w:cs="Times New Roman"/>
          <w:sz w:val="24"/>
          <w:szCs w:val="24"/>
        </w:rPr>
        <w:t xml:space="preserve">he literature on stock market integration has </w:t>
      </w:r>
      <w:r>
        <w:rPr>
          <w:rFonts w:ascii="Times New Roman" w:hAnsi="Times New Roman" w:cs="Times New Roman"/>
          <w:sz w:val="24"/>
          <w:szCs w:val="24"/>
        </w:rPr>
        <w:t>continued to generate interesting findings in the last three decades</w:t>
      </w:r>
      <w:r w:rsidRPr="006853EA">
        <w:rPr>
          <w:rFonts w:ascii="Times New Roman" w:hAnsi="Times New Roman" w:cs="Times New Roman"/>
          <w:sz w:val="24"/>
          <w:szCs w:val="24"/>
        </w:rPr>
        <w:t xml:space="preserve">. </w:t>
      </w:r>
      <w:r>
        <w:rPr>
          <w:rFonts w:ascii="Times New Roman" w:hAnsi="Times New Roman" w:cs="Times New Roman"/>
          <w:sz w:val="24"/>
          <w:szCs w:val="24"/>
        </w:rPr>
        <w:t>Seemingly</w:t>
      </w:r>
      <w:r w:rsidRPr="006853EA">
        <w:rPr>
          <w:rFonts w:ascii="Times New Roman" w:hAnsi="Times New Roman" w:cs="Times New Roman"/>
          <w:sz w:val="24"/>
          <w:szCs w:val="24"/>
        </w:rPr>
        <w:t xml:space="preserve">, increasing correlation between stock markets suggests greater integration. </w:t>
      </w:r>
      <w:r w:rsidRPr="008529E4">
        <w:rPr>
          <w:rFonts w:ascii="Times New Roman" w:hAnsi="Times New Roman" w:cs="Times New Roman"/>
          <w:sz w:val="24"/>
          <w:szCs w:val="24"/>
        </w:rPr>
        <w:t>A number of scholars have found co</w:t>
      </w:r>
      <w:r w:rsidR="00FF2115">
        <w:rPr>
          <w:rFonts w:ascii="Times New Roman" w:hAnsi="Times New Roman" w:cs="Times New Roman"/>
          <w:sz w:val="24"/>
          <w:szCs w:val="24"/>
        </w:rPr>
        <w:t>-</w:t>
      </w:r>
      <w:r w:rsidRPr="008529E4">
        <w:rPr>
          <w:rFonts w:ascii="Times New Roman" w:hAnsi="Times New Roman" w:cs="Times New Roman"/>
          <w:sz w:val="24"/>
          <w:szCs w:val="24"/>
        </w:rPr>
        <w:t>movements to be time-varying and stronger in highly volatile periods (Ang</w:t>
      </w:r>
      <w:r w:rsidR="00AF6334">
        <w:rPr>
          <w:rFonts w:ascii="Times New Roman" w:hAnsi="Times New Roman" w:cs="Times New Roman"/>
          <w:sz w:val="24"/>
          <w:szCs w:val="24"/>
        </w:rPr>
        <w:t xml:space="preserve"> </w:t>
      </w:r>
      <w:r w:rsidR="004A6705">
        <w:rPr>
          <w:rFonts w:ascii="Times New Roman" w:hAnsi="Times New Roman" w:cs="Times New Roman"/>
          <w:sz w:val="24"/>
          <w:szCs w:val="24"/>
        </w:rPr>
        <w:t>&amp;</w:t>
      </w:r>
      <w:r w:rsidR="00AF6334">
        <w:rPr>
          <w:rFonts w:ascii="Times New Roman" w:hAnsi="Times New Roman" w:cs="Times New Roman"/>
          <w:sz w:val="24"/>
          <w:szCs w:val="24"/>
        </w:rPr>
        <w:t xml:space="preserve"> </w:t>
      </w:r>
      <w:r w:rsidRPr="008529E4">
        <w:rPr>
          <w:rFonts w:ascii="Times New Roman" w:hAnsi="Times New Roman" w:cs="Times New Roman"/>
          <w:sz w:val="24"/>
          <w:szCs w:val="24"/>
        </w:rPr>
        <w:t>Bekaert, 2002; Aslanidis</w:t>
      </w:r>
      <w:r w:rsidR="004A6705">
        <w:rPr>
          <w:rFonts w:ascii="Times New Roman" w:hAnsi="Times New Roman" w:cs="Times New Roman"/>
          <w:sz w:val="24"/>
          <w:szCs w:val="24"/>
        </w:rPr>
        <w:t>, Osborn, &amp;</w:t>
      </w:r>
      <w:r w:rsidR="00AF6334">
        <w:rPr>
          <w:rFonts w:ascii="Times New Roman" w:hAnsi="Times New Roman" w:cs="Times New Roman"/>
          <w:sz w:val="24"/>
          <w:szCs w:val="24"/>
        </w:rPr>
        <w:t xml:space="preserve"> </w:t>
      </w:r>
      <w:r w:rsidR="004A6705">
        <w:rPr>
          <w:rFonts w:ascii="Times New Roman" w:hAnsi="Times New Roman" w:cs="Times New Roman"/>
          <w:sz w:val="24"/>
          <w:szCs w:val="24"/>
        </w:rPr>
        <w:t>Sensier</w:t>
      </w:r>
      <w:r w:rsidRPr="008529E4">
        <w:rPr>
          <w:rFonts w:ascii="Times New Roman" w:hAnsi="Times New Roman" w:cs="Times New Roman"/>
          <w:sz w:val="24"/>
          <w:szCs w:val="24"/>
        </w:rPr>
        <w:t>, 2010</w:t>
      </w:r>
      <w:r w:rsidR="0096790A">
        <w:rPr>
          <w:rFonts w:ascii="Times New Roman" w:hAnsi="Times New Roman" w:cs="Times New Roman"/>
          <w:sz w:val="24"/>
          <w:szCs w:val="24"/>
        </w:rPr>
        <w:t>;</w:t>
      </w:r>
      <w:r w:rsidR="00AF6334">
        <w:rPr>
          <w:rFonts w:ascii="Times New Roman" w:hAnsi="Times New Roman" w:cs="Times New Roman"/>
          <w:sz w:val="24"/>
          <w:szCs w:val="24"/>
        </w:rPr>
        <w:t xml:space="preserve"> </w:t>
      </w:r>
      <w:r w:rsidR="0096790A" w:rsidRPr="008529E4">
        <w:rPr>
          <w:rFonts w:ascii="Times New Roman" w:hAnsi="Times New Roman" w:cs="Times New Roman"/>
          <w:sz w:val="24"/>
          <w:szCs w:val="24"/>
        </w:rPr>
        <w:t>Longin</w:t>
      </w:r>
      <w:r w:rsidR="00405488">
        <w:rPr>
          <w:rFonts w:ascii="Times New Roman" w:hAnsi="Times New Roman" w:cs="Times New Roman"/>
          <w:sz w:val="24"/>
          <w:szCs w:val="24"/>
        </w:rPr>
        <w:t xml:space="preserve"> </w:t>
      </w:r>
      <w:r w:rsidR="0096790A">
        <w:rPr>
          <w:rFonts w:ascii="Times New Roman" w:hAnsi="Times New Roman" w:cs="Times New Roman"/>
          <w:sz w:val="24"/>
          <w:szCs w:val="24"/>
        </w:rPr>
        <w:t>&amp;</w:t>
      </w:r>
      <w:r w:rsidR="00405488">
        <w:rPr>
          <w:rFonts w:ascii="Times New Roman" w:hAnsi="Times New Roman" w:cs="Times New Roman"/>
          <w:sz w:val="24"/>
          <w:szCs w:val="24"/>
        </w:rPr>
        <w:t xml:space="preserve"> </w:t>
      </w:r>
      <w:r w:rsidR="0096790A" w:rsidRPr="008529E4">
        <w:rPr>
          <w:rFonts w:ascii="Times New Roman" w:hAnsi="Times New Roman" w:cs="Times New Roman"/>
          <w:sz w:val="24"/>
          <w:szCs w:val="24"/>
        </w:rPr>
        <w:t>Solnik, 1995</w:t>
      </w:r>
      <w:r w:rsidRPr="008529E4">
        <w:rPr>
          <w:rFonts w:ascii="Times New Roman" w:hAnsi="Times New Roman" w:cs="Times New Roman"/>
          <w:sz w:val="24"/>
          <w:szCs w:val="24"/>
        </w:rPr>
        <w:t xml:space="preserve">). </w:t>
      </w:r>
      <w:r w:rsidR="00D33F4B">
        <w:rPr>
          <w:rFonts w:ascii="Times New Roman" w:hAnsi="Times New Roman" w:cs="Times New Roman"/>
          <w:sz w:val="24"/>
          <w:szCs w:val="24"/>
        </w:rPr>
        <w:t>Furthermore, e</w:t>
      </w:r>
      <w:r w:rsidRPr="008529E4">
        <w:rPr>
          <w:rFonts w:ascii="Times New Roman" w:hAnsi="Times New Roman" w:cs="Times New Roman"/>
          <w:sz w:val="24"/>
          <w:szCs w:val="24"/>
        </w:rPr>
        <w:t>xcessive increases in cross-country correlation of financial assets during cris</w:t>
      </w:r>
      <w:r w:rsidR="00E63943">
        <w:rPr>
          <w:rFonts w:ascii="Times New Roman" w:hAnsi="Times New Roman" w:cs="Times New Roman"/>
          <w:sz w:val="24"/>
          <w:szCs w:val="24"/>
        </w:rPr>
        <w:t>e</w:t>
      </w:r>
      <w:r w:rsidRPr="008529E4">
        <w:rPr>
          <w:rFonts w:ascii="Times New Roman" w:hAnsi="Times New Roman" w:cs="Times New Roman"/>
          <w:sz w:val="24"/>
          <w:szCs w:val="24"/>
        </w:rPr>
        <w:t>s</w:t>
      </w:r>
      <w:r w:rsidR="00955A79">
        <w:rPr>
          <w:rFonts w:ascii="Times New Roman" w:hAnsi="Times New Roman" w:cs="Times New Roman"/>
          <w:sz w:val="24"/>
          <w:szCs w:val="24"/>
        </w:rPr>
        <w:t>,</w:t>
      </w:r>
      <w:r w:rsidR="00405488">
        <w:rPr>
          <w:rFonts w:ascii="Times New Roman" w:hAnsi="Times New Roman" w:cs="Times New Roman"/>
          <w:sz w:val="24"/>
          <w:szCs w:val="24"/>
        </w:rPr>
        <w:t xml:space="preserve"> </w:t>
      </w:r>
      <w:r w:rsidR="006B45CF">
        <w:rPr>
          <w:rFonts w:ascii="Times New Roman" w:hAnsi="Times New Roman" w:cs="Times New Roman"/>
          <w:sz w:val="24"/>
          <w:szCs w:val="24"/>
        </w:rPr>
        <w:t xml:space="preserve">as compared with </w:t>
      </w:r>
      <w:r w:rsidRPr="008529E4">
        <w:rPr>
          <w:rFonts w:ascii="Times New Roman" w:hAnsi="Times New Roman" w:cs="Times New Roman"/>
          <w:sz w:val="24"/>
          <w:szCs w:val="24"/>
        </w:rPr>
        <w:t>tranquil period</w:t>
      </w:r>
      <w:r w:rsidR="00955A79">
        <w:rPr>
          <w:rFonts w:ascii="Times New Roman" w:hAnsi="Times New Roman" w:cs="Times New Roman"/>
          <w:sz w:val="24"/>
          <w:szCs w:val="24"/>
        </w:rPr>
        <w:t>s,</w:t>
      </w:r>
      <w:r w:rsidR="00207FA7">
        <w:rPr>
          <w:rFonts w:ascii="Times New Roman" w:hAnsi="Times New Roman" w:cs="Times New Roman"/>
          <w:sz w:val="24"/>
          <w:szCs w:val="24"/>
        </w:rPr>
        <w:t xml:space="preserve"> </w:t>
      </w:r>
      <w:r w:rsidRPr="008529E4">
        <w:rPr>
          <w:rFonts w:ascii="Times New Roman" w:hAnsi="Times New Roman" w:cs="Times New Roman"/>
          <w:sz w:val="24"/>
          <w:szCs w:val="24"/>
        </w:rPr>
        <w:t xml:space="preserve">have been interpreted as evidence of </w:t>
      </w:r>
      <w:r w:rsidR="006B45CF">
        <w:rPr>
          <w:rFonts w:ascii="Times New Roman" w:hAnsi="Times New Roman" w:cs="Times New Roman"/>
          <w:sz w:val="24"/>
          <w:szCs w:val="24"/>
        </w:rPr>
        <w:t>“</w:t>
      </w:r>
      <w:r w:rsidRPr="00AF6503">
        <w:rPr>
          <w:rFonts w:ascii="Times New Roman" w:hAnsi="Times New Roman" w:cs="Times New Roman"/>
          <w:sz w:val="24"/>
          <w:szCs w:val="24"/>
        </w:rPr>
        <w:t>financial contagion</w:t>
      </w:r>
      <w:r w:rsidR="006B45CF">
        <w:rPr>
          <w:rFonts w:ascii="Times New Roman" w:hAnsi="Times New Roman" w:cs="Times New Roman"/>
          <w:sz w:val="24"/>
          <w:szCs w:val="24"/>
        </w:rPr>
        <w:t>”</w:t>
      </w:r>
      <w:r w:rsidRPr="008529E4">
        <w:rPr>
          <w:rFonts w:ascii="Times New Roman" w:hAnsi="Times New Roman" w:cs="Times New Roman"/>
          <w:sz w:val="24"/>
          <w:szCs w:val="24"/>
        </w:rPr>
        <w:t xml:space="preserve"> (</w:t>
      </w:r>
      <w:r>
        <w:rPr>
          <w:rFonts w:ascii="Times New Roman" w:hAnsi="Times New Roman" w:cs="Times New Roman"/>
          <w:sz w:val="24"/>
          <w:szCs w:val="24"/>
        </w:rPr>
        <w:t>see</w:t>
      </w:r>
      <w:r w:rsidR="00AF6334">
        <w:rPr>
          <w:rFonts w:ascii="Times New Roman" w:hAnsi="Times New Roman" w:cs="Times New Roman"/>
          <w:sz w:val="24"/>
          <w:szCs w:val="24"/>
        </w:rPr>
        <w:t xml:space="preserve"> </w:t>
      </w:r>
      <w:r w:rsidRPr="008529E4">
        <w:rPr>
          <w:rFonts w:ascii="Times New Roman" w:hAnsi="Times New Roman" w:cs="Times New Roman"/>
          <w:sz w:val="24"/>
          <w:szCs w:val="24"/>
        </w:rPr>
        <w:t>Baur, 2012</w:t>
      </w:r>
      <w:r w:rsidR="0096790A">
        <w:rPr>
          <w:rFonts w:ascii="Times New Roman" w:hAnsi="Times New Roman" w:cs="Times New Roman"/>
          <w:sz w:val="24"/>
          <w:szCs w:val="24"/>
        </w:rPr>
        <w:t>;</w:t>
      </w:r>
      <w:r w:rsidR="00207FA7">
        <w:rPr>
          <w:rFonts w:ascii="Times New Roman" w:hAnsi="Times New Roman" w:cs="Times New Roman"/>
          <w:sz w:val="24"/>
          <w:szCs w:val="24"/>
        </w:rPr>
        <w:t xml:space="preserve"> </w:t>
      </w:r>
      <w:r w:rsidR="0096790A" w:rsidRPr="008529E4">
        <w:rPr>
          <w:rFonts w:ascii="Times New Roman" w:hAnsi="Times New Roman" w:cs="Times New Roman"/>
          <w:sz w:val="24"/>
          <w:szCs w:val="24"/>
        </w:rPr>
        <w:t>Chiang</w:t>
      </w:r>
      <w:r w:rsidR="0096790A">
        <w:rPr>
          <w:rFonts w:ascii="Times New Roman" w:hAnsi="Times New Roman" w:cs="Times New Roman"/>
          <w:sz w:val="24"/>
          <w:szCs w:val="24"/>
        </w:rPr>
        <w:t>, Jeon &amp; Li,</w:t>
      </w:r>
      <w:r w:rsidR="0096790A" w:rsidRPr="008529E4">
        <w:rPr>
          <w:rFonts w:ascii="Times New Roman" w:hAnsi="Times New Roman" w:cs="Times New Roman"/>
          <w:sz w:val="24"/>
          <w:szCs w:val="24"/>
        </w:rPr>
        <w:t xml:space="preserve"> 2007</w:t>
      </w:r>
      <w:r w:rsidR="0096790A">
        <w:rPr>
          <w:rFonts w:ascii="Times New Roman" w:hAnsi="Times New Roman" w:cs="Times New Roman"/>
          <w:sz w:val="24"/>
          <w:szCs w:val="24"/>
        </w:rPr>
        <w:t>;</w:t>
      </w:r>
      <w:r w:rsidR="00207FA7">
        <w:rPr>
          <w:rFonts w:ascii="Times New Roman" w:hAnsi="Times New Roman" w:cs="Times New Roman"/>
          <w:sz w:val="24"/>
          <w:szCs w:val="24"/>
        </w:rPr>
        <w:t xml:space="preserve"> </w:t>
      </w:r>
      <w:r w:rsidR="0096790A" w:rsidRPr="008529E4">
        <w:rPr>
          <w:rFonts w:ascii="Times New Roman" w:hAnsi="Times New Roman" w:cs="Times New Roman"/>
          <w:sz w:val="24"/>
          <w:szCs w:val="24"/>
        </w:rPr>
        <w:t xml:space="preserve">Forbes </w:t>
      </w:r>
      <w:r w:rsidR="0096790A">
        <w:rPr>
          <w:rFonts w:ascii="Times New Roman" w:hAnsi="Times New Roman" w:cs="Times New Roman"/>
          <w:sz w:val="24"/>
          <w:szCs w:val="24"/>
        </w:rPr>
        <w:t>&amp;</w:t>
      </w:r>
      <w:r w:rsidR="00207FA7">
        <w:rPr>
          <w:rFonts w:ascii="Times New Roman" w:hAnsi="Times New Roman" w:cs="Times New Roman"/>
          <w:sz w:val="24"/>
          <w:szCs w:val="24"/>
        </w:rPr>
        <w:t xml:space="preserve"> </w:t>
      </w:r>
      <w:r w:rsidR="0096790A" w:rsidRPr="008529E4">
        <w:rPr>
          <w:rFonts w:ascii="Times New Roman" w:hAnsi="Times New Roman" w:cs="Times New Roman"/>
          <w:sz w:val="24"/>
          <w:szCs w:val="24"/>
        </w:rPr>
        <w:t>Rigobon, 2002</w:t>
      </w:r>
      <w:r w:rsidRPr="008529E4">
        <w:rPr>
          <w:rFonts w:ascii="Times New Roman" w:hAnsi="Times New Roman" w:cs="Times New Roman"/>
          <w:sz w:val="24"/>
          <w:szCs w:val="24"/>
        </w:rPr>
        <w:t>).</w:t>
      </w:r>
      <w:r w:rsidR="00207FA7">
        <w:rPr>
          <w:rFonts w:ascii="Times New Roman" w:hAnsi="Times New Roman" w:cs="Times New Roman"/>
          <w:sz w:val="24"/>
          <w:szCs w:val="24"/>
        </w:rPr>
        <w:t xml:space="preserve"> </w:t>
      </w:r>
      <w:r w:rsidRPr="001A7E76">
        <w:rPr>
          <w:rFonts w:ascii="Times New Roman" w:hAnsi="Times New Roman" w:cs="Times New Roman"/>
          <w:sz w:val="24"/>
          <w:szCs w:val="24"/>
        </w:rPr>
        <w:t xml:space="preserve">A matter of great concern for investors is that portfolio diversification is more difficult when </w:t>
      </w:r>
      <w:r w:rsidR="00DA2154" w:rsidRPr="001A7E76">
        <w:rPr>
          <w:rFonts w:ascii="Times New Roman" w:hAnsi="Times New Roman" w:cs="Times New Roman"/>
          <w:sz w:val="24"/>
          <w:szCs w:val="24"/>
        </w:rPr>
        <w:t>financial markets</w:t>
      </w:r>
      <w:r w:rsidR="00A466CD">
        <w:rPr>
          <w:rFonts w:ascii="Times New Roman" w:hAnsi="Times New Roman" w:cs="Times New Roman"/>
          <w:sz w:val="24"/>
          <w:szCs w:val="24"/>
        </w:rPr>
        <w:t xml:space="preserve"> move more in tandem</w:t>
      </w:r>
      <w:r w:rsidR="00DA2154">
        <w:rPr>
          <w:rFonts w:ascii="Times New Roman" w:hAnsi="Times New Roman" w:cs="Times New Roman"/>
          <w:sz w:val="24"/>
          <w:szCs w:val="24"/>
        </w:rPr>
        <w:t xml:space="preserve">. </w:t>
      </w:r>
    </w:p>
    <w:p w:rsidR="00FB417B" w:rsidRDefault="006B6BF4" w:rsidP="00AF6503">
      <w:pPr>
        <w:spacing w:after="0" w:line="480" w:lineRule="auto"/>
        <w:ind w:right="282" w:firstLine="720"/>
        <w:rPr>
          <w:rFonts w:ascii="Times New Roman" w:hAnsi="Times New Roman" w:cs="Times New Roman"/>
          <w:sz w:val="24"/>
          <w:szCs w:val="24"/>
        </w:rPr>
      </w:pPr>
      <w:r w:rsidRPr="006853EA">
        <w:rPr>
          <w:rFonts w:ascii="Times New Roman" w:hAnsi="Times New Roman" w:cs="Times New Roman"/>
          <w:sz w:val="24"/>
          <w:szCs w:val="24"/>
        </w:rPr>
        <w:lastRenderedPageBreak/>
        <w:t xml:space="preserve">Another </w:t>
      </w:r>
      <w:r w:rsidR="00166050" w:rsidRPr="006853EA">
        <w:rPr>
          <w:rFonts w:ascii="Times New Roman" w:hAnsi="Times New Roman" w:cs="Times New Roman"/>
          <w:sz w:val="24"/>
          <w:szCs w:val="24"/>
        </w:rPr>
        <w:t>strand of literature has shown that integration of equity markets is inseparable from the underlying economic fundamentals and financial factors</w:t>
      </w:r>
      <w:r w:rsidR="006B45CF">
        <w:rPr>
          <w:rFonts w:ascii="Times New Roman" w:hAnsi="Times New Roman" w:cs="Times New Roman"/>
          <w:sz w:val="24"/>
          <w:szCs w:val="24"/>
        </w:rPr>
        <w:t>,</w:t>
      </w:r>
      <w:r w:rsidR="00166050" w:rsidRPr="006853EA">
        <w:rPr>
          <w:rFonts w:ascii="Times New Roman" w:hAnsi="Times New Roman" w:cs="Times New Roman"/>
          <w:sz w:val="24"/>
          <w:szCs w:val="24"/>
        </w:rPr>
        <w:t xml:space="preserve"> as well as </w:t>
      </w:r>
      <w:r w:rsidR="006B45CF">
        <w:rPr>
          <w:rFonts w:ascii="Times New Roman" w:hAnsi="Times New Roman" w:cs="Times New Roman"/>
          <w:sz w:val="24"/>
          <w:szCs w:val="24"/>
        </w:rPr>
        <w:t xml:space="preserve">from </w:t>
      </w:r>
      <w:r w:rsidR="00166050" w:rsidRPr="006853EA">
        <w:rPr>
          <w:rFonts w:ascii="Times New Roman" w:hAnsi="Times New Roman" w:cs="Times New Roman"/>
          <w:sz w:val="24"/>
          <w:szCs w:val="24"/>
        </w:rPr>
        <w:t>the arrival of news on specific political and economic episodes</w:t>
      </w:r>
      <w:r w:rsidR="001B089E">
        <w:rPr>
          <w:rFonts w:ascii="Times New Roman" w:hAnsi="Times New Roman" w:cs="Times New Roman"/>
          <w:sz w:val="24"/>
          <w:szCs w:val="24"/>
        </w:rPr>
        <w:t xml:space="preserve">. </w:t>
      </w:r>
      <w:r w:rsidR="006B45CF">
        <w:rPr>
          <w:rFonts w:ascii="Times New Roman" w:hAnsi="Times New Roman" w:cs="Times New Roman"/>
          <w:sz w:val="24"/>
          <w:szCs w:val="24"/>
        </w:rPr>
        <w:t>S</w:t>
      </w:r>
      <w:r w:rsidR="00796D17">
        <w:rPr>
          <w:rFonts w:ascii="Times New Roman" w:hAnsi="Times New Roman" w:cs="Times New Roman"/>
          <w:sz w:val="24"/>
          <w:szCs w:val="24"/>
        </w:rPr>
        <w:t xml:space="preserve">cholars </w:t>
      </w:r>
      <w:r w:rsidR="001B089E">
        <w:rPr>
          <w:rFonts w:ascii="Times New Roman" w:hAnsi="Times New Roman" w:cs="Times New Roman"/>
          <w:sz w:val="24"/>
          <w:szCs w:val="24"/>
        </w:rPr>
        <w:t xml:space="preserve">have employed </w:t>
      </w:r>
      <w:r w:rsidR="00A22FF6">
        <w:rPr>
          <w:rFonts w:ascii="Times New Roman" w:hAnsi="Times New Roman" w:cs="Times New Roman"/>
          <w:sz w:val="24"/>
          <w:szCs w:val="24"/>
        </w:rPr>
        <w:t>a wide range of method</w:t>
      </w:r>
      <w:r w:rsidR="006B45CF">
        <w:rPr>
          <w:rFonts w:ascii="Times New Roman" w:hAnsi="Times New Roman" w:cs="Times New Roman"/>
          <w:sz w:val="24"/>
          <w:szCs w:val="24"/>
        </w:rPr>
        <w:t>s</w:t>
      </w:r>
      <w:r w:rsidR="001B089E">
        <w:rPr>
          <w:rFonts w:ascii="Times New Roman" w:hAnsi="Times New Roman" w:cs="Times New Roman"/>
          <w:sz w:val="24"/>
          <w:szCs w:val="24"/>
        </w:rPr>
        <w:t xml:space="preserve"> to investigate the level of co</w:t>
      </w:r>
      <w:r w:rsidR="00054712">
        <w:rPr>
          <w:rFonts w:ascii="Times New Roman" w:hAnsi="Times New Roman" w:cs="Times New Roman"/>
          <w:sz w:val="24"/>
          <w:szCs w:val="24"/>
        </w:rPr>
        <w:t>-</w:t>
      </w:r>
      <w:r w:rsidR="001B089E">
        <w:rPr>
          <w:rFonts w:ascii="Times New Roman" w:hAnsi="Times New Roman" w:cs="Times New Roman"/>
          <w:sz w:val="24"/>
          <w:szCs w:val="24"/>
        </w:rPr>
        <w:t>movement among various type</w:t>
      </w:r>
      <w:r w:rsidR="003D7833">
        <w:rPr>
          <w:rFonts w:ascii="Times New Roman" w:hAnsi="Times New Roman" w:cs="Times New Roman"/>
          <w:sz w:val="24"/>
          <w:szCs w:val="24"/>
        </w:rPr>
        <w:t>s</w:t>
      </w:r>
      <w:r w:rsidR="001B089E">
        <w:rPr>
          <w:rFonts w:ascii="Times New Roman" w:hAnsi="Times New Roman" w:cs="Times New Roman"/>
          <w:sz w:val="24"/>
          <w:szCs w:val="24"/>
        </w:rPr>
        <w:t xml:space="preserve"> of </w:t>
      </w:r>
      <w:r w:rsidR="00875B54">
        <w:rPr>
          <w:rFonts w:ascii="Times New Roman" w:hAnsi="Times New Roman" w:cs="Times New Roman"/>
          <w:sz w:val="24"/>
          <w:szCs w:val="24"/>
        </w:rPr>
        <w:t xml:space="preserve">markets, including stock, </w:t>
      </w:r>
      <w:r w:rsidR="00DA2154">
        <w:rPr>
          <w:rFonts w:ascii="Times New Roman" w:hAnsi="Times New Roman" w:cs="Times New Roman"/>
          <w:sz w:val="24"/>
          <w:szCs w:val="24"/>
        </w:rPr>
        <w:t xml:space="preserve">foreign </w:t>
      </w:r>
      <w:r w:rsidR="00405488">
        <w:rPr>
          <w:rFonts w:ascii="Times New Roman" w:hAnsi="Times New Roman" w:cs="Times New Roman"/>
          <w:sz w:val="24"/>
          <w:szCs w:val="24"/>
        </w:rPr>
        <w:t>-</w:t>
      </w:r>
      <w:r w:rsidR="00DA2154">
        <w:rPr>
          <w:rFonts w:ascii="Times New Roman" w:hAnsi="Times New Roman" w:cs="Times New Roman"/>
          <w:sz w:val="24"/>
          <w:szCs w:val="24"/>
        </w:rPr>
        <w:t>exchange</w:t>
      </w:r>
      <w:r w:rsidR="006B45CF">
        <w:rPr>
          <w:rFonts w:ascii="Times New Roman" w:hAnsi="Times New Roman" w:cs="Times New Roman"/>
          <w:sz w:val="24"/>
          <w:szCs w:val="24"/>
        </w:rPr>
        <w:t>,</w:t>
      </w:r>
      <w:r w:rsidR="00DA2154">
        <w:rPr>
          <w:rFonts w:ascii="Times New Roman" w:hAnsi="Times New Roman" w:cs="Times New Roman"/>
          <w:sz w:val="24"/>
          <w:szCs w:val="24"/>
        </w:rPr>
        <w:t xml:space="preserve"> and bond markets, as well as </w:t>
      </w:r>
      <w:r w:rsidR="001B089E">
        <w:rPr>
          <w:rFonts w:ascii="Times New Roman" w:hAnsi="Times New Roman" w:cs="Times New Roman"/>
          <w:sz w:val="24"/>
          <w:szCs w:val="24"/>
        </w:rPr>
        <w:t>primary versus secondary markets</w:t>
      </w:r>
      <w:r w:rsidR="00166050" w:rsidRPr="006853EA">
        <w:rPr>
          <w:rFonts w:ascii="Times New Roman" w:hAnsi="Times New Roman" w:cs="Times New Roman"/>
          <w:sz w:val="24"/>
          <w:szCs w:val="24"/>
        </w:rPr>
        <w:t xml:space="preserve"> (see </w:t>
      </w:r>
      <w:r w:rsidR="0096790A" w:rsidRPr="006853EA">
        <w:rPr>
          <w:rFonts w:ascii="Times New Roman" w:hAnsi="Times New Roman" w:cs="Times New Roman"/>
          <w:sz w:val="24"/>
          <w:szCs w:val="24"/>
        </w:rPr>
        <w:t xml:space="preserve">Casalin </w:t>
      </w:r>
      <w:r w:rsidR="0096790A">
        <w:rPr>
          <w:rFonts w:ascii="Times New Roman" w:hAnsi="Times New Roman" w:cs="Times New Roman"/>
          <w:sz w:val="24"/>
          <w:szCs w:val="24"/>
        </w:rPr>
        <w:t>&amp;</w:t>
      </w:r>
      <w:r w:rsidR="00207FA7">
        <w:rPr>
          <w:rFonts w:ascii="Times New Roman" w:hAnsi="Times New Roman" w:cs="Times New Roman"/>
          <w:sz w:val="24"/>
          <w:szCs w:val="24"/>
        </w:rPr>
        <w:t xml:space="preserve"> </w:t>
      </w:r>
      <w:r w:rsidR="0096790A" w:rsidRPr="006853EA">
        <w:rPr>
          <w:rFonts w:ascii="Times New Roman" w:hAnsi="Times New Roman" w:cs="Times New Roman"/>
          <w:sz w:val="24"/>
          <w:szCs w:val="24"/>
        </w:rPr>
        <w:t>Dia, 2015</w:t>
      </w:r>
      <w:r w:rsidR="0096790A">
        <w:rPr>
          <w:rFonts w:ascii="Times New Roman" w:hAnsi="Times New Roman" w:cs="Times New Roman"/>
          <w:sz w:val="24"/>
          <w:szCs w:val="24"/>
        </w:rPr>
        <w:t xml:space="preserve">; </w:t>
      </w:r>
      <w:r w:rsidR="00166050" w:rsidRPr="006853EA">
        <w:rPr>
          <w:rFonts w:ascii="Times New Roman" w:hAnsi="Times New Roman" w:cs="Times New Roman"/>
          <w:sz w:val="24"/>
          <w:szCs w:val="24"/>
        </w:rPr>
        <w:t>Kizys</w:t>
      </w:r>
      <w:r w:rsidR="00207FA7">
        <w:rPr>
          <w:rFonts w:ascii="Times New Roman" w:hAnsi="Times New Roman" w:cs="Times New Roman"/>
          <w:sz w:val="24"/>
          <w:szCs w:val="24"/>
        </w:rPr>
        <w:t xml:space="preserve"> </w:t>
      </w:r>
      <w:r w:rsidR="0096790A">
        <w:rPr>
          <w:rFonts w:ascii="Times New Roman" w:hAnsi="Times New Roman" w:cs="Times New Roman"/>
          <w:sz w:val="24"/>
          <w:szCs w:val="24"/>
        </w:rPr>
        <w:t>&amp;</w:t>
      </w:r>
      <w:r w:rsidR="00207FA7">
        <w:rPr>
          <w:rFonts w:ascii="Times New Roman" w:hAnsi="Times New Roman" w:cs="Times New Roman"/>
          <w:sz w:val="24"/>
          <w:szCs w:val="24"/>
        </w:rPr>
        <w:t xml:space="preserve"> </w:t>
      </w:r>
      <w:r w:rsidR="00166050" w:rsidRPr="006853EA">
        <w:rPr>
          <w:rFonts w:ascii="Times New Roman" w:hAnsi="Times New Roman" w:cs="Times New Roman"/>
          <w:sz w:val="24"/>
          <w:szCs w:val="24"/>
        </w:rPr>
        <w:t>Pierdziorch, 2006; Syllignakis</w:t>
      </w:r>
      <w:r w:rsidR="00207FA7">
        <w:rPr>
          <w:rFonts w:ascii="Times New Roman" w:hAnsi="Times New Roman" w:cs="Times New Roman"/>
          <w:sz w:val="24"/>
          <w:szCs w:val="24"/>
        </w:rPr>
        <w:t xml:space="preserve"> </w:t>
      </w:r>
      <w:r w:rsidR="0096790A">
        <w:rPr>
          <w:rFonts w:ascii="Times New Roman" w:hAnsi="Times New Roman" w:cs="Times New Roman"/>
          <w:sz w:val="24"/>
          <w:szCs w:val="24"/>
        </w:rPr>
        <w:t>&amp;</w:t>
      </w:r>
      <w:r w:rsidR="00166050" w:rsidRPr="006853EA">
        <w:rPr>
          <w:rFonts w:ascii="Times New Roman" w:hAnsi="Times New Roman" w:cs="Times New Roman"/>
          <w:sz w:val="24"/>
          <w:szCs w:val="24"/>
        </w:rPr>
        <w:t xml:space="preserve"> Kouretas, 2011). </w:t>
      </w:r>
    </w:p>
    <w:p w:rsidR="0061079B" w:rsidRDefault="00166050" w:rsidP="00AF6503">
      <w:pPr>
        <w:spacing w:after="0" w:line="480" w:lineRule="auto"/>
        <w:ind w:right="282" w:firstLine="720"/>
        <w:rPr>
          <w:rFonts w:ascii="Times New Roman" w:hAnsi="Times New Roman" w:cs="Times New Roman"/>
          <w:sz w:val="24"/>
          <w:szCs w:val="24"/>
        </w:rPr>
      </w:pPr>
      <w:r w:rsidRPr="006853EA">
        <w:rPr>
          <w:rFonts w:ascii="Times New Roman" w:hAnsi="Times New Roman" w:cs="Times New Roman"/>
          <w:sz w:val="24"/>
          <w:szCs w:val="24"/>
        </w:rPr>
        <w:t xml:space="preserve">In general, </w:t>
      </w:r>
      <w:r w:rsidR="00D953DB">
        <w:rPr>
          <w:rFonts w:ascii="Times New Roman" w:hAnsi="Times New Roman" w:cs="Times New Roman"/>
          <w:sz w:val="24"/>
          <w:szCs w:val="24"/>
        </w:rPr>
        <w:t xml:space="preserve">investors and policymakers use the </w:t>
      </w:r>
      <w:r w:rsidRPr="006853EA">
        <w:rPr>
          <w:rFonts w:ascii="Times New Roman" w:hAnsi="Times New Roman" w:cs="Times New Roman"/>
          <w:sz w:val="24"/>
          <w:szCs w:val="24"/>
        </w:rPr>
        <w:t xml:space="preserve">direction of </w:t>
      </w:r>
      <w:r w:rsidR="00D8084B">
        <w:rPr>
          <w:rFonts w:ascii="Times New Roman" w:hAnsi="Times New Roman" w:cs="Times New Roman"/>
          <w:sz w:val="24"/>
          <w:szCs w:val="24"/>
        </w:rPr>
        <w:t>the</w:t>
      </w:r>
      <w:r w:rsidR="00207FA7">
        <w:rPr>
          <w:rFonts w:ascii="Times New Roman" w:hAnsi="Times New Roman" w:cs="Times New Roman"/>
          <w:sz w:val="24"/>
          <w:szCs w:val="24"/>
        </w:rPr>
        <w:t xml:space="preserve"> </w:t>
      </w:r>
      <w:r w:rsidRPr="006853EA">
        <w:rPr>
          <w:rFonts w:ascii="Times New Roman" w:hAnsi="Times New Roman" w:cs="Times New Roman"/>
          <w:sz w:val="24"/>
          <w:szCs w:val="24"/>
        </w:rPr>
        <w:t>stock market ind</w:t>
      </w:r>
      <w:r w:rsidR="00796D17">
        <w:rPr>
          <w:rFonts w:ascii="Times New Roman" w:hAnsi="Times New Roman" w:cs="Times New Roman"/>
          <w:sz w:val="24"/>
          <w:szCs w:val="24"/>
        </w:rPr>
        <w:t>ices</w:t>
      </w:r>
      <w:r w:rsidRPr="006853EA">
        <w:rPr>
          <w:rFonts w:ascii="Times New Roman" w:hAnsi="Times New Roman" w:cs="Times New Roman"/>
          <w:sz w:val="24"/>
          <w:szCs w:val="24"/>
        </w:rPr>
        <w:t xml:space="preserve"> to gauge </w:t>
      </w:r>
      <w:r w:rsidR="00D953DB">
        <w:rPr>
          <w:rFonts w:ascii="Times New Roman" w:hAnsi="Times New Roman" w:cs="Times New Roman"/>
          <w:sz w:val="24"/>
          <w:szCs w:val="24"/>
        </w:rPr>
        <w:t>a nation’s</w:t>
      </w:r>
      <w:r w:rsidRPr="006853EA">
        <w:rPr>
          <w:rFonts w:ascii="Times New Roman" w:hAnsi="Times New Roman" w:cs="Times New Roman"/>
          <w:sz w:val="24"/>
          <w:szCs w:val="24"/>
        </w:rPr>
        <w:t xml:space="preserve"> econom</w:t>
      </w:r>
      <w:r w:rsidR="00D953DB">
        <w:rPr>
          <w:rFonts w:ascii="Times New Roman" w:hAnsi="Times New Roman" w:cs="Times New Roman"/>
          <w:sz w:val="24"/>
          <w:szCs w:val="24"/>
        </w:rPr>
        <w:t xml:space="preserve">ic </w:t>
      </w:r>
      <w:r w:rsidR="00D8084B">
        <w:rPr>
          <w:rFonts w:ascii="Times New Roman" w:hAnsi="Times New Roman" w:cs="Times New Roman"/>
          <w:sz w:val="24"/>
          <w:szCs w:val="24"/>
        </w:rPr>
        <w:t>health</w:t>
      </w:r>
      <w:r w:rsidRPr="006853EA">
        <w:rPr>
          <w:rFonts w:ascii="Times New Roman" w:hAnsi="Times New Roman" w:cs="Times New Roman"/>
          <w:sz w:val="24"/>
          <w:szCs w:val="24"/>
        </w:rPr>
        <w:t>, which comprise</w:t>
      </w:r>
      <w:r w:rsidR="00D8084B">
        <w:rPr>
          <w:rFonts w:ascii="Times New Roman" w:hAnsi="Times New Roman" w:cs="Times New Roman"/>
          <w:sz w:val="24"/>
          <w:szCs w:val="24"/>
        </w:rPr>
        <w:t>s</w:t>
      </w:r>
      <w:r w:rsidR="00207FA7">
        <w:rPr>
          <w:rFonts w:ascii="Times New Roman" w:hAnsi="Times New Roman" w:cs="Times New Roman"/>
          <w:sz w:val="24"/>
          <w:szCs w:val="24"/>
        </w:rPr>
        <w:t xml:space="preserve"> </w:t>
      </w:r>
      <w:r w:rsidR="00D8084B">
        <w:rPr>
          <w:rFonts w:ascii="Times New Roman" w:hAnsi="Times New Roman" w:cs="Times New Roman"/>
          <w:sz w:val="24"/>
          <w:szCs w:val="24"/>
        </w:rPr>
        <w:t>its</w:t>
      </w:r>
      <w:r w:rsidRPr="006853EA">
        <w:rPr>
          <w:rFonts w:ascii="Times New Roman" w:hAnsi="Times New Roman" w:cs="Times New Roman"/>
          <w:sz w:val="24"/>
          <w:szCs w:val="24"/>
        </w:rPr>
        <w:t xml:space="preserve"> gross domestic product, consumer price index, interest rates, foreign exchange rates, employment, balance of payments, </w:t>
      </w:r>
      <w:r w:rsidR="00955A79">
        <w:rPr>
          <w:rFonts w:ascii="Times New Roman" w:hAnsi="Times New Roman" w:cs="Times New Roman"/>
          <w:sz w:val="24"/>
          <w:szCs w:val="24"/>
        </w:rPr>
        <w:t xml:space="preserve">and </w:t>
      </w:r>
      <w:r w:rsidRPr="006853EA">
        <w:rPr>
          <w:rFonts w:ascii="Times New Roman" w:hAnsi="Times New Roman" w:cs="Times New Roman"/>
          <w:sz w:val="24"/>
          <w:szCs w:val="24"/>
        </w:rPr>
        <w:t>gover</w:t>
      </w:r>
      <w:r w:rsidR="002A2E3A">
        <w:rPr>
          <w:rFonts w:ascii="Times New Roman" w:hAnsi="Times New Roman" w:cs="Times New Roman"/>
          <w:sz w:val="24"/>
          <w:szCs w:val="24"/>
        </w:rPr>
        <w:t>nment fiscal and monetary policies</w:t>
      </w:r>
      <w:r w:rsidRPr="006853EA">
        <w:rPr>
          <w:rFonts w:ascii="Times New Roman" w:hAnsi="Times New Roman" w:cs="Times New Roman"/>
          <w:sz w:val="24"/>
          <w:szCs w:val="24"/>
        </w:rPr>
        <w:t>.</w:t>
      </w:r>
      <w:r w:rsidR="00207FA7">
        <w:rPr>
          <w:rFonts w:ascii="Times New Roman" w:hAnsi="Times New Roman" w:cs="Times New Roman"/>
          <w:sz w:val="24"/>
          <w:szCs w:val="24"/>
        </w:rPr>
        <w:t xml:space="preserve"> </w:t>
      </w:r>
      <w:r w:rsidR="00D953DB">
        <w:rPr>
          <w:rFonts w:ascii="Times New Roman" w:hAnsi="Times New Roman" w:cs="Times New Roman"/>
          <w:sz w:val="24"/>
          <w:szCs w:val="24"/>
        </w:rPr>
        <w:t>Thus</w:t>
      </w:r>
      <w:r w:rsidR="00796D17">
        <w:rPr>
          <w:rFonts w:ascii="Times New Roman" w:hAnsi="Times New Roman" w:cs="Times New Roman"/>
          <w:sz w:val="24"/>
          <w:szCs w:val="24"/>
        </w:rPr>
        <w:t>,</w:t>
      </w:r>
      <w:r w:rsidR="00207FA7">
        <w:rPr>
          <w:rFonts w:ascii="Times New Roman" w:hAnsi="Times New Roman" w:cs="Times New Roman"/>
          <w:sz w:val="24"/>
          <w:szCs w:val="24"/>
        </w:rPr>
        <w:t xml:space="preserve"> </w:t>
      </w:r>
      <w:r w:rsidR="00796D17">
        <w:rPr>
          <w:rFonts w:ascii="Times New Roman" w:hAnsi="Times New Roman" w:cs="Times New Roman"/>
          <w:sz w:val="24"/>
          <w:szCs w:val="24"/>
        </w:rPr>
        <w:t xml:space="preserve">the same indices </w:t>
      </w:r>
      <w:r w:rsidR="00D953DB">
        <w:rPr>
          <w:rFonts w:ascii="Times New Roman" w:hAnsi="Times New Roman" w:cs="Times New Roman"/>
          <w:sz w:val="24"/>
          <w:szCs w:val="24"/>
        </w:rPr>
        <w:t xml:space="preserve">can </w:t>
      </w:r>
      <w:r w:rsidR="00D8084B">
        <w:rPr>
          <w:rFonts w:ascii="Times New Roman" w:hAnsi="Times New Roman" w:cs="Times New Roman"/>
          <w:sz w:val="24"/>
          <w:szCs w:val="24"/>
        </w:rPr>
        <w:t xml:space="preserve">also </w:t>
      </w:r>
      <w:r w:rsidR="00D953DB">
        <w:rPr>
          <w:rFonts w:ascii="Times New Roman" w:hAnsi="Times New Roman" w:cs="Times New Roman"/>
          <w:sz w:val="24"/>
          <w:szCs w:val="24"/>
        </w:rPr>
        <w:t xml:space="preserve">serve as a good measure of financial integration. </w:t>
      </w:r>
    </w:p>
    <w:p w:rsidR="00560347" w:rsidRDefault="00B5585B"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Some scholars have argued that</w:t>
      </w:r>
      <w:r w:rsidR="00207FA7">
        <w:rPr>
          <w:rFonts w:ascii="Times New Roman" w:hAnsi="Times New Roman" w:cs="Times New Roman"/>
          <w:sz w:val="24"/>
          <w:szCs w:val="24"/>
        </w:rPr>
        <w:t xml:space="preserve"> </w:t>
      </w:r>
      <w:r w:rsidR="002E0567" w:rsidRPr="006853EA">
        <w:rPr>
          <w:rFonts w:ascii="Times New Roman" w:hAnsi="Times New Roman" w:cs="Times New Roman"/>
          <w:sz w:val="24"/>
          <w:szCs w:val="24"/>
        </w:rPr>
        <w:t xml:space="preserve">deep financial market integration </w:t>
      </w:r>
      <w:r w:rsidR="00AD1992">
        <w:rPr>
          <w:rFonts w:ascii="Times New Roman" w:hAnsi="Times New Roman" w:cs="Times New Roman"/>
          <w:sz w:val="24"/>
          <w:szCs w:val="24"/>
        </w:rPr>
        <w:t xml:space="preserve">carries advantages including </w:t>
      </w:r>
      <w:r w:rsidR="002E0567" w:rsidRPr="006853EA">
        <w:rPr>
          <w:rFonts w:ascii="Times New Roman" w:hAnsi="Times New Roman" w:cs="Times New Roman"/>
          <w:sz w:val="24"/>
          <w:szCs w:val="24"/>
        </w:rPr>
        <w:t xml:space="preserve">increased </w:t>
      </w:r>
      <w:r w:rsidR="00B040BA">
        <w:rPr>
          <w:rFonts w:ascii="Times New Roman" w:hAnsi="Times New Roman" w:cs="Times New Roman"/>
          <w:sz w:val="24"/>
          <w:szCs w:val="24"/>
        </w:rPr>
        <w:t>foreign</w:t>
      </w:r>
      <w:r w:rsidR="002E0567">
        <w:rPr>
          <w:rFonts w:ascii="Times New Roman" w:hAnsi="Times New Roman" w:cs="Times New Roman"/>
          <w:sz w:val="24"/>
          <w:szCs w:val="24"/>
        </w:rPr>
        <w:t xml:space="preserve"> direct and portfolio</w:t>
      </w:r>
      <w:r w:rsidR="002E0567" w:rsidRPr="006853EA">
        <w:rPr>
          <w:rFonts w:ascii="Times New Roman" w:hAnsi="Times New Roman" w:cs="Times New Roman"/>
          <w:sz w:val="24"/>
          <w:szCs w:val="24"/>
        </w:rPr>
        <w:t xml:space="preserve"> investment, </w:t>
      </w:r>
      <w:r w:rsidR="002B3ADA">
        <w:rPr>
          <w:rFonts w:ascii="Times New Roman" w:hAnsi="Times New Roman" w:cs="Times New Roman"/>
          <w:sz w:val="24"/>
          <w:szCs w:val="24"/>
        </w:rPr>
        <w:t xml:space="preserve">more efficient </w:t>
      </w:r>
      <w:r w:rsidR="002E0567" w:rsidRPr="006853EA">
        <w:rPr>
          <w:rFonts w:ascii="Times New Roman" w:hAnsi="Times New Roman" w:cs="Times New Roman"/>
          <w:sz w:val="24"/>
          <w:szCs w:val="24"/>
        </w:rPr>
        <w:t>capital allocation, higher resilient market liquidity, reduced likelihood of asymmetric shocks</w:t>
      </w:r>
      <w:r w:rsidR="002B3ADA">
        <w:rPr>
          <w:rFonts w:ascii="Times New Roman" w:hAnsi="Times New Roman" w:cs="Times New Roman"/>
          <w:sz w:val="24"/>
          <w:szCs w:val="24"/>
        </w:rPr>
        <w:t>,</w:t>
      </w:r>
      <w:r w:rsidR="002E0567" w:rsidRPr="006853EA">
        <w:rPr>
          <w:rFonts w:ascii="Times New Roman" w:hAnsi="Times New Roman" w:cs="Times New Roman"/>
          <w:sz w:val="24"/>
          <w:szCs w:val="24"/>
        </w:rPr>
        <w:t xml:space="preserve"> and overall improvement of global financial development (see Umutlu</w:t>
      </w:r>
      <w:r w:rsidR="0096790A">
        <w:rPr>
          <w:rFonts w:ascii="Times New Roman" w:hAnsi="Times New Roman" w:cs="Times New Roman"/>
          <w:sz w:val="24"/>
          <w:szCs w:val="24"/>
        </w:rPr>
        <w:t>, Akdeniz, &amp;</w:t>
      </w:r>
      <w:r w:rsidR="00534524">
        <w:rPr>
          <w:rFonts w:ascii="Times New Roman" w:hAnsi="Times New Roman" w:cs="Times New Roman"/>
          <w:sz w:val="24"/>
          <w:szCs w:val="24"/>
        </w:rPr>
        <w:t xml:space="preserve"> </w:t>
      </w:r>
      <w:r w:rsidR="0096790A">
        <w:rPr>
          <w:rFonts w:ascii="Times New Roman" w:hAnsi="Times New Roman" w:cs="Times New Roman"/>
          <w:sz w:val="24"/>
          <w:szCs w:val="24"/>
        </w:rPr>
        <w:t>Altag-Salih</w:t>
      </w:r>
      <w:r w:rsidR="002E0567" w:rsidRPr="00086A7F">
        <w:rPr>
          <w:rFonts w:ascii="Times New Roman" w:hAnsi="Times New Roman" w:cs="Times New Roman"/>
          <w:sz w:val="24"/>
          <w:szCs w:val="24"/>
        </w:rPr>
        <w:t>,</w:t>
      </w:r>
      <w:r w:rsidR="002E0567" w:rsidRPr="006853EA">
        <w:rPr>
          <w:rFonts w:ascii="Times New Roman" w:hAnsi="Times New Roman" w:cs="Times New Roman"/>
          <w:sz w:val="24"/>
          <w:szCs w:val="24"/>
        </w:rPr>
        <w:t xml:space="preserve"> 2010; Yu</w:t>
      </w:r>
      <w:r w:rsidR="0096790A">
        <w:rPr>
          <w:rFonts w:ascii="Times New Roman" w:hAnsi="Times New Roman" w:cs="Times New Roman"/>
          <w:sz w:val="24"/>
          <w:szCs w:val="24"/>
        </w:rPr>
        <w:t>, Fung, &amp; Tam</w:t>
      </w:r>
      <w:r w:rsidR="002E0567" w:rsidRPr="006853EA">
        <w:rPr>
          <w:rFonts w:ascii="Times New Roman" w:hAnsi="Times New Roman" w:cs="Times New Roman"/>
          <w:sz w:val="24"/>
          <w:szCs w:val="24"/>
        </w:rPr>
        <w:t xml:space="preserve">, 2010). </w:t>
      </w:r>
      <w:r w:rsidR="00CB4A70">
        <w:rPr>
          <w:rFonts w:ascii="Times New Roman" w:hAnsi="Times New Roman" w:cs="Times New Roman"/>
          <w:sz w:val="24"/>
          <w:szCs w:val="24"/>
        </w:rPr>
        <w:t>O</w:t>
      </w:r>
      <w:r>
        <w:rPr>
          <w:rFonts w:ascii="Times New Roman" w:hAnsi="Times New Roman" w:cs="Times New Roman"/>
          <w:sz w:val="24"/>
          <w:szCs w:val="24"/>
        </w:rPr>
        <w:t>ther</w:t>
      </w:r>
      <w:r w:rsidR="00D57257">
        <w:rPr>
          <w:rFonts w:ascii="Times New Roman" w:hAnsi="Times New Roman" w:cs="Times New Roman"/>
          <w:sz w:val="24"/>
          <w:szCs w:val="24"/>
        </w:rPr>
        <w:t>s</w:t>
      </w:r>
      <w:r w:rsidR="00534524">
        <w:rPr>
          <w:rFonts w:ascii="Times New Roman" w:hAnsi="Times New Roman" w:cs="Times New Roman"/>
          <w:sz w:val="24"/>
          <w:szCs w:val="24"/>
        </w:rPr>
        <w:t xml:space="preserve"> </w:t>
      </w:r>
      <w:r w:rsidR="00955A79">
        <w:rPr>
          <w:rFonts w:ascii="Times New Roman" w:hAnsi="Times New Roman" w:cs="Times New Roman"/>
          <w:sz w:val="24"/>
          <w:szCs w:val="24"/>
        </w:rPr>
        <w:t xml:space="preserve">have </w:t>
      </w:r>
      <w:r>
        <w:rPr>
          <w:rFonts w:ascii="Times New Roman" w:hAnsi="Times New Roman" w:cs="Times New Roman"/>
          <w:sz w:val="24"/>
          <w:szCs w:val="24"/>
        </w:rPr>
        <w:t>argued that</w:t>
      </w:r>
      <w:r w:rsidR="00207FA7">
        <w:rPr>
          <w:rFonts w:ascii="Times New Roman" w:hAnsi="Times New Roman" w:cs="Times New Roman"/>
          <w:sz w:val="24"/>
          <w:szCs w:val="24"/>
        </w:rPr>
        <w:t xml:space="preserve"> </w:t>
      </w:r>
      <w:r w:rsidR="00AD1992">
        <w:rPr>
          <w:rFonts w:ascii="Times New Roman" w:hAnsi="Times New Roman" w:cs="Times New Roman"/>
          <w:sz w:val="24"/>
          <w:szCs w:val="24"/>
        </w:rPr>
        <w:t xml:space="preserve">integration could increase the </w:t>
      </w:r>
      <w:r w:rsidR="002E0567" w:rsidRPr="006853EA">
        <w:rPr>
          <w:rFonts w:ascii="Times New Roman" w:hAnsi="Times New Roman" w:cs="Times New Roman"/>
          <w:sz w:val="24"/>
          <w:szCs w:val="24"/>
        </w:rPr>
        <w:t xml:space="preserve">risk of financial contagion and financial </w:t>
      </w:r>
      <w:r w:rsidR="002E0567">
        <w:rPr>
          <w:rFonts w:ascii="Times New Roman" w:hAnsi="Times New Roman" w:cs="Times New Roman"/>
          <w:sz w:val="24"/>
          <w:szCs w:val="24"/>
        </w:rPr>
        <w:t>in</w:t>
      </w:r>
      <w:r w:rsidR="002E0567" w:rsidRPr="006853EA">
        <w:rPr>
          <w:rFonts w:ascii="Times New Roman" w:hAnsi="Times New Roman" w:cs="Times New Roman"/>
          <w:sz w:val="24"/>
          <w:szCs w:val="24"/>
        </w:rPr>
        <w:t>stability (see Beine</w:t>
      </w:r>
      <w:r w:rsidR="0096790A">
        <w:rPr>
          <w:rFonts w:ascii="Times New Roman" w:hAnsi="Times New Roman" w:cs="Times New Roman"/>
          <w:sz w:val="24"/>
          <w:szCs w:val="24"/>
        </w:rPr>
        <w:t>, Cosma, &amp;</w:t>
      </w:r>
      <w:r w:rsidR="00207FA7">
        <w:rPr>
          <w:rFonts w:ascii="Times New Roman" w:hAnsi="Times New Roman" w:cs="Times New Roman"/>
          <w:sz w:val="24"/>
          <w:szCs w:val="24"/>
        </w:rPr>
        <w:t xml:space="preserve"> </w:t>
      </w:r>
      <w:r w:rsidR="0096790A">
        <w:rPr>
          <w:rFonts w:ascii="Times New Roman" w:hAnsi="Times New Roman" w:cs="Times New Roman"/>
          <w:sz w:val="24"/>
          <w:szCs w:val="24"/>
        </w:rPr>
        <w:t>Vermulen</w:t>
      </w:r>
      <w:r w:rsidR="002E0567" w:rsidRPr="00086A7F">
        <w:rPr>
          <w:rFonts w:ascii="Times New Roman" w:hAnsi="Times New Roman" w:cs="Times New Roman"/>
          <w:sz w:val="24"/>
          <w:szCs w:val="24"/>
        </w:rPr>
        <w:t>,</w:t>
      </w:r>
      <w:r w:rsidR="002E0567" w:rsidRPr="006853EA">
        <w:rPr>
          <w:rFonts w:ascii="Times New Roman" w:hAnsi="Times New Roman" w:cs="Times New Roman"/>
          <w:sz w:val="24"/>
          <w:szCs w:val="24"/>
        </w:rPr>
        <w:t xml:space="preserve"> 2010; Büttner</w:t>
      </w:r>
      <w:r w:rsidR="00534524">
        <w:rPr>
          <w:rFonts w:ascii="Times New Roman" w:hAnsi="Times New Roman" w:cs="Times New Roman"/>
          <w:sz w:val="24"/>
          <w:szCs w:val="24"/>
        </w:rPr>
        <w:t xml:space="preserve"> </w:t>
      </w:r>
      <w:r w:rsidR="0096790A">
        <w:rPr>
          <w:rFonts w:ascii="Times New Roman" w:hAnsi="Times New Roman" w:cs="Times New Roman"/>
          <w:sz w:val="24"/>
          <w:szCs w:val="24"/>
        </w:rPr>
        <w:t>&amp;</w:t>
      </w:r>
      <w:r w:rsidR="00534524">
        <w:rPr>
          <w:rFonts w:ascii="Times New Roman" w:hAnsi="Times New Roman" w:cs="Times New Roman"/>
          <w:sz w:val="24"/>
          <w:szCs w:val="24"/>
        </w:rPr>
        <w:t xml:space="preserve"> </w:t>
      </w:r>
      <w:r w:rsidR="002E0567" w:rsidRPr="006853EA">
        <w:rPr>
          <w:rFonts w:ascii="Times New Roman" w:hAnsi="Times New Roman" w:cs="Times New Roman"/>
          <w:sz w:val="24"/>
          <w:szCs w:val="24"/>
        </w:rPr>
        <w:t>Hayo,</w:t>
      </w:r>
      <w:r w:rsidR="00534524">
        <w:rPr>
          <w:rFonts w:ascii="Times New Roman" w:hAnsi="Times New Roman" w:cs="Times New Roman"/>
          <w:sz w:val="24"/>
          <w:szCs w:val="24"/>
        </w:rPr>
        <w:t xml:space="preserve"> </w:t>
      </w:r>
      <w:r w:rsidR="002E0567" w:rsidRPr="006853EA">
        <w:rPr>
          <w:rFonts w:ascii="Times New Roman" w:hAnsi="Times New Roman" w:cs="Times New Roman"/>
          <w:sz w:val="24"/>
          <w:szCs w:val="24"/>
        </w:rPr>
        <w:t>2011)</w:t>
      </w:r>
      <w:r w:rsidR="002B3ADA">
        <w:rPr>
          <w:rFonts w:ascii="Times New Roman" w:hAnsi="Times New Roman" w:cs="Times New Roman"/>
          <w:sz w:val="24"/>
          <w:szCs w:val="24"/>
        </w:rPr>
        <w:t>, and that</w:t>
      </w:r>
      <w:r w:rsidR="00D2007C">
        <w:rPr>
          <w:rFonts w:ascii="Times New Roman" w:hAnsi="Times New Roman" w:cs="Times New Roman"/>
          <w:sz w:val="24"/>
          <w:szCs w:val="24"/>
        </w:rPr>
        <w:t xml:space="preserve"> the increasing transmission of global risk limit</w:t>
      </w:r>
      <w:r w:rsidR="00955A79">
        <w:rPr>
          <w:rFonts w:ascii="Times New Roman" w:hAnsi="Times New Roman" w:cs="Times New Roman"/>
          <w:sz w:val="24"/>
          <w:szCs w:val="24"/>
        </w:rPr>
        <w:t>s</w:t>
      </w:r>
      <w:r w:rsidR="002E0567" w:rsidRPr="006853EA">
        <w:rPr>
          <w:rFonts w:ascii="Times New Roman" w:hAnsi="Times New Roman" w:cs="Times New Roman"/>
          <w:sz w:val="24"/>
          <w:szCs w:val="24"/>
        </w:rPr>
        <w:t xml:space="preserve"> the autonomy of</w:t>
      </w:r>
      <w:r w:rsidR="002B3ADA">
        <w:rPr>
          <w:rFonts w:ascii="Times New Roman" w:hAnsi="Times New Roman" w:cs="Times New Roman"/>
          <w:sz w:val="24"/>
          <w:szCs w:val="24"/>
        </w:rPr>
        <w:t xml:space="preserve"> independent economies to make</w:t>
      </w:r>
      <w:r w:rsidR="002E0567" w:rsidRPr="006853EA">
        <w:rPr>
          <w:rFonts w:ascii="Times New Roman" w:hAnsi="Times New Roman" w:cs="Times New Roman"/>
          <w:sz w:val="24"/>
          <w:szCs w:val="24"/>
        </w:rPr>
        <w:t xml:space="preserve"> macroeconomic policy adjustments and regulatory reforms</w:t>
      </w:r>
      <w:r w:rsidR="00207FA7">
        <w:rPr>
          <w:rFonts w:ascii="Times New Roman" w:hAnsi="Times New Roman" w:cs="Times New Roman"/>
          <w:sz w:val="24"/>
          <w:szCs w:val="24"/>
        </w:rPr>
        <w:t xml:space="preserve"> </w:t>
      </w:r>
      <w:r w:rsidR="00D8084B">
        <w:rPr>
          <w:rFonts w:ascii="Times New Roman" w:hAnsi="Times New Roman" w:cs="Times New Roman"/>
          <w:sz w:val="24"/>
          <w:szCs w:val="24"/>
        </w:rPr>
        <w:t>(Kearney &amp; Lucey, 2004)</w:t>
      </w:r>
      <w:r w:rsidR="002E0567">
        <w:rPr>
          <w:rFonts w:ascii="Times New Roman" w:hAnsi="Times New Roman" w:cs="Times New Roman"/>
          <w:sz w:val="24"/>
          <w:szCs w:val="24"/>
        </w:rPr>
        <w:t>.</w:t>
      </w:r>
      <w:r w:rsidR="00534524" w:rsidRPr="00DB5AF6" w:rsidDel="00534524">
        <w:rPr>
          <w:rFonts w:ascii="Times New Roman" w:hAnsi="Times New Roman" w:cs="Times New Roman"/>
          <w:sz w:val="24"/>
          <w:szCs w:val="24"/>
        </w:rPr>
        <w:t xml:space="preserve"> </w:t>
      </w:r>
    </w:p>
    <w:p w:rsidR="00451F0D" w:rsidRDefault="00E2435A" w:rsidP="00E2435A">
      <w:pPr>
        <w:spacing w:after="0" w:line="480" w:lineRule="auto"/>
        <w:ind w:right="282"/>
        <w:rPr>
          <w:rFonts w:ascii="Times New Roman" w:hAnsi="Times New Roman" w:cs="Times New Roman"/>
          <w:sz w:val="24"/>
          <w:szCs w:val="24"/>
        </w:rPr>
      </w:pPr>
      <w:r>
        <w:rPr>
          <w:rFonts w:ascii="Times New Roman" w:hAnsi="Times New Roman" w:cs="Times New Roman"/>
          <w:sz w:val="24"/>
          <w:szCs w:val="24"/>
        </w:rPr>
        <w:tab/>
        <w:t>Recently, Baker, Bloom, and Davis (2016) constructed an economic policy uncertainty (EPU) index to measure the extent and nature of economic policy uncertainties. The degree of policy uncertainty may affect the economy as well as stock market. Our study is the first to link the co-movement of EPU indices with stock market integration between the UK and US. We work on the hypothesis that EPU convergence, macroeconomic convergence, financial volatility, and various crises drive stock market integration.</w:t>
      </w:r>
    </w:p>
    <w:p w:rsidR="00446908" w:rsidRDefault="00744436"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lastRenderedPageBreak/>
        <w:t>Given that structural changes in the domestic or international political-economic environment can alter the dynamic nature of financial</w:t>
      </w:r>
      <w:r w:rsidR="00560347">
        <w:rPr>
          <w:rFonts w:ascii="Times New Roman" w:hAnsi="Times New Roman" w:cs="Times New Roman"/>
          <w:sz w:val="24"/>
          <w:szCs w:val="24"/>
        </w:rPr>
        <w:t xml:space="preserve"> market</w:t>
      </w:r>
      <w:r>
        <w:rPr>
          <w:rFonts w:ascii="Times New Roman" w:hAnsi="Times New Roman" w:cs="Times New Roman"/>
          <w:sz w:val="24"/>
          <w:szCs w:val="24"/>
        </w:rPr>
        <w:t xml:space="preserve"> integration,</w:t>
      </w:r>
      <w:r w:rsidR="00166050" w:rsidRPr="006853EA">
        <w:rPr>
          <w:rFonts w:ascii="Times New Roman" w:hAnsi="Times New Roman" w:cs="Times New Roman"/>
          <w:sz w:val="24"/>
          <w:szCs w:val="24"/>
        </w:rPr>
        <w:t xml:space="preserve"> we</w:t>
      </w:r>
      <w:r w:rsidR="00207FA7">
        <w:rPr>
          <w:rFonts w:ascii="Times New Roman" w:hAnsi="Times New Roman" w:cs="Times New Roman"/>
          <w:sz w:val="24"/>
          <w:szCs w:val="24"/>
        </w:rPr>
        <w:t xml:space="preserve"> </w:t>
      </w:r>
      <w:r w:rsidR="00166050" w:rsidRPr="006853EA">
        <w:rPr>
          <w:rFonts w:ascii="Times New Roman" w:hAnsi="Times New Roman" w:cs="Times New Roman"/>
          <w:sz w:val="24"/>
          <w:szCs w:val="24"/>
        </w:rPr>
        <w:t xml:space="preserve">partition the full sample into </w:t>
      </w:r>
      <w:r w:rsidR="005C405C">
        <w:rPr>
          <w:rFonts w:ascii="Times New Roman" w:hAnsi="Times New Roman" w:cs="Times New Roman"/>
          <w:sz w:val="24"/>
          <w:szCs w:val="24"/>
        </w:rPr>
        <w:t xml:space="preserve">the </w:t>
      </w:r>
      <w:r>
        <w:rPr>
          <w:rFonts w:ascii="Times New Roman" w:hAnsi="Times New Roman" w:cs="Times New Roman"/>
          <w:sz w:val="24"/>
          <w:szCs w:val="24"/>
        </w:rPr>
        <w:t>following</w:t>
      </w:r>
      <w:r w:rsidR="00BF6722">
        <w:rPr>
          <w:rFonts w:ascii="Times New Roman" w:hAnsi="Times New Roman" w:cs="Times New Roman"/>
          <w:sz w:val="24"/>
          <w:szCs w:val="24"/>
        </w:rPr>
        <w:t xml:space="preserve"> subsamples: </w:t>
      </w:r>
      <w:r w:rsidR="00207FA7">
        <w:rPr>
          <w:rFonts w:ascii="Times New Roman" w:hAnsi="Times New Roman" w:cs="Times New Roman"/>
          <w:sz w:val="24"/>
          <w:szCs w:val="24"/>
        </w:rPr>
        <w:t xml:space="preserve"> </w:t>
      </w:r>
      <w:r w:rsidR="00BF6722">
        <w:rPr>
          <w:rFonts w:ascii="Times New Roman" w:hAnsi="Times New Roman" w:cs="Times New Roman"/>
          <w:sz w:val="24"/>
          <w:szCs w:val="24"/>
        </w:rPr>
        <w:t>t</w:t>
      </w:r>
      <w:r w:rsidR="005F198F">
        <w:rPr>
          <w:rFonts w:ascii="Times New Roman" w:hAnsi="Times New Roman" w:cs="Times New Roman"/>
          <w:sz w:val="24"/>
          <w:szCs w:val="24"/>
        </w:rPr>
        <w:t xml:space="preserve">he </w:t>
      </w:r>
      <w:r w:rsidR="002B3ADA">
        <w:rPr>
          <w:rFonts w:ascii="Times New Roman" w:hAnsi="Times New Roman" w:cs="Times New Roman"/>
          <w:sz w:val="24"/>
          <w:szCs w:val="24"/>
        </w:rPr>
        <w:t>p</w:t>
      </w:r>
      <w:r w:rsidR="00BF6722">
        <w:rPr>
          <w:rFonts w:ascii="Times New Roman" w:hAnsi="Times New Roman" w:cs="Times New Roman"/>
          <w:sz w:val="24"/>
          <w:szCs w:val="24"/>
        </w:rPr>
        <w:t>re-</w:t>
      </w:r>
      <w:r w:rsidR="00D2399C">
        <w:rPr>
          <w:rFonts w:ascii="Times New Roman" w:hAnsi="Times New Roman" w:cs="Times New Roman"/>
          <w:sz w:val="24"/>
          <w:szCs w:val="24"/>
        </w:rPr>
        <w:t>BW</w:t>
      </w:r>
      <w:r w:rsidR="00A17517">
        <w:rPr>
          <w:rFonts w:ascii="Times New Roman" w:hAnsi="Times New Roman" w:cs="Times New Roman"/>
          <w:sz w:val="24"/>
          <w:szCs w:val="24"/>
        </w:rPr>
        <w:t xml:space="preserve"> </w:t>
      </w:r>
      <w:r w:rsidR="002B3ADA">
        <w:rPr>
          <w:rFonts w:ascii="Times New Roman" w:hAnsi="Times New Roman" w:cs="Times New Roman"/>
          <w:sz w:val="24"/>
          <w:szCs w:val="24"/>
        </w:rPr>
        <w:t>s</w:t>
      </w:r>
      <w:r w:rsidR="00BF6722">
        <w:rPr>
          <w:rFonts w:ascii="Times New Roman" w:hAnsi="Times New Roman" w:cs="Times New Roman"/>
          <w:sz w:val="24"/>
          <w:szCs w:val="24"/>
        </w:rPr>
        <w:t>ystem</w:t>
      </w:r>
      <w:r w:rsidR="00166050" w:rsidRPr="006853EA">
        <w:rPr>
          <w:rFonts w:ascii="Times New Roman" w:hAnsi="Times New Roman" w:cs="Times New Roman"/>
          <w:sz w:val="24"/>
          <w:szCs w:val="24"/>
        </w:rPr>
        <w:t xml:space="preserve"> (</w:t>
      </w:r>
      <w:r w:rsidR="00BF6722">
        <w:rPr>
          <w:rFonts w:ascii="Times New Roman" w:hAnsi="Times New Roman" w:cs="Times New Roman"/>
          <w:sz w:val="24"/>
          <w:szCs w:val="24"/>
        </w:rPr>
        <w:t>July</w:t>
      </w:r>
      <w:r w:rsidR="00587BD4">
        <w:rPr>
          <w:rFonts w:ascii="Times New Roman" w:hAnsi="Times New Roman" w:cs="Times New Roman"/>
          <w:sz w:val="24"/>
          <w:szCs w:val="24"/>
        </w:rPr>
        <w:t xml:space="preserve"> 1,</w:t>
      </w:r>
      <w:r w:rsidR="00BF6722">
        <w:rPr>
          <w:rFonts w:ascii="Times New Roman" w:hAnsi="Times New Roman" w:cs="Times New Roman"/>
          <w:sz w:val="24"/>
          <w:szCs w:val="24"/>
        </w:rPr>
        <w:t xml:space="preserve"> 1935–September </w:t>
      </w:r>
      <w:r w:rsidR="00587BD4">
        <w:rPr>
          <w:rFonts w:ascii="Times New Roman" w:hAnsi="Times New Roman" w:cs="Times New Roman"/>
          <w:sz w:val="24"/>
          <w:szCs w:val="24"/>
        </w:rPr>
        <w:t xml:space="preserve">2, </w:t>
      </w:r>
      <w:r w:rsidR="00BF6722">
        <w:rPr>
          <w:rFonts w:ascii="Times New Roman" w:hAnsi="Times New Roman" w:cs="Times New Roman"/>
          <w:sz w:val="24"/>
          <w:szCs w:val="24"/>
        </w:rPr>
        <w:t>1945), t</w:t>
      </w:r>
      <w:r w:rsidR="00166050" w:rsidRPr="006853EA">
        <w:rPr>
          <w:rFonts w:ascii="Times New Roman" w:hAnsi="Times New Roman" w:cs="Times New Roman"/>
          <w:sz w:val="24"/>
          <w:szCs w:val="24"/>
        </w:rPr>
        <w:t xml:space="preserve">he </w:t>
      </w:r>
      <w:r w:rsidR="00D2399C">
        <w:rPr>
          <w:rFonts w:ascii="Times New Roman" w:hAnsi="Times New Roman" w:cs="Times New Roman"/>
          <w:sz w:val="24"/>
          <w:szCs w:val="24"/>
        </w:rPr>
        <w:t>BW</w:t>
      </w:r>
      <w:r w:rsidR="00A17517">
        <w:rPr>
          <w:rFonts w:ascii="Times New Roman" w:hAnsi="Times New Roman" w:cs="Times New Roman"/>
          <w:sz w:val="24"/>
          <w:szCs w:val="24"/>
        </w:rPr>
        <w:t xml:space="preserve"> </w:t>
      </w:r>
      <w:r w:rsidR="002B3ADA">
        <w:rPr>
          <w:rFonts w:ascii="Times New Roman" w:hAnsi="Times New Roman" w:cs="Times New Roman"/>
          <w:sz w:val="24"/>
          <w:szCs w:val="24"/>
        </w:rPr>
        <w:t>s</w:t>
      </w:r>
      <w:r w:rsidR="00166050" w:rsidRPr="006853EA">
        <w:rPr>
          <w:rFonts w:ascii="Times New Roman" w:hAnsi="Times New Roman" w:cs="Times New Roman"/>
          <w:sz w:val="24"/>
          <w:szCs w:val="24"/>
        </w:rPr>
        <w:t>ystem</w:t>
      </w:r>
      <w:r w:rsidR="00A17517">
        <w:rPr>
          <w:rFonts w:ascii="Times New Roman" w:hAnsi="Times New Roman" w:cs="Times New Roman"/>
          <w:sz w:val="24"/>
          <w:szCs w:val="24"/>
        </w:rPr>
        <w:t xml:space="preserve"> </w:t>
      </w:r>
      <w:r w:rsidR="00166050" w:rsidRPr="006853EA">
        <w:rPr>
          <w:rFonts w:ascii="Times New Roman" w:hAnsi="Times New Roman" w:cs="Times New Roman"/>
          <w:sz w:val="24"/>
          <w:szCs w:val="24"/>
        </w:rPr>
        <w:t xml:space="preserve">(September </w:t>
      </w:r>
      <w:r w:rsidR="00587BD4">
        <w:rPr>
          <w:rFonts w:ascii="Times New Roman" w:hAnsi="Times New Roman" w:cs="Times New Roman"/>
          <w:sz w:val="24"/>
          <w:szCs w:val="24"/>
        </w:rPr>
        <w:t xml:space="preserve">3, </w:t>
      </w:r>
      <w:r w:rsidR="00166050" w:rsidRPr="006853EA">
        <w:rPr>
          <w:rFonts w:ascii="Times New Roman" w:hAnsi="Times New Roman" w:cs="Times New Roman"/>
          <w:sz w:val="24"/>
          <w:szCs w:val="24"/>
        </w:rPr>
        <w:t xml:space="preserve">1945–August </w:t>
      </w:r>
      <w:r w:rsidR="00587BD4">
        <w:rPr>
          <w:rFonts w:ascii="Times New Roman" w:hAnsi="Times New Roman" w:cs="Times New Roman"/>
          <w:sz w:val="24"/>
          <w:szCs w:val="24"/>
        </w:rPr>
        <w:t xml:space="preserve">15, </w:t>
      </w:r>
      <w:r w:rsidR="00166050" w:rsidRPr="006853EA">
        <w:rPr>
          <w:rFonts w:ascii="Times New Roman" w:hAnsi="Times New Roman" w:cs="Times New Roman"/>
          <w:sz w:val="24"/>
          <w:szCs w:val="24"/>
        </w:rPr>
        <w:t>1971)</w:t>
      </w:r>
      <w:r w:rsidR="00BF6722">
        <w:rPr>
          <w:rFonts w:ascii="Times New Roman" w:hAnsi="Times New Roman" w:cs="Times New Roman"/>
          <w:sz w:val="24"/>
          <w:szCs w:val="24"/>
        </w:rPr>
        <w:t xml:space="preserve"> and the </w:t>
      </w:r>
      <w:r w:rsidR="002B3ADA">
        <w:rPr>
          <w:rFonts w:ascii="Times New Roman" w:hAnsi="Times New Roman" w:cs="Times New Roman"/>
          <w:sz w:val="24"/>
          <w:szCs w:val="24"/>
        </w:rPr>
        <w:t>p</w:t>
      </w:r>
      <w:r w:rsidR="00BF6722">
        <w:rPr>
          <w:rFonts w:ascii="Times New Roman" w:hAnsi="Times New Roman" w:cs="Times New Roman"/>
          <w:sz w:val="24"/>
          <w:szCs w:val="24"/>
        </w:rPr>
        <w:t>ost-</w:t>
      </w:r>
      <w:r w:rsidR="00D2399C">
        <w:rPr>
          <w:rFonts w:ascii="Times New Roman" w:hAnsi="Times New Roman" w:cs="Times New Roman"/>
          <w:sz w:val="24"/>
          <w:szCs w:val="24"/>
        </w:rPr>
        <w:t>BW</w:t>
      </w:r>
      <w:r w:rsidR="00A17517">
        <w:rPr>
          <w:rFonts w:ascii="Times New Roman" w:hAnsi="Times New Roman" w:cs="Times New Roman"/>
          <w:sz w:val="24"/>
          <w:szCs w:val="24"/>
        </w:rPr>
        <w:t xml:space="preserve"> </w:t>
      </w:r>
      <w:r w:rsidR="002B3ADA">
        <w:rPr>
          <w:rFonts w:ascii="Times New Roman" w:hAnsi="Times New Roman" w:cs="Times New Roman"/>
          <w:sz w:val="24"/>
          <w:szCs w:val="24"/>
        </w:rPr>
        <w:t>s</w:t>
      </w:r>
      <w:r w:rsidR="00BF6722">
        <w:rPr>
          <w:rFonts w:ascii="Times New Roman" w:hAnsi="Times New Roman" w:cs="Times New Roman"/>
          <w:sz w:val="24"/>
          <w:szCs w:val="24"/>
        </w:rPr>
        <w:t>ystem</w:t>
      </w:r>
      <w:r w:rsidR="00166050" w:rsidRPr="006853EA">
        <w:rPr>
          <w:rFonts w:ascii="Times New Roman" w:hAnsi="Times New Roman" w:cs="Times New Roman"/>
          <w:sz w:val="24"/>
          <w:szCs w:val="24"/>
        </w:rPr>
        <w:t xml:space="preserve"> (August</w:t>
      </w:r>
      <w:r w:rsidR="00587BD4">
        <w:rPr>
          <w:rFonts w:ascii="Times New Roman" w:hAnsi="Times New Roman" w:cs="Times New Roman"/>
          <w:sz w:val="24"/>
          <w:szCs w:val="24"/>
        </w:rPr>
        <w:t xml:space="preserve"> 16,</w:t>
      </w:r>
      <w:r w:rsidR="00166050" w:rsidRPr="006853EA">
        <w:rPr>
          <w:rFonts w:ascii="Times New Roman" w:hAnsi="Times New Roman" w:cs="Times New Roman"/>
          <w:sz w:val="24"/>
          <w:szCs w:val="24"/>
        </w:rPr>
        <w:t xml:space="preserve"> 1971–</w:t>
      </w:r>
      <w:r w:rsidR="00BF6722">
        <w:rPr>
          <w:rFonts w:ascii="Times New Roman" w:hAnsi="Times New Roman" w:cs="Times New Roman"/>
          <w:sz w:val="24"/>
          <w:szCs w:val="24"/>
        </w:rPr>
        <w:t>June</w:t>
      </w:r>
      <w:r w:rsidR="00587BD4">
        <w:rPr>
          <w:rFonts w:ascii="Times New Roman" w:hAnsi="Times New Roman" w:cs="Times New Roman"/>
          <w:sz w:val="24"/>
          <w:szCs w:val="24"/>
        </w:rPr>
        <w:t xml:space="preserve"> 30,</w:t>
      </w:r>
      <w:r w:rsidR="00BF6722">
        <w:rPr>
          <w:rFonts w:ascii="Times New Roman" w:hAnsi="Times New Roman" w:cs="Times New Roman"/>
          <w:sz w:val="24"/>
          <w:szCs w:val="24"/>
        </w:rPr>
        <w:t xml:space="preserve"> 2015</w:t>
      </w:r>
      <w:r w:rsidR="00166050" w:rsidRPr="006853EA">
        <w:rPr>
          <w:rFonts w:ascii="Times New Roman" w:hAnsi="Times New Roman" w:cs="Times New Roman"/>
          <w:sz w:val="24"/>
          <w:szCs w:val="24"/>
        </w:rPr>
        <w:t>)</w:t>
      </w:r>
      <w:r w:rsidR="00BF6722">
        <w:rPr>
          <w:rFonts w:ascii="Times New Roman" w:hAnsi="Times New Roman" w:cs="Times New Roman"/>
          <w:sz w:val="24"/>
          <w:szCs w:val="24"/>
        </w:rPr>
        <w:t>.</w:t>
      </w:r>
      <w:r w:rsidR="00A17517">
        <w:rPr>
          <w:rFonts w:ascii="Times New Roman" w:hAnsi="Times New Roman" w:cs="Times New Roman"/>
          <w:sz w:val="24"/>
          <w:szCs w:val="24"/>
        </w:rPr>
        <w:t xml:space="preserve"> </w:t>
      </w:r>
      <w:r w:rsidR="00446908" w:rsidRPr="006853EA">
        <w:rPr>
          <w:rFonts w:ascii="Times New Roman" w:hAnsi="Times New Roman" w:cs="Times New Roman"/>
          <w:sz w:val="24"/>
          <w:szCs w:val="24"/>
        </w:rPr>
        <w:t>To the best of our knowledge, this is the first study to investigate</w:t>
      </w:r>
      <w:r w:rsidR="00EB09BD">
        <w:rPr>
          <w:rFonts w:ascii="Times New Roman" w:hAnsi="Times New Roman" w:cs="Times New Roman"/>
          <w:sz w:val="24"/>
          <w:szCs w:val="24"/>
        </w:rPr>
        <w:t xml:space="preserve"> the determinants of stock market integration</w:t>
      </w:r>
      <w:r w:rsidR="00446908" w:rsidRPr="006853EA">
        <w:rPr>
          <w:rFonts w:ascii="Times New Roman" w:hAnsi="Times New Roman" w:cs="Times New Roman"/>
          <w:sz w:val="24"/>
          <w:szCs w:val="24"/>
        </w:rPr>
        <w:t xml:space="preserve"> between</w:t>
      </w:r>
      <w:r w:rsidR="009D5F1E">
        <w:rPr>
          <w:rFonts w:ascii="Times New Roman" w:hAnsi="Times New Roman" w:cs="Times New Roman"/>
          <w:sz w:val="24"/>
          <w:szCs w:val="24"/>
        </w:rPr>
        <w:t xml:space="preserve"> the</w:t>
      </w:r>
      <w:r w:rsidR="00446908" w:rsidRPr="006853EA">
        <w:rPr>
          <w:rFonts w:ascii="Times New Roman" w:hAnsi="Times New Roman" w:cs="Times New Roman"/>
          <w:sz w:val="24"/>
          <w:szCs w:val="24"/>
        </w:rPr>
        <w:t xml:space="preserve"> UK and US within the frame of </w:t>
      </w:r>
      <w:r w:rsidR="00090708">
        <w:rPr>
          <w:rFonts w:ascii="Times New Roman" w:hAnsi="Times New Roman" w:cs="Times New Roman"/>
          <w:sz w:val="24"/>
          <w:szCs w:val="24"/>
        </w:rPr>
        <w:t>different monetary regimes</w:t>
      </w:r>
      <w:r w:rsidR="00A17517">
        <w:rPr>
          <w:rFonts w:ascii="Times New Roman" w:hAnsi="Times New Roman" w:cs="Times New Roman"/>
          <w:sz w:val="24"/>
          <w:szCs w:val="24"/>
        </w:rPr>
        <w:t xml:space="preserve"> </w:t>
      </w:r>
      <w:r w:rsidR="002B2A6A">
        <w:rPr>
          <w:rFonts w:ascii="Times New Roman" w:hAnsi="Times New Roman" w:cs="Times New Roman"/>
          <w:sz w:val="24"/>
          <w:szCs w:val="24"/>
        </w:rPr>
        <w:t xml:space="preserve">over </w:t>
      </w:r>
      <w:r w:rsidR="00CB4A70">
        <w:rPr>
          <w:rFonts w:ascii="Times New Roman" w:hAnsi="Times New Roman" w:cs="Times New Roman"/>
          <w:sz w:val="24"/>
          <w:szCs w:val="24"/>
        </w:rPr>
        <w:t xml:space="preserve">such </w:t>
      </w:r>
      <w:r w:rsidR="005C405C">
        <w:rPr>
          <w:rFonts w:ascii="Times New Roman" w:hAnsi="Times New Roman" w:cs="Times New Roman"/>
          <w:sz w:val="24"/>
          <w:szCs w:val="24"/>
        </w:rPr>
        <w:t xml:space="preserve">a </w:t>
      </w:r>
      <w:r w:rsidR="00CB4A70">
        <w:rPr>
          <w:rFonts w:ascii="Times New Roman" w:hAnsi="Times New Roman" w:cs="Times New Roman"/>
          <w:sz w:val="24"/>
          <w:szCs w:val="24"/>
        </w:rPr>
        <w:t xml:space="preserve">long </w:t>
      </w:r>
      <w:r w:rsidR="00341FE1">
        <w:rPr>
          <w:rFonts w:ascii="Times New Roman" w:hAnsi="Times New Roman" w:cs="Times New Roman"/>
          <w:sz w:val="24"/>
          <w:szCs w:val="24"/>
        </w:rPr>
        <w:t>period</w:t>
      </w:r>
      <w:r w:rsidR="00446908" w:rsidRPr="006853EA">
        <w:rPr>
          <w:rFonts w:ascii="Times New Roman" w:hAnsi="Times New Roman" w:cs="Times New Roman"/>
          <w:sz w:val="24"/>
          <w:szCs w:val="24"/>
        </w:rPr>
        <w:t>.</w:t>
      </w:r>
    </w:p>
    <w:p w:rsidR="00166050" w:rsidRDefault="00796D17" w:rsidP="00AF6503">
      <w:pPr>
        <w:spacing w:after="0" w:line="480" w:lineRule="auto"/>
        <w:ind w:right="282" w:firstLine="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scrutiny of such </w:t>
      </w:r>
      <w:r w:rsidR="00446908" w:rsidRPr="006853EA">
        <w:rPr>
          <w:rFonts w:ascii="Times New Roman" w:eastAsiaTheme="minorEastAsia" w:hAnsi="Times New Roman" w:cs="Times New Roman"/>
          <w:sz w:val="24"/>
          <w:szCs w:val="24"/>
        </w:rPr>
        <w:t>long data series</w:t>
      </w:r>
      <w:r w:rsidR="00717784">
        <w:rPr>
          <w:rFonts w:ascii="Times New Roman" w:eastAsiaTheme="minorEastAsia" w:hAnsi="Times New Roman" w:cs="Times New Roman"/>
          <w:sz w:val="24"/>
          <w:szCs w:val="24"/>
        </w:rPr>
        <w:t xml:space="preserve"> of the </w:t>
      </w:r>
      <w:r w:rsidR="005C405C">
        <w:rPr>
          <w:rFonts w:ascii="Times New Roman" w:eastAsiaTheme="minorEastAsia" w:hAnsi="Times New Roman" w:cs="Times New Roman"/>
          <w:sz w:val="24"/>
          <w:szCs w:val="24"/>
        </w:rPr>
        <w:t xml:space="preserve">world’s </w:t>
      </w:r>
      <w:r w:rsidR="00717784">
        <w:rPr>
          <w:rFonts w:ascii="Times New Roman" w:eastAsiaTheme="minorEastAsia" w:hAnsi="Times New Roman" w:cs="Times New Roman"/>
          <w:sz w:val="24"/>
          <w:szCs w:val="24"/>
        </w:rPr>
        <w:t xml:space="preserve">two major stock markets </w:t>
      </w:r>
      <w:r>
        <w:rPr>
          <w:rFonts w:ascii="Times New Roman" w:eastAsiaTheme="minorEastAsia" w:hAnsi="Times New Roman" w:cs="Times New Roman"/>
          <w:sz w:val="24"/>
          <w:szCs w:val="24"/>
        </w:rPr>
        <w:t>should yield a</w:t>
      </w:r>
      <w:r w:rsidR="005B18D3">
        <w:rPr>
          <w:rFonts w:ascii="Times New Roman" w:eastAsiaTheme="minorEastAsia" w:hAnsi="Times New Roman" w:cs="Times New Roman"/>
          <w:sz w:val="24"/>
          <w:szCs w:val="24"/>
        </w:rPr>
        <w:t>n</w:t>
      </w:r>
      <w:r w:rsidR="00166050" w:rsidRPr="006853EA">
        <w:rPr>
          <w:rFonts w:ascii="Times New Roman" w:hAnsi="Times New Roman" w:cs="Times New Roman"/>
          <w:sz w:val="24"/>
          <w:szCs w:val="24"/>
        </w:rPr>
        <w:t xml:space="preserve"> understanding of both long</w:t>
      </w:r>
      <w:r w:rsidR="00A00D7C" w:rsidRPr="006853EA">
        <w:rPr>
          <w:rFonts w:ascii="Times New Roman" w:hAnsi="Times New Roman" w:cs="Times New Roman"/>
          <w:sz w:val="24"/>
          <w:szCs w:val="24"/>
        </w:rPr>
        <w:t>-</w:t>
      </w:r>
      <w:r w:rsidR="00166050" w:rsidRPr="006853EA">
        <w:rPr>
          <w:rFonts w:ascii="Times New Roman" w:hAnsi="Times New Roman" w:cs="Times New Roman"/>
          <w:sz w:val="24"/>
          <w:szCs w:val="24"/>
        </w:rPr>
        <w:t xml:space="preserve"> and short-term dynamics of stock market integration</w:t>
      </w:r>
      <w:r>
        <w:rPr>
          <w:rFonts w:ascii="Times New Roman" w:hAnsi="Times New Roman" w:cs="Times New Roman"/>
          <w:sz w:val="24"/>
          <w:szCs w:val="24"/>
        </w:rPr>
        <w:t xml:space="preserve">, as well as </w:t>
      </w:r>
      <w:r w:rsidR="005C405C">
        <w:rPr>
          <w:rFonts w:ascii="Times New Roman" w:hAnsi="Times New Roman" w:cs="Times New Roman"/>
          <w:sz w:val="24"/>
          <w:szCs w:val="24"/>
        </w:rPr>
        <w:t xml:space="preserve">a </w:t>
      </w:r>
      <w:r w:rsidR="00166050" w:rsidRPr="006853EA">
        <w:rPr>
          <w:rFonts w:ascii="Times New Roman" w:hAnsi="Times New Roman" w:cs="Times New Roman"/>
          <w:sz w:val="24"/>
          <w:szCs w:val="24"/>
        </w:rPr>
        <w:t xml:space="preserve">more detailed picture </w:t>
      </w:r>
      <w:r w:rsidR="002B2A6A">
        <w:rPr>
          <w:rFonts w:ascii="Times New Roman" w:hAnsi="Times New Roman" w:cs="Times New Roman"/>
          <w:sz w:val="24"/>
          <w:szCs w:val="24"/>
        </w:rPr>
        <w:t xml:space="preserve">of </w:t>
      </w:r>
      <w:r w:rsidR="00166050" w:rsidRPr="006853EA">
        <w:rPr>
          <w:rFonts w:ascii="Times New Roman" w:hAnsi="Times New Roman" w:cs="Times New Roman"/>
          <w:sz w:val="24"/>
          <w:szCs w:val="24"/>
        </w:rPr>
        <w:t>how the evolving international financial architecture underscores the changing sensitivity of financial markets to macr</w:t>
      </w:r>
      <w:r w:rsidR="00446908" w:rsidRPr="006853EA">
        <w:rPr>
          <w:rFonts w:ascii="Times New Roman" w:hAnsi="Times New Roman" w:cs="Times New Roman"/>
          <w:sz w:val="24"/>
          <w:szCs w:val="24"/>
        </w:rPr>
        <w:t>oeconomic news and innovations.</w:t>
      </w:r>
      <w:r w:rsidR="004E042B">
        <w:rPr>
          <w:rFonts w:ascii="Times New Roman" w:hAnsi="Times New Roman" w:cs="Times New Roman"/>
          <w:sz w:val="24"/>
          <w:szCs w:val="24"/>
        </w:rPr>
        <w:t xml:space="preserve"> This study </w:t>
      </w:r>
      <w:r w:rsidR="002B2A6A">
        <w:rPr>
          <w:rFonts w:ascii="Times New Roman" w:hAnsi="Times New Roman" w:cs="Times New Roman"/>
          <w:sz w:val="24"/>
          <w:szCs w:val="24"/>
        </w:rPr>
        <w:t xml:space="preserve">will enable </w:t>
      </w:r>
      <w:r w:rsidR="00915911">
        <w:rPr>
          <w:rFonts w:ascii="Times New Roman" w:hAnsi="Times New Roman" w:cs="Times New Roman"/>
          <w:sz w:val="24"/>
          <w:szCs w:val="24"/>
        </w:rPr>
        <w:t xml:space="preserve">investors </w:t>
      </w:r>
      <w:r w:rsidR="00915911">
        <w:rPr>
          <w:rFonts w:ascii="Times New Roman" w:eastAsiaTheme="minorEastAsia" w:hAnsi="Times New Roman" w:cs="Times New Roman"/>
          <w:sz w:val="24"/>
          <w:szCs w:val="24"/>
        </w:rPr>
        <w:t xml:space="preserve">to </w:t>
      </w:r>
      <w:r w:rsidR="004E042B">
        <w:rPr>
          <w:rFonts w:ascii="Times New Roman" w:eastAsiaTheme="minorEastAsia" w:hAnsi="Times New Roman" w:cs="Times New Roman"/>
          <w:sz w:val="24"/>
          <w:szCs w:val="24"/>
        </w:rPr>
        <w:t>make better decisions</w:t>
      </w:r>
      <w:r w:rsidR="00207FA7">
        <w:rPr>
          <w:rFonts w:ascii="Times New Roman" w:eastAsiaTheme="minorEastAsia" w:hAnsi="Times New Roman" w:cs="Times New Roman"/>
          <w:sz w:val="24"/>
          <w:szCs w:val="24"/>
        </w:rPr>
        <w:t xml:space="preserve"> </w:t>
      </w:r>
      <w:r w:rsidR="004E042B">
        <w:rPr>
          <w:rFonts w:ascii="Times New Roman" w:eastAsiaTheme="minorEastAsia" w:hAnsi="Times New Roman" w:cs="Times New Roman"/>
          <w:sz w:val="24"/>
          <w:szCs w:val="24"/>
        </w:rPr>
        <w:t>about the</w:t>
      </w:r>
      <w:r w:rsidR="00915911">
        <w:rPr>
          <w:rFonts w:ascii="Times New Roman" w:eastAsiaTheme="minorEastAsia" w:hAnsi="Times New Roman" w:cs="Times New Roman"/>
          <w:sz w:val="24"/>
          <w:szCs w:val="24"/>
        </w:rPr>
        <w:t xml:space="preserve"> potential benefits of international portfolio diversification in increasingly integrated markets as well as</w:t>
      </w:r>
      <w:r w:rsidR="00207FA7">
        <w:rPr>
          <w:rFonts w:ascii="Times New Roman" w:eastAsiaTheme="minorEastAsia" w:hAnsi="Times New Roman" w:cs="Times New Roman"/>
          <w:sz w:val="24"/>
          <w:szCs w:val="24"/>
        </w:rPr>
        <w:t xml:space="preserve"> </w:t>
      </w:r>
      <w:r w:rsidR="00815346">
        <w:rPr>
          <w:rFonts w:ascii="Times New Roman" w:eastAsiaTheme="minorEastAsia" w:hAnsi="Times New Roman" w:cs="Times New Roman"/>
          <w:sz w:val="24"/>
          <w:szCs w:val="24"/>
        </w:rPr>
        <w:t xml:space="preserve">to </w:t>
      </w:r>
      <w:r w:rsidR="00C96E47">
        <w:rPr>
          <w:rFonts w:ascii="Times New Roman" w:eastAsiaTheme="minorEastAsia" w:hAnsi="Times New Roman" w:cs="Times New Roman"/>
          <w:sz w:val="24"/>
          <w:szCs w:val="24"/>
        </w:rPr>
        <w:t>gauge</w:t>
      </w:r>
      <w:r w:rsidR="00207FA7">
        <w:rPr>
          <w:rFonts w:ascii="Times New Roman" w:eastAsiaTheme="minorEastAsia" w:hAnsi="Times New Roman" w:cs="Times New Roman"/>
          <w:sz w:val="24"/>
          <w:szCs w:val="24"/>
        </w:rPr>
        <w:t xml:space="preserve"> </w:t>
      </w:r>
      <w:r w:rsidR="000D1A3E">
        <w:rPr>
          <w:rFonts w:ascii="Times New Roman" w:eastAsiaTheme="minorEastAsia" w:hAnsi="Times New Roman" w:cs="Times New Roman"/>
          <w:sz w:val="24"/>
          <w:szCs w:val="24"/>
        </w:rPr>
        <w:t xml:space="preserve">the </w:t>
      </w:r>
      <w:r w:rsidR="00166050" w:rsidRPr="006853EA">
        <w:rPr>
          <w:rFonts w:ascii="Times New Roman" w:eastAsiaTheme="minorEastAsia" w:hAnsi="Times New Roman" w:cs="Times New Roman"/>
          <w:sz w:val="24"/>
          <w:szCs w:val="24"/>
        </w:rPr>
        <w:t>driving</w:t>
      </w:r>
      <w:r w:rsidR="00915911">
        <w:rPr>
          <w:rFonts w:ascii="Times New Roman" w:eastAsiaTheme="minorEastAsia" w:hAnsi="Times New Roman" w:cs="Times New Roman"/>
          <w:sz w:val="24"/>
          <w:szCs w:val="24"/>
        </w:rPr>
        <w:t xml:space="preserve"> force behind</w:t>
      </w:r>
      <w:r w:rsidR="00166050" w:rsidRPr="006853EA">
        <w:rPr>
          <w:rFonts w:ascii="Times New Roman" w:eastAsiaTheme="minorEastAsia" w:hAnsi="Times New Roman" w:cs="Times New Roman"/>
          <w:sz w:val="24"/>
          <w:szCs w:val="24"/>
        </w:rPr>
        <w:t xml:space="preserve"> the integration process over</w:t>
      </w:r>
      <w:r w:rsidR="005B18D3">
        <w:rPr>
          <w:rFonts w:ascii="Times New Roman" w:eastAsiaTheme="minorEastAsia" w:hAnsi="Times New Roman" w:cs="Times New Roman"/>
          <w:sz w:val="24"/>
          <w:szCs w:val="24"/>
        </w:rPr>
        <w:t xml:space="preserve"> </w:t>
      </w:r>
      <w:r w:rsidR="00166050" w:rsidRPr="006853EA">
        <w:rPr>
          <w:rFonts w:ascii="Times New Roman" w:eastAsiaTheme="minorEastAsia" w:hAnsi="Times New Roman" w:cs="Times New Roman"/>
          <w:sz w:val="24"/>
          <w:szCs w:val="24"/>
        </w:rPr>
        <w:t xml:space="preserve">time. </w:t>
      </w:r>
      <w:r w:rsidR="00324091" w:rsidRPr="006853EA">
        <w:rPr>
          <w:rFonts w:ascii="Times New Roman" w:eastAsiaTheme="minorEastAsia" w:hAnsi="Times New Roman" w:cs="Times New Roman"/>
          <w:sz w:val="24"/>
          <w:szCs w:val="24"/>
        </w:rPr>
        <w:t>In a similar vein</w:t>
      </w:r>
      <w:r w:rsidR="00446908" w:rsidRPr="006853EA">
        <w:rPr>
          <w:rFonts w:ascii="Times New Roman" w:eastAsiaTheme="minorEastAsia" w:hAnsi="Times New Roman" w:cs="Times New Roman"/>
          <w:sz w:val="24"/>
          <w:szCs w:val="24"/>
        </w:rPr>
        <w:t>,</w:t>
      </w:r>
      <w:r w:rsidR="00207FA7">
        <w:rPr>
          <w:rFonts w:ascii="Times New Roman" w:eastAsiaTheme="minorEastAsia" w:hAnsi="Times New Roman" w:cs="Times New Roman"/>
          <w:sz w:val="24"/>
          <w:szCs w:val="24"/>
        </w:rPr>
        <w:t xml:space="preserve"> </w:t>
      </w:r>
      <w:r w:rsidR="002B2A6A">
        <w:rPr>
          <w:rFonts w:ascii="Times New Roman" w:eastAsiaTheme="minorEastAsia" w:hAnsi="Times New Roman" w:cs="Times New Roman"/>
          <w:sz w:val="24"/>
          <w:szCs w:val="24"/>
        </w:rPr>
        <w:t xml:space="preserve">it will help </w:t>
      </w:r>
      <w:r w:rsidR="00166050" w:rsidRPr="006853EA">
        <w:rPr>
          <w:rFonts w:ascii="Times New Roman" w:eastAsiaTheme="minorEastAsia" w:hAnsi="Times New Roman" w:cs="Times New Roman"/>
          <w:sz w:val="24"/>
          <w:szCs w:val="24"/>
        </w:rPr>
        <w:t xml:space="preserve">policymakers </w:t>
      </w:r>
      <w:r w:rsidR="00E339DB">
        <w:rPr>
          <w:rFonts w:ascii="Times New Roman" w:eastAsiaTheme="minorEastAsia" w:hAnsi="Times New Roman" w:cs="Times New Roman"/>
          <w:sz w:val="24"/>
          <w:szCs w:val="24"/>
        </w:rPr>
        <w:t>understand</w:t>
      </w:r>
      <w:r w:rsidR="00207FA7">
        <w:rPr>
          <w:rFonts w:ascii="Times New Roman" w:eastAsiaTheme="minorEastAsia" w:hAnsi="Times New Roman" w:cs="Times New Roman"/>
          <w:sz w:val="24"/>
          <w:szCs w:val="24"/>
        </w:rPr>
        <w:t xml:space="preserve"> </w:t>
      </w:r>
      <w:r w:rsidR="005A4BCD">
        <w:rPr>
          <w:rFonts w:ascii="Times New Roman" w:eastAsiaTheme="minorEastAsia" w:hAnsi="Times New Roman" w:cs="Times New Roman"/>
          <w:sz w:val="24"/>
          <w:szCs w:val="24"/>
        </w:rPr>
        <w:t xml:space="preserve">how </w:t>
      </w:r>
      <w:r w:rsidR="00351CE6">
        <w:rPr>
          <w:rFonts w:ascii="Times New Roman" w:eastAsiaTheme="minorEastAsia" w:hAnsi="Times New Roman" w:cs="Times New Roman"/>
          <w:sz w:val="24"/>
          <w:szCs w:val="24"/>
        </w:rPr>
        <w:t>macro</w:t>
      </w:r>
      <w:r w:rsidR="00195991">
        <w:rPr>
          <w:rFonts w:ascii="Times New Roman" w:eastAsiaTheme="minorEastAsia" w:hAnsi="Times New Roman" w:cs="Times New Roman"/>
          <w:sz w:val="24"/>
          <w:szCs w:val="24"/>
        </w:rPr>
        <w:t>economic convergence</w:t>
      </w:r>
      <w:r w:rsidR="005A4BCD">
        <w:rPr>
          <w:rFonts w:ascii="Times New Roman" w:eastAsiaTheme="minorEastAsia" w:hAnsi="Times New Roman" w:cs="Times New Roman"/>
          <w:sz w:val="24"/>
          <w:szCs w:val="24"/>
        </w:rPr>
        <w:t>,</w:t>
      </w:r>
      <w:r w:rsidR="00207FA7">
        <w:rPr>
          <w:rFonts w:ascii="Times New Roman" w:eastAsiaTheme="minorEastAsia" w:hAnsi="Times New Roman" w:cs="Times New Roman"/>
          <w:sz w:val="24"/>
          <w:szCs w:val="24"/>
        </w:rPr>
        <w:t xml:space="preserve"> </w:t>
      </w:r>
      <w:r w:rsidR="00195991">
        <w:rPr>
          <w:rFonts w:ascii="Times New Roman" w:eastAsiaTheme="minorEastAsia" w:hAnsi="Times New Roman" w:cs="Times New Roman"/>
          <w:sz w:val="24"/>
          <w:szCs w:val="24"/>
        </w:rPr>
        <w:t>financial volatility</w:t>
      </w:r>
      <w:r w:rsidR="002B2A6A">
        <w:rPr>
          <w:rFonts w:ascii="Times New Roman" w:eastAsiaTheme="minorEastAsia" w:hAnsi="Times New Roman" w:cs="Times New Roman"/>
          <w:sz w:val="24"/>
          <w:szCs w:val="24"/>
        </w:rPr>
        <w:t>,</w:t>
      </w:r>
      <w:r w:rsidR="005A4BCD">
        <w:rPr>
          <w:rFonts w:ascii="Times New Roman" w:eastAsiaTheme="minorEastAsia" w:hAnsi="Times New Roman" w:cs="Times New Roman"/>
          <w:sz w:val="24"/>
          <w:szCs w:val="24"/>
        </w:rPr>
        <w:t xml:space="preserve"> and </w:t>
      </w:r>
      <w:r w:rsidR="00195991">
        <w:rPr>
          <w:rFonts w:ascii="Times New Roman" w:eastAsiaTheme="minorEastAsia" w:hAnsi="Times New Roman" w:cs="Times New Roman"/>
          <w:sz w:val="24"/>
          <w:szCs w:val="24"/>
        </w:rPr>
        <w:t>cris</w:t>
      </w:r>
      <w:r w:rsidR="002B2A6A">
        <w:rPr>
          <w:rFonts w:ascii="Times New Roman" w:eastAsiaTheme="minorEastAsia" w:hAnsi="Times New Roman" w:cs="Times New Roman"/>
          <w:sz w:val="24"/>
          <w:szCs w:val="24"/>
        </w:rPr>
        <w:t>e</w:t>
      </w:r>
      <w:r w:rsidR="00195991">
        <w:rPr>
          <w:rFonts w:ascii="Times New Roman" w:eastAsiaTheme="minorEastAsia" w:hAnsi="Times New Roman" w:cs="Times New Roman"/>
          <w:sz w:val="24"/>
          <w:szCs w:val="24"/>
        </w:rPr>
        <w:t xml:space="preserve">s </w:t>
      </w:r>
      <w:r w:rsidR="002B2A6A">
        <w:rPr>
          <w:rFonts w:ascii="Times New Roman" w:eastAsiaTheme="minorEastAsia" w:hAnsi="Times New Roman" w:cs="Times New Roman"/>
          <w:sz w:val="24"/>
          <w:szCs w:val="24"/>
        </w:rPr>
        <w:t xml:space="preserve">affect </w:t>
      </w:r>
      <w:r w:rsidR="00D2399C" w:rsidRPr="006853EA">
        <w:rPr>
          <w:rFonts w:ascii="Times New Roman" w:eastAsiaTheme="minorEastAsia" w:hAnsi="Times New Roman" w:cs="Times New Roman"/>
          <w:sz w:val="24"/>
          <w:szCs w:val="24"/>
        </w:rPr>
        <w:t xml:space="preserve">stock market integration </w:t>
      </w:r>
      <w:r w:rsidR="00D2399C">
        <w:rPr>
          <w:rFonts w:ascii="Times New Roman" w:eastAsiaTheme="minorEastAsia" w:hAnsi="Times New Roman" w:cs="Times New Roman"/>
          <w:sz w:val="24"/>
          <w:szCs w:val="24"/>
        </w:rPr>
        <w:t xml:space="preserve">in both the short and </w:t>
      </w:r>
      <w:r w:rsidR="002B2A6A">
        <w:rPr>
          <w:rFonts w:ascii="Times New Roman" w:eastAsiaTheme="minorEastAsia" w:hAnsi="Times New Roman" w:cs="Times New Roman"/>
          <w:sz w:val="24"/>
          <w:szCs w:val="24"/>
        </w:rPr>
        <w:t xml:space="preserve">the </w:t>
      </w:r>
      <w:r w:rsidR="00D2399C">
        <w:rPr>
          <w:rFonts w:ascii="Times New Roman" w:eastAsiaTheme="minorEastAsia" w:hAnsi="Times New Roman" w:cs="Times New Roman"/>
          <w:sz w:val="24"/>
          <w:szCs w:val="24"/>
        </w:rPr>
        <w:t>long</w:t>
      </w:r>
      <w:r w:rsidR="00207FA7">
        <w:rPr>
          <w:rFonts w:ascii="Times New Roman" w:eastAsiaTheme="minorEastAsia" w:hAnsi="Times New Roman" w:cs="Times New Roman"/>
          <w:sz w:val="24"/>
          <w:szCs w:val="24"/>
        </w:rPr>
        <w:t>-</w:t>
      </w:r>
      <w:r w:rsidR="00D2399C">
        <w:rPr>
          <w:rFonts w:ascii="Times New Roman" w:eastAsiaTheme="minorEastAsia" w:hAnsi="Times New Roman" w:cs="Times New Roman"/>
          <w:sz w:val="24"/>
          <w:szCs w:val="24"/>
        </w:rPr>
        <w:t>run, so that the</w:t>
      </w:r>
      <w:r w:rsidR="002B2A6A">
        <w:rPr>
          <w:rFonts w:ascii="Times New Roman" w:eastAsiaTheme="minorEastAsia" w:hAnsi="Times New Roman" w:cs="Times New Roman"/>
          <w:sz w:val="24"/>
          <w:szCs w:val="24"/>
        </w:rPr>
        <w:t>y can</w:t>
      </w:r>
      <w:r w:rsidR="00207FA7">
        <w:rPr>
          <w:rFonts w:ascii="Times New Roman" w:eastAsiaTheme="minorEastAsia" w:hAnsi="Times New Roman" w:cs="Times New Roman"/>
          <w:sz w:val="24"/>
          <w:szCs w:val="24"/>
        </w:rPr>
        <w:t xml:space="preserve"> </w:t>
      </w:r>
      <w:r w:rsidR="00D2399C" w:rsidRPr="006853EA">
        <w:rPr>
          <w:rFonts w:ascii="Times New Roman" w:eastAsiaTheme="minorEastAsia" w:hAnsi="Times New Roman" w:cs="Times New Roman"/>
          <w:sz w:val="24"/>
          <w:szCs w:val="24"/>
        </w:rPr>
        <w:t>implement</w:t>
      </w:r>
      <w:r w:rsidR="00207FA7">
        <w:rPr>
          <w:rFonts w:ascii="Times New Roman" w:eastAsiaTheme="minorEastAsia" w:hAnsi="Times New Roman" w:cs="Times New Roman"/>
          <w:sz w:val="24"/>
          <w:szCs w:val="24"/>
        </w:rPr>
        <w:t xml:space="preserve"> </w:t>
      </w:r>
      <w:r w:rsidR="00587BD4">
        <w:rPr>
          <w:rFonts w:ascii="Times New Roman" w:eastAsiaTheme="minorEastAsia" w:hAnsi="Times New Roman" w:cs="Times New Roman"/>
          <w:sz w:val="24"/>
          <w:szCs w:val="24"/>
        </w:rPr>
        <w:t xml:space="preserve">mechanisms </w:t>
      </w:r>
      <w:r w:rsidR="00D2399C" w:rsidRPr="006853EA">
        <w:rPr>
          <w:rFonts w:ascii="Times New Roman" w:eastAsiaTheme="minorEastAsia" w:hAnsi="Times New Roman" w:cs="Times New Roman"/>
          <w:sz w:val="24"/>
          <w:szCs w:val="24"/>
        </w:rPr>
        <w:t>to contain</w:t>
      </w:r>
      <w:r w:rsidR="00207FA7">
        <w:rPr>
          <w:rFonts w:ascii="Times New Roman" w:eastAsiaTheme="minorEastAsia" w:hAnsi="Times New Roman" w:cs="Times New Roman"/>
          <w:sz w:val="24"/>
          <w:szCs w:val="24"/>
        </w:rPr>
        <w:t xml:space="preserve"> </w:t>
      </w:r>
      <w:r w:rsidR="00D2399C" w:rsidRPr="006853EA">
        <w:rPr>
          <w:rFonts w:ascii="Times New Roman" w:eastAsiaTheme="minorEastAsia" w:hAnsi="Times New Roman" w:cs="Times New Roman"/>
          <w:sz w:val="24"/>
          <w:szCs w:val="24"/>
        </w:rPr>
        <w:t xml:space="preserve">cross-border financial </w:t>
      </w:r>
      <w:r w:rsidR="00D2399C">
        <w:rPr>
          <w:rFonts w:ascii="Times New Roman" w:eastAsiaTheme="minorEastAsia" w:hAnsi="Times New Roman" w:cs="Times New Roman"/>
          <w:sz w:val="24"/>
          <w:szCs w:val="24"/>
        </w:rPr>
        <w:t>in</w:t>
      </w:r>
      <w:r w:rsidR="00D2399C" w:rsidRPr="006853EA">
        <w:rPr>
          <w:rFonts w:ascii="Times New Roman" w:eastAsiaTheme="minorEastAsia" w:hAnsi="Times New Roman" w:cs="Times New Roman"/>
          <w:sz w:val="24"/>
          <w:szCs w:val="24"/>
        </w:rPr>
        <w:t>stability.</w:t>
      </w:r>
    </w:p>
    <w:p w:rsidR="0096790A" w:rsidRDefault="00A44949"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The remainder of this study is organi</w:t>
      </w:r>
      <w:r w:rsidR="002B2A6A">
        <w:rPr>
          <w:rFonts w:ascii="Times New Roman" w:hAnsi="Times New Roman" w:cs="Times New Roman"/>
          <w:sz w:val="24"/>
          <w:szCs w:val="24"/>
        </w:rPr>
        <w:t>z</w:t>
      </w:r>
      <w:r>
        <w:rPr>
          <w:rFonts w:ascii="Times New Roman" w:hAnsi="Times New Roman" w:cs="Times New Roman"/>
          <w:sz w:val="24"/>
          <w:szCs w:val="24"/>
        </w:rPr>
        <w:t>ed</w:t>
      </w:r>
      <w:r w:rsidR="00097A01">
        <w:rPr>
          <w:rFonts w:ascii="Times New Roman" w:hAnsi="Times New Roman" w:cs="Times New Roman"/>
          <w:sz w:val="24"/>
          <w:szCs w:val="24"/>
        </w:rPr>
        <w:t xml:space="preserve"> </w:t>
      </w:r>
      <w:r w:rsidRPr="006853EA">
        <w:rPr>
          <w:rFonts w:ascii="Times New Roman" w:hAnsi="Times New Roman" w:cs="Times New Roman"/>
          <w:sz w:val="24"/>
          <w:szCs w:val="24"/>
        </w:rPr>
        <w:t xml:space="preserve">as follows. Section 2 reviews </w:t>
      </w:r>
      <w:r>
        <w:rPr>
          <w:rFonts w:ascii="Times New Roman" w:hAnsi="Times New Roman" w:cs="Times New Roman"/>
          <w:sz w:val="24"/>
          <w:szCs w:val="24"/>
        </w:rPr>
        <w:t xml:space="preserve">the history of the international monetary system in the last </w:t>
      </w:r>
      <w:r w:rsidR="00C80FC4">
        <w:rPr>
          <w:rFonts w:ascii="Times New Roman" w:hAnsi="Times New Roman" w:cs="Times New Roman"/>
          <w:sz w:val="24"/>
          <w:szCs w:val="24"/>
        </w:rPr>
        <w:t>eight</w:t>
      </w:r>
      <w:r>
        <w:rPr>
          <w:rFonts w:ascii="Times New Roman" w:hAnsi="Times New Roman" w:cs="Times New Roman"/>
          <w:sz w:val="24"/>
          <w:szCs w:val="24"/>
        </w:rPr>
        <w:t xml:space="preserve"> decades and identifies a number of hypotheses pertinent to different monetary regimes. Section 3 reviews the theoretical and empirical arguments </w:t>
      </w:r>
      <w:r w:rsidR="00C80FC4">
        <w:rPr>
          <w:rFonts w:ascii="Times New Roman" w:hAnsi="Times New Roman" w:cs="Times New Roman"/>
          <w:sz w:val="24"/>
          <w:szCs w:val="24"/>
        </w:rPr>
        <w:t xml:space="preserve">concerning </w:t>
      </w:r>
      <w:r>
        <w:rPr>
          <w:rFonts w:ascii="Times New Roman" w:hAnsi="Times New Roman" w:cs="Times New Roman"/>
          <w:sz w:val="24"/>
          <w:szCs w:val="24"/>
        </w:rPr>
        <w:t>the impact of macroeconomic convergence and financial volatility on the evolution of stock market integration. Section 4</w:t>
      </w:r>
      <w:r w:rsidR="00097A01">
        <w:rPr>
          <w:rFonts w:ascii="Times New Roman" w:hAnsi="Times New Roman" w:cs="Times New Roman"/>
          <w:sz w:val="24"/>
          <w:szCs w:val="24"/>
        </w:rPr>
        <w:t xml:space="preserve"> </w:t>
      </w:r>
      <w:r w:rsidRPr="006853EA">
        <w:rPr>
          <w:rFonts w:ascii="Times New Roman" w:hAnsi="Times New Roman" w:cs="Times New Roman"/>
          <w:sz w:val="24"/>
          <w:szCs w:val="24"/>
        </w:rPr>
        <w:t xml:space="preserve">sets out the </w:t>
      </w:r>
      <w:r>
        <w:rPr>
          <w:rFonts w:ascii="Times New Roman" w:hAnsi="Times New Roman" w:cs="Times New Roman"/>
          <w:sz w:val="24"/>
          <w:szCs w:val="24"/>
        </w:rPr>
        <w:t>empirical method. Section 5</w:t>
      </w:r>
      <w:r w:rsidRPr="006853EA">
        <w:rPr>
          <w:rFonts w:ascii="Times New Roman" w:hAnsi="Times New Roman" w:cs="Times New Roman"/>
          <w:sz w:val="24"/>
          <w:szCs w:val="24"/>
        </w:rPr>
        <w:t xml:space="preserve"> describes the dataset</w:t>
      </w:r>
      <w:r w:rsidR="00097A01">
        <w:rPr>
          <w:rFonts w:ascii="Times New Roman" w:hAnsi="Times New Roman" w:cs="Times New Roman"/>
          <w:sz w:val="24"/>
          <w:szCs w:val="24"/>
        </w:rPr>
        <w:t xml:space="preserve"> </w:t>
      </w:r>
      <w:r>
        <w:rPr>
          <w:rFonts w:ascii="Times New Roman" w:hAnsi="Times New Roman" w:cs="Times New Roman"/>
          <w:sz w:val="24"/>
          <w:szCs w:val="24"/>
        </w:rPr>
        <w:t xml:space="preserve">and reports some preliminary statistics. Section 6 </w:t>
      </w:r>
      <w:r w:rsidRPr="006853EA">
        <w:rPr>
          <w:rFonts w:ascii="Times New Roman" w:hAnsi="Times New Roman" w:cs="Times New Roman"/>
          <w:sz w:val="24"/>
          <w:szCs w:val="24"/>
        </w:rPr>
        <w:t>discusses the</w:t>
      </w:r>
      <w:r>
        <w:rPr>
          <w:rFonts w:ascii="Times New Roman" w:hAnsi="Times New Roman" w:cs="Times New Roman"/>
          <w:sz w:val="24"/>
          <w:szCs w:val="24"/>
        </w:rPr>
        <w:t xml:space="preserve"> empirical </w:t>
      </w:r>
      <w:r w:rsidRPr="006853EA">
        <w:rPr>
          <w:rFonts w:ascii="Times New Roman" w:hAnsi="Times New Roman" w:cs="Times New Roman"/>
          <w:sz w:val="24"/>
          <w:szCs w:val="24"/>
        </w:rPr>
        <w:t>results and their implications</w:t>
      </w:r>
      <w:r w:rsidR="002B2A6A">
        <w:rPr>
          <w:rFonts w:ascii="Times New Roman" w:hAnsi="Times New Roman" w:cs="Times New Roman"/>
          <w:sz w:val="24"/>
          <w:szCs w:val="24"/>
        </w:rPr>
        <w:t>,</w:t>
      </w:r>
      <w:r w:rsidRPr="006853EA">
        <w:rPr>
          <w:rFonts w:ascii="Times New Roman" w:hAnsi="Times New Roman" w:cs="Times New Roman"/>
          <w:sz w:val="24"/>
          <w:szCs w:val="24"/>
        </w:rPr>
        <w:t xml:space="preserve"> while section</w:t>
      </w:r>
      <w:r w:rsidR="00097A01">
        <w:rPr>
          <w:rFonts w:ascii="Times New Roman" w:hAnsi="Times New Roman" w:cs="Times New Roman"/>
          <w:sz w:val="24"/>
          <w:szCs w:val="24"/>
        </w:rPr>
        <w:t xml:space="preserve"> </w:t>
      </w:r>
      <w:r>
        <w:rPr>
          <w:rFonts w:ascii="Times New Roman" w:hAnsi="Times New Roman" w:cs="Times New Roman"/>
          <w:sz w:val="24"/>
          <w:szCs w:val="24"/>
        </w:rPr>
        <w:t>7</w:t>
      </w:r>
      <w:r w:rsidR="00097A01">
        <w:rPr>
          <w:rFonts w:ascii="Times New Roman" w:hAnsi="Times New Roman" w:cs="Times New Roman"/>
          <w:sz w:val="24"/>
          <w:szCs w:val="24"/>
        </w:rPr>
        <w:t xml:space="preserve"> </w:t>
      </w:r>
      <w:r w:rsidR="00796D17">
        <w:rPr>
          <w:rFonts w:ascii="Times New Roman" w:hAnsi="Times New Roman" w:cs="Times New Roman"/>
          <w:sz w:val="24"/>
          <w:szCs w:val="24"/>
        </w:rPr>
        <w:t xml:space="preserve">concludes. </w:t>
      </w:r>
    </w:p>
    <w:p w:rsidR="0096790A" w:rsidRDefault="0096790A" w:rsidP="00AF6503">
      <w:pPr>
        <w:spacing w:after="0" w:line="480" w:lineRule="auto"/>
        <w:ind w:right="282" w:firstLine="720"/>
        <w:rPr>
          <w:rFonts w:ascii="Times New Roman" w:hAnsi="Times New Roman" w:cs="Times New Roman"/>
          <w:sz w:val="24"/>
          <w:szCs w:val="24"/>
        </w:rPr>
      </w:pPr>
    </w:p>
    <w:p w:rsidR="0022714C" w:rsidRPr="0022714C" w:rsidRDefault="00AD1992" w:rsidP="00AF6503">
      <w:pPr>
        <w:pStyle w:val="ListParagraph"/>
        <w:numPr>
          <w:ilvl w:val="0"/>
          <w:numId w:val="35"/>
        </w:numPr>
        <w:spacing w:after="0" w:line="480" w:lineRule="auto"/>
        <w:ind w:left="0" w:right="282" w:firstLine="0"/>
        <w:rPr>
          <w:rStyle w:val="Heading1Char"/>
          <w:rFonts w:ascii="Times New Roman" w:hAnsi="Times New Roman" w:cs="Times New Roman"/>
          <w:color w:val="auto"/>
          <w:sz w:val="24"/>
          <w:szCs w:val="24"/>
        </w:rPr>
      </w:pPr>
      <w:r w:rsidRPr="00AF6503">
        <w:rPr>
          <w:rFonts w:ascii="Times New Roman" w:hAnsi="Times New Roman" w:cs="Times New Roman"/>
          <w:b/>
          <w:sz w:val="24"/>
          <w:szCs w:val="24"/>
        </w:rPr>
        <w:lastRenderedPageBreak/>
        <w:t xml:space="preserve">The </w:t>
      </w:r>
      <w:r w:rsidRPr="00AD1992">
        <w:rPr>
          <w:rStyle w:val="Heading1Char"/>
          <w:rFonts w:ascii="Times New Roman" w:hAnsi="Times New Roman" w:cs="Times New Roman"/>
          <w:color w:val="auto"/>
          <w:sz w:val="24"/>
          <w:szCs w:val="24"/>
        </w:rPr>
        <w:t>i</w:t>
      </w:r>
      <w:r w:rsidR="0022714C" w:rsidRPr="0022714C">
        <w:rPr>
          <w:rStyle w:val="Heading1Char"/>
          <w:rFonts w:ascii="Times New Roman" w:hAnsi="Times New Roman" w:cs="Times New Roman"/>
          <w:color w:val="auto"/>
          <w:sz w:val="24"/>
          <w:szCs w:val="24"/>
        </w:rPr>
        <w:t xml:space="preserve">nternational </w:t>
      </w:r>
      <w:r w:rsidR="001B302F">
        <w:rPr>
          <w:rStyle w:val="Heading1Char"/>
          <w:rFonts w:ascii="Times New Roman" w:hAnsi="Times New Roman" w:cs="Times New Roman"/>
          <w:color w:val="auto"/>
          <w:sz w:val="24"/>
          <w:szCs w:val="24"/>
        </w:rPr>
        <w:t>m</w:t>
      </w:r>
      <w:r w:rsidR="0022714C" w:rsidRPr="0022714C">
        <w:rPr>
          <w:rStyle w:val="Heading1Char"/>
          <w:rFonts w:ascii="Times New Roman" w:hAnsi="Times New Roman" w:cs="Times New Roman"/>
          <w:color w:val="auto"/>
          <w:sz w:val="24"/>
          <w:szCs w:val="24"/>
        </w:rPr>
        <w:t xml:space="preserve">onetary </w:t>
      </w:r>
      <w:r w:rsidR="001B302F">
        <w:rPr>
          <w:rStyle w:val="Heading1Char"/>
          <w:rFonts w:ascii="Times New Roman" w:hAnsi="Times New Roman" w:cs="Times New Roman"/>
          <w:color w:val="auto"/>
          <w:sz w:val="24"/>
          <w:szCs w:val="24"/>
        </w:rPr>
        <w:t>s</w:t>
      </w:r>
      <w:r w:rsidR="0022714C" w:rsidRPr="0022714C">
        <w:rPr>
          <w:rStyle w:val="Heading1Char"/>
          <w:rFonts w:ascii="Times New Roman" w:hAnsi="Times New Roman" w:cs="Times New Roman"/>
          <w:color w:val="auto"/>
          <w:sz w:val="24"/>
          <w:szCs w:val="24"/>
        </w:rPr>
        <w:t>ystem</w:t>
      </w:r>
    </w:p>
    <w:p w:rsidR="0022714C" w:rsidRDefault="0022714C" w:rsidP="00AF6503">
      <w:pPr>
        <w:tabs>
          <w:tab w:val="left" w:pos="5670"/>
        </w:tabs>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A fundamental question still be</w:t>
      </w:r>
      <w:r w:rsidR="007C4F90">
        <w:rPr>
          <w:rFonts w:ascii="Times New Roman" w:hAnsi="Times New Roman" w:cs="Times New Roman"/>
          <w:sz w:val="24"/>
          <w:szCs w:val="24"/>
        </w:rPr>
        <w:t>ing</w:t>
      </w:r>
      <w:r>
        <w:rPr>
          <w:rFonts w:ascii="Times New Roman" w:hAnsi="Times New Roman" w:cs="Times New Roman"/>
          <w:sz w:val="24"/>
          <w:szCs w:val="24"/>
        </w:rPr>
        <w:t xml:space="preserve"> investigated by researchers</w:t>
      </w:r>
      <w:r w:rsidR="00097A01">
        <w:rPr>
          <w:rFonts w:ascii="Times New Roman" w:hAnsi="Times New Roman" w:cs="Times New Roman"/>
          <w:sz w:val="24"/>
          <w:szCs w:val="24"/>
        </w:rPr>
        <w:t xml:space="preserve"> </w:t>
      </w:r>
      <w:r w:rsidR="002C0F87">
        <w:rPr>
          <w:rFonts w:ascii="Times New Roman" w:hAnsi="Times New Roman" w:cs="Times New Roman"/>
          <w:sz w:val="24"/>
          <w:szCs w:val="24"/>
        </w:rPr>
        <w:t xml:space="preserve">is whether the BW regime </w:t>
      </w:r>
      <w:r w:rsidR="00C80FC4">
        <w:rPr>
          <w:rFonts w:ascii="Times New Roman" w:hAnsi="Times New Roman" w:cs="Times New Roman"/>
          <w:sz w:val="24"/>
          <w:szCs w:val="24"/>
        </w:rPr>
        <w:t>wa</w:t>
      </w:r>
      <w:r w:rsidR="002C0F87">
        <w:rPr>
          <w:rFonts w:ascii="Times New Roman" w:hAnsi="Times New Roman" w:cs="Times New Roman"/>
          <w:sz w:val="24"/>
          <w:szCs w:val="24"/>
        </w:rPr>
        <w:t xml:space="preserve">s a </w:t>
      </w:r>
      <w:r>
        <w:rPr>
          <w:rFonts w:ascii="Times New Roman" w:hAnsi="Times New Roman" w:cs="Times New Roman"/>
          <w:sz w:val="24"/>
          <w:szCs w:val="24"/>
        </w:rPr>
        <w:t>p</w:t>
      </w:r>
      <w:r w:rsidR="00A458B2">
        <w:rPr>
          <w:rFonts w:ascii="Times New Roman" w:hAnsi="Times New Roman" w:cs="Times New Roman"/>
          <w:sz w:val="24"/>
          <w:szCs w:val="24"/>
        </w:rPr>
        <w:t xml:space="preserve">eriod of international </w:t>
      </w:r>
      <w:r w:rsidR="005B3551">
        <w:rPr>
          <w:rFonts w:ascii="Times New Roman" w:hAnsi="Times New Roman" w:cs="Times New Roman"/>
          <w:sz w:val="24"/>
          <w:szCs w:val="24"/>
        </w:rPr>
        <w:t xml:space="preserve">financial </w:t>
      </w:r>
      <w:r w:rsidR="00A458B2">
        <w:rPr>
          <w:rFonts w:ascii="Times New Roman" w:hAnsi="Times New Roman" w:cs="Times New Roman"/>
          <w:sz w:val="24"/>
          <w:szCs w:val="24"/>
        </w:rPr>
        <w:t>stability.</w:t>
      </w:r>
      <w:r w:rsidR="00097A01">
        <w:rPr>
          <w:rFonts w:ascii="Times New Roman" w:hAnsi="Times New Roman" w:cs="Times New Roman"/>
          <w:sz w:val="24"/>
          <w:szCs w:val="24"/>
        </w:rPr>
        <w:t xml:space="preserve"> </w:t>
      </w:r>
      <w:r w:rsidR="002C0F87">
        <w:rPr>
          <w:rFonts w:ascii="Times New Roman" w:hAnsi="Times New Roman" w:cs="Times New Roman"/>
          <w:sz w:val="24"/>
          <w:szCs w:val="24"/>
        </w:rPr>
        <w:t xml:space="preserve">A further interesting question we are putting forward is whether the years </w:t>
      </w:r>
      <w:r w:rsidR="00056BAE">
        <w:rPr>
          <w:rFonts w:ascii="Times New Roman" w:hAnsi="Times New Roman" w:cs="Times New Roman"/>
          <w:sz w:val="24"/>
          <w:szCs w:val="24"/>
        </w:rPr>
        <w:t xml:space="preserve">before </w:t>
      </w:r>
      <w:r w:rsidR="002C0F87">
        <w:rPr>
          <w:rFonts w:ascii="Times New Roman" w:hAnsi="Times New Roman" w:cs="Times New Roman"/>
          <w:sz w:val="24"/>
          <w:szCs w:val="24"/>
        </w:rPr>
        <w:t>and after the</w:t>
      </w:r>
      <w:r w:rsidR="00097A01">
        <w:rPr>
          <w:rFonts w:ascii="Times New Roman" w:hAnsi="Times New Roman" w:cs="Times New Roman"/>
          <w:sz w:val="24"/>
          <w:szCs w:val="24"/>
        </w:rPr>
        <w:t xml:space="preserve"> </w:t>
      </w:r>
      <w:r>
        <w:rPr>
          <w:rFonts w:ascii="Times New Roman" w:hAnsi="Times New Roman" w:cs="Times New Roman"/>
          <w:sz w:val="24"/>
          <w:szCs w:val="24"/>
        </w:rPr>
        <w:t>B</w:t>
      </w:r>
      <w:r w:rsidR="00395E86">
        <w:rPr>
          <w:rFonts w:ascii="Times New Roman" w:hAnsi="Times New Roman" w:cs="Times New Roman"/>
          <w:sz w:val="24"/>
          <w:szCs w:val="24"/>
        </w:rPr>
        <w:t>W</w:t>
      </w:r>
      <w:r w:rsidR="00097A01">
        <w:rPr>
          <w:rFonts w:ascii="Times New Roman" w:hAnsi="Times New Roman" w:cs="Times New Roman"/>
          <w:sz w:val="24"/>
          <w:szCs w:val="24"/>
        </w:rPr>
        <w:t xml:space="preserve"> </w:t>
      </w:r>
      <w:r w:rsidR="00056BAE">
        <w:rPr>
          <w:rFonts w:ascii="Times New Roman" w:hAnsi="Times New Roman" w:cs="Times New Roman"/>
          <w:sz w:val="24"/>
          <w:szCs w:val="24"/>
        </w:rPr>
        <w:t>s</w:t>
      </w:r>
      <w:r w:rsidR="00A458B2">
        <w:rPr>
          <w:rFonts w:ascii="Times New Roman" w:hAnsi="Times New Roman" w:cs="Times New Roman"/>
          <w:sz w:val="24"/>
          <w:szCs w:val="24"/>
        </w:rPr>
        <w:t>ystem</w:t>
      </w:r>
      <w:r w:rsidR="007C4F90">
        <w:rPr>
          <w:rFonts w:ascii="Times New Roman" w:hAnsi="Times New Roman" w:cs="Times New Roman"/>
          <w:sz w:val="24"/>
          <w:szCs w:val="24"/>
        </w:rPr>
        <w:t xml:space="preserve"> promote</w:t>
      </w:r>
      <w:r w:rsidR="00C80FC4">
        <w:rPr>
          <w:rFonts w:ascii="Times New Roman" w:hAnsi="Times New Roman" w:cs="Times New Roman"/>
          <w:sz w:val="24"/>
          <w:szCs w:val="24"/>
        </w:rPr>
        <w:t>d</w:t>
      </w:r>
      <w:r>
        <w:rPr>
          <w:rFonts w:ascii="Times New Roman" w:hAnsi="Times New Roman" w:cs="Times New Roman"/>
          <w:sz w:val="24"/>
          <w:szCs w:val="24"/>
        </w:rPr>
        <w:t xml:space="preserve"> more or less </w:t>
      </w:r>
      <w:r w:rsidR="006F3F3C">
        <w:rPr>
          <w:rFonts w:ascii="Times New Roman" w:hAnsi="Times New Roman" w:cs="Times New Roman"/>
          <w:sz w:val="24"/>
          <w:szCs w:val="24"/>
        </w:rPr>
        <w:t>stock</w:t>
      </w:r>
      <w:r>
        <w:rPr>
          <w:rFonts w:ascii="Times New Roman" w:hAnsi="Times New Roman" w:cs="Times New Roman"/>
          <w:sz w:val="24"/>
          <w:szCs w:val="24"/>
        </w:rPr>
        <w:t xml:space="preserve"> market integration.</w:t>
      </w:r>
      <w:r w:rsidR="006F3F3C">
        <w:rPr>
          <w:rFonts w:ascii="Times New Roman" w:hAnsi="Times New Roman" w:cs="Times New Roman"/>
          <w:sz w:val="24"/>
          <w:szCs w:val="24"/>
        </w:rPr>
        <w:t xml:space="preserve"> We</w:t>
      </w:r>
      <w:r w:rsidR="0057518E">
        <w:rPr>
          <w:rFonts w:ascii="Times New Roman" w:hAnsi="Times New Roman" w:cs="Times New Roman"/>
          <w:sz w:val="24"/>
          <w:szCs w:val="24"/>
        </w:rPr>
        <w:t>,</w:t>
      </w:r>
      <w:r w:rsidR="006F3F3C">
        <w:rPr>
          <w:rFonts w:ascii="Times New Roman" w:hAnsi="Times New Roman" w:cs="Times New Roman"/>
          <w:sz w:val="24"/>
          <w:szCs w:val="24"/>
        </w:rPr>
        <w:t xml:space="preserve"> therefore</w:t>
      </w:r>
      <w:r w:rsidR="0057518E">
        <w:rPr>
          <w:rFonts w:ascii="Times New Roman" w:hAnsi="Times New Roman" w:cs="Times New Roman"/>
          <w:sz w:val="24"/>
          <w:szCs w:val="24"/>
        </w:rPr>
        <w:t>,</w:t>
      </w:r>
      <w:r w:rsidR="006F3F3C">
        <w:rPr>
          <w:rFonts w:ascii="Times New Roman" w:hAnsi="Times New Roman" w:cs="Times New Roman"/>
          <w:sz w:val="24"/>
          <w:szCs w:val="24"/>
        </w:rPr>
        <w:t xml:space="preserve"> investigate three hypotheses that explain stock market integration under these different </w:t>
      </w:r>
      <w:r w:rsidR="00A458B2">
        <w:rPr>
          <w:rFonts w:ascii="Times New Roman" w:hAnsi="Times New Roman" w:cs="Times New Roman"/>
          <w:sz w:val="24"/>
          <w:szCs w:val="24"/>
        </w:rPr>
        <w:t>international monetary regimes</w:t>
      </w:r>
      <w:r w:rsidR="006F3F3C">
        <w:rPr>
          <w:rFonts w:ascii="Times New Roman" w:hAnsi="Times New Roman" w:cs="Times New Roman"/>
          <w:sz w:val="24"/>
          <w:szCs w:val="24"/>
        </w:rPr>
        <w:t>.</w:t>
      </w:r>
    </w:p>
    <w:p w:rsidR="0022714C" w:rsidRPr="00AF6503" w:rsidRDefault="0022714C" w:rsidP="00AF6503">
      <w:pPr>
        <w:pStyle w:val="ListParagraph"/>
        <w:numPr>
          <w:ilvl w:val="1"/>
          <w:numId w:val="35"/>
        </w:numPr>
        <w:spacing w:after="0" w:line="480" w:lineRule="auto"/>
        <w:ind w:right="282" w:hanging="720"/>
        <w:rPr>
          <w:rFonts w:ascii="Times New Roman" w:hAnsi="Times New Roman" w:cs="Times New Roman"/>
          <w:i/>
          <w:sz w:val="24"/>
          <w:szCs w:val="24"/>
        </w:rPr>
      </w:pPr>
      <w:r w:rsidRPr="00AF6503">
        <w:rPr>
          <w:rFonts w:ascii="Times New Roman" w:hAnsi="Times New Roman" w:cs="Times New Roman"/>
          <w:i/>
          <w:sz w:val="24"/>
          <w:szCs w:val="24"/>
        </w:rPr>
        <w:t>Pre</w:t>
      </w:r>
      <w:r w:rsidR="001B302F" w:rsidRPr="00AF6503">
        <w:rPr>
          <w:rFonts w:ascii="Times New Roman" w:hAnsi="Times New Roman" w:cs="Times New Roman"/>
          <w:i/>
          <w:sz w:val="24"/>
          <w:szCs w:val="24"/>
        </w:rPr>
        <w:t>–</w:t>
      </w:r>
      <w:r w:rsidRPr="00AF6503">
        <w:rPr>
          <w:rFonts w:ascii="Times New Roman" w:hAnsi="Times New Roman" w:cs="Times New Roman"/>
          <w:i/>
          <w:sz w:val="24"/>
          <w:szCs w:val="24"/>
        </w:rPr>
        <w:t xml:space="preserve">Bretton Woods </w:t>
      </w:r>
      <w:r w:rsidR="001B302F" w:rsidRPr="00AF6503">
        <w:rPr>
          <w:rFonts w:ascii="Times New Roman" w:hAnsi="Times New Roman" w:cs="Times New Roman"/>
          <w:i/>
          <w:sz w:val="24"/>
          <w:szCs w:val="24"/>
        </w:rPr>
        <w:t>s</w:t>
      </w:r>
      <w:r w:rsidR="001C3052" w:rsidRPr="00AF6503">
        <w:rPr>
          <w:rFonts w:ascii="Times New Roman" w:hAnsi="Times New Roman" w:cs="Times New Roman"/>
          <w:i/>
          <w:sz w:val="24"/>
          <w:szCs w:val="24"/>
        </w:rPr>
        <w:t>ystem</w:t>
      </w:r>
      <w:r w:rsidR="0091386D">
        <w:rPr>
          <w:rFonts w:ascii="Times New Roman" w:hAnsi="Times New Roman" w:cs="Times New Roman"/>
          <w:i/>
          <w:sz w:val="24"/>
          <w:szCs w:val="24"/>
        </w:rPr>
        <w:t xml:space="preserve"> </w:t>
      </w:r>
      <w:r w:rsidRPr="00AF6503">
        <w:rPr>
          <w:rFonts w:ascii="Times New Roman" w:hAnsi="Times New Roman" w:cs="Times New Roman"/>
          <w:i/>
          <w:sz w:val="24"/>
          <w:szCs w:val="24"/>
        </w:rPr>
        <w:t>(1935–1945)</w:t>
      </w:r>
    </w:p>
    <w:p w:rsidR="00E71330" w:rsidRPr="00FE04DB" w:rsidRDefault="000312A2" w:rsidP="00AF6503">
      <w:pPr>
        <w:spacing w:after="0" w:line="480" w:lineRule="auto"/>
        <w:ind w:right="282" w:firstLine="720"/>
        <w:rPr>
          <w:rFonts w:ascii="Times New Roman" w:hAnsi="Times New Roman" w:cs="Times New Roman"/>
          <w:b/>
          <w:sz w:val="24"/>
          <w:szCs w:val="24"/>
        </w:rPr>
      </w:pPr>
      <w:r>
        <w:rPr>
          <w:rFonts w:ascii="Times New Roman" w:hAnsi="Times New Roman" w:cs="Times New Roman"/>
          <w:sz w:val="24"/>
          <w:szCs w:val="24"/>
        </w:rPr>
        <w:t>The interwar</w:t>
      </w:r>
      <w:r w:rsidR="002C0F87">
        <w:rPr>
          <w:rFonts w:ascii="Times New Roman" w:hAnsi="Times New Roman" w:cs="Times New Roman"/>
          <w:sz w:val="24"/>
          <w:szCs w:val="24"/>
        </w:rPr>
        <w:t>/WWII period</w:t>
      </w:r>
      <w:r w:rsidR="00097A01">
        <w:rPr>
          <w:rFonts w:ascii="Times New Roman" w:hAnsi="Times New Roman" w:cs="Times New Roman"/>
          <w:sz w:val="24"/>
          <w:szCs w:val="24"/>
        </w:rPr>
        <w:t xml:space="preserve"> </w:t>
      </w:r>
      <w:r w:rsidRPr="008529E4">
        <w:rPr>
          <w:rFonts w:ascii="Times New Roman" w:hAnsi="Times New Roman" w:cs="Times New Roman"/>
          <w:sz w:val="24"/>
          <w:szCs w:val="24"/>
        </w:rPr>
        <w:t>was characteri</w:t>
      </w:r>
      <w:r w:rsidR="00056BAE">
        <w:rPr>
          <w:rFonts w:ascii="Times New Roman" w:hAnsi="Times New Roman" w:cs="Times New Roman"/>
          <w:sz w:val="24"/>
          <w:szCs w:val="24"/>
        </w:rPr>
        <w:t>z</w:t>
      </w:r>
      <w:r w:rsidRPr="008529E4">
        <w:rPr>
          <w:rFonts w:ascii="Times New Roman" w:hAnsi="Times New Roman" w:cs="Times New Roman"/>
          <w:sz w:val="24"/>
          <w:szCs w:val="24"/>
        </w:rPr>
        <w:t>ed by monumental global economic devastation and financial market instability</w:t>
      </w:r>
      <w:r w:rsidR="001C54FD">
        <w:rPr>
          <w:rFonts w:ascii="Times New Roman" w:hAnsi="Times New Roman" w:cs="Times New Roman"/>
          <w:sz w:val="24"/>
          <w:szCs w:val="24"/>
        </w:rPr>
        <w:t>,</w:t>
      </w:r>
      <w:r w:rsidR="00A40133">
        <w:rPr>
          <w:rFonts w:ascii="Times New Roman" w:hAnsi="Times New Roman" w:cs="Times New Roman"/>
          <w:sz w:val="24"/>
          <w:szCs w:val="24"/>
        </w:rPr>
        <w:t xml:space="preserve"> pervasive exchange </w:t>
      </w:r>
      <w:r w:rsidR="002C0F87">
        <w:rPr>
          <w:rFonts w:ascii="Times New Roman" w:hAnsi="Times New Roman" w:cs="Times New Roman"/>
          <w:sz w:val="24"/>
          <w:szCs w:val="24"/>
        </w:rPr>
        <w:t>rate control</w:t>
      </w:r>
      <w:r w:rsidR="00D02742">
        <w:rPr>
          <w:rFonts w:ascii="Times New Roman" w:hAnsi="Times New Roman" w:cs="Times New Roman"/>
          <w:sz w:val="24"/>
          <w:szCs w:val="24"/>
        </w:rPr>
        <w:t>s</w:t>
      </w:r>
      <w:r w:rsidR="00CA5601">
        <w:rPr>
          <w:rFonts w:ascii="Times New Roman" w:hAnsi="Times New Roman" w:cs="Times New Roman"/>
          <w:sz w:val="24"/>
          <w:szCs w:val="24"/>
        </w:rPr>
        <w:t>, and</w:t>
      </w:r>
      <w:r w:rsidR="00097A01">
        <w:rPr>
          <w:rFonts w:ascii="Times New Roman" w:hAnsi="Times New Roman" w:cs="Times New Roman"/>
          <w:sz w:val="24"/>
          <w:szCs w:val="24"/>
        </w:rPr>
        <w:t xml:space="preserve"> </w:t>
      </w:r>
      <w:r w:rsidR="0092414D">
        <w:rPr>
          <w:rFonts w:ascii="Times New Roman" w:hAnsi="Times New Roman" w:cs="Times New Roman"/>
          <w:sz w:val="24"/>
          <w:szCs w:val="24"/>
        </w:rPr>
        <w:t>control</w:t>
      </w:r>
      <w:r w:rsidR="00C80FC4">
        <w:rPr>
          <w:rFonts w:ascii="Times New Roman" w:hAnsi="Times New Roman" w:cs="Times New Roman"/>
          <w:sz w:val="24"/>
          <w:szCs w:val="24"/>
        </w:rPr>
        <w:t>s</w:t>
      </w:r>
      <w:r w:rsidR="00A40133">
        <w:rPr>
          <w:rFonts w:ascii="Times New Roman" w:hAnsi="Times New Roman" w:cs="Times New Roman"/>
          <w:sz w:val="24"/>
          <w:szCs w:val="24"/>
        </w:rPr>
        <w:t xml:space="preserve"> on trade</w:t>
      </w:r>
      <w:r w:rsidR="001C54FD">
        <w:rPr>
          <w:rFonts w:ascii="Times New Roman" w:hAnsi="Times New Roman" w:cs="Times New Roman"/>
          <w:sz w:val="24"/>
          <w:szCs w:val="24"/>
        </w:rPr>
        <w:t xml:space="preserve">. </w:t>
      </w:r>
      <w:r w:rsidR="003B6E53">
        <w:rPr>
          <w:rFonts w:ascii="Times New Roman" w:hAnsi="Times New Roman" w:cs="Times New Roman"/>
          <w:sz w:val="24"/>
          <w:szCs w:val="24"/>
        </w:rPr>
        <w:t>T</w:t>
      </w:r>
      <w:r w:rsidR="00837F13">
        <w:rPr>
          <w:rFonts w:ascii="Times New Roman" w:hAnsi="Times New Roman" w:cs="Times New Roman"/>
          <w:sz w:val="24"/>
          <w:szCs w:val="24"/>
        </w:rPr>
        <w:t>h</w:t>
      </w:r>
      <w:r w:rsidR="00570711">
        <w:rPr>
          <w:rFonts w:ascii="Times New Roman" w:hAnsi="Times New Roman" w:cs="Times New Roman"/>
          <w:sz w:val="24"/>
          <w:szCs w:val="24"/>
        </w:rPr>
        <w:t>e</w:t>
      </w:r>
      <w:r w:rsidR="00097A01">
        <w:rPr>
          <w:rFonts w:ascii="Times New Roman" w:hAnsi="Times New Roman" w:cs="Times New Roman"/>
          <w:sz w:val="24"/>
          <w:szCs w:val="24"/>
        </w:rPr>
        <w:t xml:space="preserve"> </w:t>
      </w:r>
      <w:r w:rsidR="00570711">
        <w:rPr>
          <w:rFonts w:ascii="Times New Roman" w:hAnsi="Times New Roman" w:cs="Times New Roman"/>
          <w:sz w:val="24"/>
          <w:szCs w:val="24"/>
        </w:rPr>
        <w:t xml:space="preserve">pre-BW </w:t>
      </w:r>
      <w:r w:rsidR="00E71330" w:rsidRPr="000312A2">
        <w:rPr>
          <w:rFonts w:ascii="Times New Roman" w:hAnsi="Times New Roman" w:cs="Times New Roman"/>
          <w:sz w:val="24"/>
          <w:szCs w:val="24"/>
        </w:rPr>
        <w:t xml:space="preserve">system collapsed </w:t>
      </w:r>
      <w:r w:rsidR="00CA5601">
        <w:rPr>
          <w:rFonts w:ascii="Times New Roman" w:hAnsi="Times New Roman" w:cs="Times New Roman"/>
          <w:sz w:val="24"/>
          <w:szCs w:val="24"/>
        </w:rPr>
        <w:t>because</w:t>
      </w:r>
      <w:r w:rsidR="00570711">
        <w:rPr>
          <w:rFonts w:ascii="Times New Roman" w:hAnsi="Times New Roman" w:cs="Times New Roman"/>
          <w:sz w:val="24"/>
          <w:szCs w:val="24"/>
        </w:rPr>
        <w:t xml:space="preserve"> of</w:t>
      </w:r>
      <w:r w:rsidR="00097A01">
        <w:rPr>
          <w:rFonts w:ascii="Times New Roman" w:hAnsi="Times New Roman" w:cs="Times New Roman"/>
          <w:sz w:val="24"/>
          <w:szCs w:val="24"/>
        </w:rPr>
        <w:t xml:space="preserve"> </w:t>
      </w:r>
      <w:r w:rsidR="00E71330" w:rsidRPr="000312A2">
        <w:rPr>
          <w:rFonts w:ascii="Times New Roman" w:hAnsi="Times New Roman" w:cs="Times New Roman"/>
          <w:sz w:val="24"/>
          <w:szCs w:val="24"/>
        </w:rPr>
        <w:t>problem</w:t>
      </w:r>
      <w:r w:rsidR="00C80FC4">
        <w:rPr>
          <w:rFonts w:ascii="Times New Roman" w:hAnsi="Times New Roman" w:cs="Times New Roman"/>
          <w:sz w:val="24"/>
          <w:szCs w:val="24"/>
        </w:rPr>
        <w:t>s</w:t>
      </w:r>
      <w:r w:rsidR="00097A01">
        <w:rPr>
          <w:rFonts w:ascii="Times New Roman" w:hAnsi="Times New Roman" w:cs="Times New Roman"/>
          <w:sz w:val="24"/>
          <w:szCs w:val="24"/>
        </w:rPr>
        <w:t xml:space="preserve"> </w:t>
      </w:r>
      <w:r w:rsidR="00CA5601">
        <w:rPr>
          <w:rFonts w:ascii="Times New Roman" w:hAnsi="Times New Roman" w:cs="Times New Roman"/>
          <w:sz w:val="24"/>
          <w:szCs w:val="24"/>
        </w:rPr>
        <w:t>with</w:t>
      </w:r>
      <w:r w:rsidR="00E71330" w:rsidRPr="000312A2">
        <w:rPr>
          <w:rFonts w:ascii="Times New Roman" w:hAnsi="Times New Roman" w:cs="Times New Roman"/>
          <w:sz w:val="24"/>
          <w:szCs w:val="24"/>
        </w:rPr>
        <w:t xml:space="preserve"> adjustment, liquidity</w:t>
      </w:r>
      <w:r w:rsidR="00CA5601">
        <w:rPr>
          <w:rFonts w:ascii="Times New Roman" w:hAnsi="Times New Roman" w:cs="Times New Roman"/>
          <w:sz w:val="24"/>
          <w:szCs w:val="24"/>
        </w:rPr>
        <w:t>,</w:t>
      </w:r>
      <w:r w:rsidR="00E71330" w:rsidRPr="000312A2">
        <w:rPr>
          <w:rFonts w:ascii="Times New Roman" w:hAnsi="Times New Roman" w:cs="Times New Roman"/>
          <w:sz w:val="24"/>
          <w:szCs w:val="24"/>
        </w:rPr>
        <w:t xml:space="preserve"> and confidence (Bordo, 1993).</w:t>
      </w:r>
      <w:r w:rsidR="009C7846">
        <w:rPr>
          <w:rFonts w:ascii="Times New Roman" w:hAnsi="Times New Roman" w:cs="Times New Roman"/>
          <w:sz w:val="24"/>
          <w:szCs w:val="24"/>
        </w:rPr>
        <w:t xml:space="preserve"> O</w:t>
      </w:r>
      <w:r w:rsidR="006671C6">
        <w:rPr>
          <w:rFonts w:ascii="Times New Roman" w:hAnsi="Times New Roman" w:cs="Times New Roman"/>
          <w:sz w:val="24"/>
          <w:szCs w:val="24"/>
        </w:rPr>
        <w:t>ur</w:t>
      </w:r>
      <w:r w:rsidR="009C7846">
        <w:rPr>
          <w:rFonts w:ascii="Times New Roman" w:hAnsi="Times New Roman" w:cs="Times New Roman"/>
          <w:sz w:val="24"/>
          <w:szCs w:val="24"/>
        </w:rPr>
        <w:t xml:space="preserve"> hypothesis is that the prevalence of exchange controls</w:t>
      </w:r>
      <w:r w:rsidR="00BB60EE">
        <w:rPr>
          <w:rFonts w:ascii="Times New Roman" w:hAnsi="Times New Roman" w:cs="Times New Roman"/>
          <w:sz w:val="24"/>
          <w:szCs w:val="24"/>
        </w:rPr>
        <w:t>, foreign ownership restriction</w:t>
      </w:r>
      <w:r w:rsidR="00875518">
        <w:rPr>
          <w:rFonts w:ascii="Times New Roman" w:hAnsi="Times New Roman" w:cs="Times New Roman"/>
          <w:sz w:val="24"/>
          <w:szCs w:val="24"/>
        </w:rPr>
        <w:t>s</w:t>
      </w:r>
      <w:r w:rsidR="00CA5601">
        <w:rPr>
          <w:rFonts w:ascii="Times New Roman" w:hAnsi="Times New Roman" w:cs="Times New Roman"/>
          <w:sz w:val="24"/>
          <w:szCs w:val="24"/>
        </w:rPr>
        <w:t>,</w:t>
      </w:r>
      <w:r w:rsidR="009C7846">
        <w:rPr>
          <w:rFonts w:ascii="Times New Roman" w:hAnsi="Times New Roman" w:cs="Times New Roman"/>
          <w:sz w:val="24"/>
          <w:szCs w:val="24"/>
        </w:rPr>
        <w:t xml:space="preserve"> and political instability limit</w:t>
      </w:r>
      <w:r w:rsidR="00BA58F8">
        <w:rPr>
          <w:rFonts w:ascii="Times New Roman" w:hAnsi="Times New Roman" w:cs="Times New Roman"/>
          <w:sz w:val="24"/>
          <w:szCs w:val="24"/>
        </w:rPr>
        <w:t>ed</w:t>
      </w:r>
      <w:r w:rsidR="009C7846">
        <w:rPr>
          <w:rFonts w:ascii="Times New Roman" w:hAnsi="Times New Roman" w:cs="Times New Roman"/>
          <w:sz w:val="24"/>
          <w:szCs w:val="24"/>
        </w:rPr>
        <w:t xml:space="preserve"> stock market integration</w:t>
      </w:r>
      <w:r w:rsidR="006671C6">
        <w:rPr>
          <w:rFonts w:ascii="Times New Roman" w:hAnsi="Times New Roman" w:cs="Times New Roman"/>
          <w:sz w:val="24"/>
          <w:szCs w:val="24"/>
        </w:rPr>
        <w:t xml:space="preserve"> during this period</w:t>
      </w:r>
      <w:r w:rsidR="009C7846">
        <w:rPr>
          <w:rFonts w:ascii="Times New Roman" w:hAnsi="Times New Roman" w:cs="Times New Roman"/>
          <w:sz w:val="24"/>
          <w:szCs w:val="24"/>
        </w:rPr>
        <w:t>.</w:t>
      </w:r>
    </w:p>
    <w:p w:rsidR="0022714C" w:rsidRPr="00AF6503" w:rsidRDefault="000D103A" w:rsidP="00AF6503">
      <w:pPr>
        <w:pStyle w:val="ListParagraph"/>
        <w:numPr>
          <w:ilvl w:val="1"/>
          <w:numId w:val="35"/>
        </w:numPr>
        <w:spacing w:after="0" w:line="480" w:lineRule="auto"/>
        <w:ind w:right="282" w:hanging="720"/>
        <w:rPr>
          <w:rFonts w:ascii="Times New Roman" w:hAnsi="Times New Roman" w:cs="Times New Roman"/>
          <w:i/>
          <w:sz w:val="24"/>
          <w:szCs w:val="24"/>
        </w:rPr>
      </w:pPr>
      <w:r>
        <w:rPr>
          <w:rFonts w:ascii="Times New Roman" w:hAnsi="Times New Roman" w:cs="Times New Roman"/>
          <w:i/>
          <w:sz w:val="24"/>
          <w:szCs w:val="24"/>
        </w:rPr>
        <w:t xml:space="preserve">The </w:t>
      </w:r>
      <w:r w:rsidR="0022714C" w:rsidRPr="00AF6503">
        <w:rPr>
          <w:rFonts w:ascii="Times New Roman" w:hAnsi="Times New Roman" w:cs="Times New Roman"/>
          <w:i/>
          <w:sz w:val="24"/>
          <w:szCs w:val="24"/>
        </w:rPr>
        <w:t xml:space="preserve">Bretton Woods </w:t>
      </w:r>
      <w:r w:rsidR="001C3052" w:rsidRPr="00AF6503">
        <w:rPr>
          <w:rFonts w:ascii="Times New Roman" w:hAnsi="Times New Roman" w:cs="Times New Roman"/>
          <w:i/>
          <w:sz w:val="24"/>
          <w:szCs w:val="24"/>
        </w:rPr>
        <w:t>System</w:t>
      </w:r>
      <w:r w:rsidR="0022714C" w:rsidRPr="00AF6503">
        <w:rPr>
          <w:rFonts w:ascii="Times New Roman" w:hAnsi="Times New Roman" w:cs="Times New Roman"/>
          <w:i/>
          <w:sz w:val="24"/>
          <w:szCs w:val="24"/>
        </w:rPr>
        <w:t xml:space="preserve"> (1945–1971)</w:t>
      </w:r>
    </w:p>
    <w:p w:rsidR="0092414D" w:rsidRDefault="008C3FB7" w:rsidP="00AF6503">
      <w:pPr>
        <w:spacing w:after="0" w:line="480" w:lineRule="auto"/>
        <w:ind w:right="282" w:firstLine="720"/>
        <w:rPr>
          <w:rFonts w:ascii="Times New Roman" w:hAnsi="Times New Roman" w:cs="Times New Roman"/>
          <w:sz w:val="24"/>
          <w:szCs w:val="24"/>
        </w:rPr>
      </w:pPr>
      <w:r w:rsidRPr="008529E4">
        <w:rPr>
          <w:rFonts w:ascii="Times New Roman" w:hAnsi="Times New Roman" w:cs="Times New Roman"/>
          <w:sz w:val="24"/>
          <w:szCs w:val="24"/>
        </w:rPr>
        <w:t xml:space="preserve">The </w:t>
      </w:r>
      <w:r>
        <w:rPr>
          <w:rFonts w:ascii="Times New Roman" w:hAnsi="Times New Roman" w:cs="Times New Roman"/>
          <w:sz w:val="24"/>
          <w:szCs w:val="24"/>
        </w:rPr>
        <w:t xml:space="preserve">end of </w:t>
      </w:r>
      <w:r w:rsidR="0092414D">
        <w:rPr>
          <w:rFonts w:ascii="Times New Roman" w:hAnsi="Times New Roman" w:cs="Times New Roman"/>
          <w:sz w:val="24"/>
          <w:szCs w:val="24"/>
        </w:rPr>
        <w:t>WWII</w:t>
      </w:r>
      <w:r w:rsidR="00097A01">
        <w:rPr>
          <w:rFonts w:ascii="Times New Roman" w:hAnsi="Times New Roman" w:cs="Times New Roman"/>
          <w:sz w:val="24"/>
          <w:szCs w:val="24"/>
        </w:rPr>
        <w:t xml:space="preserve"> </w:t>
      </w:r>
      <w:r w:rsidR="003B6E53">
        <w:rPr>
          <w:rFonts w:ascii="Times New Roman" w:hAnsi="Times New Roman" w:cs="Times New Roman"/>
          <w:sz w:val="24"/>
          <w:szCs w:val="24"/>
        </w:rPr>
        <w:t xml:space="preserve">saw </w:t>
      </w:r>
      <w:r w:rsidRPr="008529E4">
        <w:rPr>
          <w:rFonts w:ascii="Times New Roman" w:hAnsi="Times New Roman" w:cs="Times New Roman"/>
          <w:sz w:val="24"/>
          <w:szCs w:val="24"/>
        </w:rPr>
        <w:t>the establishment of the</w:t>
      </w:r>
      <w:r w:rsidR="001C3052">
        <w:rPr>
          <w:rFonts w:ascii="Times New Roman" w:hAnsi="Times New Roman" w:cs="Times New Roman"/>
          <w:sz w:val="24"/>
          <w:szCs w:val="24"/>
        </w:rPr>
        <w:t xml:space="preserve"> B</w:t>
      </w:r>
      <w:r w:rsidR="0092414D">
        <w:rPr>
          <w:rFonts w:ascii="Times New Roman" w:hAnsi="Times New Roman" w:cs="Times New Roman"/>
          <w:sz w:val="24"/>
          <w:szCs w:val="24"/>
        </w:rPr>
        <w:t>W</w:t>
      </w:r>
      <w:r w:rsidR="001C3052">
        <w:rPr>
          <w:rFonts w:ascii="Times New Roman" w:hAnsi="Times New Roman" w:cs="Times New Roman"/>
          <w:sz w:val="24"/>
          <w:szCs w:val="24"/>
        </w:rPr>
        <w:t xml:space="preserve"> system</w:t>
      </w:r>
      <w:r w:rsidR="000D103A">
        <w:rPr>
          <w:rFonts w:ascii="Times New Roman" w:hAnsi="Times New Roman" w:cs="Times New Roman"/>
          <w:sz w:val="24"/>
          <w:szCs w:val="24"/>
        </w:rPr>
        <w:t>,</w:t>
      </w:r>
      <w:r w:rsidR="00097A01">
        <w:rPr>
          <w:rFonts w:ascii="Times New Roman" w:hAnsi="Times New Roman" w:cs="Times New Roman"/>
          <w:sz w:val="24"/>
          <w:szCs w:val="24"/>
        </w:rPr>
        <w:t xml:space="preserve"> </w:t>
      </w:r>
      <w:r>
        <w:rPr>
          <w:rFonts w:ascii="Times New Roman" w:hAnsi="Times New Roman" w:cs="Times New Roman"/>
          <w:sz w:val="24"/>
          <w:szCs w:val="24"/>
        </w:rPr>
        <w:t>with the</w:t>
      </w:r>
      <w:r w:rsidR="00097A01">
        <w:rPr>
          <w:rFonts w:ascii="Times New Roman" w:hAnsi="Times New Roman" w:cs="Times New Roman"/>
          <w:sz w:val="24"/>
          <w:szCs w:val="24"/>
        </w:rPr>
        <w:t xml:space="preserve"> </w:t>
      </w:r>
      <w:r>
        <w:rPr>
          <w:rFonts w:ascii="Times New Roman" w:hAnsi="Times New Roman" w:cs="Times New Roman"/>
          <w:sz w:val="24"/>
          <w:szCs w:val="24"/>
        </w:rPr>
        <w:t xml:space="preserve">objective of facilitating international trade and improving capital flows through an </w:t>
      </w:r>
      <w:r w:rsidRPr="008529E4">
        <w:rPr>
          <w:rFonts w:ascii="Times New Roman" w:hAnsi="Times New Roman" w:cs="Times New Roman"/>
          <w:sz w:val="24"/>
          <w:szCs w:val="24"/>
        </w:rPr>
        <w:t xml:space="preserve">international system </w:t>
      </w:r>
      <w:r>
        <w:rPr>
          <w:rFonts w:ascii="Times New Roman" w:hAnsi="Times New Roman" w:cs="Times New Roman"/>
          <w:sz w:val="24"/>
          <w:szCs w:val="24"/>
        </w:rPr>
        <w:t>of fixed exchange rate</w:t>
      </w:r>
      <w:r w:rsidR="0092414D">
        <w:rPr>
          <w:rFonts w:ascii="Times New Roman" w:hAnsi="Times New Roman" w:cs="Times New Roman"/>
          <w:sz w:val="24"/>
          <w:szCs w:val="24"/>
        </w:rPr>
        <w:t>s</w:t>
      </w:r>
      <w:r>
        <w:rPr>
          <w:rFonts w:ascii="Times New Roman" w:hAnsi="Times New Roman" w:cs="Times New Roman"/>
          <w:sz w:val="24"/>
          <w:szCs w:val="24"/>
        </w:rPr>
        <w:t>.</w:t>
      </w:r>
      <w:r w:rsidR="00097A01">
        <w:rPr>
          <w:rFonts w:ascii="Times New Roman" w:hAnsi="Times New Roman" w:cs="Times New Roman"/>
          <w:sz w:val="24"/>
          <w:szCs w:val="24"/>
        </w:rPr>
        <w:t xml:space="preserve"> </w:t>
      </w:r>
      <w:r w:rsidR="003D4FF8">
        <w:rPr>
          <w:rFonts w:ascii="Times New Roman" w:hAnsi="Times New Roman" w:cs="Times New Roman"/>
          <w:sz w:val="24"/>
          <w:szCs w:val="24"/>
        </w:rPr>
        <w:t>Under the BW</w:t>
      </w:r>
      <w:r w:rsidR="00097A01">
        <w:rPr>
          <w:rFonts w:ascii="Times New Roman" w:hAnsi="Times New Roman" w:cs="Times New Roman"/>
          <w:sz w:val="24"/>
          <w:szCs w:val="24"/>
        </w:rPr>
        <w:t xml:space="preserve"> </w:t>
      </w:r>
      <w:r w:rsidR="002C0F87">
        <w:rPr>
          <w:rFonts w:ascii="Times New Roman" w:hAnsi="Times New Roman" w:cs="Times New Roman"/>
          <w:sz w:val="24"/>
          <w:szCs w:val="24"/>
        </w:rPr>
        <w:t>system</w:t>
      </w:r>
      <w:r w:rsidR="003D4FF8">
        <w:rPr>
          <w:rFonts w:ascii="Times New Roman" w:hAnsi="Times New Roman" w:cs="Times New Roman"/>
          <w:sz w:val="24"/>
          <w:szCs w:val="24"/>
        </w:rPr>
        <w:t xml:space="preserve">, only the US fixed the price of the dollar in terms of gold, while other convertible currencies were pegged to the </w:t>
      </w:r>
      <w:r w:rsidR="0092414D">
        <w:rPr>
          <w:rFonts w:ascii="Times New Roman" w:hAnsi="Times New Roman" w:cs="Times New Roman"/>
          <w:sz w:val="24"/>
          <w:szCs w:val="24"/>
        </w:rPr>
        <w:t xml:space="preserve">US </w:t>
      </w:r>
      <w:r w:rsidR="003D4FF8">
        <w:rPr>
          <w:rFonts w:ascii="Times New Roman" w:hAnsi="Times New Roman" w:cs="Times New Roman"/>
          <w:sz w:val="24"/>
          <w:szCs w:val="24"/>
        </w:rPr>
        <w:t xml:space="preserve">dollar. The adoption of </w:t>
      </w:r>
      <w:r w:rsidR="00BA58F8">
        <w:rPr>
          <w:rFonts w:ascii="Times New Roman" w:hAnsi="Times New Roman" w:cs="Times New Roman"/>
          <w:sz w:val="24"/>
          <w:szCs w:val="24"/>
        </w:rPr>
        <w:t xml:space="preserve">a </w:t>
      </w:r>
      <w:r w:rsidR="003D4FF8">
        <w:rPr>
          <w:rFonts w:ascii="Times New Roman" w:hAnsi="Times New Roman" w:cs="Times New Roman"/>
          <w:sz w:val="24"/>
          <w:szCs w:val="24"/>
        </w:rPr>
        <w:t>fixed exchange rate regime is supposed to be associated w</w:t>
      </w:r>
      <w:r w:rsidR="0092414D">
        <w:rPr>
          <w:rFonts w:ascii="Times New Roman" w:hAnsi="Times New Roman" w:cs="Times New Roman"/>
          <w:sz w:val="24"/>
          <w:szCs w:val="24"/>
        </w:rPr>
        <w:t xml:space="preserve">ith </w:t>
      </w:r>
      <w:r w:rsidR="00BA58F8">
        <w:rPr>
          <w:rFonts w:ascii="Times New Roman" w:hAnsi="Times New Roman" w:cs="Times New Roman"/>
          <w:sz w:val="24"/>
          <w:szCs w:val="24"/>
        </w:rPr>
        <w:t xml:space="preserve">stability of </w:t>
      </w:r>
      <w:r w:rsidR="0092414D">
        <w:rPr>
          <w:rFonts w:ascii="Times New Roman" w:hAnsi="Times New Roman" w:cs="Times New Roman"/>
          <w:sz w:val="24"/>
          <w:szCs w:val="24"/>
        </w:rPr>
        <w:t>real exchange rate</w:t>
      </w:r>
      <w:r w:rsidR="00BA58F8">
        <w:rPr>
          <w:rFonts w:ascii="Times New Roman" w:hAnsi="Times New Roman" w:cs="Times New Roman"/>
          <w:sz w:val="24"/>
          <w:szCs w:val="24"/>
        </w:rPr>
        <w:t>s</w:t>
      </w:r>
      <w:r w:rsidR="003D4FF8">
        <w:rPr>
          <w:rFonts w:ascii="Times New Roman" w:hAnsi="Times New Roman" w:cs="Times New Roman"/>
          <w:sz w:val="24"/>
          <w:szCs w:val="24"/>
        </w:rPr>
        <w:t>, interest rate</w:t>
      </w:r>
      <w:r w:rsidR="0092414D">
        <w:rPr>
          <w:rFonts w:ascii="Times New Roman" w:hAnsi="Times New Roman" w:cs="Times New Roman"/>
          <w:sz w:val="24"/>
          <w:szCs w:val="24"/>
        </w:rPr>
        <w:t>s</w:t>
      </w:r>
      <w:r w:rsidR="003D4FF8">
        <w:rPr>
          <w:rFonts w:ascii="Times New Roman" w:hAnsi="Times New Roman" w:cs="Times New Roman"/>
          <w:sz w:val="24"/>
          <w:szCs w:val="24"/>
        </w:rPr>
        <w:t>, output</w:t>
      </w:r>
      <w:r w:rsidR="00E424EC">
        <w:rPr>
          <w:rFonts w:ascii="Times New Roman" w:hAnsi="Times New Roman" w:cs="Times New Roman"/>
          <w:sz w:val="24"/>
          <w:szCs w:val="24"/>
        </w:rPr>
        <w:t>,</w:t>
      </w:r>
      <w:r w:rsidR="003D4FF8">
        <w:rPr>
          <w:rFonts w:ascii="Times New Roman" w:hAnsi="Times New Roman" w:cs="Times New Roman"/>
          <w:sz w:val="24"/>
          <w:szCs w:val="24"/>
        </w:rPr>
        <w:t xml:space="preserve"> and price</w:t>
      </w:r>
      <w:r w:rsidR="00BA58F8">
        <w:rPr>
          <w:rFonts w:ascii="Times New Roman" w:hAnsi="Times New Roman" w:cs="Times New Roman"/>
          <w:sz w:val="24"/>
          <w:szCs w:val="24"/>
        </w:rPr>
        <w:t>s</w:t>
      </w:r>
      <w:r w:rsidR="00570711">
        <w:rPr>
          <w:rFonts w:ascii="Times New Roman" w:hAnsi="Times New Roman" w:cs="Times New Roman"/>
          <w:sz w:val="24"/>
          <w:szCs w:val="24"/>
        </w:rPr>
        <w:t xml:space="preserve"> (Bayoumi</w:t>
      </w:r>
      <w:r w:rsidR="00097A01">
        <w:rPr>
          <w:rFonts w:ascii="Times New Roman" w:hAnsi="Times New Roman" w:cs="Times New Roman"/>
          <w:sz w:val="24"/>
          <w:szCs w:val="24"/>
        </w:rPr>
        <w:t xml:space="preserve"> </w:t>
      </w:r>
      <w:r w:rsidR="00570711">
        <w:rPr>
          <w:rFonts w:ascii="Times New Roman" w:hAnsi="Times New Roman" w:cs="Times New Roman"/>
          <w:sz w:val="24"/>
          <w:szCs w:val="24"/>
        </w:rPr>
        <w:t>&amp;</w:t>
      </w:r>
      <w:r w:rsidR="00097A01">
        <w:rPr>
          <w:rFonts w:ascii="Times New Roman" w:hAnsi="Times New Roman" w:cs="Times New Roman"/>
          <w:sz w:val="24"/>
          <w:szCs w:val="24"/>
        </w:rPr>
        <w:t xml:space="preserve"> </w:t>
      </w:r>
      <w:r w:rsidR="00570711">
        <w:rPr>
          <w:rFonts w:ascii="Times New Roman" w:hAnsi="Times New Roman" w:cs="Times New Roman"/>
          <w:sz w:val="24"/>
          <w:szCs w:val="24"/>
        </w:rPr>
        <w:t>Eichengreen, 1992)</w:t>
      </w:r>
      <w:r w:rsidR="003D4FF8">
        <w:rPr>
          <w:rFonts w:ascii="Times New Roman" w:hAnsi="Times New Roman" w:cs="Times New Roman"/>
          <w:sz w:val="24"/>
          <w:szCs w:val="24"/>
        </w:rPr>
        <w:t>. Hence, as macro</w:t>
      </w:r>
      <w:r w:rsidR="00570711">
        <w:rPr>
          <w:rFonts w:ascii="Times New Roman" w:hAnsi="Times New Roman" w:cs="Times New Roman"/>
          <w:sz w:val="24"/>
          <w:szCs w:val="24"/>
        </w:rPr>
        <w:t>-</w:t>
      </w:r>
      <w:r w:rsidR="003D4FF8">
        <w:rPr>
          <w:rFonts w:ascii="Times New Roman" w:hAnsi="Times New Roman" w:cs="Times New Roman"/>
          <w:sz w:val="24"/>
          <w:szCs w:val="24"/>
        </w:rPr>
        <w:t xml:space="preserve">finance indicators converge </w:t>
      </w:r>
      <w:r w:rsidR="0057518E">
        <w:rPr>
          <w:rFonts w:ascii="Times New Roman" w:hAnsi="Times New Roman" w:cs="Times New Roman"/>
          <w:sz w:val="24"/>
          <w:szCs w:val="24"/>
        </w:rPr>
        <w:t xml:space="preserve">among </w:t>
      </w:r>
      <w:r w:rsidR="003D4FF8">
        <w:rPr>
          <w:rFonts w:ascii="Times New Roman" w:hAnsi="Times New Roman" w:cs="Times New Roman"/>
          <w:sz w:val="24"/>
          <w:szCs w:val="24"/>
        </w:rPr>
        <w:t xml:space="preserve">countries, </w:t>
      </w:r>
      <w:r w:rsidR="006671C6">
        <w:rPr>
          <w:rFonts w:ascii="Times New Roman" w:hAnsi="Times New Roman" w:cs="Times New Roman"/>
          <w:sz w:val="24"/>
          <w:szCs w:val="24"/>
        </w:rPr>
        <w:t xml:space="preserve">we expect </w:t>
      </w:r>
      <w:r w:rsidR="003D4FF8">
        <w:rPr>
          <w:rFonts w:ascii="Times New Roman" w:hAnsi="Times New Roman" w:cs="Times New Roman"/>
          <w:sz w:val="24"/>
          <w:szCs w:val="24"/>
        </w:rPr>
        <w:t>international financial integration to increase.</w:t>
      </w:r>
      <w:r w:rsidR="00097A01">
        <w:rPr>
          <w:rFonts w:ascii="Times New Roman" w:hAnsi="Times New Roman" w:cs="Times New Roman"/>
          <w:sz w:val="24"/>
          <w:szCs w:val="24"/>
        </w:rPr>
        <w:t xml:space="preserve"> </w:t>
      </w:r>
      <w:r w:rsidR="003D4FF8">
        <w:rPr>
          <w:rFonts w:ascii="Times New Roman" w:hAnsi="Times New Roman" w:cs="Times New Roman"/>
          <w:sz w:val="24"/>
          <w:szCs w:val="24"/>
        </w:rPr>
        <w:t xml:space="preserve">If the goal of BW was to achieve macroeconomic stability, then </w:t>
      </w:r>
      <w:r w:rsidR="00E424EC">
        <w:rPr>
          <w:rFonts w:ascii="Times New Roman" w:hAnsi="Times New Roman" w:cs="Times New Roman"/>
          <w:sz w:val="24"/>
          <w:szCs w:val="24"/>
        </w:rPr>
        <w:t>it</w:t>
      </w:r>
      <w:r w:rsidR="003D4FF8">
        <w:rPr>
          <w:rFonts w:ascii="Times New Roman" w:hAnsi="Times New Roman" w:cs="Times New Roman"/>
          <w:sz w:val="24"/>
          <w:szCs w:val="24"/>
        </w:rPr>
        <w:t xml:space="preserve"> should </w:t>
      </w:r>
      <w:r w:rsidR="00E424EC">
        <w:rPr>
          <w:rFonts w:ascii="Times New Roman" w:hAnsi="Times New Roman" w:cs="Times New Roman"/>
          <w:sz w:val="24"/>
          <w:szCs w:val="24"/>
        </w:rPr>
        <w:t xml:space="preserve">also </w:t>
      </w:r>
      <w:r w:rsidR="00BA58F8">
        <w:rPr>
          <w:rFonts w:ascii="Times New Roman" w:hAnsi="Times New Roman" w:cs="Times New Roman"/>
          <w:sz w:val="24"/>
          <w:szCs w:val="24"/>
        </w:rPr>
        <w:t xml:space="preserve">have </w:t>
      </w:r>
      <w:r w:rsidR="00E424EC">
        <w:rPr>
          <w:rFonts w:ascii="Times New Roman" w:hAnsi="Times New Roman" w:cs="Times New Roman"/>
          <w:sz w:val="24"/>
          <w:szCs w:val="24"/>
        </w:rPr>
        <w:t xml:space="preserve">increased </w:t>
      </w:r>
      <w:r w:rsidR="003D4FF8">
        <w:rPr>
          <w:rFonts w:ascii="Times New Roman" w:hAnsi="Times New Roman" w:cs="Times New Roman"/>
          <w:sz w:val="24"/>
          <w:szCs w:val="24"/>
        </w:rPr>
        <w:t xml:space="preserve">macroeconomic convergence, stimulating </w:t>
      </w:r>
      <w:r w:rsidR="006F3F3C">
        <w:rPr>
          <w:rFonts w:ascii="Times New Roman" w:hAnsi="Times New Roman" w:cs="Times New Roman"/>
          <w:sz w:val="24"/>
          <w:szCs w:val="24"/>
        </w:rPr>
        <w:t>stock</w:t>
      </w:r>
      <w:r w:rsidR="003D4FF8">
        <w:rPr>
          <w:rFonts w:ascii="Times New Roman" w:hAnsi="Times New Roman" w:cs="Times New Roman"/>
          <w:sz w:val="24"/>
          <w:szCs w:val="24"/>
        </w:rPr>
        <w:t xml:space="preserve"> market integration.</w:t>
      </w:r>
    </w:p>
    <w:p w:rsidR="0092414D" w:rsidRDefault="0092414D" w:rsidP="00AF6503">
      <w:pPr>
        <w:spacing w:after="0" w:line="480" w:lineRule="auto"/>
        <w:ind w:right="282" w:firstLine="720"/>
        <w:rPr>
          <w:rFonts w:ascii="Times New Roman" w:hAnsi="Times New Roman" w:cs="Times New Roman"/>
          <w:sz w:val="24"/>
          <w:szCs w:val="24"/>
        </w:rPr>
      </w:pPr>
    </w:p>
    <w:p w:rsidR="0022714C" w:rsidRPr="00AF6503" w:rsidRDefault="000D103A" w:rsidP="00AF6503">
      <w:pPr>
        <w:pStyle w:val="ListParagraph"/>
        <w:numPr>
          <w:ilvl w:val="1"/>
          <w:numId w:val="35"/>
        </w:numPr>
        <w:spacing w:after="0" w:line="480" w:lineRule="auto"/>
        <w:ind w:right="282" w:hanging="720"/>
        <w:rPr>
          <w:rFonts w:ascii="Times New Roman" w:hAnsi="Times New Roman" w:cs="Times New Roman"/>
          <w:i/>
          <w:sz w:val="24"/>
          <w:szCs w:val="24"/>
        </w:rPr>
      </w:pPr>
      <w:r>
        <w:rPr>
          <w:rFonts w:ascii="Times New Roman" w:hAnsi="Times New Roman" w:cs="Times New Roman"/>
          <w:i/>
          <w:sz w:val="24"/>
          <w:szCs w:val="24"/>
        </w:rPr>
        <w:t>The p</w:t>
      </w:r>
      <w:r w:rsidR="0022714C" w:rsidRPr="00AF6503">
        <w:rPr>
          <w:rFonts w:ascii="Times New Roman" w:hAnsi="Times New Roman" w:cs="Times New Roman"/>
          <w:i/>
          <w:sz w:val="24"/>
          <w:szCs w:val="24"/>
        </w:rPr>
        <w:t>ost</w:t>
      </w:r>
      <w:r w:rsidR="001B302F" w:rsidRPr="00AF6503">
        <w:rPr>
          <w:rFonts w:ascii="Times New Roman" w:hAnsi="Times New Roman" w:cs="Times New Roman"/>
          <w:i/>
          <w:sz w:val="24"/>
          <w:szCs w:val="24"/>
        </w:rPr>
        <w:t>–</w:t>
      </w:r>
      <w:r w:rsidR="0022714C" w:rsidRPr="00AF6503">
        <w:rPr>
          <w:rFonts w:ascii="Times New Roman" w:hAnsi="Times New Roman" w:cs="Times New Roman"/>
          <w:i/>
          <w:sz w:val="24"/>
          <w:szCs w:val="24"/>
        </w:rPr>
        <w:t xml:space="preserve">Bretton Woods </w:t>
      </w:r>
      <w:r w:rsidR="001B302F" w:rsidRPr="00AF6503">
        <w:rPr>
          <w:rFonts w:ascii="Times New Roman" w:hAnsi="Times New Roman" w:cs="Times New Roman"/>
          <w:i/>
          <w:sz w:val="24"/>
          <w:szCs w:val="24"/>
        </w:rPr>
        <w:t>s</w:t>
      </w:r>
      <w:r w:rsidR="00DF0729" w:rsidRPr="00AF6503">
        <w:rPr>
          <w:rFonts w:ascii="Times New Roman" w:hAnsi="Times New Roman" w:cs="Times New Roman"/>
          <w:i/>
          <w:sz w:val="24"/>
          <w:szCs w:val="24"/>
        </w:rPr>
        <w:t>ystem</w:t>
      </w:r>
      <w:r w:rsidR="0022714C" w:rsidRPr="00AF6503">
        <w:rPr>
          <w:rFonts w:ascii="Times New Roman" w:hAnsi="Times New Roman" w:cs="Times New Roman"/>
          <w:i/>
          <w:sz w:val="24"/>
          <w:szCs w:val="24"/>
        </w:rPr>
        <w:t xml:space="preserve"> (1971–2015)</w:t>
      </w:r>
    </w:p>
    <w:p w:rsidR="00875518" w:rsidRDefault="0092414D"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lastRenderedPageBreak/>
        <w:t xml:space="preserve">BW </w:t>
      </w:r>
      <w:r w:rsidRPr="008529E4">
        <w:rPr>
          <w:rFonts w:ascii="Times New Roman" w:hAnsi="Times New Roman" w:cs="Times New Roman"/>
          <w:sz w:val="24"/>
          <w:szCs w:val="24"/>
        </w:rPr>
        <w:t>ended on August</w:t>
      </w:r>
      <w:r w:rsidR="00E424EC">
        <w:rPr>
          <w:rFonts w:ascii="Times New Roman" w:hAnsi="Times New Roman" w:cs="Times New Roman"/>
          <w:sz w:val="24"/>
          <w:szCs w:val="24"/>
        </w:rPr>
        <w:t xml:space="preserve"> 15,</w:t>
      </w:r>
      <w:r w:rsidRPr="008529E4">
        <w:rPr>
          <w:rFonts w:ascii="Times New Roman" w:hAnsi="Times New Roman" w:cs="Times New Roman"/>
          <w:sz w:val="24"/>
          <w:szCs w:val="24"/>
        </w:rPr>
        <w:t xml:space="preserve"> 1971</w:t>
      </w:r>
      <w:r w:rsidR="00E424EC">
        <w:rPr>
          <w:rFonts w:ascii="Times New Roman" w:hAnsi="Times New Roman" w:cs="Times New Roman"/>
          <w:sz w:val="24"/>
          <w:szCs w:val="24"/>
        </w:rPr>
        <w:t>,</w:t>
      </w:r>
      <w:r w:rsidRPr="008529E4">
        <w:rPr>
          <w:rFonts w:ascii="Times New Roman" w:hAnsi="Times New Roman" w:cs="Times New Roman"/>
          <w:sz w:val="24"/>
          <w:szCs w:val="24"/>
        </w:rPr>
        <w:t xml:space="preserve"> when the US </w:t>
      </w:r>
      <w:r w:rsidR="00570711">
        <w:rPr>
          <w:rFonts w:ascii="Times New Roman" w:hAnsi="Times New Roman" w:cs="Times New Roman"/>
          <w:sz w:val="24"/>
          <w:szCs w:val="24"/>
        </w:rPr>
        <w:t>unilaterally</w:t>
      </w:r>
      <w:r w:rsidR="00097A01">
        <w:rPr>
          <w:rFonts w:ascii="Times New Roman" w:hAnsi="Times New Roman" w:cs="Times New Roman"/>
          <w:sz w:val="24"/>
          <w:szCs w:val="24"/>
        </w:rPr>
        <w:t xml:space="preserve"> </w:t>
      </w:r>
      <w:r w:rsidRPr="008529E4">
        <w:rPr>
          <w:rFonts w:ascii="Times New Roman" w:hAnsi="Times New Roman" w:cs="Times New Roman"/>
          <w:sz w:val="24"/>
          <w:szCs w:val="24"/>
        </w:rPr>
        <w:t xml:space="preserve">aborted convertibility of </w:t>
      </w:r>
      <w:r>
        <w:rPr>
          <w:rFonts w:ascii="Times New Roman" w:hAnsi="Times New Roman" w:cs="Times New Roman"/>
          <w:sz w:val="24"/>
          <w:szCs w:val="24"/>
        </w:rPr>
        <w:t xml:space="preserve">the </w:t>
      </w:r>
      <w:r w:rsidRPr="008529E4">
        <w:rPr>
          <w:rFonts w:ascii="Times New Roman" w:hAnsi="Times New Roman" w:cs="Times New Roman"/>
          <w:sz w:val="24"/>
          <w:szCs w:val="24"/>
        </w:rPr>
        <w:t xml:space="preserve">US dollar to gold (that is, </w:t>
      </w:r>
      <w:r w:rsidR="00BA58F8">
        <w:rPr>
          <w:rFonts w:ascii="Times New Roman" w:hAnsi="Times New Roman" w:cs="Times New Roman"/>
          <w:sz w:val="24"/>
          <w:szCs w:val="24"/>
        </w:rPr>
        <w:t xml:space="preserve">the </w:t>
      </w:r>
      <w:r w:rsidRPr="008529E4">
        <w:rPr>
          <w:rFonts w:ascii="Times New Roman" w:hAnsi="Times New Roman" w:cs="Times New Roman"/>
          <w:sz w:val="24"/>
          <w:szCs w:val="24"/>
        </w:rPr>
        <w:t>fixed exchange rate regime was abolished), thereby making the US dollar a fiat currency and at the same time a reserve currency for many countries.</w:t>
      </w:r>
      <w:r w:rsidR="00097A01">
        <w:rPr>
          <w:rFonts w:ascii="Times New Roman" w:hAnsi="Times New Roman" w:cs="Times New Roman"/>
          <w:sz w:val="24"/>
          <w:szCs w:val="24"/>
        </w:rPr>
        <w:t xml:space="preserve"> </w:t>
      </w:r>
      <w:r w:rsidR="0022714C">
        <w:rPr>
          <w:rFonts w:ascii="Times New Roman" w:hAnsi="Times New Roman" w:cs="Times New Roman"/>
          <w:sz w:val="24"/>
          <w:szCs w:val="24"/>
        </w:rPr>
        <w:t xml:space="preserve">According to </w:t>
      </w:r>
      <w:r w:rsidR="0022714C" w:rsidRPr="008529E4">
        <w:rPr>
          <w:rFonts w:ascii="Times New Roman" w:hAnsi="Times New Roman" w:cs="Times New Roman"/>
          <w:sz w:val="24"/>
          <w:szCs w:val="24"/>
        </w:rPr>
        <w:t>Eichengreen</w:t>
      </w:r>
      <w:r w:rsidR="00097A01">
        <w:rPr>
          <w:rFonts w:ascii="Times New Roman" w:hAnsi="Times New Roman" w:cs="Times New Roman"/>
          <w:sz w:val="24"/>
          <w:szCs w:val="24"/>
        </w:rPr>
        <w:t xml:space="preserve"> </w:t>
      </w:r>
      <w:r w:rsidR="00976849">
        <w:rPr>
          <w:rFonts w:ascii="Times New Roman" w:hAnsi="Times New Roman" w:cs="Times New Roman"/>
          <w:sz w:val="24"/>
          <w:szCs w:val="24"/>
        </w:rPr>
        <w:t>and</w:t>
      </w:r>
      <w:r w:rsidR="00097A01">
        <w:rPr>
          <w:rFonts w:ascii="Times New Roman" w:hAnsi="Times New Roman" w:cs="Times New Roman"/>
          <w:sz w:val="24"/>
          <w:szCs w:val="24"/>
        </w:rPr>
        <w:t xml:space="preserve"> </w:t>
      </w:r>
      <w:r w:rsidR="0022714C" w:rsidRPr="008529E4">
        <w:rPr>
          <w:rFonts w:ascii="Times New Roman" w:hAnsi="Times New Roman" w:cs="Times New Roman"/>
          <w:sz w:val="24"/>
          <w:szCs w:val="24"/>
        </w:rPr>
        <w:t>Sussman</w:t>
      </w:r>
      <w:r w:rsidR="0022714C">
        <w:rPr>
          <w:rFonts w:ascii="Times New Roman" w:hAnsi="Times New Roman" w:cs="Times New Roman"/>
          <w:sz w:val="24"/>
          <w:szCs w:val="24"/>
        </w:rPr>
        <w:t xml:space="preserve"> (</w:t>
      </w:r>
      <w:r w:rsidR="0022714C" w:rsidRPr="008529E4">
        <w:rPr>
          <w:rFonts w:ascii="Times New Roman" w:hAnsi="Times New Roman" w:cs="Times New Roman"/>
          <w:sz w:val="24"/>
          <w:szCs w:val="24"/>
        </w:rPr>
        <w:t>2000</w:t>
      </w:r>
      <w:r w:rsidR="0022714C">
        <w:rPr>
          <w:rFonts w:ascii="Times New Roman" w:hAnsi="Times New Roman" w:cs="Times New Roman"/>
          <w:sz w:val="24"/>
          <w:szCs w:val="24"/>
        </w:rPr>
        <w:t>), s</w:t>
      </w:r>
      <w:r w:rsidR="0022714C" w:rsidRPr="008529E4">
        <w:rPr>
          <w:rFonts w:ascii="Times New Roman" w:hAnsi="Times New Roman" w:cs="Times New Roman"/>
          <w:sz w:val="24"/>
          <w:szCs w:val="24"/>
        </w:rPr>
        <w:t xml:space="preserve">ince the </w:t>
      </w:r>
      <w:r w:rsidR="002C0F87">
        <w:rPr>
          <w:rFonts w:ascii="Times New Roman" w:hAnsi="Times New Roman" w:cs="Times New Roman"/>
          <w:sz w:val="24"/>
          <w:szCs w:val="24"/>
        </w:rPr>
        <w:t xml:space="preserve">repeal </w:t>
      </w:r>
      <w:r w:rsidR="002C0F87" w:rsidRPr="008529E4">
        <w:rPr>
          <w:rFonts w:ascii="Times New Roman" w:hAnsi="Times New Roman" w:cs="Times New Roman"/>
          <w:sz w:val="24"/>
          <w:szCs w:val="24"/>
        </w:rPr>
        <w:t xml:space="preserve">of </w:t>
      </w:r>
      <w:r w:rsidR="002C0F87">
        <w:rPr>
          <w:rFonts w:ascii="Times New Roman" w:hAnsi="Times New Roman" w:cs="Times New Roman"/>
          <w:sz w:val="24"/>
          <w:szCs w:val="24"/>
        </w:rPr>
        <w:t xml:space="preserve">the </w:t>
      </w:r>
      <w:r w:rsidR="003653CA">
        <w:rPr>
          <w:rFonts w:ascii="Times New Roman" w:hAnsi="Times New Roman" w:cs="Times New Roman"/>
          <w:sz w:val="24"/>
          <w:szCs w:val="24"/>
        </w:rPr>
        <w:t xml:space="preserve">BW </w:t>
      </w:r>
      <w:r w:rsidR="0022714C" w:rsidRPr="008529E4">
        <w:rPr>
          <w:rFonts w:ascii="Times New Roman" w:hAnsi="Times New Roman" w:cs="Times New Roman"/>
          <w:sz w:val="24"/>
          <w:szCs w:val="24"/>
        </w:rPr>
        <w:t xml:space="preserve">agreement, there </w:t>
      </w:r>
      <w:r w:rsidR="002C0F87" w:rsidRPr="008529E4">
        <w:rPr>
          <w:rFonts w:ascii="Times New Roman" w:hAnsi="Times New Roman" w:cs="Times New Roman"/>
          <w:sz w:val="24"/>
          <w:szCs w:val="24"/>
        </w:rPr>
        <w:t>has</w:t>
      </w:r>
      <w:r w:rsidR="0022714C" w:rsidRPr="008529E4">
        <w:rPr>
          <w:rFonts w:ascii="Times New Roman" w:hAnsi="Times New Roman" w:cs="Times New Roman"/>
          <w:sz w:val="24"/>
          <w:szCs w:val="24"/>
        </w:rPr>
        <w:t xml:space="preserve"> b</w:t>
      </w:r>
      <w:r w:rsidR="003653CA">
        <w:rPr>
          <w:rFonts w:ascii="Times New Roman" w:hAnsi="Times New Roman" w:cs="Times New Roman"/>
          <w:sz w:val="24"/>
          <w:szCs w:val="24"/>
        </w:rPr>
        <w:t>een increasing capital mobility</w:t>
      </w:r>
      <w:r w:rsidR="002C0F87">
        <w:rPr>
          <w:rFonts w:ascii="Times New Roman" w:hAnsi="Times New Roman" w:cs="Times New Roman"/>
          <w:sz w:val="24"/>
          <w:szCs w:val="24"/>
        </w:rPr>
        <w:t xml:space="preserve"> and</w:t>
      </w:r>
      <w:r w:rsidR="00097A01">
        <w:rPr>
          <w:rFonts w:ascii="Times New Roman" w:hAnsi="Times New Roman" w:cs="Times New Roman"/>
          <w:sz w:val="24"/>
          <w:szCs w:val="24"/>
        </w:rPr>
        <w:t xml:space="preserve"> </w:t>
      </w:r>
      <w:r w:rsidR="0022714C" w:rsidRPr="008529E4">
        <w:rPr>
          <w:rFonts w:ascii="Times New Roman" w:hAnsi="Times New Roman" w:cs="Times New Roman"/>
          <w:sz w:val="24"/>
          <w:szCs w:val="24"/>
        </w:rPr>
        <w:t>significant exchange rate flexibility</w:t>
      </w:r>
      <w:r w:rsidR="003653CA">
        <w:rPr>
          <w:rFonts w:ascii="Times New Roman" w:hAnsi="Times New Roman" w:cs="Times New Roman"/>
          <w:sz w:val="24"/>
          <w:szCs w:val="24"/>
        </w:rPr>
        <w:t xml:space="preserve">. </w:t>
      </w:r>
      <w:r w:rsidR="000D103A">
        <w:rPr>
          <w:rFonts w:ascii="Times New Roman" w:hAnsi="Times New Roman" w:cs="Times New Roman"/>
          <w:sz w:val="24"/>
          <w:szCs w:val="24"/>
        </w:rPr>
        <w:t>N</w:t>
      </w:r>
      <w:r w:rsidR="0022714C">
        <w:rPr>
          <w:rFonts w:ascii="Times New Roman" w:hAnsi="Times New Roman" w:cs="Times New Roman"/>
          <w:sz w:val="24"/>
          <w:szCs w:val="24"/>
        </w:rPr>
        <w:t>ew wave</w:t>
      </w:r>
      <w:r w:rsidR="00BA58F8">
        <w:rPr>
          <w:rFonts w:ascii="Times New Roman" w:hAnsi="Times New Roman" w:cs="Times New Roman"/>
          <w:sz w:val="24"/>
          <w:szCs w:val="24"/>
        </w:rPr>
        <w:t>s</w:t>
      </w:r>
      <w:r w:rsidR="0022714C">
        <w:rPr>
          <w:rFonts w:ascii="Times New Roman" w:hAnsi="Times New Roman" w:cs="Times New Roman"/>
          <w:sz w:val="24"/>
          <w:szCs w:val="24"/>
        </w:rPr>
        <w:t xml:space="preserve"> of international financial liberali</w:t>
      </w:r>
      <w:r w:rsidR="00056BAE">
        <w:rPr>
          <w:rFonts w:ascii="Times New Roman" w:hAnsi="Times New Roman" w:cs="Times New Roman"/>
          <w:sz w:val="24"/>
          <w:szCs w:val="24"/>
        </w:rPr>
        <w:t>z</w:t>
      </w:r>
      <w:r w:rsidR="0022714C">
        <w:rPr>
          <w:rFonts w:ascii="Times New Roman" w:hAnsi="Times New Roman" w:cs="Times New Roman"/>
          <w:sz w:val="24"/>
          <w:szCs w:val="24"/>
        </w:rPr>
        <w:t>ation and globali</w:t>
      </w:r>
      <w:r w:rsidR="00056BAE">
        <w:rPr>
          <w:rFonts w:ascii="Times New Roman" w:hAnsi="Times New Roman" w:cs="Times New Roman"/>
          <w:sz w:val="24"/>
          <w:szCs w:val="24"/>
        </w:rPr>
        <w:t>z</w:t>
      </w:r>
      <w:r w:rsidR="0022714C">
        <w:rPr>
          <w:rFonts w:ascii="Times New Roman" w:hAnsi="Times New Roman" w:cs="Times New Roman"/>
          <w:sz w:val="24"/>
          <w:szCs w:val="24"/>
        </w:rPr>
        <w:t>ation</w:t>
      </w:r>
      <w:r w:rsidR="000D103A">
        <w:rPr>
          <w:rFonts w:ascii="Times New Roman" w:hAnsi="Times New Roman" w:cs="Times New Roman"/>
          <w:sz w:val="24"/>
          <w:szCs w:val="24"/>
        </w:rPr>
        <w:t xml:space="preserve"> have</w:t>
      </w:r>
      <w:r w:rsidR="0022714C" w:rsidRPr="008529E4">
        <w:rPr>
          <w:rFonts w:ascii="Times New Roman" w:hAnsi="Times New Roman" w:cs="Times New Roman"/>
          <w:sz w:val="24"/>
          <w:szCs w:val="24"/>
        </w:rPr>
        <w:t xml:space="preserve"> pav</w:t>
      </w:r>
      <w:r w:rsidR="000D103A">
        <w:rPr>
          <w:rFonts w:ascii="Times New Roman" w:hAnsi="Times New Roman" w:cs="Times New Roman"/>
          <w:sz w:val="24"/>
          <w:szCs w:val="24"/>
        </w:rPr>
        <w:t>ed</w:t>
      </w:r>
      <w:r w:rsidR="00097A01">
        <w:rPr>
          <w:rFonts w:ascii="Times New Roman" w:hAnsi="Times New Roman" w:cs="Times New Roman"/>
          <w:sz w:val="24"/>
          <w:szCs w:val="24"/>
        </w:rPr>
        <w:t xml:space="preserve"> </w:t>
      </w:r>
      <w:r w:rsidR="002C0F87">
        <w:rPr>
          <w:rFonts w:ascii="Times New Roman" w:hAnsi="Times New Roman" w:cs="Times New Roman"/>
          <w:sz w:val="24"/>
          <w:szCs w:val="24"/>
        </w:rPr>
        <w:t xml:space="preserve">the </w:t>
      </w:r>
      <w:r w:rsidR="0022714C" w:rsidRPr="008529E4">
        <w:rPr>
          <w:rFonts w:ascii="Times New Roman" w:hAnsi="Times New Roman" w:cs="Times New Roman"/>
          <w:sz w:val="24"/>
          <w:szCs w:val="24"/>
        </w:rPr>
        <w:t xml:space="preserve">way for </w:t>
      </w:r>
      <w:r w:rsidR="00BA58F8">
        <w:rPr>
          <w:rFonts w:ascii="Times New Roman" w:hAnsi="Times New Roman" w:cs="Times New Roman"/>
          <w:sz w:val="24"/>
          <w:szCs w:val="24"/>
        </w:rPr>
        <w:t xml:space="preserve">the </w:t>
      </w:r>
      <w:r w:rsidR="0022714C" w:rsidRPr="008529E4">
        <w:rPr>
          <w:rFonts w:ascii="Times New Roman" w:hAnsi="Times New Roman" w:cs="Times New Roman"/>
          <w:sz w:val="24"/>
          <w:szCs w:val="24"/>
        </w:rPr>
        <w:t xml:space="preserve">cross-listing of stocks and </w:t>
      </w:r>
      <w:r w:rsidR="00BA58F8">
        <w:rPr>
          <w:rFonts w:ascii="Times New Roman" w:hAnsi="Times New Roman" w:cs="Times New Roman"/>
          <w:sz w:val="24"/>
          <w:szCs w:val="24"/>
        </w:rPr>
        <w:t xml:space="preserve">for </w:t>
      </w:r>
      <w:r w:rsidR="0022714C" w:rsidRPr="008529E4">
        <w:rPr>
          <w:rFonts w:ascii="Times New Roman" w:hAnsi="Times New Roman" w:cs="Times New Roman"/>
          <w:sz w:val="24"/>
          <w:szCs w:val="24"/>
        </w:rPr>
        <w:t>greater portfolio investment in the</w:t>
      </w:r>
      <w:r w:rsidR="0022714C">
        <w:rPr>
          <w:rFonts w:ascii="Times New Roman" w:hAnsi="Times New Roman" w:cs="Times New Roman"/>
          <w:sz w:val="24"/>
          <w:szCs w:val="24"/>
        </w:rPr>
        <w:t xml:space="preserve"> global</w:t>
      </w:r>
      <w:r w:rsidR="0022714C" w:rsidRPr="008529E4">
        <w:rPr>
          <w:rFonts w:ascii="Times New Roman" w:hAnsi="Times New Roman" w:cs="Times New Roman"/>
          <w:sz w:val="24"/>
          <w:szCs w:val="24"/>
        </w:rPr>
        <w:t xml:space="preserve"> stock markets</w:t>
      </w:r>
      <w:r w:rsidR="0022714C">
        <w:rPr>
          <w:rFonts w:ascii="Times New Roman" w:hAnsi="Times New Roman" w:cs="Times New Roman"/>
          <w:sz w:val="24"/>
          <w:szCs w:val="24"/>
        </w:rPr>
        <w:t>.</w:t>
      </w:r>
    </w:p>
    <w:p w:rsidR="0022714C" w:rsidRDefault="00034428" w:rsidP="00875518">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Of our three subperiods, this one</w:t>
      </w:r>
      <w:r w:rsidR="00B83C1C" w:rsidRPr="008529E4">
        <w:rPr>
          <w:rFonts w:ascii="Times New Roman" w:hAnsi="Times New Roman" w:cs="Times New Roman"/>
          <w:sz w:val="24"/>
          <w:szCs w:val="24"/>
        </w:rPr>
        <w:t xml:space="preserve"> witnessed the most </w:t>
      </w:r>
      <w:r w:rsidR="002C0F87">
        <w:rPr>
          <w:rFonts w:ascii="Times New Roman" w:hAnsi="Times New Roman" w:cs="Times New Roman"/>
          <w:sz w:val="24"/>
          <w:szCs w:val="24"/>
        </w:rPr>
        <w:t xml:space="preserve">prolonged cycles </w:t>
      </w:r>
      <w:r w:rsidR="00B83C1C" w:rsidRPr="008529E4">
        <w:rPr>
          <w:rFonts w:ascii="Times New Roman" w:hAnsi="Times New Roman" w:cs="Times New Roman"/>
          <w:sz w:val="24"/>
          <w:szCs w:val="24"/>
        </w:rPr>
        <w:t>of economic growth, reduced unemploy</w:t>
      </w:r>
      <w:r w:rsidR="00B83C1C">
        <w:rPr>
          <w:rFonts w:ascii="Times New Roman" w:hAnsi="Times New Roman" w:cs="Times New Roman"/>
          <w:sz w:val="24"/>
          <w:szCs w:val="24"/>
        </w:rPr>
        <w:t>ment</w:t>
      </w:r>
      <w:r>
        <w:rPr>
          <w:rFonts w:ascii="Times New Roman" w:hAnsi="Times New Roman" w:cs="Times New Roman"/>
          <w:sz w:val="24"/>
          <w:szCs w:val="24"/>
        </w:rPr>
        <w:t xml:space="preserve"> and</w:t>
      </w:r>
      <w:r w:rsidR="00B83C1C">
        <w:rPr>
          <w:rFonts w:ascii="Times New Roman" w:hAnsi="Times New Roman" w:cs="Times New Roman"/>
          <w:sz w:val="24"/>
          <w:szCs w:val="24"/>
        </w:rPr>
        <w:t xml:space="preserve"> low inflation</w:t>
      </w:r>
      <w:r w:rsidR="00B83C1C" w:rsidRPr="008529E4">
        <w:rPr>
          <w:rFonts w:ascii="Times New Roman" w:hAnsi="Times New Roman" w:cs="Times New Roman"/>
          <w:sz w:val="24"/>
          <w:szCs w:val="24"/>
        </w:rPr>
        <w:t xml:space="preserve"> in </w:t>
      </w:r>
      <w:r w:rsidR="00830F91">
        <w:rPr>
          <w:rFonts w:ascii="Times New Roman" w:hAnsi="Times New Roman" w:cs="Times New Roman"/>
          <w:sz w:val="24"/>
          <w:szCs w:val="24"/>
        </w:rPr>
        <w:t xml:space="preserve">both </w:t>
      </w:r>
      <w:r w:rsidR="00B83C1C" w:rsidRPr="008529E4">
        <w:rPr>
          <w:rFonts w:ascii="Times New Roman" w:hAnsi="Times New Roman" w:cs="Times New Roman"/>
          <w:sz w:val="24"/>
          <w:szCs w:val="24"/>
        </w:rPr>
        <w:t>the UK and US</w:t>
      </w:r>
      <w:r w:rsidR="00B83C1C">
        <w:rPr>
          <w:rFonts w:ascii="Times New Roman" w:hAnsi="Times New Roman" w:cs="Times New Roman"/>
          <w:sz w:val="24"/>
          <w:szCs w:val="24"/>
        </w:rPr>
        <w:t xml:space="preserve">. </w:t>
      </w:r>
      <w:r w:rsidR="00D47E54">
        <w:rPr>
          <w:rFonts w:ascii="Times New Roman" w:hAnsi="Times New Roman" w:cs="Times New Roman"/>
          <w:sz w:val="24"/>
          <w:szCs w:val="24"/>
        </w:rPr>
        <w:t xml:space="preserve">However, </w:t>
      </w:r>
      <w:r w:rsidR="0034662F">
        <w:rPr>
          <w:rFonts w:ascii="Times New Roman" w:hAnsi="Times New Roman" w:cs="Times New Roman"/>
          <w:sz w:val="24"/>
          <w:szCs w:val="24"/>
        </w:rPr>
        <w:t>Bordo</w:t>
      </w:r>
      <w:r w:rsidR="0096790A">
        <w:rPr>
          <w:rFonts w:ascii="Times New Roman" w:hAnsi="Times New Roman" w:cs="Times New Roman"/>
          <w:sz w:val="24"/>
          <w:szCs w:val="24"/>
        </w:rPr>
        <w:t xml:space="preserve">, Schwartz, </w:t>
      </w:r>
      <w:r w:rsidR="0067753A">
        <w:rPr>
          <w:rFonts w:ascii="Times New Roman" w:hAnsi="Times New Roman" w:cs="Times New Roman"/>
          <w:sz w:val="24"/>
          <w:szCs w:val="24"/>
        </w:rPr>
        <w:t>and</w:t>
      </w:r>
      <w:r w:rsidR="00097A01">
        <w:rPr>
          <w:rFonts w:ascii="Times New Roman" w:hAnsi="Times New Roman" w:cs="Times New Roman"/>
          <w:sz w:val="24"/>
          <w:szCs w:val="24"/>
        </w:rPr>
        <w:t xml:space="preserve"> </w:t>
      </w:r>
      <w:r w:rsidR="0096790A">
        <w:rPr>
          <w:rFonts w:ascii="Times New Roman" w:hAnsi="Times New Roman" w:cs="Times New Roman"/>
          <w:sz w:val="24"/>
          <w:szCs w:val="24"/>
        </w:rPr>
        <w:t>Darby</w:t>
      </w:r>
      <w:r w:rsidR="0034662F">
        <w:rPr>
          <w:rFonts w:ascii="Times New Roman" w:hAnsi="Times New Roman" w:cs="Times New Roman"/>
          <w:sz w:val="24"/>
          <w:szCs w:val="24"/>
        </w:rPr>
        <w:t xml:space="preserve"> (1989) argue</w:t>
      </w:r>
      <w:r w:rsidR="00086A7F">
        <w:rPr>
          <w:rFonts w:ascii="Times New Roman" w:hAnsi="Times New Roman" w:cs="Times New Roman"/>
          <w:sz w:val="24"/>
          <w:szCs w:val="24"/>
        </w:rPr>
        <w:t>d</w:t>
      </w:r>
      <w:r w:rsidR="00D47E54">
        <w:rPr>
          <w:rFonts w:ascii="Times New Roman" w:hAnsi="Times New Roman" w:cs="Times New Roman"/>
          <w:sz w:val="24"/>
          <w:szCs w:val="24"/>
        </w:rPr>
        <w:t xml:space="preserve"> that in the presence of capital mobility, currency substitution, </w:t>
      </w:r>
      <w:r w:rsidR="002C0F87">
        <w:rPr>
          <w:rFonts w:ascii="Times New Roman" w:hAnsi="Times New Roman" w:cs="Times New Roman"/>
          <w:sz w:val="24"/>
          <w:szCs w:val="24"/>
        </w:rPr>
        <w:t xml:space="preserve">economic </w:t>
      </w:r>
      <w:r w:rsidR="00D47E54">
        <w:rPr>
          <w:rFonts w:ascii="Times New Roman" w:hAnsi="Times New Roman" w:cs="Times New Roman"/>
          <w:sz w:val="24"/>
          <w:szCs w:val="24"/>
        </w:rPr>
        <w:t>policy reaction</w:t>
      </w:r>
      <w:r w:rsidR="004E46B6">
        <w:rPr>
          <w:rFonts w:ascii="Times New Roman" w:hAnsi="Times New Roman" w:cs="Times New Roman"/>
          <w:sz w:val="24"/>
          <w:szCs w:val="24"/>
        </w:rPr>
        <w:t>,</w:t>
      </w:r>
      <w:r w:rsidR="00D47E54">
        <w:rPr>
          <w:rFonts w:ascii="Times New Roman" w:hAnsi="Times New Roman" w:cs="Times New Roman"/>
          <w:sz w:val="24"/>
          <w:szCs w:val="24"/>
        </w:rPr>
        <w:t xml:space="preserve"> and interdependence, floating rates no longer necessarily provide insulation from either real or monetary shocks.</w:t>
      </w:r>
      <w:r w:rsidR="00097A01">
        <w:rPr>
          <w:rFonts w:ascii="Times New Roman" w:hAnsi="Times New Roman" w:cs="Times New Roman"/>
          <w:sz w:val="24"/>
          <w:szCs w:val="24"/>
        </w:rPr>
        <w:t xml:space="preserve"> </w:t>
      </w:r>
      <w:r w:rsidR="0023300A">
        <w:rPr>
          <w:rFonts w:ascii="Times New Roman" w:hAnsi="Times New Roman" w:cs="Times New Roman"/>
          <w:sz w:val="24"/>
          <w:szCs w:val="24"/>
        </w:rPr>
        <w:t>I</w:t>
      </w:r>
      <w:r w:rsidR="00D95817" w:rsidRPr="008529E4">
        <w:rPr>
          <w:rFonts w:ascii="Times New Roman" w:hAnsi="Times New Roman" w:cs="Times New Roman"/>
          <w:sz w:val="24"/>
          <w:szCs w:val="24"/>
        </w:rPr>
        <w:t>n the new paradigm</w:t>
      </w:r>
      <w:r w:rsidR="0023300A">
        <w:rPr>
          <w:rFonts w:ascii="Times New Roman" w:hAnsi="Times New Roman" w:cs="Times New Roman"/>
          <w:sz w:val="24"/>
          <w:szCs w:val="24"/>
        </w:rPr>
        <w:t>,</w:t>
      </w:r>
      <w:r w:rsidR="00097A01">
        <w:rPr>
          <w:rFonts w:ascii="Times New Roman" w:hAnsi="Times New Roman" w:cs="Times New Roman"/>
          <w:sz w:val="24"/>
          <w:szCs w:val="24"/>
        </w:rPr>
        <w:t xml:space="preserve"> </w:t>
      </w:r>
      <w:r w:rsidR="0023300A" w:rsidRPr="008529E4">
        <w:rPr>
          <w:rFonts w:ascii="Times New Roman" w:hAnsi="Times New Roman" w:cs="Times New Roman"/>
          <w:sz w:val="24"/>
          <w:szCs w:val="24"/>
        </w:rPr>
        <w:t xml:space="preserve">currency floats </w:t>
      </w:r>
      <w:r w:rsidR="00D95817" w:rsidRPr="008529E4">
        <w:rPr>
          <w:rFonts w:ascii="Times New Roman" w:hAnsi="Times New Roman" w:cs="Times New Roman"/>
          <w:sz w:val="24"/>
          <w:szCs w:val="24"/>
        </w:rPr>
        <w:t xml:space="preserve">act as an adjustment mechanism </w:t>
      </w:r>
      <w:r w:rsidR="004E46B6">
        <w:rPr>
          <w:rFonts w:ascii="Times New Roman" w:hAnsi="Times New Roman" w:cs="Times New Roman"/>
          <w:sz w:val="24"/>
          <w:szCs w:val="24"/>
        </w:rPr>
        <w:t xml:space="preserve">so </w:t>
      </w:r>
      <w:r w:rsidR="00D95817" w:rsidRPr="008529E4">
        <w:rPr>
          <w:rFonts w:ascii="Times New Roman" w:hAnsi="Times New Roman" w:cs="Times New Roman"/>
          <w:sz w:val="24"/>
          <w:szCs w:val="24"/>
        </w:rPr>
        <w:t xml:space="preserve">that macroeconomic policies </w:t>
      </w:r>
      <w:r w:rsidR="00D95817">
        <w:rPr>
          <w:rFonts w:ascii="Times New Roman" w:hAnsi="Times New Roman" w:cs="Times New Roman"/>
          <w:sz w:val="24"/>
          <w:szCs w:val="24"/>
        </w:rPr>
        <w:t>are</w:t>
      </w:r>
      <w:r w:rsidR="00D95817" w:rsidRPr="008529E4">
        <w:rPr>
          <w:rFonts w:ascii="Times New Roman" w:hAnsi="Times New Roman" w:cs="Times New Roman"/>
          <w:sz w:val="24"/>
          <w:szCs w:val="24"/>
        </w:rPr>
        <w:t xml:space="preserve"> geared towards controlling inflation, deepening financial markets</w:t>
      </w:r>
      <w:r w:rsidR="004E46B6">
        <w:rPr>
          <w:rFonts w:ascii="Times New Roman" w:hAnsi="Times New Roman" w:cs="Times New Roman"/>
          <w:sz w:val="24"/>
          <w:szCs w:val="24"/>
        </w:rPr>
        <w:t>,</w:t>
      </w:r>
      <w:r w:rsidR="00D95817" w:rsidRPr="008529E4">
        <w:rPr>
          <w:rFonts w:ascii="Times New Roman" w:hAnsi="Times New Roman" w:cs="Times New Roman"/>
          <w:sz w:val="24"/>
          <w:szCs w:val="24"/>
        </w:rPr>
        <w:t xml:space="preserve"> and </w:t>
      </w:r>
      <w:r w:rsidR="00D95817">
        <w:rPr>
          <w:rFonts w:ascii="Times New Roman" w:hAnsi="Times New Roman" w:cs="Times New Roman"/>
          <w:sz w:val="24"/>
          <w:szCs w:val="24"/>
        </w:rPr>
        <w:t>stimulating economic growth</w:t>
      </w:r>
      <w:r w:rsidR="009C7846">
        <w:rPr>
          <w:rFonts w:ascii="Times New Roman" w:hAnsi="Times New Roman" w:cs="Times New Roman"/>
          <w:sz w:val="24"/>
          <w:szCs w:val="24"/>
        </w:rPr>
        <w:t xml:space="preserve">. </w:t>
      </w:r>
      <w:r w:rsidR="006671C6">
        <w:rPr>
          <w:rFonts w:ascii="Times New Roman" w:hAnsi="Times New Roman" w:cs="Times New Roman"/>
          <w:sz w:val="24"/>
          <w:szCs w:val="24"/>
        </w:rPr>
        <w:t>Our</w:t>
      </w:r>
      <w:r w:rsidR="009C7846">
        <w:rPr>
          <w:rFonts w:ascii="Times New Roman" w:hAnsi="Times New Roman" w:cs="Times New Roman"/>
          <w:sz w:val="24"/>
          <w:szCs w:val="24"/>
        </w:rPr>
        <w:t xml:space="preserve"> final hypothesis </w:t>
      </w:r>
      <w:r w:rsidR="00A1719D">
        <w:rPr>
          <w:rFonts w:ascii="Times New Roman" w:hAnsi="Times New Roman" w:cs="Times New Roman"/>
          <w:sz w:val="24"/>
          <w:szCs w:val="24"/>
        </w:rPr>
        <w:t xml:space="preserve">is that international stock markets </w:t>
      </w:r>
      <w:r w:rsidR="00BA58F8">
        <w:rPr>
          <w:rFonts w:ascii="Times New Roman" w:hAnsi="Times New Roman" w:cs="Times New Roman"/>
          <w:sz w:val="24"/>
          <w:szCs w:val="24"/>
        </w:rPr>
        <w:t xml:space="preserve">have </w:t>
      </w:r>
      <w:r w:rsidR="00A1719D">
        <w:rPr>
          <w:rFonts w:ascii="Times New Roman" w:hAnsi="Times New Roman" w:cs="Times New Roman"/>
          <w:sz w:val="24"/>
          <w:szCs w:val="24"/>
        </w:rPr>
        <w:t xml:space="preserve">become more integrated under </w:t>
      </w:r>
      <w:r w:rsidR="00E157F7">
        <w:rPr>
          <w:rFonts w:ascii="Times New Roman" w:hAnsi="Times New Roman" w:cs="Times New Roman"/>
          <w:sz w:val="24"/>
          <w:szCs w:val="24"/>
        </w:rPr>
        <w:t>the</w:t>
      </w:r>
      <w:r w:rsidR="00097A01">
        <w:rPr>
          <w:rFonts w:ascii="Times New Roman" w:hAnsi="Times New Roman" w:cs="Times New Roman"/>
          <w:sz w:val="24"/>
          <w:szCs w:val="24"/>
        </w:rPr>
        <w:t xml:space="preserve"> </w:t>
      </w:r>
      <w:r w:rsidR="00A1719D">
        <w:rPr>
          <w:rFonts w:ascii="Times New Roman" w:hAnsi="Times New Roman" w:cs="Times New Roman"/>
          <w:sz w:val="24"/>
          <w:szCs w:val="24"/>
        </w:rPr>
        <w:t>post-B</w:t>
      </w:r>
      <w:r w:rsidR="003653CA">
        <w:rPr>
          <w:rFonts w:ascii="Times New Roman" w:hAnsi="Times New Roman" w:cs="Times New Roman"/>
          <w:sz w:val="24"/>
          <w:szCs w:val="24"/>
        </w:rPr>
        <w:t>W</w:t>
      </w:r>
      <w:r w:rsidR="00A1719D">
        <w:rPr>
          <w:rFonts w:ascii="Times New Roman" w:hAnsi="Times New Roman" w:cs="Times New Roman"/>
          <w:sz w:val="24"/>
          <w:szCs w:val="24"/>
        </w:rPr>
        <w:t xml:space="preserve"> system</w:t>
      </w:r>
      <w:r w:rsidR="00BA58F8">
        <w:rPr>
          <w:rFonts w:ascii="Times New Roman" w:hAnsi="Times New Roman" w:cs="Times New Roman"/>
          <w:sz w:val="24"/>
          <w:szCs w:val="24"/>
        </w:rPr>
        <w:t>,</w:t>
      </w:r>
      <w:r w:rsidR="00A1719D">
        <w:rPr>
          <w:rFonts w:ascii="Times New Roman" w:hAnsi="Times New Roman" w:cs="Times New Roman"/>
          <w:sz w:val="24"/>
          <w:szCs w:val="24"/>
        </w:rPr>
        <w:t xml:space="preserve"> characteri</w:t>
      </w:r>
      <w:r w:rsidR="00056BAE">
        <w:rPr>
          <w:rFonts w:ascii="Times New Roman" w:hAnsi="Times New Roman" w:cs="Times New Roman"/>
          <w:sz w:val="24"/>
          <w:szCs w:val="24"/>
        </w:rPr>
        <w:t>z</w:t>
      </w:r>
      <w:r w:rsidR="00A1719D">
        <w:rPr>
          <w:rFonts w:ascii="Times New Roman" w:hAnsi="Times New Roman" w:cs="Times New Roman"/>
          <w:sz w:val="24"/>
          <w:szCs w:val="24"/>
        </w:rPr>
        <w:t>ed by stronger economic ties, deepening financial liberali</w:t>
      </w:r>
      <w:r w:rsidR="00056BAE">
        <w:rPr>
          <w:rFonts w:ascii="Times New Roman" w:hAnsi="Times New Roman" w:cs="Times New Roman"/>
          <w:sz w:val="24"/>
          <w:szCs w:val="24"/>
        </w:rPr>
        <w:t>z</w:t>
      </w:r>
      <w:r w:rsidR="00A1719D">
        <w:rPr>
          <w:rFonts w:ascii="Times New Roman" w:hAnsi="Times New Roman" w:cs="Times New Roman"/>
          <w:sz w:val="24"/>
          <w:szCs w:val="24"/>
        </w:rPr>
        <w:t>ation</w:t>
      </w:r>
      <w:r w:rsidR="004E46B6">
        <w:rPr>
          <w:rFonts w:ascii="Times New Roman" w:hAnsi="Times New Roman" w:cs="Times New Roman"/>
          <w:sz w:val="24"/>
          <w:szCs w:val="24"/>
        </w:rPr>
        <w:t>,</w:t>
      </w:r>
      <w:r w:rsidR="00A1719D">
        <w:rPr>
          <w:rFonts w:ascii="Times New Roman" w:hAnsi="Times New Roman" w:cs="Times New Roman"/>
          <w:sz w:val="24"/>
          <w:szCs w:val="24"/>
        </w:rPr>
        <w:t xml:space="preserve"> and </w:t>
      </w:r>
      <w:r w:rsidR="00E157F7">
        <w:rPr>
          <w:rFonts w:ascii="Times New Roman" w:hAnsi="Times New Roman" w:cs="Times New Roman"/>
          <w:sz w:val="24"/>
          <w:szCs w:val="24"/>
        </w:rPr>
        <w:t>heightened</w:t>
      </w:r>
      <w:r w:rsidR="00097A01">
        <w:rPr>
          <w:rFonts w:ascii="Times New Roman" w:hAnsi="Times New Roman" w:cs="Times New Roman"/>
          <w:sz w:val="24"/>
          <w:szCs w:val="24"/>
        </w:rPr>
        <w:t xml:space="preserve"> </w:t>
      </w:r>
      <w:r w:rsidR="00A1719D">
        <w:rPr>
          <w:rFonts w:ascii="Times New Roman" w:hAnsi="Times New Roman" w:cs="Times New Roman"/>
          <w:sz w:val="24"/>
          <w:szCs w:val="24"/>
        </w:rPr>
        <w:t xml:space="preserve">market turbulence. </w:t>
      </w:r>
    </w:p>
    <w:p w:rsidR="00E029FF" w:rsidRDefault="00E029FF" w:rsidP="00AF6503">
      <w:pPr>
        <w:spacing w:after="0" w:line="480" w:lineRule="auto"/>
        <w:ind w:right="282" w:firstLine="720"/>
        <w:rPr>
          <w:rFonts w:ascii="Times New Roman" w:hAnsi="Times New Roman" w:cs="Times New Roman"/>
          <w:sz w:val="24"/>
          <w:szCs w:val="24"/>
        </w:rPr>
      </w:pPr>
    </w:p>
    <w:p w:rsidR="00166050" w:rsidRPr="003653CA" w:rsidRDefault="00593F1B" w:rsidP="00AF6503">
      <w:pPr>
        <w:pStyle w:val="Heading1"/>
        <w:numPr>
          <w:ilvl w:val="0"/>
          <w:numId w:val="35"/>
        </w:numPr>
        <w:spacing w:before="0" w:line="480" w:lineRule="auto"/>
        <w:ind w:left="0" w:right="282" w:firstLine="0"/>
        <w:rPr>
          <w:rFonts w:ascii="Times New Roman" w:hAnsi="Times New Roman" w:cs="Times New Roman"/>
          <w:color w:val="auto"/>
          <w:sz w:val="24"/>
          <w:szCs w:val="24"/>
        </w:rPr>
      </w:pPr>
      <w:r w:rsidRPr="003653CA">
        <w:rPr>
          <w:rFonts w:ascii="Times New Roman" w:hAnsi="Times New Roman" w:cs="Times New Roman"/>
          <w:color w:val="auto"/>
          <w:sz w:val="24"/>
          <w:szCs w:val="24"/>
        </w:rPr>
        <w:t xml:space="preserve">Macroeconomic </w:t>
      </w:r>
      <w:r w:rsidR="001B302F">
        <w:rPr>
          <w:rFonts w:ascii="Times New Roman" w:hAnsi="Times New Roman" w:cs="Times New Roman"/>
          <w:color w:val="auto"/>
          <w:sz w:val="24"/>
          <w:szCs w:val="24"/>
        </w:rPr>
        <w:t>c</w:t>
      </w:r>
      <w:r w:rsidR="00FE196B" w:rsidRPr="003653CA">
        <w:rPr>
          <w:rFonts w:ascii="Times New Roman" w:hAnsi="Times New Roman" w:cs="Times New Roman"/>
          <w:color w:val="auto"/>
          <w:sz w:val="24"/>
          <w:szCs w:val="24"/>
        </w:rPr>
        <w:t>onvergence</w:t>
      </w:r>
      <w:r w:rsidRPr="003653CA">
        <w:rPr>
          <w:rFonts w:ascii="Times New Roman" w:hAnsi="Times New Roman" w:cs="Times New Roman"/>
          <w:color w:val="auto"/>
          <w:sz w:val="24"/>
          <w:szCs w:val="24"/>
        </w:rPr>
        <w:t xml:space="preserve"> and </w:t>
      </w:r>
      <w:r w:rsidR="001B302F">
        <w:rPr>
          <w:rFonts w:ascii="Times New Roman" w:hAnsi="Times New Roman" w:cs="Times New Roman"/>
          <w:color w:val="auto"/>
          <w:sz w:val="24"/>
          <w:szCs w:val="24"/>
        </w:rPr>
        <w:t>f</w:t>
      </w:r>
      <w:r w:rsidRPr="003653CA">
        <w:rPr>
          <w:rFonts w:ascii="Times New Roman" w:hAnsi="Times New Roman" w:cs="Times New Roman"/>
          <w:color w:val="auto"/>
          <w:sz w:val="24"/>
          <w:szCs w:val="24"/>
        </w:rPr>
        <w:t xml:space="preserve">inancial </w:t>
      </w:r>
      <w:r w:rsidR="001B302F">
        <w:rPr>
          <w:rFonts w:ascii="Times New Roman" w:hAnsi="Times New Roman" w:cs="Times New Roman"/>
          <w:color w:val="auto"/>
          <w:sz w:val="24"/>
          <w:szCs w:val="24"/>
        </w:rPr>
        <w:t>v</w:t>
      </w:r>
      <w:r w:rsidRPr="003653CA">
        <w:rPr>
          <w:rFonts w:ascii="Times New Roman" w:hAnsi="Times New Roman" w:cs="Times New Roman"/>
          <w:color w:val="auto"/>
          <w:sz w:val="24"/>
          <w:szCs w:val="24"/>
        </w:rPr>
        <w:t>olatility</w:t>
      </w:r>
      <w:r w:rsidR="00043499" w:rsidRPr="003653CA">
        <w:rPr>
          <w:rFonts w:ascii="Times New Roman" w:hAnsi="Times New Roman" w:cs="Times New Roman"/>
          <w:color w:val="auto"/>
          <w:sz w:val="24"/>
          <w:szCs w:val="24"/>
        </w:rPr>
        <w:t xml:space="preserve">: </w:t>
      </w:r>
      <w:r w:rsidR="001B302F">
        <w:rPr>
          <w:rFonts w:ascii="Times New Roman" w:hAnsi="Times New Roman" w:cs="Times New Roman"/>
          <w:color w:val="auto"/>
          <w:sz w:val="24"/>
          <w:szCs w:val="24"/>
        </w:rPr>
        <w:t>t</w:t>
      </w:r>
      <w:r w:rsidR="00043499" w:rsidRPr="003653CA">
        <w:rPr>
          <w:rFonts w:ascii="Times New Roman" w:hAnsi="Times New Roman" w:cs="Times New Roman"/>
          <w:color w:val="auto"/>
          <w:sz w:val="24"/>
          <w:szCs w:val="24"/>
        </w:rPr>
        <w:t xml:space="preserve">heory and </w:t>
      </w:r>
      <w:r w:rsidR="001B302F">
        <w:rPr>
          <w:rFonts w:ascii="Times New Roman" w:hAnsi="Times New Roman" w:cs="Times New Roman"/>
          <w:color w:val="auto"/>
          <w:sz w:val="24"/>
          <w:szCs w:val="24"/>
        </w:rPr>
        <w:t>e</w:t>
      </w:r>
      <w:r w:rsidR="00043499" w:rsidRPr="003653CA">
        <w:rPr>
          <w:rFonts w:ascii="Times New Roman" w:hAnsi="Times New Roman" w:cs="Times New Roman"/>
          <w:color w:val="auto"/>
          <w:sz w:val="24"/>
          <w:szCs w:val="24"/>
        </w:rPr>
        <w:t>vidence</w:t>
      </w:r>
    </w:p>
    <w:p w:rsidR="00EA38F4" w:rsidRDefault="005C7501"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T</w:t>
      </w:r>
      <w:r w:rsidR="004A3410">
        <w:rPr>
          <w:rFonts w:ascii="Times New Roman" w:hAnsi="Times New Roman" w:cs="Times New Roman"/>
          <w:sz w:val="24"/>
          <w:szCs w:val="24"/>
        </w:rPr>
        <w:t xml:space="preserve">he convergence hypothesis suggests that with </w:t>
      </w:r>
      <w:r w:rsidR="005C5F5C">
        <w:rPr>
          <w:rFonts w:ascii="Times New Roman" w:hAnsi="Times New Roman" w:cs="Times New Roman"/>
          <w:sz w:val="24"/>
          <w:szCs w:val="24"/>
        </w:rPr>
        <w:t>stronger economic ties among countries</w:t>
      </w:r>
      <w:r w:rsidR="004A3410">
        <w:rPr>
          <w:rFonts w:ascii="Times New Roman" w:hAnsi="Times New Roman" w:cs="Times New Roman"/>
          <w:sz w:val="24"/>
          <w:szCs w:val="24"/>
        </w:rPr>
        <w:t>, we</w:t>
      </w:r>
      <w:r w:rsidR="009C545E">
        <w:rPr>
          <w:rFonts w:ascii="Times New Roman" w:hAnsi="Times New Roman" w:cs="Times New Roman"/>
          <w:sz w:val="24"/>
          <w:szCs w:val="24"/>
        </w:rPr>
        <w:t xml:space="preserve"> would</w:t>
      </w:r>
      <w:r w:rsidR="004A3410">
        <w:rPr>
          <w:rFonts w:ascii="Times New Roman" w:hAnsi="Times New Roman" w:cs="Times New Roman"/>
          <w:sz w:val="24"/>
          <w:szCs w:val="24"/>
        </w:rPr>
        <w:t xml:space="preserve"> expect </w:t>
      </w:r>
      <w:r w:rsidR="005C5F5C">
        <w:rPr>
          <w:rFonts w:ascii="Times New Roman" w:hAnsi="Times New Roman" w:cs="Times New Roman"/>
          <w:sz w:val="24"/>
          <w:szCs w:val="24"/>
        </w:rPr>
        <w:t xml:space="preserve">that the </w:t>
      </w:r>
      <w:r w:rsidR="004A3410">
        <w:rPr>
          <w:rFonts w:ascii="Times New Roman" w:hAnsi="Times New Roman" w:cs="Times New Roman"/>
          <w:sz w:val="24"/>
          <w:szCs w:val="24"/>
        </w:rPr>
        <w:t>synchroni</w:t>
      </w:r>
      <w:r w:rsidR="00056BAE">
        <w:rPr>
          <w:rFonts w:ascii="Times New Roman" w:hAnsi="Times New Roman" w:cs="Times New Roman"/>
          <w:sz w:val="24"/>
          <w:szCs w:val="24"/>
        </w:rPr>
        <w:t>z</w:t>
      </w:r>
      <w:r w:rsidR="004A3410">
        <w:rPr>
          <w:rFonts w:ascii="Times New Roman" w:hAnsi="Times New Roman" w:cs="Times New Roman"/>
          <w:sz w:val="24"/>
          <w:szCs w:val="24"/>
        </w:rPr>
        <w:t xml:space="preserve">ation </w:t>
      </w:r>
      <w:r w:rsidR="005C5F5C">
        <w:rPr>
          <w:rFonts w:ascii="Times New Roman" w:hAnsi="Times New Roman" w:cs="Times New Roman"/>
          <w:sz w:val="24"/>
          <w:szCs w:val="24"/>
        </w:rPr>
        <w:t>of</w:t>
      </w:r>
      <w:r w:rsidR="004A3410">
        <w:rPr>
          <w:rFonts w:ascii="Times New Roman" w:hAnsi="Times New Roman" w:cs="Times New Roman"/>
          <w:sz w:val="24"/>
          <w:szCs w:val="24"/>
        </w:rPr>
        <w:t xml:space="preserve"> business </w:t>
      </w:r>
      <w:r w:rsidR="00E01A52">
        <w:rPr>
          <w:rFonts w:ascii="Times New Roman" w:hAnsi="Times New Roman" w:cs="Times New Roman"/>
          <w:sz w:val="24"/>
          <w:szCs w:val="24"/>
        </w:rPr>
        <w:t>cycles,</w:t>
      </w:r>
      <w:r w:rsidR="004A3410">
        <w:rPr>
          <w:rFonts w:ascii="Times New Roman" w:hAnsi="Times New Roman" w:cs="Times New Roman"/>
          <w:sz w:val="24"/>
          <w:szCs w:val="24"/>
        </w:rPr>
        <w:t xml:space="preserve"> interest rates</w:t>
      </w:r>
      <w:r w:rsidR="004E46B6">
        <w:rPr>
          <w:rFonts w:ascii="Times New Roman" w:hAnsi="Times New Roman" w:cs="Times New Roman"/>
          <w:sz w:val="24"/>
          <w:szCs w:val="24"/>
        </w:rPr>
        <w:t>,</w:t>
      </w:r>
      <w:r w:rsidR="004A3410">
        <w:rPr>
          <w:rFonts w:ascii="Times New Roman" w:hAnsi="Times New Roman" w:cs="Times New Roman"/>
          <w:sz w:val="24"/>
          <w:szCs w:val="24"/>
        </w:rPr>
        <w:t xml:space="preserve"> and inflation </w:t>
      </w:r>
      <w:r w:rsidR="005C5F5C">
        <w:rPr>
          <w:rFonts w:ascii="Times New Roman" w:hAnsi="Times New Roman" w:cs="Times New Roman"/>
          <w:sz w:val="24"/>
          <w:szCs w:val="24"/>
        </w:rPr>
        <w:t xml:space="preserve">should </w:t>
      </w:r>
      <w:r w:rsidR="00E30FBF">
        <w:rPr>
          <w:rFonts w:ascii="Times New Roman" w:hAnsi="Times New Roman" w:cs="Times New Roman"/>
          <w:sz w:val="24"/>
          <w:szCs w:val="24"/>
        </w:rPr>
        <w:t xml:space="preserve">yield deeper </w:t>
      </w:r>
      <w:r w:rsidR="006721A0">
        <w:rPr>
          <w:rFonts w:ascii="Times New Roman" w:hAnsi="Times New Roman" w:cs="Times New Roman"/>
          <w:sz w:val="24"/>
          <w:szCs w:val="24"/>
        </w:rPr>
        <w:t>financial</w:t>
      </w:r>
      <w:r w:rsidR="005C5F5C">
        <w:rPr>
          <w:rFonts w:ascii="Times New Roman" w:hAnsi="Times New Roman" w:cs="Times New Roman"/>
          <w:sz w:val="24"/>
          <w:szCs w:val="24"/>
        </w:rPr>
        <w:t xml:space="preserve"> integration</w:t>
      </w:r>
      <w:r w:rsidR="00DE151D">
        <w:rPr>
          <w:rFonts w:ascii="Times New Roman" w:hAnsi="Times New Roman" w:cs="Times New Roman"/>
          <w:sz w:val="24"/>
          <w:szCs w:val="24"/>
        </w:rPr>
        <w:t xml:space="preserve"> over time</w:t>
      </w:r>
      <w:r w:rsidR="004A3410">
        <w:rPr>
          <w:rFonts w:ascii="Times New Roman" w:hAnsi="Times New Roman" w:cs="Times New Roman"/>
          <w:sz w:val="24"/>
          <w:szCs w:val="24"/>
        </w:rPr>
        <w:t xml:space="preserve"> (see Kose</w:t>
      </w:r>
      <w:r w:rsidR="00270E86">
        <w:rPr>
          <w:rFonts w:ascii="Times New Roman" w:hAnsi="Times New Roman" w:cs="Times New Roman"/>
          <w:sz w:val="24"/>
          <w:szCs w:val="24"/>
        </w:rPr>
        <w:t>, Otrok, &amp; Prasad</w:t>
      </w:r>
      <w:r w:rsidR="00B12241" w:rsidRPr="00B12241">
        <w:rPr>
          <w:rFonts w:ascii="Times New Roman" w:hAnsi="Times New Roman" w:cs="Times New Roman"/>
          <w:sz w:val="24"/>
          <w:szCs w:val="24"/>
        </w:rPr>
        <w:t>,</w:t>
      </w:r>
      <w:r w:rsidR="004A3410">
        <w:rPr>
          <w:rFonts w:ascii="Times New Roman" w:hAnsi="Times New Roman" w:cs="Times New Roman"/>
          <w:sz w:val="24"/>
          <w:szCs w:val="24"/>
        </w:rPr>
        <w:t xml:space="preserve"> 2012). </w:t>
      </w:r>
      <w:r w:rsidR="00E30FBF">
        <w:rPr>
          <w:rFonts w:ascii="Times New Roman" w:hAnsi="Times New Roman" w:cs="Times New Roman"/>
          <w:sz w:val="24"/>
          <w:szCs w:val="24"/>
        </w:rPr>
        <w:t>However, given the long time span of our data</w:t>
      </w:r>
      <w:r w:rsidR="004E46B6">
        <w:rPr>
          <w:rFonts w:ascii="Times New Roman" w:hAnsi="Times New Roman" w:cs="Times New Roman"/>
          <w:sz w:val="24"/>
          <w:szCs w:val="24"/>
        </w:rPr>
        <w:t>,</w:t>
      </w:r>
      <w:r w:rsidR="00097A01">
        <w:rPr>
          <w:rFonts w:ascii="Times New Roman" w:hAnsi="Times New Roman" w:cs="Times New Roman"/>
          <w:sz w:val="24"/>
          <w:szCs w:val="24"/>
        </w:rPr>
        <w:t xml:space="preserve"> </w:t>
      </w:r>
      <w:r w:rsidR="009C545E">
        <w:rPr>
          <w:rFonts w:ascii="Times New Roman" w:hAnsi="Times New Roman" w:cs="Times New Roman"/>
          <w:sz w:val="24"/>
          <w:szCs w:val="24"/>
        </w:rPr>
        <w:t xml:space="preserve">during which a </w:t>
      </w:r>
      <w:r w:rsidR="00E30FBF">
        <w:rPr>
          <w:rFonts w:ascii="Times New Roman" w:hAnsi="Times New Roman" w:cs="Times New Roman"/>
          <w:sz w:val="24"/>
          <w:szCs w:val="24"/>
        </w:rPr>
        <w:t xml:space="preserve">series of different monetary regimes </w:t>
      </w:r>
      <w:r w:rsidR="009C545E">
        <w:rPr>
          <w:rFonts w:ascii="Times New Roman" w:hAnsi="Times New Roman" w:cs="Times New Roman"/>
          <w:sz w:val="24"/>
          <w:szCs w:val="24"/>
        </w:rPr>
        <w:t xml:space="preserve">were </w:t>
      </w:r>
      <w:r w:rsidR="00E30FBF">
        <w:rPr>
          <w:rFonts w:ascii="Times New Roman" w:hAnsi="Times New Roman" w:cs="Times New Roman"/>
          <w:sz w:val="24"/>
          <w:szCs w:val="24"/>
        </w:rPr>
        <w:t xml:space="preserve">in place, </w:t>
      </w:r>
      <w:r w:rsidR="009C545E">
        <w:rPr>
          <w:rFonts w:ascii="Times New Roman" w:hAnsi="Times New Roman" w:cs="Times New Roman"/>
          <w:sz w:val="24"/>
          <w:szCs w:val="24"/>
        </w:rPr>
        <w:t xml:space="preserve">and </w:t>
      </w:r>
      <w:r w:rsidR="004E46B6">
        <w:rPr>
          <w:rFonts w:ascii="Times New Roman" w:hAnsi="Times New Roman" w:cs="Times New Roman"/>
          <w:sz w:val="24"/>
          <w:szCs w:val="24"/>
        </w:rPr>
        <w:t xml:space="preserve">given </w:t>
      </w:r>
      <w:r w:rsidR="00E30FBF">
        <w:rPr>
          <w:rFonts w:ascii="Times New Roman" w:hAnsi="Times New Roman" w:cs="Times New Roman"/>
          <w:sz w:val="24"/>
          <w:szCs w:val="24"/>
        </w:rPr>
        <w:t>the contribution of both real and financial variables, the process of financial integration</w:t>
      </w:r>
      <w:r w:rsidR="004E46B6">
        <w:rPr>
          <w:rFonts w:ascii="Times New Roman" w:hAnsi="Times New Roman" w:cs="Times New Roman"/>
          <w:sz w:val="24"/>
          <w:szCs w:val="24"/>
        </w:rPr>
        <w:t>, and therefore</w:t>
      </w:r>
      <w:r w:rsidR="00097A01">
        <w:rPr>
          <w:rFonts w:ascii="Times New Roman" w:hAnsi="Times New Roman" w:cs="Times New Roman"/>
          <w:sz w:val="24"/>
          <w:szCs w:val="24"/>
        </w:rPr>
        <w:t xml:space="preserve"> </w:t>
      </w:r>
      <w:r w:rsidR="005F2BB4" w:rsidRPr="008529E4">
        <w:rPr>
          <w:rFonts w:ascii="Times New Roman" w:hAnsi="Times New Roman" w:cs="Times New Roman"/>
          <w:sz w:val="24"/>
          <w:szCs w:val="24"/>
        </w:rPr>
        <w:t xml:space="preserve">the relationship between </w:t>
      </w:r>
      <w:r w:rsidR="005F2BB4">
        <w:rPr>
          <w:rFonts w:ascii="Times New Roman" w:hAnsi="Times New Roman" w:cs="Times New Roman"/>
          <w:sz w:val="24"/>
          <w:szCs w:val="24"/>
        </w:rPr>
        <w:t xml:space="preserve">the UK and US </w:t>
      </w:r>
      <w:r w:rsidR="005F2BB4" w:rsidRPr="008529E4">
        <w:rPr>
          <w:rFonts w:ascii="Times New Roman" w:hAnsi="Times New Roman" w:cs="Times New Roman"/>
          <w:sz w:val="24"/>
          <w:szCs w:val="24"/>
        </w:rPr>
        <w:t>stock markets</w:t>
      </w:r>
      <w:r w:rsidR="004E46B6">
        <w:rPr>
          <w:rFonts w:ascii="Times New Roman" w:hAnsi="Times New Roman" w:cs="Times New Roman"/>
          <w:sz w:val="24"/>
          <w:szCs w:val="24"/>
        </w:rPr>
        <w:t xml:space="preserve">, should vary </w:t>
      </w:r>
      <w:r w:rsidR="005F2BB4" w:rsidRPr="008529E4">
        <w:rPr>
          <w:rFonts w:ascii="Times New Roman" w:hAnsi="Times New Roman" w:cs="Times New Roman"/>
          <w:sz w:val="24"/>
          <w:szCs w:val="24"/>
        </w:rPr>
        <w:t>over time.</w:t>
      </w:r>
    </w:p>
    <w:p w:rsidR="00166050" w:rsidRPr="006853EA" w:rsidRDefault="00166050" w:rsidP="00AF6503">
      <w:pPr>
        <w:spacing w:after="0" w:line="480" w:lineRule="auto"/>
        <w:ind w:right="288" w:firstLine="720"/>
        <w:rPr>
          <w:rFonts w:ascii="Times New Roman" w:hAnsi="Times New Roman" w:cs="Times New Roman"/>
          <w:sz w:val="24"/>
          <w:szCs w:val="24"/>
        </w:rPr>
      </w:pPr>
      <w:r w:rsidRPr="006853EA">
        <w:rPr>
          <w:rFonts w:ascii="Times New Roman" w:hAnsi="Times New Roman" w:cs="Times New Roman"/>
          <w:sz w:val="24"/>
          <w:szCs w:val="24"/>
        </w:rPr>
        <w:lastRenderedPageBreak/>
        <w:t xml:space="preserve">In dynamic asset pricing models, the </w:t>
      </w:r>
      <w:r w:rsidR="0023300A">
        <w:rPr>
          <w:rFonts w:ascii="Times New Roman" w:hAnsi="Times New Roman" w:cs="Times New Roman"/>
          <w:sz w:val="24"/>
          <w:szCs w:val="24"/>
        </w:rPr>
        <w:t xml:space="preserve">future </w:t>
      </w:r>
      <w:r w:rsidRPr="006853EA">
        <w:rPr>
          <w:rFonts w:ascii="Times New Roman" w:hAnsi="Times New Roman" w:cs="Times New Roman"/>
          <w:sz w:val="24"/>
          <w:szCs w:val="24"/>
        </w:rPr>
        <w:t>state of the economy is the fundamental driver of time-varying expected stock returns (Neely</w:t>
      </w:r>
      <w:r w:rsidR="00270E86">
        <w:rPr>
          <w:rFonts w:ascii="Times New Roman" w:hAnsi="Times New Roman" w:cs="Times New Roman"/>
          <w:sz w:val="24"/>
          <w:szCs w:val="24"/>
        </w:rPr>
        <w:t>, Rapach, Tu, &amp; Zhou</w:t>
      </w:r>
      <w:r w:rsidRPr="008F6242">
        <w:rPr>
          <w:rFonts w:ascii="Times New Roman" w:hAnsi="Times New Roman" w:cs="Times New Roman"/>
          <w:sz w:val="24"/>
          <w:szCs w:val="24"/>
        </w:rPr>
        <w:t>,</w:t>
      </w:r>
      <w:r w:rsidRPr="006853EA">
        <w:rPr>
          <w:rFonts w:ascii="Times New Roman" w:hAnsi="Times New Roman" w:cs="Times New Roman"/>
          <w:sz w:val="24"/>
          <w:szCs w:val="24"/>
        </w:rPr>
        <w:t xml:space="preserve"> 2014). According to Pretorius (2002), </w:t>
      </w:r>
      <w:r w:rsidR="008B023F">
        <w:rPr>
          <w:rFonts w:ascii="Times New Roman" w:hAnsi="Times New Roman" w:cs="Times New Roman"/>
          <w:sz w:val="24"/>
          <w:szCs w:val="24"/>
        </w:rPr>
        <w:t xml:space="preserve">explanations of </w:t>
      </w:r>
      <w:r w:rsidRPr="006853EA">
        <w:rPr>
          <w:rFonts w:ascii="Times New Roman" w:hAnsi="Times New Roman" w:cs="Times New Roman"/>
          <w:sz w:val="24"/>
          <w:szCs w:val="24"/>
        </w:rPr>
        <w:t xml:space="preserve">stock market integration </w:t>
      </w:r>
      <w:r w:rsidR="008B023F">
        <w:rPr>
          <w:rFonts w:ascii="Times New Roman" w:hAnsi="Times New Roman" w:cs="Times New Roman"/>
          <w:sz w:val="24"/>
          <w:szCs w:val="24"/>
        </w:rPr>
        <w:t xml:space="preserve">fall into </w:t>
      </w:r>
      <w:r w:rsidRPr="006853EA">
        <w:rPr>
          <w:rFonts w:ascii="Times New Roman" w:hAnsi="Times New Roman" w:cs="Times New Roman"/>
          <w:sz w:val="24"/>
          <w:szCs w:val="24"/>
        </w:rPr>
        <w:t xml:space="preserve">three categories. The first </w:t>
      </w:r>
      <w:r w:rsidR="006671C6">
        <w:rPr>
          <w:rFonts w:ascii="Times New Roman" w:hAnsi="Times New Roman" w:cs="Times New Roman"/>
          <w:sz w:val="24"/>
          <w:szCs w:val="24"/>
        </w:rPr>
        <w:t>posits</w:t>
      </w:r>
      <w:r w:rsidR="008B023F">
        <w:rPr>
          <w:rFonts w:ascii="Times New Roman" w:hAnsi="Times New Roman" w:cs="Times New Roman"/>
          <w:sz w:val="24"/>
          <w:szCs w:val="24"/>
        </w:rPr>
        <w:t xml:space="preserve"> a </w:t>
      </w:r>
      <w:r w:rsidR="004D3862">
        <w:rPr>
          <w:rFonts w:ascii="Times New Roman" w:hAnsi="Times New Roman" w:cs="Times New Roman"/>
          <w:sz w:val="24"/>
          <w:szCs w:val="24"/>
        </w:rPr>
        <w:t>“</w:t>
      </w:r>
      <w:r w:rsidRPr="00AF6503">
        <w:rPr>
          <w:rFonts w:ascii="Times New Roman" w:hAnsi="Times New Roman" w:cs="Times New Roman"/>
          <w:sz w:val="24"/>
          <w:szCs w:val="24"/>
        </w:rPr>
        <w:t>contagion</w:t>
      </w:r>
      <w:r w:rsidR="004D3862">
        <w:rPr>
          <w:rFonts w:ascii="Times New Roman" w:hAnsi="Times New Roman" w:cs="Times New Roman"/>
          <w:sz w:val="24"/>
          <w:szCs w:val="24"/>
        </w:rPr>
        <w:t>”</w:t>
      </w:r>
      <w:r w:rsidRPr="006853EA">
        <w:rPr>
          <w:rFonts w:ascii="Times New Roman" w:hAnsi="Times New Roman" w:cs="Times New Roman"/>
          <w:sz w:val="24"/>
          <w:szCs w:val="24"/>
        </w:rPr>
        <w:t xml:space="preserve"> effect</w:t>
      </w:r>
      <w:r w:rsidR="00097A01">
        <w:rPr>
          <w:rFonts w:ascii="Times New Roman" w:hAnsi="Times New Roman" w:cs="Times New Roman"/>
          <w:sz w:val="24"/>
          <w:szCs w:val="24"/>
        </w:rPr>
        <w:t xml:space="preserve"> </w:t>
      </w:r>
      <w:r w:rsidRPr="006853EA">
        <w:rPr>
          <w:rFonts w:ascii="Times New Roman" w:hAnsi="Times New Roman" w:cs="Times New Roman"/>
          <w:sz w:val="24"/>
          <w:szCs w:val="24"/>
        </w:rPr>
        <w:t>that is unexplained by economic fundamentals. The second</w:t>
      </w:r>
      <w:r w:rsidR="00097A01">
        <w:rPr>
          <w:rFonts w:ascii="Times New Roman" w:hAnsi="Times New Roman" w:cs="Times New Roman"/>
          <w:sz w:val="24"/>
          <w:szCs w:val="24"/>
        </w:rPr>
        <w:t xml:space="preserve"> </w:t>
      </w:r>
      <w:r w:rsidR="00FE51D4">
        <w:rPr>
          <w:rFonts w:ascii="Times New Roman" w:hAnsi="Times New Roman" w:cs="Times New Roman"/>
          <w:sz w:val="24"/>
          <w:szCs w:val="24"/>
        </w:rPr>
        <w:t xml:space="preserve">refers to </w:t>
      </w:r>
      <w:r w:rsidR="00E029FF">
        <w:rPr>
          <w:rFonts w:ascii="Times New Roman" w:hAnsi="Times New Roman" w:cs="Times New Roman"/>
          <w:sz w:val="24"/>
          <w:szCs w:val="24"/>
        </w:rPr>
        <w:t xml:space="preserve">the </w:t>
      </w:r>
      <w:r w:rsidR="004D3862">
        <w:rPr>
          <w:rFonts w:ascii="Times New Roman" w:hAnsi="Times New Roman" w:cs="Times New Roman"/>
          <w:sz w:val="24"/>
          <w:szCs w:val="24"/>
        </w:rPr>
        <w:t>“</w:t>
      </w:r>
      <w:r w:rsidRPr="00AF6503">
        <w:rPr>
          <w:rFonts w:ascii="Times New Roman" w:hAnsi="Times New Roman" w:cs="Times New Roman"/>
          <w:sz w:val="24"/>
          <w:szCs w:val="24"/>
        </w:rPr>
        <w:t>economic integration</w:t>
      </w:r>
      <w:r w:rsidR="004D3862">
        <w:rPr>
          <w:rFonts w:ascii="Times New Roman" w:hAnsi="Times New Roman" w:cs="Times New Roman"/>
          <w:sz w:val="24"/>
          <w:szCs w:val="24"/>
        </w:rPr>
        <w:t>”</w:t>
      </w:r>
      <w:r w:rsidRPr="006853EA">
        <w:rPr>
          <w:rFonts w:ascii="Times New Roman" w:hAnsi="Times New Roman" w:cs="Times New Roman"/>
          <w:sz w:val="24"/>
          <w:szCs w:val="24"/>
        </w:rPr>
        <w:t xml:space="preserve"> of </w:t>
      </w:r>
      <w:r w:rsidR="00E029FF">
        <w:rPr>
          <w:rFonts w:ascii="Times New Roman" w:hAnsi="Times New Roman" w:cs="Times New Roman"/>
          <w:sz w:val="24"/>
          <w:szCs w:val="24"/>
        </w:rPr>
        <w:t xml:space="preserve">the </w:t>
      </w:r>
      <w:r w:rsidRPr="006853EA">
        <w:rPr>
          <w:rFonts w:ascii="Times New Roman" w:hAnsi="Times New Roman" w:cs="Times New Roman"/>
          <w:sz w:val="24"/>
          <w:szCs w:val="24"/>
        </w:rPr>
        <w:t>two economies (e.g.</w:t>
      </w:r>
      <w:r w:rsidR="004D3862">
        <w:rPr>
          <w:rFonts w:ascii="Times New Roman" w:hAnsi="Times New Roman" w:cs="Times New Roman"/>
          <w:sz w:val="24"/>
          <w:szCs w:val="24"/>
        </w:rPr>
        <w:t>,</w:t>
      </w:r>
      <w:r w:rsidR="00097A01">
        <w:rPr>
          <w:rFonts w:ascii="Times New Roman" w:hAnsi="Times New Roman" w:cs="Times New Roman"/>
          <w:sz w:val="24"/>
          <w:szCs w:val="24"/>
        </w:rPr>
        <w:t xml:space="preserve"> </w:t>
      </w:r>
      <w:r w:rsidR="00705E11">
        <w:rPr>
          <w:rFonts w:ascii="Times New Roman" w:hAnsi="Times New Roman" w:cs="Times New Roman"/>
          <w:sz w:val="24"/>
          <w:szCs w:val="24"/>
        </w:rPr>
        <w:t xml:space="preserve">industrial output, </w:t>
      </w:r>
      <w:r w:rsidRPr="006853EA">
        <w:rPr>
          <w:rFonts w:ascii="Times New Roman" w:hAnsi="Times New Roman" w:cs="Times New Roman"/>
          <w:sz w:val="24"/>
          <w:szCs w:val="24"/>
        </w:rPr>
        <w:t>interest rates, inflation</w:t>
      </w:r>
      <w:r w:rsidR="004D3862">
        <w:rPr>
          <w:rFonts w:ascii="Times New Roman" w:hAnsi="Times New Roman" w:cs="Times New Roman"/>
          <w:sz w:val="24"/>
          <w:szCs w:val="24"/>
        </w:rPr>
        <w:t>,</w:t>
      </w:r>
      <w:r w:rsidRPr="006853EA">
        <w:rPr>
          <w:rFonts w:ascii="Times New Roman" w:hAnsi="Times New Roman" w:cs="Times New Roman"/>
          <w:sz w:val="24"/>
          <w:szCs w:val="24"/>
        </w:rPr>
        <w:t xml:space="preserve"> and other macroeconomic factors). The </w:t>
      </w:r>
      <w:r w:rsidR="00044A70">
        <w:rPr>
          <w:rFonts w:ascii="Times New Roman" w:hAnsi="Times New Roman" w:cs="Times New Roman"/>
          <w:sz w:val="24"/>
          <w:szCs w:val="24"/>
        </w:rPr>
        <w:t xml:space="preserve">third </w:t>
      </w:r>
      <w:r w:rsidR="00E029FF">
        <w:rPr>
          <w:rFonts w:ascii="Times New Roman" w:hAnsi="Times New Roman" w:cs="Times New Roman"/>
          <w:sz w:val="24"/>
          <w:szCs w:val="24"/>
        </w:rPr>
        <w:t>focus</w:t>
      </w:r>
      <w:r w:rsidR="000976B6">
        <w:rPr>
          <w:rFonts w:ascii="Times New Roman" w:hAnsi="Times New Roman" w:cs="Times New Roman"/>
          <w:sz w:val="24"/>
          <w:szCs w:val="24"/>
        </w:rPr>
        <w:t>es</w:t>
      </w:r>
      <w:r w:rsidR="00E029FF">
        <w:rPr>
          <w:rFonts w:ascii="Times New Roman" w:hAnsi="Times New Roman" w:cs="Times New Roman"/>
          <w:sz w:val="24"/>
          <w:szCs w:val="24"/>
        </w:rPr>
        <w:t xml:space="preserve"> on “</w:t>
      </w:r>
      <w:r w:rsidRPr="00AF6503">
        <w:rPr>
          <w:rFonts w:ascii="Times New Roman" w:hAnsi="Times New Roman" w:cs="Times New Roman"/>
          <w:sz w:val="24"/>
          <w:szCs w:val="24"/>
        </w:rPr>
        <w:t>stock market characteristics</w:t>
      </w:r>
      <w:r w:rsidR="00E029FF">
        <w:rPr>
          <w:rFonts w:ascii="Times New Roman" w:hAnsi="Times New Roman" w:cs="Times New Roman"/>
          <w:sz w:val="24"/>
          <w:szCs w:val="24"/>
        </w:rPr>
        <w:t>”</w:t>
      </w:r>
      <w:r w:rsidRPr="006853EA">
        <w:rPr>
          <w:rFonts w:ascii="Times New Roman" w:hAnsi="Times New Roman" w:cs="Times New Roman"/>
          <w:sz w:val="24"/>
          <w:szCs w:val="24"/>
        </w:rPr>
        <w:t xml:space="preserve"> such as industrial similarity, market volatility</w:t>
      </w:r>
      <w:r w:rsidR="00E029FF">
        <w:rPr>
          <w:rFonts w:ascii="Times New Roman" w:hAnsi="Times New Roman" w:cs="Times New Roman"/>
          <w:sz w:val="24"/>
          <w:szCs w:val="24"/>
        </w:rPr>
        <w:t>,</w:t>
      </w:r>
      <w:r w:rsidRPr="006853EA">
        <w:rPr>
          <w:rFonts w:ascii="Times New Roman" w:hAnsi="Times New Roman" w:cs="Times New Roman"/>
          <w:sz w:val="24"/>
          <w:szCs w:val="24"/>
        </w:rPr>
        <w:t xml:space="preserve"> and market size.</w:t>
      </w:r>
      <w:r w:rsidR="00097A01">
        <w:rPr>
          <w:rFonts w:ascii="Times New Roman" w:hAnsi="Times New Roman" w:cs="Times New Roman"/>
          <w:sz w:val="24"/>
          <w:szCs w:val="24"/>
        </w:rPr>
        <w:t xml:space="preserve"> </w:t>
      </w:r>
      <w:r w:rsidR="00BF23FB">
        <w:rPr>
          <w:rFonts w:ascii="Times New Roman" w:hAnsi="Times New Roman" w:cs="Times New Roman"/>
          <w:sz w:val="24"/>
          <w:szCs w:val="24"/>
        </w:rPr>
        <w:t>In this</w:t>
      </w:r>
      <w:r w:rsidR="00D63004">
        <w:rPr>
          <w:rFonts w:ascii="Times New Roman" w:hAnsi="Times New Roman" w:cs="Times New Roman"/>
          <w:sz w:val="24"/>
          <w:szCs w:val="24"/>
        </w:rPr>
        <w:t xml:space="preserve"> study</w:t>
      </w:r>
      <w:r w:rsidR="00BF23FB">
        <w:rPr>
          <w:rFonts w:ascii="Times New Roman" w:hAnsi="Times New Roman" w:cs="Times New Roman"/>
          <w:sz w:val="24"/>
          <w:szCs w:val="24"/>
        </w:rPr>
        <w:t xml:space="preserve">, we </w:t>
      </w:r>
      <w:r w:rsidR="00D57257">
        <w:rPr>
          <w:rFonts w:ascii="Times New Roman" w:hAnsi="Times New Roman" w:cs="Times New Roman"/>
          <w:sz w:val="24"/>
          <w:szCs w:val="24"/>
        </w:rPr>
        <w:t xml:space="preserve">provide theoretical </w:t>
      </w:r>
      <w:r w:rsidR="00E029FF">
        <w:rPr>
          <w:rFonts w:ascii="Times New Roman" w:hAnsi="Times New Roman" w:cs="Times New Roman"/>
          <w:sz w:val="24"/>
          <w:szCs w:val="24"/>
        </w:rPr>
        <w:t xml:space="preserve">reasoning </w:t>
      </w:r>
      <w:r w:rsidR="00D57257">
        <w:rPr>
          <w:rFonts w:ascii="Times New Roman" w:hAnsi="Times New Roman" w:cs="Times New Roman"/>
          <w:sz w:val="24"/>
          <w:szCs w:val="24"/>
        </w:rPr>
        <w:t>and</w:t>
      </w:r>
      <w:r w:rsidR="00D63004">
        <w:rPr>
          <w:rFonts w:ascii="Times New Roman" w:hAnsi="Times New Roman" w:cs="Times New Roman"/>
          <w:sz w:val="24"/>
          <w:szCs w:val="24"/>
        </w:rPr>
        <w:t xml:space="preserve"> empirical </w:t>
      </w:r>
      <w:r w:rsidR="00D57257">
        <w:rPr>
          <w:rFonts w:ascii="Times New Roman" w:hAnsi="Times New Roman" w:cs="Times New Roman"/>
          <w:sz w:val="24"/>
          <w:szCs w:val="24"/>
        </w:rPr>
        <w:t xml:space="preserve">evidence </w:t>
      </w:r>
      <w:r w:rsidR="00E029FF">
        <w:rPr>
          <w:rFonts w:ascii="Times New Roman" w:hAnsi="Times New Roman" w:cs="Times New Roman"/>
          <w:sz w:val="24"/>
          <w:szCs w:val="24"/>
        </w:rPr>
        <w:t xml:space="preserve">that </w:t>
      </w:r>
      <w:r w:rsidR="00EB6C88">
        <w:rPr>
          <w:rFonts w:ascii="Times New Roman" w:hAnsi="Times New Roman" w:cs="Times New Roman"/>
          <w:sz w:val="24"/>
          <w:szCs w:val="24"/>
        </w:rPr>
        <w:t>macroeconomic convergence</w:t>
      </w:r>
      <w:r w:rsidR="00097A01">
        <w:rPr>
          <w:rFonts w:ascii="Times New Roman" w:hAnsi="Times New Roman" w:cs="Times New Roman"/>
          <w:sz w:val="24"/>
          <w:szCs w:val="24"/>
        </w:rPr>
        <w:t xml:space="preserve"> </w:t>
      </w:r>
      <w:r w:rsidR="009C545E">
        <w:rPr>
          <w:rFonts w:ascii="Times New Roman" w:hAnsi="Times New Roman" w:cs="Times New Roman"/>
          <w:sz w:val="24"/>
          <w:szCs w:val="24"/>
        </w:rPr>
        <w:t xml:space="preserve">and </w:t>
      </w:r>
      <w:r w:rsidR="00EB6C88">
        <w:rPr>
          <w:rFonts w:ascii="Times New Roman" w:hAnsi="Times New Roman" w:cs="Times New Roman"/>
          <w:sz w:val="24"/>
          <w:szCs w:val="24"/>
        </w:rPr>
        <w:t>financial volatility</w:t>
      </w:r>
      <w:r w:rsidR="00E029FF">
        <w:rPr>
          <w:rFonts w:ascii="Times New Roman" w:hAnsi="Times New Roman" w:cs="Times New Roman"/>
          <w:sz w:val="24"/>
          <w:szCs w:val="24"/>
        </w:rPr>
        <w:t>,</w:t>
      </w:r>
      <w:r w:rsidR="00CB1701">
        <w:rPr>
          <w:rFonts w:ascii="Times New Roman" w:hAnsi="Times New Roman" w:cs="Times New Roman"/>
          <w:sz w:val="24"/>
          <w:szCs w:val="24"/>
        </w:rPr>
        <w:t xml:space="preserve"> as </w:t>
      </w:r>
      <w:r w:rsidR="006A6E83">
        <w:rPr>
          <w:rFonts w:ascii="Times New Roman" w:hAnsi="Times New Roman" w:cs="Times New Roman"/>
          <w:sz w:val="24"/>
          <w:szCs w:val="24"/>
        </w:rPr>
        <w:t>well</w:t>
      </w:r>
      <w:r w:rsidR="00705E11">
        <w:rPr>
          <w:rFonts w:ascii="Times New Roman" w:hAnsi="Times New Roman" w:cs="Times New Roman"/>
          <w:sz w:val="24"/>
          <w:szCs w:val="24"/>
        </w:rPr>
        <w:t xml:space="preserve"> as</w:t>
      </w:r>
      <w:r w:rsidR="006A6E83">
        <w:rPr>
          <w:rFonts w:ascii="Times New Roman" w:hAnsi="Times New Roman" w:cs="Times New Roman"/>
          <w:sz w:val="24"/>
          <w:szCs w:val="24"/>
        </w:rPr>
        <w:t xml:space="preserve"> crisis</w:t>
      </w:r>
      <w:r w:rsidR="00EB6C88">
        <w:rPr>
          <w:rFonts w:ascii="Times New Roman" w:hAnsi="Times New Roman" w:cs="Times New Roman"/>
          <w:sz w:val="24"/>
          <w:szCs w:val="24"/>
        </w:rPr>
        <w:t xml:space="preserve"> episodes</w:t>
      </w:r>
      <w:r w:rsidR="00E029FF">
        <w:rPr>
          <w:rFonts w:ascii="Times New Roman" w:hAnsi="Times New Roman" w:cs="Times New Roman"/>
          <w:sz w:val="24"/>
          <w:szCs w:val="24"/>
        </w:rPr>
        <w:t>,</w:t>
      </w:r>
      <w:r w:rsidR="00097A01">
        <w:rPr>
          <w:rFonts w:ascii="Times New Roman" w:hAnsi="Times New Roman" w:cs="Times New Roman"/>
          <w:sz w:val="24"/>
          <w:szCs w:val="24"/>
        </w:rPr>
        <w:t xml:space="preserve"> </w:t>
      </w:r>
      <w:r w:rsidR="00D63004">
        <w:rPr>
          <w:rFonts w:ascii="Times New Roman" w:hAnsi="Times New Roman" w:cs="Times New Roman"/>
          <w:sz w:val="24"/>
          <w:szCs w:val="24"/>
        </w:rPr>
        <w:t xml:space="preserve">explain the integration between the UK and US </w:t>
      </w:r>
      <w:r w:rsidR="00CB1701">
        <w:rPr>
          <w:rFonts w:ascii="Times New Roman" w:hAnsi="Times New Roman" w:cs="Times New Roman"/>
          <w:sz w:val="24"/>
          <w:szCs w:val="24"/>
        </w:rPr>
        <w:t xml:space="preserve">stock </w:t>
      </w:r>
      <w:r w:rsidR="00D63004">
        <w:rPr>
          <w:rFonts w:ascii="Times New Roman" w:hAnsi="Times New Roman" w:cs="Times New Roman"/>
          <w:sz w:val="24"/>
          <w:szCs w:val="24"/>
        </w:rPr>
        <w:t>markets</w:t>
      </w:r>
      <w:r w:rsidR="00FC7BCD">
        <w:rPr>
          <w:rFonts w:ascii="Times New Roman" w:hAnsi="Times New Roman" w:cs="Times New Roman"/>
          <w:sz w:val="24"/>
          <w:szCs w:val="24"/>
        </w:rPr>
        <w:t>.</w:t>
      </w:r>
    </w:p>
    <w:p w:rsidR="00166050" w:rsidRPr="00AF6503" w:rsidRDefault="00207337" w:rsidP="00AF6503">
      <w:pPr>
        <w:spacing w:after="0" w:line="480" w:lineRule="auto"/>
        <w:ind w:right="282"/>
        <w:rPr>
          <w:rFonts w:ascii="Times New Roman" w:hAnsi="Times New Roman" w:cs="Times New Roman"/>
          <w:i/>
          <w:sz w:val="24"/>
          <w:szCs w:val="24"/>
        </w:rPr>
      </w:pPr>
      <w:r w:rsidRPr="00AF6503">
        <w:rPr>
          <w:rFonts w:ascii="Times New Roman" w:hAnsi="Times New Roman" w:cs="Times New Roman"/>
          <w:i/>
          <w:sz w:val="24"/>
          <w:szCs w:val="24"/>
        </w:rPr>
        <w:t>3.1</w:t>
      </w:r>
      <w:r w:rsidR="007F2EF3">
        <w:rPr>
          <w:rFonts w:ascii="Times New Roman" w:hAnsi="Times New Roman" w:cs="Times New Roman"/>
          <w:i/>
          <w:sz w:val="24"/>
          <w:szCs w:val="24"/>
        </w:rPr>
        <w:t>.</w:t>
      </w:r>
      <w:r w:rsidR="00552618" w:rsidRPr="00AF6503">
        <w:rPr>
          <w:rFonts w:ascii="Times New Roman" w:hAnsi="Times New Roman" w:cs="Times New Roman"/>
          <w:i/>
          <w:sz w:val="24"/>
          <w:szCs w:val="24"/>
        </w:rPr>
        <w:tab/>
      </w:r>
      <w:r w:rsidRPr="00AF6503">
        <w:rPr>
          <w:rFonts w:ascii="Times New Roman" w:hAnsi="Times New Roman" w:cs="Times New Roman"/>
          <w:i/>
          <w:sz w:val="24"/>
          <w:szCs w:val="24"/>
        </w:rPr>
        <w:t xml:space="preserve">Macroeconomic </w:t>
      </w:r>
      <w:r w:rsidR="0075422D">
        <w:rPr>
          <w:rFonts w:ascii="Times New Roman" w:hAnsi="Times New Roman" w:cs="Times New Roman"/>
          <w:i/>
          <w:sz w:val="24"/>
          <w:szCs w:val="24"/>
        </w:rPr>
        <w:t>c</w:t>
      </w:r>
      <w:r w:rsidRPr="00AF6503">
        <w:rPr>
          <w:rFonts w:ascii="Times New Roman" w:hAnsi="Times New Roman" w:cs="Times New Roman"/>
          <w:i/>
          <w:sz w:val="24"/>
          <w:szCs w:val="24"/>
        </w:rPr>
        <w:t>onvergence</w:t>
      </w:r>
    </w:p>
    <w:p w:rsidR="00166050"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3.1.1. </w:t>
      </w:r>
      <w:r w:rsidR="00166050" w:rsidRPr="00AF6503">
        <w:rPr>
          <w:rFonts w:ascii="Times New Roman" w:hAnsi="Times New Roman" w:cs="Times New Roman"/>
          <w:i/>
          <w:sz w:val="24"/>
          <w:szCs w:val="24"/>
        </w:rPr>
        <w:t xml:space="preserve">Business </w:t>
      </w:r>
      <w:r w:rsidR="0075422D">
        <w:rPr>
          <w:rFonts w:ascii="Times New Roman" w:hAnsi="Times New Roman" w:cs="Times New Roman"/>
          <w:i/>
          <w:sz w:val="24"/>
          <w:szCs w:val="24"/>
        </w:rPr>
        <w:t>c</w:t>
      </w:r>
      <w:r w:rsidR="00166050" w:rsidRPr="00AF6503">
        <w:rPr>
          <w:rFonts w:ascii="Times New Roman" w:hAnsi="Times New Roman" w:cs="Times New Roman"/>
          <w:i/>
          <w:sz w:val="24"/>
          <w:szCs w:val="24"/>
        </w:rPr>
        <w:t xml:space="preserve">ycle </w:t>
      </w:r>
      <w:r w:rsidR="0075422D">
        <w:rPr>
          <w:rFonts w:ascii="Times New Roman" w:hAnsi="Times New Roman" w:cs="Times New Roman"/>
          <w:i/>
          <w:sz w:val="24"/>
          <w:szCs w:val="24"/>
        </w:rPr>
        <w:t>c</w:t>
      </w:r>
      <w:r w:rsidR="00166050" w:rsidRPr="00AF6503">
        <w:rPr>
          <w:rFonts w:ascii="Times New Roman" w:hAnsi="Times New Roman" w:cs="Times New Roman"/>
          <w:i/>
          <w:sz w:val="24"/>
          <w:szCs w:val="24"/>
        </w:rPr>
        <w:t>onvergence</w:t>
      </w:r>
    </w:p>
    <w:p w:rsidR="00166050" w:rsidRPr="006853EA" w:rsidRDefault="006671C6"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We use g</w:t>
      </w:r>
      <w:r w:rsidR="00166050" w:rsidRPr="006853EA">
        <w:rPr>
          <w:rFonts w:ascii="Times New Roman" w:hAnsi="Times New Roman" w:cs="Times New Roman"/>
          <w:sz w:val="24"/>
          <w:szCs w:val="24"/>
        </w:rPr>
        <w:t>rowth rates in industrial production as a proxy for business cycle convergence. According to Kim</w:t>
      </w:r>
      <w:r w:rsidR="00270E86">
        <w:rPr>
          <w:rFonts w:ascii="Times New Roman" w:hAnsi="Times New Roman" w:cs="Times New Roman"/>
          <w:sz w:val="24"/>
          <w:szCs w:val="24"/>
        </w:rPr>
        <w:t>, Moshirian, and Wu</w:t>
      </w:r>
      <w:r w:rsidR="00166050" w:rsidRPr="006853EA">
        <w:rPr>
          <w:rFonts w:ascii="Times New Roman" w:hAnsi="Times New Roman" w:cs="Times New Roman"/>
          <w:sz w:val="24"/>
          <w:szCs w:val="24"/>
        </w:rPr>
        <w:t xml:space="preserve"> (2005), when countries are in similar phases of </w:t>
      </w:r>
      <w:r w:rsidR="00E375A5">
        <w:rPr>
          <w:rFonts w:ascii="Times New Roman" w:hAnsi="Times New Roman" w:cs="Times New Roman"/>
          <w:sz w:val="24"/>
          <w:szCs w:val="24"/>
        </w:rPr>
        <w:t xml:space="preserve">the </w:t>
      </w:r>
      <w:r w:rsidR="00166050" w:rsidRPr="006853EA">
        <w:rPr>
          <w:rFonts w:ascii="Times New Roman" w:hAnsi="Times New Roman" w:cs="Times New Roman"/>
          <w:sz w:val="24"/>
          <w:szCs w:val="24"/>
        </w:rPr>
        <w:t xml:space="preserve">business cycle, shocks will be </w:t>
      </w:r>
      <w:r w:rsidR="00D213AC">
        <w:rPr>
          <w:rFonts w:ascii="Times New Roman" w:hAnsi="Times New Roman" w:cs="Times New Roman"/>
          <w:sz w:val="24"/>
          <w:szCs w:val="24"/>
        </w:rPr>
        <w:t xml:space="preserve">more fully </w:t>
      </w:r>
      <w:r w:rsidR="00166050" w:rsidRPr="006853EA">
        <w:rPr>
          <w:rFonts w:ascii="Times New Roman" w:hAnsi="Times New Roman" w:cs="Times New Roman"/>
          <w:sz w:val="24"/>
          <w:szCs w:val="24"/>
        </w:rPr>
        <w:t xml:space="preserve">transmitted across financial markets, </w:t>
      </w:r>
      <w:r w:rsidR="00E30FBF">
        <w:rPr>
          <w:rFonts w:ascii="Times New Roman" w:hAnsi="Times New Roman" w:cs="Times New Roman"/>
          <w:sz w:val="24"/>
          <w:szCs w:val="24"/>
        </w:rPr>
        <w:t>boosting</w:t>
      </w:r>
      <w:r w:rsidR="00097A01">
        <w:rPr>
          <w:rFonts w:ascii="Times New Roman" w:hAnsi="Times New Roman" w:cs="Times New Roman"/>
          <w:sz w:val="24"/>
          <w:szCs w:val="24"/>
        </w:rPr>
        <w:t xml:space="preserve"> </w:t>
      </w:r>
      <w:r w:rsidR="00166050" w:rsidRPr="006853EA">
        <w:rPr>
          <w:rFonts w:ascii="Times New Roman" w:hAnsi="Times New Roman" w:cs="Times New Roman"/>
          <w:sz w:val="24"/>
          <w:szCs w:val="24"/>
        </w:rPr>
        <w:t>integration. Phengpis</w:t>
      </w:r>
      <w:r w:rsidR="00270E86">
        <w:rPr>
          <w:rFonts w:ascii="Times New Roman" w:hAnsi="Times New Roman" w:cs="Times New Roman"/>
          <w:sz w:val="24"/>
          <w:szCs w:val="24"/>
        </w:rPr>
        <w:t>, Apilado, and Swanson</w:t>
      </w:r>
      <w:r w:rsidR="00166050" w:rsidRPr="006853EA">
        <w:rPr>
          <w:rFonts w:ascii="Times New Roman" w:hAnsi="Times New Roman" w:cs="Times New Roman"/>
          <w:sz w:val="24"/>
          <w:szCs w:val="24"/>
        </w:rPr>
        <w:t xml:space="preserve"> (2004) f</w:t>
      </w:r>
      <w:r w:rsidR="009C545E">
        <w:rPr>
          <w:rFonts w:ascii="Times New Roman" w:hAnsi="Times New Roman" w:cs="Times New Roman"/>
          <w:sz w:val="24"/>
          <w:szCs w:val="24"/>
        </w:rPr>
        <w:t>ound</w:t>
      </w:r>
      <w:r w:rsidR="00166050" w:rsidRPr="006853EA">
        <w:rPr>
          <w:rFonts w:ascii="Times New Roman" w:hAnsi="Times New Roman" w:cs="Times New Roman"/>
          <w:sz w:val="24"/>
          <w:szCs w:val="24"/>
        </w:rPr>
        <w:t xml:space="preserve"> that correlation of business cycles </w:t>
      </w:r>
      <w:r w:rsidR="009C545E">
        <w:rPr>
          <w:rFonts w:ascii="Times New Roman" w:hAnsi="Times New Roman" w:cs="Times New Roman"/>
          <w:sz w:val="24"/>
          <w:szCs w:val="24"/>
        </w:rPr>
        <w:t>wa</w:t>
      </w:r>
      <w:r w:rsidR="00166050" w:rsidRPr="006853EA">
        <w:rPr>
          <w:rFonts w:ascii="Times New Roman" w:hAnsi="Times New Roman" w:cs="Times New Roman"/>
          <w:sz w:val="24"/>
          <w:szCs w:val="24"/>
        </w:rPr>
        <w:t>s the main driver of stock market integration</w:t>
      </w:r>
      <w:r w:rsidR="00F047EA">
        <w:rPr>
          <w:rFonts w:ascii="Times New Roman" w:hAnsi="Times New Roman" w:cs="Times New Roman"/>
          <w:sz w:val="24"/>
          <w:szCs w:val="24"/>
        </w:rPr>
        <w:t xml:space="preserve"> between </w:t>
      </w:r>
      <w:r w:rsidR="009C545E">
        <w:rPr>
          <w:rFonts w:ascii="Times New Roman" w:hAnsi="Times New Roman" w:cs="Times New Roman"/>
          <w:sz w:val="24"/>
          <w:szCs w:val="24"/>
        </w:rPr>
        <w:t xml:space="preserve">the </w:t>
      </w:r>
      <w:r w:rsidR="00F047EA">
        <w:rPr>
          <w:rFonts w:ascii="Times New Roman" w:hAnsi="Times New Roman" w:cs="Times New Roman"/>
          <w:sz w:val="24"/>
          <w:szCs w:val="24"/>
        </w:rPr>
        <w:t>E</w:t>
      </w:r>
      <w:r w:rsidR="00D213AC">
        <w:rPr>
          <w:rFonts w:ascii="Times New Roman" w:hAnsi="Times New Roman" w:cs="Times New Roman"/>
          <w:sz w:val="24"/>
          <w:szCs w:val="24"/>
        </w:rPr>
        <w:t xml:space="preserve">conomic and </w:t>
      </w:r>
      <w:r w:rsidR="00F047EA">
        <w:rPr>
          <w:rFonts w:ascii="Times New Roman" w:hAnsi="Times New Roman" w:cs="Times New Roman"/>
          <w:sz w:val="24"/>
          <w:szCs w:val="24"/>
        </w:rPr>
        <w:t>M</w:t>
      </w:r>
      <w:r w:rsidR="00D213AC">
        <w:rPr>
          <w:rFonts w:ascii="Times New Roman" w:hAnsi="Times New Roman" w:cs="Times New Roman"/>
          <w:sz w:val="24"/>
          <w:szCs w:val="24"/>
        </w:rPr>
        <w:t xml:space="preserve">onetary </w:t>
      </w:r>
      <w:r w:rsidR="00F047EA">
        <w:rPr>
          <w:rFonts w:ascii="Times New Roman" w:hAnsi="Times New Roman" w:cs="Times New Roman"/>
          <w:sz w:val="24"/>
          <w:szCs w:val="24"/>
        </w:rPr>
        <w:t>U</w:t>
      </w:r>
      <w:r w:rsidR="00D213AC">
        <w:rPr>
          <w:rFonts w:ascii="Times New Roman" w:hAnsi="Times New Roman" w:cs="Times New Roman"/>
          <w:sz w:val="24"/>
          <w:szCs w:val="24"/>
        </w:rPr>
        <w:t>nion (EMU)</w:t>
      </w:r>
      <w:r w:rsidR="00F047EA">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00F047EA">
        <w:rPr>
          <w:rFonts w:ascii="Times New Roman" w:hAnsi="Times New Roman" w:cs="Times New Roman"/>
          <w:sz w:val="24"/>
          <w:szCs w:val="24"/>
        </w:rPr>
        <w:t>UK</w:t>
      </w:r>
      <w:r w:rsidR="00483F26">
        <w:rPr>
          <w:rFonts w:ascii="Times New Roman" w:hAnsi="Times New Roman" w:cs="Times New Roman"/>
          <w:sz w:val="24"/>
          <w:szCs w:val="24"/>
        </w:rPr>
        <w:t xml:space="preserve"> over the period 1979</w:t>
      </w:r>
      <w:r w:rsidR="009C545E">
        <w:rPr>
          <w:rFonts w:ascii="Times New Roman" w:hAnsi="Times New Roman" w:cs="Times New Roman"/>
          <w:sz w:val="24"/>
          <w:szCs w:val="24"/>
        </w:rPr>
        <w:t>–</w:t>
      </w:r>
      <w:r w:rsidR="00483F26">
        <w:rPr>
          <w:rFonts w:ascii="Times New Roman" w:hAnsi="Times New Roman" w:cs="Times New Roman"/>
          <w:sz w:val="24"/>
          <w:szCs w:val="24"/>
        </w:rPr>
        <w:t>2002</w:t>
      </w:r>
      <w:r w:rsidR="00166050" w:rsidRPr="006853EA">
        <w:rPr>
          <w:rFonts w:ascii="Times New Roman" w:hAnsi="Times New Roman" w:cs="Times New Roman"/>
          <w:sz w:val="24"/>
          <w:szCs w:val="24"/>
        </w:rPr>
        <w:t xml:space="preserve"> (see </w:t>
      </w:r>
      <w:r w:rsidR="00270E86" w:rsidRPr="006853EA">
        <w:rPr>
          <w:rFonts w:ascii="Times New Roman" w:hAnsi="Times New Roman" w:cs="Times New Roman"/>
          <w:sz w:val="24"/>
          <w:szCs w:val="24"/>
        </w:rPr>
        <w:t>Büttner</w:t>
      </w:r>
      <w:r w:rsidR="00097A01">
        <w:rPr>
          <w:rFonts w:ascii="Times New Roman" w:hAnsi="Times New Roman" w:cs="Times New Roman"/>
          <w:sz w:val="24"/>
          <w:szCs w:val="24"/>
        </w:rPr>
        <w:t xml:space="preserve"> </w:t>
      </w:r>
      <w:r w:rsidR="00270E86">
        <w:rPr>
          <w:rFonts w:ascii="Times New Roman" w:hAnsi="Times New Roman" w:cs="Times New Roman"/>
          <w:sz w:val="24"/>
          <w:szCs w:val="24"/>
        </w:rPr>
        <w:t>&amp;</w:t>
      </w:r>
      <w:r w:rsidR="00097A01">
        <w:rPr>
          <w:rFonts w:ascii="Times New Roman" w:hAnsi="Times New Roman" w:cs="Times New Roman"/>
          <w:sz w:val="24"/>
          <w:szCs w:val="24"/>
        </w:rPr>
        <w:t xml:space="preserve"> </w:t>
      </w:r>
      <w:r w:rsidR="00270E86" w:rsidRPr="006853EA">
        <w:rPr>
          <w:rFonts w:ascii="Times New Roman" w:hAnsi="Times New Roman" w:cs="Times New Roman"/>
          <w:sz w:val="24"/>
          <w:szCs w:val="24"/>
        </w:rPr>
        <w:t>Hayo</w:t>
      </w:r>
      <w:r w:rsidR="00270E86">
        <w:rPr>
          <w:rFonts w:ascii="Times New Roman" w:hAnsi="Times New Roman" w:cs="Times New Roman"/>
          <w:sz w:val="24"/>
          <w:szCs w:val="24"/>
        </w:rPr>
        <w:t>,</w:t>
      </w:r>
      <w:r w:rsidR="00270E86" w:rsidRPr="006853EA">
        <w:rPr>
          <w:rFonts w:ascii="Times New Roman" w:hAnsi="Times New Roman" w:cs="Times New Roman"/>
          <w:sz w:val="24"/>
          <w:szCs w:val="24"/>
        </w:rPr>
        <w:t xml:space="preserve"> 2011</w:t>
      </w:r>
      <w:r w:rsidR="00270E86">
        <w:rPr>
          <w:rFonts w:ascii="Times New Roman" w:hAnsi="Times New Roman" w:cs="Times New Roman"/>
          <w:sz w:val="24"/>
          <w:szCs w:val="24"/>
        </w:rPr>
        <w:t xml:space="preserve">; </w:t>
      </w:r>
      <w:r w:rsidR="00166050" w:rsidRPr="006853EA">
        <w:rPr>
          <w:rFonts w:ascii="Times New Roman" w:hAnsi="Times New Roman" w:cs="Times New Roman"/>
          <w:sz w:val="24"/>
          <w:szCs w:val="24"/>
        </w:rPr>
        <w:t>Syllignakis</w:t>
      </w:r>
      <w:r w:rsidR="00097A01">
        <w:rPr>
          <w:rFonts w:ascii="Times New Roman" w:hAnsi="Times New Roman" w:cs="Times New Roman"/>
          <w:sz w:val="24"/>
          <w:szCs w:val="24"/>
        </w:rPr>
        <w:t xml:space="preserve"> </w:t>
      </w:r>
      <w:r w:rsidR="00270E86">
        <w:rPr>
          <w:rFonts w:ascii="Times New Roman" w:hAnsi="Times New Roman" w:cs="Times New Roman"/>
          <w:sz w:val="24"/>
          <w:szCs w:val="24"/>
        </w:rPr>
        <w:t>&amp;</w:t>
      </w:r>
      <w:r w:rsidR="00166050" w:rsidRPr="006853EA">
        <w:rPr>
          <w:rFonts w:ascii="Times New Roman" w:hAnsi="Times New Roman" w:cs="Times New Roman"/>
          <w:sz w:val="24"/>
          <w:szCs w:val="24"/>
        </w:rPr>
        <w:t xml:space="preserve"> Kouretas, 2011). Kizys and Pierdzioch (2006) </w:t>
      </w:r>
      <w:r w:rsidR="00E30FBF">
        <w:rPr>
          <w:rFonts w:ascii="Times New Roman" w:hAnsi="Times New Roman" w:cs="Times New Roman"/>
          <w:sz w:val="24"/>
          <w:szCs w:val="24"/>
        </w:rPr>
        <w:t>investigate</w:t>
      </w:r>
      <w:r w:rsidR="009C545E">
        <w:rPr>
          <w:rFonts w:ascii="Times New Roman" w:hAnsi="Times New Roman" w:cs="Times New Roman"/>
          <w:sz w:val="24"/>
          <w:szCs w:val="24"/>
        </w:rPr>
        <w:t>d</w:t>
      </w:r>
      <w:r w:rsidR="00097A01">
        <w:rPr>
          <w:rFonts w:ascii="Times New Roman" w:hAnsi="Times New Roman" w:cs="Times New Roman"/>
          <w:sz w:val="24"/>
          <w:szCs w:val="24"/>
        </w:rPr>
        <w:t xml:space="preserve"> </w:t>
      </w:r>
      <w:r w:rsidR="00E30FBF">
        <w:rPr>
          <w:rFonts w:ascii="Times New Roman" w:hAnsi="Times New Roman" w:cs="Times New Roman"/>
          <w:sz w:val="24"/>
          <w:szCs w:val="24"/>
        </w:rPr>
        <w:t>the</w:t>
      </w:r>
      <w:r w:rsidR="00097A01">
        <w:rPr>
          <w:rFonts w:ascii="Times New Roman" w:hAnsi="Times New Roman" w:cs="Times New Roman"/>
          <w:sz w:val="24"/>
          <w:szCs w:val="24"/>
        </w:rPr>
        <w:t xml:space="preserve"> </w:t>
      </w:r>
      <w:r w:rsidR="00166050" w:rsidRPr="006853EA">
        <w:rPr>
          <w:rFonts w:ascii="Times New Roman" w:hAnsi="Times New Roman" w:cs="Times New Roman"/>
          <w:sz w:val="24"/>
          <w:szCs w:val="24"/>
        </w:rPr>
        <w:t>linkage between international stock correlations and business cycle convergence</w:t>
      </w:r>
      <w:r w:rsidR="003C44CB">
        <w:rPr>
          <w:rFonts w:ascii="Times New Roman" w:hAnsi="Times New Roman" w:cs="Times New Roman"/>
          <w:sz w:val="24"/>
          <w:szCs w:val="24"/>
        </w:rPr>
        <w:t xml:space="preserve"> in</w:t>
      </w:r>
      <w:r w:rsidR="001F0D63">
        <w:rPr>
          <w:rFonts w:ascii="Times New Roman" w:hAnsi="Times New Roman" w:cs="Times New Roman"/>
          <w:sz w:val="24"/>
          <w:szCs w:val="24"/>
        </w:rPr>
        <w:t xml:space="preserve"> the</w:t>
      </w:r>
      <w:r w:rsidR="003C44CB">
        <w:rPr>
          <w:rFonts w:ascii="Times New Roman" w:hAnsi="Times New Roman" w:cs="Times New Roman"/>
          <w:sz w:val="24"/>
          <w:szCs w:val="24"/>
        </w:rPr>
        <w:t xml:space="preserve"> G7 countries over the period 1970</w:t>
      </w:r>
      <w:r w:rsidR="00330EBC">
        <w:rPr>
          <w:rFonts w:ascii="Times New Roman" w:hAnsi="Times New Roman" w:cs="Times New Roman"/>
          <w:sz w:val="24"/>
          <w:szCs w:val="24"/>
        </w:rPr>
        <w:t>–</w:t>
      </w:r>
      <w:r w:rsidR="003C44CB">
        <w:rPr>
          <w:rFonts w:ascii="Times New Roman" w:hAnsi="Times New Roman" w:cs="Times New Roman"/>
          <w:sz w:val="24"/>
          <w:szCs w:val="24"/>
        </w:rPr>
        <w:t>2004</w:t>
      </w:r>
      <w:r w:rsidR="00E30FBF">
        <w:rPr>
          <w:rFonts w:ascii="Times New Roman" w:hAnsi="Times New Roman" w:cs="Times New Roman"/>
          <w:sz w:val="24"/>
          <w:szCs w:val="24"/>
        </w:rPr>
        <w:t>,</w:t>
      </w:r>
      <w:r w:rsidR="00097A01">
        <w:rPr>
          <w:rFonts w:ascii="Times New Roman" w:hAnsi="Times New Roman" w:cs="Times New Roman"/>
          <w:sz w:val="24"/>
          <w:szCs w:val="24"/>
        </w:rPr>
        <w:t xml:space="preserve"> </w:t>
      </w:r>
      <w:r w:rsidR="00E30FBF">
        <w:rPr>
          <w:rFonts w:ascii="Times New Roman" w:hAnsi="Times New Roman" w:cs="Times New Roman"/>
          <w:sz w:val="24"/>
          <w:szCs w:val="24"/>
        </w:rPr>
        <w:t>finding</w:t>
      </w:r>
      <w:r w:rsidR="00097A01">
        <w:rPr>
          <w:rFonts w:ascii="Times New Roman" w:hAnsi="Times New Roman" w:cs="Times New Roman"/>
          <w:sz w:val="24"/>
          <w:szCs w:val="24"/>
        </w:rPr>
        <w:t xml:space="preserve"> </w:t>
      </w:r>
      <w:r w:rsidR="00D213AC">
        <w:rPr>
          <w:rFonts w:ascii="Times New Roman" w:hAnsi="Times New Roman" w:cs="Times New Roman"/>
          <w:sz w:val="24"/>
          <w:szCs w:val="24"/>
        </w:rPr>
        <w:t xml:space="preserve">less clear-cut </w:t>
      </w:r>
      <w:r w:rsidR="00DC4DE1">
        <w:rPr>
          <w:rFonts w:ascii="Times New Roman" w:hAnsi="Times New Roman" w:cs="Times New Roman"/>
          <w:sz w:val="24"/>
          <w:szCs w:val="24"/>
        </w:rPr>
        <w:t>results</w:t>
      </w:r>
      <w:r w:rsidR="00166050" w:rsidRPr="006853EA">
        <w:rPr>
          <w:rFonts w:ascii="Times New Roman" w:hAnsi="Times New Roman" w:cs="Times New Roman"/>
          <w:sz w:val="24"/>
          <w:szCs w:val="24"/>
        </w:rPr>
        <w:t xml:space="preserve">. </w:t>
      </w:r>
    </w:p>
    <w:p w:rsidR="00166050"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 3.1.2. </w:t>
      </w:r>
      <w:r w:rsidR="00166050" w:rsidRPr="00AF6503">
        <w:rPr>
          <w:rFonts w:ascii="Times New Roman" w:hAnsi="Times New Roman" w:cs="Times New Roman"/>
          <w:i/>
          <w:sz w:val="24"/>
          <w:szCs w:val="24"/>
        </w:rPr>
        <w:t xml:space="preserve">Interest </w:t>
      </w:r>
      <w:r w:rsidR="0075422D">
        <w:rPr>
          <w:rFonts w:ascii="Times New Roman" w:hAnsi="Times New Roman" w:cs="Times New Roman"/>
          <w:i/>
          <w:sz w:val="24"/>
          <w:szCs w:val="24"/>
        </w:rPr>
        <w:t>r</w:t>
      </w:r>
      <w:r w:rsidR="00166050" w:rsidRPr="00AF6503">
        <w:rPr>
          <w:rFonts w:ascii="Times New Roman" w:hAnsi="Times New Roman" w:cs="Times New Roman"/>
          <w:i/>
          <w:sz w:val="24"/>
          <w:szCs w:val="24"/>
        </w:rPr>
        <w:t xml:space="preserve">ate </w:t>
      </w:r>
      <w:r w:rsidR="0075422D">
        <w:rPr>
          <w:rFonts w:ascii="Times New Roman" w:hAnsi="Times New Roman" w:cs="Times New Roman"/>
          <w:i/>
          <w:sz w:val="24"/>
          <w:szCs w:val="24"/>
        </w:rPr>
        <w:t>c</w:t>
      </w:r>
      <w:r w:rsidR="00166050" w:rsidRPr="00AF6503">
        <w:rPr>
          <w:rFonts w:ascii="Times New Roman" w:hAnsi="Times New Roman" w:cs="Times New Roman"/>
          <w:i/>
          <w:sz w:val="24"/>
          <w:szCs w:val="24"/>
        </w:rPr>
        <w:t>onvergence</w:t>
      </w:r>
    </w:p>
    <w:p w:rsidR="00166050" w:rsidRPr="006853EA" w:rsidRDefault="00D213AC"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 xml:space="preserve">We proxy </w:t>
      </w:r>
      <w:r w:rsidR="00166050" w:rsidRPr="006853EA">
        <w:rPr>
          <w:rFonts w:ascii="Times New Roman" w:hAnsi="Times New Roman" w:cs="Times New Roman"/>
          <w:sz w:val="24"/>
          <w:szCs w:val="24"/>
        </w:rPr>
        <w:t>interest rate convergence by the</w:t>
      </w:r>
      <w:r w:rsidR="00A17517">
        <w:rPr>
          <w:rFonts w:ascii="Times New Roman" w:hAnsi="Times New Roman" w:cs="Times New Roman"/>
          <w:sz w:val="24"/>
          <w:szCs w:val="24"/>
        </w:rPr>
        <w:t xml:space="preserve"> </w:t>
      </w:r>
      <w:r w:rsidR="00AA1B1A">
        <w:rPr>
          <w:rFonts w:ascii="Times New Roman" w:hAnsi="Times New Roman" w:cs="Times New Roman"/>
          <w:sz w:val="24"/>
          <w:szCs w:val="24"/>
        </w:rPr>
        <w:t>conditional correlation</w:t>
      </w:r>
      <w:r w:rsidR="00923000">
        <w:rPr>
          <w:rFonts w:ascii="Times New Roman" w:hAnsi="Times New Roman" w:cs="Times New Roman"/>
          <w:sz w:val="24"/>
          <w:szCs w:val="24"/>
        </w:rPr>
        <w:t xml:space="preserve"> between </w:t>
      </w:r>
      <w:r w:rsidR="0080626A">
        <w:rPr>
          <w:rFonts w:ascii="Times New Roman" w:hAnsi="Times New Roman" w:cs="Times New Roman"/>
          <w:sz w:val="24"/>
          <w:szCs w:val="24"/>
        </w:rPr>
        <w:t>UK and US yield spread</w:t>
      </w:r>
      <w:r w:rsidR="005120E8">
        <w:rPr>
          <w:rFonts w:ascii="Times New Roman" w:hAnsi="Times New Roman" w:cs="Times New Roman"/>
          <w:sz w:val="24"/>
          <w:szCs w:val="24"/>
        </w:rPr>
        <w:t>s</w:t>
      </w:r>
      <w:r w:rsidR="00166050" w:rsidRPr="006853EA">
        <w:rPr>
          <w:rFonts w:ascii="Times New Roman" w:hAnsi="Times New Roman" w:cs="Times New Roman"/>
          <w:sz w:val="24"/>
          <w:szCs w:val="24"/>
        </w:rPr>
        <w:t>.</w:t>
      </w:r>
      <w:r w:rsidR="00C02447">
        <w:rPr>
          <w:rStyle w:val="FootnoteReference"/>
          <w:rFonts w:ascii="Times New Roman" w:hAnsi="Times New Roman" w:cs="Times New Roman"/>
          <w:sz w:val="24"/>
          <w:szCs w:val="24"/>
        </w:rPr>
        <w:footnoteReference w:id="1"/>
      </w:r>
      <w:r w:rsidR="00166050" w:rsidRPr="006853EA">
        <w:rPr>
          <w:rFonts w:ascii="Times New Roman" w:hAnsi="Times New Roman" w:cs="Times New Roman"/>
          <w:sz w:val="24"/>
          <w:szCs w:val="24"/>
        </w:rPr>
        <w:t xml:space="preserve"> If the </w:t>
      </w:r>
      <w:r w:rsidR="00C6491E">
        <w:rPr>
          <w:rFonts w:ascii="Times New Roman" w:hAnsi="Times New Roman" w:cs="Times New Roman"/>
          <w:sz w:val="24"/>
          <w:szCs w:val="24"/>
        </w:rPr>
        <w:t>yield</w:t>
      </w:r>
      <w:r w:rsidR="00166050" w:rsidRPr="006853EA">
        <w:rPr>
          <w:rFonts w:ascii="Times New Roman" w:hAnsi="Times New Roman" w:cs="Times New Roman"/>
          <w:sz w:val="24"/>
          <w:szCs w:val="24"/>
        </w:rPr>
        <w:t xml:space="preserve"> spread</w:t>
      </w:r>
      <w:r w:rsidR="005120E8">
        <w:rPr>
          <w:rFonts w:ascii="Times New Roman" w:hAnsi="Times New Roman" w:cs="Times New Roman"/>
          <w:sz w:val="24"/>
          <w:szCs w:val="24"/>
        </w:rPr>
        <w:t>s</w:t>
      </w:r>
      <w:r w:rsidR="00A17517">
        <w:rPr>
          <w:rFonts w:ascii="Times New Roman" w:hAnsi="Times New Roman" w:cs="Times New Roman"/>
          <w:sz w:val="24"/>
          <w:szCs w:val="24"/>
        </w:rPr>
        <w:t xml:space="preserve"> </w:t>
      </w:r>
      <w:r w:rsidR="00F90A73">
        <w:rPr>
          <w:rFonts w:ascii="Times New Roman" w:hAnsi="Times New Roman" w:cs="Times New Roman"/>
          <w:sz w:val="24"/>
          <w:szCs w:val="24"/>
        </w:rPr>
        <w:t>between</w:t>
      </w:r>
      <w:r w:rsidR="00A17517">
        <w:rPr>
          <w:rFonts w:ascii="Times New Roman" w:hAnsi="Times New Roman" w:cs="Times New Roman"/>
          <w:sz w:val="24"/>
          <w:szCs w:val="24"/>
        </w:rPr>
        <w:t xml:space="preserve"> </w:t>
      </w:r>
      <w:r w:rsidR="009110C5">
        <w:rPr>
          <w:rFonts w:ascii="Times New Roman" w:hAnsi="Times New Roman" w:cs="Times New Roman"/>
          <w:sz w:val="24"/>
          <w:szCs w:val="24"/>
        </w:rPr>
        <w:t xml:space="preserve">the </w:t>
      </w:r>
      <w:r w:rsidR="00384680">
        <w:rPr>
          <w:rFonts w:ascii="Times New Roman" w:hAnsi="Times New Roman" w:cs="Times New Roman"/>
          <w:sz w:val="24"/>
          <w:szCs w:val="24"/>
        </w:rPr>
        <w:t>UK and US converge</w:t>
      </w:r>
      <w:r w:rsidR="00166050" w:rsidRPr="006853EA">
        <w:rPr>
          <w:rFonts w:ascii="Times New Roman" w:hAnsi="Times New Roman" w:cs="Times New Roman"/>
          <w:sz w:val="24"/>
          <w:szCs w:val="24"/>
        </w:rPr>
        <w:t xml:space="preserve">, </w:t>
      </w:r>
      <w:r w:rsidR="00E30FBF">
        <w:rPr>
          <w:rFonts w:ascii="Times New Roman" w:hAnsi="Times New Roman" w:cs="Times New Roman"/>
          <w:sz w:val="24"/>
          <w:szCs w:val="24"/>
        </w:rPr>
        <w:t xml:space="preserve">possibly </w:t>
      </w:r>
      <w:r>
        <w:rPr>
          <w:rFonts w:ascii="Times New Roman" w:hAnsi="Times New Roman" w:cs="Times New Roman"/>
          <w:sz w:val="24"/>
          <w:szCs w:val="24"/>
        </w:rPr>
        <w:t>owing</w:t>
      </w:r>
      <w:r w:rsidR="00E30FBF" w:rsidRPr="006853EA">
        <w:rPr>
          <w:rFonts w:ascii="Times New Roman" w:hAnsi="Times New Roman" w:cs="Times New Roman"/>
          <w:sz w:val="24"/>
          <w:szCs w:val="24"/>
        </w:rPr>
        <w:t xml:space="preserve"> to similar monetary policies, then </w:t>
      </w:r>
      <w:r w:rsidR="00166050" w:rsidRPr="006853EA">
        <w:rPr>
          <w:rFonts w:ascii="Times New Roman" w:hAnsi="Times New Roman" w:cs="Times New Roman"/>
          <w:sz w:val="24"/>
          <w:szCs w:val="24"/>
        </w:rPr>
        <w:t xml:space="preserve">their stock markets </w:t>
      </w:r>
      <w:r>
        <w:rPr>
          <w:rFonts w:ascii="Times New Roman" w:hAnsi="Times New Roman" w:cs="Times New Roman"/>
          <w:sz w:val="24"/>
          <w:szCs w:val="24"/>
        </w:rPr>
        <w:t>should also</w:t>
      </w:r>
      <w:r w:rsidR="00166050" w:rsidRPr="006853EA">
        <w:rPr>
          <w:rFonts w:ascii="Times New Roman" w:hAnsi="Times New Roman" w:cs="Times New Roman"/>
          <w:sz w:val="24"/>
          <w:szCs w:val="24"/>
        </w:rPr>
        <w:t xml:space="preserve"> converge. Kim </w:t>
      </w:r>
      <w:r w:rsidR="00097A01">
        <w:rPr>
          <w:rFonts w:ascii="Times New Roman" w:hAnsi="Times New Roman" w:cs="Times New Roman"/>
          <w:sz w:val="24"/>
          <w:szCs w:val="24"/>
        </w:rPr>
        <w:t>et al.</w:t>
      </w:r>
      <w:r>
        <w:rPr>
          <w:rFonts w:ascii="Times New Roman" w:hAnsi="Times New Roman" w:cs="Times New Roman"/>
          <w:sz w:val="24"/>
          <w:szCs w:val="24"/>
        </w:rPr>
        <w:t xml:space="preserve"> </w:t>
      </w:r>
      <w:r w:rsidR="00166050" w:rsidRPr="006853EA">
        <w:rPr>
          <w:rFonts w:ascii="Times New Roman" w:hAnsi="Times New Roman" w:cs="Times New Roman"/>
          <w:sz w:val="24"/>
          <w:szCs w:val="24"/>
        </w:rPr>
        <w:t>(2005) f</w:t>
      </w:r>
      <w:r w:rsidR="009110C5">
        <w:rPr>
          <w:rFonts w:ascii="Times New Roman" w:hAnsi="Times New Roman" w:cs="Times New Roman"/>
          <w:sz w:val="24"/>
          <w:szCs w:val="24"/>
        </w:rPr>
        <w:t>ou</w:t>
      </w:r>
      <w:r w:rsidR="00166050" w:rsidRPr="006853EA">
        <w:rPr>
          <w:rFonts w:ascii="Times New Roman" w:hAnsi="Times New Roman" w:cs="Times New Roman"/>
          <w:sz w:val="24"/>
          <w:szCs w:val="24"/>
        </w:rPr>
        <w:t xml:space="preserve">nd that convergence </w:t>
      </w:r>
      <w:r w:rsidR="00166050" w:rsidRPr="006853EA">
        <w:rPr>
          <w:rFonts w:ascii="Times New Roman" w:hAnsi="Times New Roman" w:cs="Times New Roman"/>
          <w:sz w:val="24"/>
          <w:szCs w:val="24"/>
        </w:rPr>
        <w:lastRenderedPageBreak/>
        <w:t xml:space="preserve">towards </w:t>
      </w:r>
      <w:r w:rsidR="009110C5">
        <w:rPr>
          <w:rFonts w:ascii="Times New Roman" w:hAnsi="Times New Roman" w:cs="Times New Roman"/>
          <w:sz w:val="24"/>
          <w:szCs w:val="24"/>
        </w:rPr>
        <w:t xml:space="preserve">a </w:t>
      </w:r>
      <w:r w:rsidR="00166050" w:rsidRPr="006853EA">
        <w:rPr>
          <w:rFonts w:ascii="Times New Roman" w:hAnsi="Times New Roman" w:cs="Times New Roman"/>
          <w:sz w:val="24"/>
          <w:szCs w:val="24"/>
        </w:rPr>
        <w:t>single interest rate significantly increase</w:t>
      </w:r>
      <w:r w:rsidR="009110C5">
        <w:rPr>
          <w:rFonts w:ascii="Times New Roman" w:hAnsi="Times New Roman" w:cs="Times New Roman"/>
          <w:sz w:val="24"/>
          <w:szCs w:val="24"/>
        </w:rPr>
        <w:t>d</w:t>
      </w:r>
      <w:r w:rsidR="00166050" w:rsidRPr="006853EA">
        <w:rPr>
          <w:rFonts w:ascii="Times New Roman" w:hAnsi="Times New Roman" w:cs="Times New Roman"/>
          <w:sz w:val="24"/>
          <w:szCs w:val="24"/>
        </w:rPr>
        <w:t xml:space="preserve"> integration</w:t>
      </w:r>
      <w:r w:rsidR="00711D4B">
        <w:rPr>
          <w:rFonts w:ascii="Times New Roman" w:hAnsi="Times New Roman" w:cs="Times New Roman"/>
          <w:sz w:val="24"/>
          <w:szCs w:val="24"/>
        </w:rPr>
        <w:t xml:space="preserve"> between </w:t>
      </w:r>
      <w:r w:rsidR="009110C5">
        <w:rPr>
          <w:rFonts w:ascii="Times New Roman" w:hAnsi="Times New Roman" w:cs="Times New Roman"/>
          <w:sz w:val="24"/>
          <w:szCs w:val="24"/>
        </w:rPr>
        <w:t xml:space="preserve">the </w:t>
      </w:r>
      <w:r w:rsidR="00711D4B">
        <w:rPr>
          <w:rFonts w:ascii="Times New Roman" w:hAnsi="Times New Roman" w:cs="Times New Roman"/>
          <w:sz w:val="24"/>
          <w:szCs w:val="24"/>
        </w:rPr>
        <w:t xml:space="preserve">EMU and </w:t>
      </w:r>
      <w:r w:rsidR="004B5454">
        <w:rPr>
          <w:rFonts w:ascii="Times New Roman" w:hAnsi="Times New Roman" w:cs="Times New Roman"/>
          <w:sz w:val="24"/>
          <w:szCs w:val="24"/>
        </w:rPr>
        <w:t xml:space="preserve">the </w:t>
      </w:r>
      <w:r w:rsidR="00711D4B">
        <w:rPr>
          <w:rFonts w:ascii="Times New Roman" w:hAnsi="Times New Roman" w:cs="Times New Roman"/>
          <w:sz w:val="24"/>
          <w:szCs w:val="24"/>
        </w:rPr>
        <w:t>US</w:t>
      </w:r>
      <w:r w:rsidR="00223B3B">
        <w:rPr>
          <w:rFonts w:ascii="Times New Roman" w:hAnsi="Times New Roman" w:cs="Times New Roman"/>
          <w:sz w:val="24"/>
          <w:szCs w:val="24"/>
        </w:rPr>
        <w:t xml:space="preserve"> over the period 1989</w:t>
      </w:r>
      <w:r>
        <w:rPr>
          <w:rFonts w:ascii="Times New Roman" w:hAnsi="Times New Roman" w:cs="Times New Roman"/>
          <w:sz w:val="24"/>
          <w:szCs w:val="24"/>
        </w:rPr>
        <w:t>–</w:t>
      </w:r>
      <w:r w:rsidR="00223B3B">
        <w:rPr>
          <w:rFonts w:ascii="Times New Roman" w:hAnsi="Times New Roman" w:cs="Times New Roman"/>
          <w:sz w:val="24"/>
          <w:szCs w:val="24"/>
        </w:rPr>
        <w:t>2003</w:t>
      </w:r>
      <w:r w:rsidR="00130683">
        <w:rPr>
          <w:rFonts w:ascii="Times New Roman" w:hAnsi="Times New Roman" w:cs="Times New Roman"/>
          <w:sz w:val="24"/>
          <w:szCs w:val="24"/>
        </w:rPr>
        <w:t xml:space="preserve"> (see </w:t>
      </w:r>
      <w:r w:rsidR="00E30FBF">
        <w:rPr>
          <w:rFonts w:ascii="Times New Roman" w:hAnsi="Times New Roman" w:cs="Times New Roman"/>
          <w:sz w:val="24"/>
          <w:szCs w:val="24"/>
        </w:rPr>
        <w:t>also</w:t>
      </w:r>
      <w:r w:rsidR="00A17517">
        <w:rPr>
          <w:rFonts w:ascii="Times New Roman" w:hAnsi="Times New Roman" w:cs="Times New Roman"/>
          <w:sz w:val="24"/>
          <w:szCs w:val="24"/>
        </w:rPr>
        <w:t xml:space="preserve"> </w:t>
      </w:r>
      <w:r w:rsidR="00166050" w:rsidRPr="006853EA">
        <w:rPr>
          <w:rFonts w:ascii="Times New Roman" w:hAnsi="Times New Roman" w:cs="Times New Roman"/>
          <w:sz w:val="24"/>
          <w:szCs w:val="24"/>
        </w:rPr>
        <w:t>Syllignakis</w:t>
      </w:r>
      <w:r w:rsidR="00A17517">
        <w:rPr>
          <w:rFonts w:ascii="Times New Roman" w:hAnsi="Times New Roman" w:cs="Times New Roman"/>
          <w:sz w:val="24"/>
          <w:szCs w:val="24"/>
        </w:rPr>
        <w:t xml:space="preserve"> </w:t>
      </w:r>
      <w:r w:rsidR="00270E86">
        <w:rPr>
          <w:rFonts w:ascii="Times New Roman" w:hAnsi="Times New Roman" w:cs="Times New Roman"/>
          <w:sz w:val="24"/>
          <w:szCs w:val="24"/>
        </w:rPr>
        <w:t>&amp;</w:t>
      </w:r>
      <w:r w:rsidR="00166050" w:rsidRPr="006853EA">
        <w:rPr>
          <w:rFonts w:ascii="Times New Roman" w:hAnsi="Times New Roman" w:cs="Times New Roman"/>
          <w:sz w:val="24"/>
          <w:szCs w:val="24"/>
        </w:rPr>
        <w:t xml:space="preserve"> Kouretas</w:t>
      </w:r>
      <w:r w:rsidR="004E0793">
        <w:rPr>
          <w:rFonts w:ascii="Times New Roman" w:hAnsi="Times New Roman" w:cs="Times New Roman"/>
          <w:sz w:val="24"/>
          <w:szCs w:val="24"/>
        </w:rPr>
        <w:t>,</w:t>
      </w:r>
      <w:r w:rsidR="00166050" w:rsidRPr="006853EA">
        <w:rPr>
          <w:rFonts w:ascii="Times New Roman" w:hAnsi="Times New Roman" w:cs="Times New Roman"/>
          <w:sz w:val="24"/>
          <w:szCs w:val="24"/>
        </w:rPr>
        <w:t xml:space="preserve"> 2011). Conversely, Wang and Moore (2008) show</w:t>
      </w:r>
      <w:r w:rsidR="009110C5">
        <w:rPr>
          <w:rFonts w:ascii="Times New Roman" w:hAnsi="Times New Roman" w:cs="Times New Roman"/>
          <w:sz w:val="24"/>
          <w:szCs w:val="24"/>
        </w:rPr>
        <w:t>ed</w:t>
      </w:r>
      <w:r w:rsidR="00A17517">
        <w:rPr>
          <w:rFonts w:ascii="Times New Roman" w:hAnsi="Times New Roman" w:cs="Times New Roman"/>
          <w:sz w:val="24"/>
          <w:szCs w:val="24"/>
        </w:rPr>
        <w:t xml:space="preserve"> </w:t>
      </w:r>
      <w:r w:rsidR="004B5454">
        <w:rPr>
          <w:rFonts w:ascii="Times New Roman" w:hAnsi="Times New Roman" w:cs="Times New Roman"/>
          <w:sz w:val="24"/>
          <w:szCs w:val="24"/>
        </w:rPr>
        <w:t xml:space="preserve">that </w:t>
      </w:r>
      <w:r w:rsidR="00166050" w:rsidRPr="006853EA">
        <w:rPr>
          <w:rFonts w:ascii="Times New Roman" w:hAnsi="Times New Roman" w:cs="Times New Roman"/>
          <w:sz w:val="24"/>
          <w:szCs w:val="24"/>
        </w:rPr>
        <w:t xml:space="preserve">monetary convergence </w:t>
      </w:r>
      <w:r w:rsidR="004B5454">
        <w:rPr>
          <w:rFonts w:ascii="Times New Roman" w:hAnsi="Times New Roman" w:cs="Times New Roman"/>
          <w:sz w:val="24"/>
          <w:szCs w:val="24"/>
        </w:rPr>
        <w:t>did not affect</w:t>
      </w:r>
      <w:r w:rsidR="00166050" w:rsidRPr="006853EA">
        <w:rPr>
          <w:rFonts w:ascii="Times New Roman" w:hAnsi="Times New Roman" w:cs="Times New Roman"/>
          <w:sz w:val="24"/>
          <w:szCs w:val="24"/>
        </w:rPr>
        <w:t xml:space="preserve"> stock market integration</w:t>
      </w:r>
      <w:r w:rsidR="00711D4B">
        <w:rPr>
          <w:rFonts w:ascii="Times New Roman" w:hAnsi="Times New Roman" w:cs="Times New Roman"/>
          <w:sz w:val="24"/>
          <w:szCs w:val="24"/>
        </w:rPr>
        <w:t xml:space="preserve"> between Central Eastern European (CEE) economies and Eurozone countries</w:t>
      </w:r>
      <w:r w:rsidR="00223B3B">
        <w:rPr>
          <w:rFonts w:ascii="Times New Roman" w:hAnsi="Times New Roman" w:cs="Times New Roman"/>
          <w:sz w:val="24"/>
          <w:szCs w:val="24"/>
        </w:rPr>
        <w:t xml:space="preserve"> over the period 1994</w:t>
      </w:r>
      <w:r w:rsidR="00086A7F">
        <w:rPr>
          <w:rFonts w:ascii="Times New Roman" w:hAnsi="Times New Roman" w:cs="Times New Roman"/>
          <w:sz w:val="24"/>
          <w:szCs w:val="24"/>
        </w:rPr>
        <w:t>–</w:t>
      </w:r>
      <w:r w:rsidR="00223B3B">
        <w:rPr>
          <w:rFonts w:ascii="Times New Roman" w:hAnsi="Times New Roman" w:cs="Times New Roman"/>
          <w:sz w:val="24"/>
          <w:szCs w:val="24"/>
        </w:rPr>
        <w:t>2006</w:t>
      </w:r>
      <w:r w:rsidR="00166050" w:rsidRPr="006853EA">
        <w:rPr>
          <w:rFonts w:ascii="Times New Roman" w:hAnsi="Times New Roman" w:cs="Times New Roman"/>
          <w:sz w:val="24"/>
          <w:szCs w:val="24"/>
        </w:rPr>
        <w:t xml:space="preserve">. </w:t>
      </w:r>
    </w:p>
    <w:p w:rsidR="00166050"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3.1.3. </w:t>
      </w:r>
      <w:r w:rsidR="00166050" w:rsidRPr="00AF6503">
        <w:rPr>
          <w:rFonts w:ascii="Times New Roman" w:hAnsi="Times New Roman" w:cs="Times New Roman"/>
          <w:i/>
          <w:sz w:val="24"/>
          <w:szCs w:val="24"/>
        </w:rPr>
        <w:t xml:space="preserve">Inflationary </w:t>
      </w:r>
      <w:r w:rsidR="0075422D">
        <w:rPr>
          <w:rFonts w:ascii="Times New Roman" w:hAnsi="Times New Roman" w:cs="Times New Roman"/>
          <w:i/>
          <w:sz w:val="24"/>
          <w:szCs w:val="24"/>
        </w:rPr>
        <w:t>c</w:t>
      </w:r>
      <w:r w:rsidR="00166050" w:rsidRPr="00AF6503">
        <w:rPr>
          <w:rFonts w:ascii="Times New Roman" w:hAnsi="Times New Roman" w:cs="Times New Roman"/>
          <w:i/>
          <w:sz w:val="24"/>
          <w:szCs w:val="24"/>
        </w:rPr>
        <w:t>onvergence</w:t>
      </w:r>
    </w:p>
    <w:p w:rsidR="00166050" w:rsidRDefault="004B5454"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We proxy inflation</w:t>
      </w:r>
      <w:r w:rsidR="00A17517">
        <w:rPr>
          <w:rFonts w:ascii="Times New Roman" w:hAnsi="Times New Roman" w:cs="Times New Roman"/>
          <w:sz w:val="24"/>
          <w:szCs w:val="24"/>
        </w:rPr>
        <w:t xml:space="preserve"> </w:t>
      </w:r>
      <w:r w:rsidR="00AA1B1A">
        <w:rPr>
          <w:rFonts w:ascii="Times New Roman" w:hAnsi="Times New Roman" w:cs="Times New Roman"/>
          <w:sz w:val="24"/>
          <w:szCs w:val="24"/>
        </w:rPr>
        <w:t>convergence</w:t>
      </w:r>
      <w:r w:rsidR="000C4778">
        <w:rPr>
          <w:rFonts w:ascii="Times New Roman" w:hAnsi="Times New Roman" w:cs="Times New Roman"/>
          <w:sz w:val="24"/>
          <w:szCs w:val="24"/>
        </w:rPr>
        <w:t xml:space="preserve"> by the conditional correlation between UK and US</w:t>
      </w:r>
      <w:r w:rsidR="00097A01">
        <w:rPr>
          <w:rFonts w:ascii="Times New Roman" w:hAnsi="Times New Roman" w:cs="Times New Roman"/>
          <w:sz w:val="24"/>
          <w:szCs w:val="24"/>
        </w:rPr>
        <w:t xml:space="preserve"> </w:t>
      </w:r>
      <w:r w:rsidR="007D0F5A">
        <w:rPr>
          <w:rFonts w:ascii="Times New Roman" w:hAnsi="Times New Roman" w:cs="Times New Roman"/>
          <w:sz w:val="24"/>
          <w:szCs w:val="24"/>
        </w:rPr>
        <w:t xml:space="preserve">CPI </w:t>
      </w:r>
      <w:r w:rsidR="000C4778">
        <w:rPr>
          <w:rFonts w:ascii="Times New Roman" w:hAnsi="Times New Roman" w:cs="Times New Roman"/>
          <w:sz w:val="24"/>
          <w:szCs w:val="24"/>
        </w:rPr>
        <w:t>inflation.</w:t>
      </w:r>
      <w:r w:rsidR="00A17517">
        <w:rPr>
          <w:rFonts w:ascii="Times New Roman" w:hAnsi="Times New Roman" w:cs="Times New Roman"/>
          <w:sz w:val="24"/>
          <w:szCs w:val="24"/>
        </w:rPr>
        <w:t xml:space="preserve"> </w:t>
      </w:r>
      <w:r w:rsidR="00384680">
        <w:rPr>
          <w:rFonts w:ascii="Times New Roman" w:hAnsi="Times New Roman" w:cs="Times New Roman"/>
          <w:sz w:val="24"/>
          <w:szCs w:val="24"/>
        </w:rPr>
        <w:t>T</w:t>
      </w:r>
      <w:r w:rsidR="00166050" w:rsidRPr="006853EA">
        <w:rPr>
          <w:rFonts w:ascii="Times New Roman" w:hAnsi="Times New Roman" w:cs="Times New Roman"/>
          <w:sz w:val="24"/>
          <w:szCs w:val="24"/>
        </w:rPr>
        <w:t>he higher the convergence between UK and US inflation rate</w:t>
      </w:r>
      <w:r w:rsidR="009110C5">
        <w:rPr>
          <w:rFonts w:ascii="Times New Roman" w:hAnsi="Times New Roman" w:cs="Times New Roman"/>
          <w:sz w:val="24"/>
          <w:szCs w:val="24"/>
        </w:rPr>
        <w:t>s</w:t>
      </w:r>
      <w:r w:rsidR="00166050" w:rsidRPr="006853EA">
        <w:rPr>
          <w:rFonts w:ascii="Times New Roman" w:hAnsi="Times New Roman" w:cs="Times New Roman"/>
          <w:sz w:val="24"/>
          <w:szCs w:val="24"/>
        </w:rPr>
        <w:t xml:space="preserve">, </w:t>
      </w:r>
      <w:r w:rsidR="00E30FBF" w:rsidRPr="006853EA">
        <w:rPr>
          <w:rFonts w:ascii="Times New Roman" w:hAnsi="Times New Roman" w:cs="Times New Roman"/>
          <w:sz w:val="24"/>
          <w:szCs w:val="24"/>
        </w:rPr>
        <w:t xml:space="preserve">the </w:t>
      </w:r>
      <w:r w:rsidR="00E30FBF">
        <w:rPr>
          <w:rFonts w:ascii="Times New Roman" w:hAnsi="Times New Roman" w:cs="Times New Roman"/>
          <w:sz w:val="24"/>
          <w:szCs w:val="24"/>
        </w:rPr>
        <w:t>stronger is the link between</w:t>
      </w:r>
      <w:r w:rsidR="00E30FBF" w:rsidRPr="006853EA">
        <w:rPr>
          <w:rFonts w:ascii="Times New Roman" w:hAnsi="Times New Roman" w:cs="Times New Roman"/>
          <w:sz w:val="24"/>
          <w:szCs w:val="24"/>
        </w:rPr>
        <w:t xml:space="preserve"> their stock market</w:t>
      </w:r>
      <w:r w:rsidR="00E30FBF">
        <w:rPr>
          <w:rFonts w:ascii="Times New Roman" w:hAnsi="Times New Roman" w:cs="Times New Roman"/>
          <w:sz w:val="24"/>
          <w:szCs w:val="24"/>
        </w:rPr>
        <w:t>s</w:t>
      </w:r>
      <w:r w:rsidR="00166050" w:rsidRPr="006853EA">
        <w:rPr>
          <w:rFonts w:ascii="Times New Roman" w:hAnsi="Times New Roman" w:cs="Times New Roman"/>
          <w:sz w:val="24"/>
          <w:szCs w:val="24"/>
        </w:rPr>
        <w:t xml:space="preserve">. Kim </w:t>
      </w:r>
      <w:r w:rsidR="00B12241" w:rsidRPr="00B12241">
        <w:rPr>
          <w:rFonts w:ascii="Times New Roman" w:hAnsi="Times New Roman" w:cs="Times New Roman"/>
          <w:sz w:val="24"/>
          <w:szCs w:val="24"/>
        </w:rPr>
        <w:t>et al.</w:t>
      </w:r>
      <w:r w:rsidR="00166050" w:rsidRPr="006853EA">
        <w:rPr>
          <w:rFonts w:ascii="Times New Roman" w:hAnsi="Times New Roman" w:cs="Times New Roman"/>
          <w:sz w:val="24"/>
          <w:szCs w:val="24"/>
        </w:rPr>
        <w:t xml:space="preserve"> (2005) f</w:t>
      </w:r>
      <w:r w:rsidR="009110C5">
        <w:rPr>
          <w:rFonts w:ascii="Times New Roman" w:hAnsi="Times New Roman" w:cs="Times New Roman"/>
          <w:sz w:val="24"/>
          <w:szCs w:val="24"/>
        </w:rPr>
        <w:t>ou</w:t>
      </w:r>
      <w:r w:rsidR="00166050" w:rsidRPr="006853EA">
        <w:rPr>
          <w:rFonts w:ascii="Times New Roman" w:hAnsi="Times New Roman" w:cs="Times New Roman"/>
          <w:sz w:val="24"/>
          <w:szCs w:val="24"/>
        </w:rPr>
        <w:t xml:space="preserve">nd that </w:t>
      </w:r>
      <w:r w:rsidR="00384680">
        <w:rPr>
          <w:rFonts w:ascii="Times New Roman" w:hAnsi="Times New Roman" w:cs="Times New Roman"/>
          <w:sz w:val="24"/>
          <w:szCs w:val="24"/>
        </w:rPr>
        <w:t xml:space="preserve">CPI </w:t>
      </w:r>
      <w:r w:rsidR="00166050" w:rsidRPr="006853EA">
        <w:rPr>
          <w:rFonts w:ascii="Times New Roman" w:hAnsi="Times New Roman" w:cs="Times New Roman"/>
          <w:sz w:val="24"/>
          <w:szCs w:val="24"/>
        </w:rPr>
        <w:t>inflation ha</w:t>
      </w:r>
      <w:r>
        <w:rPr>
          <w:rFonts w:ascii="Times New Roman" w:hAnsi="Times New Roman" w:cs="Times New Roman"/>
          <w:sz w:val="24"/>
          <w:szCs w:val="24"/>
        </w:rPr>
        <w:t>d</w:t>
      </w:r>
      <w:r w:rsidR="00166050" w:rsidRPr="006853EA">
        <w:rPr>
          <w:rFonts w:ascii="Times New Roman" w:hAnsi="Times New Roman" w:cs="Times New Roman"/>
          <w:sz w:val="24"/>
          <w:szCs w:val="24"/>
        </w:rPr>
        <w:t xml:space="preserve"> contributed to the integration of stock markets between</w:t>
      </w:r>
      <w:r w:rsidR="009110C5">
        <w:rPr>
          <w:rFonts w:ascii="Times New Roman" w:hAnsi="Times New Roman" w:cs="Times New Roman"/>
          <w:sz w:val="24"/>
          <w:szCs w:val="24"/>
        </w:rPr>
        <w:t xml:space="preserve"> the</w:t>
      </w:r>
      <w:r w:rsidR="00166050" w:rsidRPr="006853EA">
        <w:rPr>
          <w:rFonts w:ascii="Times New Roman" w:hAnsi="Times New Roman" w:cs="Times New Roman"/>
          <w:sz w:val="24"/>
          <w:szCs w:val="24"/>
        </w:rPr>
        <w:t xml:space="preserve"> EMU and US. </w:t>
      </w:r>
      <w:r w:rsidR="00447F5D">
        <w:rPr>
          <w:rFonts w:ascii="Times New Roman" w:hAnsi="Times New Roman" w:cs="Times New Roman"/>
          <w:sz w:val="24"/>
          <w:szCs w:val="24"/>
        </w:rPr>
        <w:t xml:space="preserve">Similarly, </w:t>
      </w:r>
      <w:r w:rsidR="00166050" w:rsidRPr="006853EA">
        <w:rPr>
          <w:rFonts w:ascii="Times New Roman" w:hAnsi="Times New Roman" w:cs="Times New Roman"/>
          <w:sz w:val="24"/>
          <w:szCs w:val="24"/>
        </w:rPr>
        <w:t>Syllignakis and Kouretas (2011) f</w:t>
      </w:r>
      <w:r w:rsidR="009110C5">
        <w:rPr>
          <w:rFonts w:ascii="Times New Roman" w:hAnsi="Times New Roman" w:cs="Times New Roman"/>
          <w:sz w:val="24"/>
          <w:szCs w:val="24"/>
        </w:rPr>
        <w:t>ou</w:t>
      </w:r>
      <w:r w:rsidR="00166050" w:rsidRPr="006853EA">
        <w:rPr>
          <w:rFonts w:ascii="Times New Roman" w:hAnsi="Times New Roman" w:cs="Times New Roman"/>
          <w:sz w:val="24"/>
          <w:szCs w:val="24"/>
        </w:rPr>
        <w:t xml:space="preserve">nd </w:t>
      </w:r>
      <w:r w:rsidR="000213B1">
        <w:rPr>
          <w:rFonts w:ascii="Times New Roman" w:hAnsi="Times New Roman" w:cs="Times New Roman"/>
          <w:sz w:val="24"/>
          <w:szCs w:val="24"/>
        </w:rPr>
        <w:t>that inflation convergence between CEE economies and the German economy play</w:t>
      </w:r>
      <w:r w:rsidR="009110C5">
        <w:rPr>
          <w:rFonts w:ascii="Times New Roman" w:hAnsi="Times New Roman" w:cs="Times New Roman"/>
          <w:sz w:val="24"/>
          <w:szCs w:val="24"/>
        </w:rPr>
        <w:t>ed</w:t>
      </w:r>
      <w:r w:rsidR="000213B1">
        <w:rPr>
          <w:rFonts w:ascii="Times New Roman" w:hAnsi="Times New Roman" w:cs="Times New Roman"/>
          <w:sz w:val="24"/>
          <w:szCs w:val="24"/>
        </w:rPr>
        <w:t xml:space="preserve"> a key role in explaining their stock market </w:t>
      </w:r>
      <w:r w:rsidR="00166050" w:rsidRPr="006853EA">
        <w:rPr>
          <w:rFonts w:ascii="Times New Roman" w:hAnsi="Times New Roman" w:cs="Times New Roman"/>
          <w:sz w:val="24"/>
          <w:szCs w:val="24"/>
        </w:rPr>
        <w:t>correlation</w:t>
      </w:r>
      <w:r w:rsidR="000213B1">
        <w:rPr>
          <w:rFonts w:ascii="Times New Roman" w:hAnsi="Times New Roman" w:cs="Times New Roman"/>
          <w:sz w:val="24"/>
          <w:szCs w:val="24"/>
        </w:rPr>
        <w:t>s</w:t>
      </w:r>
      <w:r w:rsidR="006A732E">
        <w:rPr>
          <w:rFonts w:ascii="Times New Roman" w:hAnsi="Times New Roman" w:cs="Times New Roman"/>
          <w:sz w:val="24"/>
          <w:szCs w:val="24"/>
        </w:rPr>
        <w:t xml:space="preserve"> over the period 1997</w:t>
      </w:r>
      <w:r w:rsidR="00270E86">
        <w:rPr>
          <w:rFonts w:ascii="Times New Roman" w:hAnsi="Times New Roman" w:cs="Times New Roman"/>
          <w:sz w:val="24"/>
          <w:szCs w:val="24"/>
        </w:rPr>
        <w:t>–</w:t>
      </w:r>
      <w:r w:rsidR="006A732E">
        <w:rPr>
          <w:rFonts w:ascii="Times New Roman" w:hAnsi="Times New Roman" w:cs="Times New Roman"/>
          <w:sz w:val="24"/>
          <w:szCs w:val="24"/>
        </w:rPr>
        <w:t>2009</w:t>
      </w:r>
      <w:r w:rsidR="00166050" w:rsidRPr="006853EA">
        <w:rPr>
          <w:rFonts w:ascii="Times New Roman" w:hAnsi="Times New Roman" w:cs="Times New Roman"/>
          <w:sz w:val="24"/>
          <w:szCs w:val="24"/>
        </w:rPr>
        <w:t xml:space="preserve">. </w:t>
      </w:r>
    </w:p>
    <w:p w:rsidR="00495EBD"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3.1.4. </w:t>
      </w:r>
      <w:r w:rsidR="00495EBD" w:rsidRPr="00AF6503">
        <w:rPr>
          <w:rFonts w:ascii="Times New Roman" w:hAnsi="Times New Roman" w:cs="Times New Roman"/>
          <w:i/>
          <w:sz w:val="24"/>
          <w:szCs w:val="24"/>
        </w:rPr>
        <w:t xml:space="preserve">Economic </w:t>
      </w:r>
      <w:r w:rsidR="0075422D">
        <w:rPr>
          <w:rFonts w:ascii="Times New Roman" w:hAnsi="Times New Roman" w:cs="Times New Roman"/>
          <w:i/>
          <w:sz w:val="24"/>
          <w:szCs w:val="24"/>
        </w:rPr>
        <w:t>p</w:t>
      </w:r>
      <w:r w:rsidR="00495EBD" w:rsidRPr="00AF6503">
        <w:rPr>
          <w:rFonts w:ascii="Times New Roman" w:hAnsi="Times New Roman" w:cs="Times New Roman"/>
          <w:i/>
          <w:sz w:val="24"/>
          <w:szCs w:val="24"/>
        </w:rPr>
        <w:t xml:space="preserve">olicy </w:t>
      </w:r>
      <w:r w:rsidR="0075422D">
        <w:rPr>
          <w:rFonts w:ascii="Times New Roman" w:hAnsi="Times New Roman" w:cs="Times New Roman"/>
          <w:i/>
          <w:sz w:val="24"/>
          <w:szCs w:val="24"/>
        </w:rPr>
        <w:t>u</w:t>
      </w:r>
      <w:r w:rsidR="00495EBD" w:rsidRPr="00AF6503">
        <w:rPr>
          <w:rFonts w:ascii="Times New Roman" w:hAnsi="Times New Roman" w:cs="Times New Roman"/>
          <w:i/>
          <w:sz w:val="24"/>
          <w:szCs w:val="24"/>
        </w:rPr>
        <w:t xml:space="preserve">ncertainty </w:t>
      </w:r>
      <w:r w:rsidR="0075422D">
        <w:rPr>
          <w:rFonts w:ascii="Times New Roman" w:hAnsi="Times New Roman" w:cs="Times New Roman"/>
          <w:i/>
          <w:sz w:val="24"/>
          <w:szCs w:val="24"/>
        </w:rPr>
        <w:t>c</w:t>
      </w:r>
      <w:r w:rsidR="00341584" w:rsidRPr="00AF6503">
        <w:rPr>
          <w:rFonts w:ascii="Times New Roman" w:hAnsi="Times New Roman" w:cs="Times New Roman"/>
          <w:i/>
          <w:sz w:val="24"/>
          <w:szCs w:val="24"/>
        </w:rPr>
        <w:t>onvergence</w:t>
      </w:r>
    </w:p>
    <w:p w:rsidR="00495EBD" w:rsidRPr="006853EA" w:rsidRDefault="00104929"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In</w:t>
      </w:r>
      <w:r w:rsidR="00097A01">
        <w:rPr>
          <w:rFonts w:ascii="Times New Roman" w:hAnsi="Times New Roman" w:cs="Times New Roman"/>
          <w:sz w:val="24"/>
          <w:szCs w:val="24"/>
        </w:rPr>
        <w:t xml:space="preserve"> </w:t>
      </w:r>
      <w:r w:rsidR="002D0BB9">
        <w:rPr>
          <w:rFonts w:ascii="Times New Roman" w:hAnsi="Times New Roman" w:cs="Times New Roman"/>
          <w:sz w:val="24"/>
          <w:szCs w:val="24"/>
        </w:rPr>
        <w:t>measur</w:t>
      </w:r>
      <w:r>
        <w:rPr>
          <w:rFonts w:ascii="Times New Roman" w:hAnsi="Times New Roman" w:cs="Times New Roman"/>
          <w:sz w:val="24"/>
          <w:szCs w:val="24"/>
        </w:rPr>
        <w:t>ing</w:t>
      </w:r>
      <w:r w:rsidR="002D0BB9">
        <w:rPr>
          <w:rFonts w:ascii="Times New Roman" w:hAnsi="Times New Roman" w:cs="Times New Roman"/>
          <w:sz w:val="24"/>
          <w:szCs w:val="24"/>
        </w:rPr>
        <w:t xml:space="preserve"> the impact of </w:t>
      </w:r>
      <w:r w:rsidR="00E375A5">
        <w:rPr>
          <w:rFonts w:ascii="Times New Roman" w:hAnsi="Times New Roman" w:cs="Times New Roman"/>
          <w:sz w:val="24"/>
          <w:szCs w:val="24"/>
        </w:rPr>
        <w:t>policy</w:t>
      </w:r>
      <w:r w:rsidR="002D0BB9">
        <w:rPr>
          <w:rFonts w:ascii="Times New Roman" w:hAnsi="Times New Roman" w:cs="Times New Roman"/>
          <w:sz w:val="24"/>
          <w:szCs w:val="24"/>
        </w:rPr>
        <w:t xml:space="preserve"> uncertainty</w:t>
      </w:r>
      <w:r w:rsidR="005161E0">
        <w:rPr>
          <w:rFonts w:ascii="Times New Roman" w:hAnsi="Times New Roman" w:cs="Times New Roman"/>
          <w:sz w:val="24"/>
          <w:szCs w:val="24"/>
        </w:rPr>
        <w:t xml:space="preserve"> convergence</w:t>
      </w:r>
      <w:r w:rsidR="002D0BB9">
        <w:rPr>
          <w:rFonts w:ascii="Times New Roman" w:hAnsi="Times New Roman" w:cs="Times New Roman"/>
          <w:sz w:val="24"/>
          <w:szCs w:val="24"/>
        </w:rPr>
        <w:t xml:space="preserve"> on stock market integration</w:t>
      </w:r>
      <w:r>
        <w:rPr>
          <w:rFonts w:ascii="Times New Roman" w:hAnsi="Times New Roman" w:cs="Times New Roman"/>
          <w:sz w:val="24"/>
          <w:szCs w:val="24"/>
        </w:rPr>
        <w:t>,</w:t>
      </w:r>
      <w:r w:rsidR="00097A01">
        <w:rPr>
          <w:rFonts w:ascii="Times New Roman" w:hAnsi="Times New Roman" w:cs="Times New Roman"/>
          <w:sz w:val="24"/>
          <w:szCs w:val="24"/>
        </w:rPr>
        <w:t xml:space="preserve"> </w:t>
      </w:r>
      <w:r>
        <w:rPr>
          <w:rFonts w:ascii="Times New Roman" w:hAnsi="Times New Roman" w:cs="Times New Roman"/>
          <w:sz w:val="24"/>
          <w:szCs w:val="24"/>
        </w:rPr>
        <w:t xml:space="preserve">we use the </w:t>
      </w:r>
      <w:r w:rsidR="00C34AD0">
        <w:rPr>
          <w:rFonts w:ascii="Times New Roman" w:hAnsi="Times New Roman" w:cs="Times New Roman"/>
          <w:sz w:val="24"/>
          <w:szCs w:val="24"/>
        </w:rPr>
        <w:t>E</w:t>
      </w:r>
      <w:r>
        <w:rPr>
          <w:rFonts w:ascii="Times New Roman" w:hAnsi="Times New Roman" w:cs="Times New Roman"/>
          <w:sz w:val="24"/>
          <w:szCs w:val="24"/>
        </w:rPr>
        <w:t xml:space="preserve">conomic </w:t>
      </w:r>
      <w:r w:rsidR="00C34AD0">
        <w:rPr>
          <w:rFonts w:ascii="Times New Roman" w:hAnsi="Times New Roman" w:cs="Times New Roman"/>
          <w:sz w:val="24"/>
          <w:szCs w:val="24"/>
        </w:rPr>
        <w:t>P</w:t>
      </w:r>
      <w:r>
        <w:rPr>
          <w:rFonts w:ascii="Times New Roman" w:hAnsi="Times New Roman" w:cs="Times New Roman"/>
          <w:sz w:val="24"/>
          <w:szCs w:val="24"/>
        </w:rPr>
        <w:t xml:space="preserve">olicy </w:t>
      </w:r>
      <w:r w:rsidR="00C34AD0">
        <w:rPr>
          <w:rFonts w:ascii="Times New Roman" w:hAnsi="Times New Roman" w:cs="Times New Roman"/>
          <w:sz w:val="24"/>
          <w:szCs w:val="24"/>
        </w:rPr>
        <w:t>U</w:t>
      </w:r>
      <w:r>
        <w:rPr>
          <w:rFonts w:ascii="Times New Roman" w:hAnsi="Times New Roman" w:cs="Times New Roman"/>
          <w:sz w:val="24"/>
          <w:szCs w:val="24"/>
        </w:rPr>
        <w:t>ncertainty (EPU) index</w:t>
      </w:r>
      <w:r w:rsidR="002D0BB9">
        <w:rPr>
          <w:rFonts w:ascii="Times New Roman" w:hAnsi="Times New Roman" w:cs="Times New Roman"/>
          <w:sz w:val="24"/>
          <w:szCs w:val="24"/>
        </w:rPr>
        <w:t>.</w:t>
      </w:r>
      <w:r w:rsidR="00097A01">
        <w:rPr>
          <w:rFonts w:ascii="Times New Roman" w:hAnsi="Times New Roman" w:cs="Times New Roman"/>
          <w:sz w:val="24"/>
          <w:szCs w:val="24"/>
        </w:rPr>
        <w:t xml:space="preserve"> </w:t>
      </w:r>
      <w:r w:rsidR="00D76DE5">
        <w:rPr>
          <w:rFonts w:ascii="Times New Roman" w:hAnsi="Times New Roman" w:cs="Times New Roman"/>
          <w:sz w:val="24"/>
          <w:szCs w:val="24"/>
        </w:rPr>
        <w:t>Unlike</w:t>
      </w:r>
      <w:r w:rsidR="00DA1886">
        <w:rPr>
          <w:rFonts w:ascii="Times New Roman" w:hAnsi="Times New Roman" w:cs="Times New Roman"/>
          <w:sz w:val="24"/>
          <w:szCs w:val="24"/>
        </w:rPr>
        <w:t xml:space="preserve"> the </w:t>
      </w:r>
      <w:r w:rsidR="00D76DE5">
        <w:rPr>
          <w:rFonts w:ascii="Times New Roman" w:hAnsi="Times New Roman" w:cs="Times New Roman"/>
          <w:sz w:val="24"/>
          <w:szCs w:val="24"/>
        </w:rPr>
        <w:t>volatility index (</w:t>
      </w:r>
      <w:r w:rsidR="00DA1886">
        <w:rPr>
          <w:rFonts w:ascii="Times New Roman" w:hAnsi="Times New Roman" w:cs="Times New Roman"/>
          <w:sz w:val="24"/>
          <w:szCs w:val="24"/>
        </w:rPr>
        <w:t>VIX</w:t>
      </w:r>
      <w:r w:rsidR="00D76DE5">
        <w:rPr>
          <w:rFonts w:ascii="Times New Roman" w:hAnsi="Times New Roman" w:cs="Times New Roman"/>
          <w:sz w:val="24"/>
          <w:szCs w:val="24"/>
        </w:rPr>
        <w:t>)</w:t>
      </w:r>
      <w:r w:rsidR="009110C5">
        <w:rPr>
          <w:rFonts w:ascii="Times New Roman" w:hAnsi="Times New Roman" w:cs="Times New Roman"/>
          <w:sz w:val="24"/>
          <w:szCs w:val="24"/>
        </w:rPr>
        <w:t>,</w:t>
      </w:r>
      <w:r w:rsidR="00DA1886">
        <w:rPr>
          <w:rFonts w:ascii="Times New Roman" w:hAnsi="Times New Roman" w:cs="Times New Roman"/>
          <w:sz w:val="24"/>
          <w:szCs w:val="24"/>
        </w:rPr>
        <w:t xml:space="preserve"> which captures </w:t>
      </w:r>
      <w:r w:rsidR="004B5454">
        <w:rPr>
          <w:rFonts w:ascii="Times New Roman" w:hAnsi="Times New Roman" w:cs="Times New Roman"/>
          <w:sz w:val="24"/>
          <w:szCs w:val="24"/>
        </w:rPr>
        <w:t xml:space="preserve">only </w:t>
      </w:r>
      <w:r w:rsidR="00DA1886">
        <w:rPr>
          <w:rFonts w:ascii="Times New Roman" w:hAnsi="Times New Roman" w:cs="Times New Roman"/>
          <w:sz w:val="24"/>
          <w:szCs w:val="24"/>
        </w:rPr>
        <w:t xml:space="preserve">uncertainty about equity returns, the EPU index broadly reflects policy uncertainty. </w:t>
      </w:r>
      <w:r w:rsidR="004101F6">
        <w:rPr>
          <w:rFonts w:ascii="Times New Roman" w:hAnsi="Times New Roman" w:cs="Times New Roman"/>
          <w:sz w:val="24"/>
          <w:szCs w:val="24"/>
        </w:rPr>
        <w:t xml:space="preserve">According to Baker </w:t>
      </w:r>
      <w:r w:rsidR="00B12241" w:rsidRPr="00B12241">
        <w:rPr>
          <w:rFonts w:ascii="Times New Roman" w:hAnsi="Times New Roman" w:cs="Times New Roman"/>
          <w:sz w:val="24"/>
          <w:szCs w:val="24"/>
        </w:rPr>
        <w:t>et al</w:t>
      </w:r>
      <w:r w:rsidR="004101F6" w:rsidRPr="00086A7F">
        <w:rPr>
          <w:rFonts w:ascii="Times New Roman" w:hAnsi="Times New Roman" w:cs="Times New Roman"/>
          <w:sz w:val="24"/>
          <w:szCs w:val="24"/>
        </w:rPr>
        <w:t>.</w:t>
      </w:r>
      <w:r w:rsidR="00097A01">
        <w:rPr>
          <w:rFonts w:ascii="Times New Roman" w:hAnsi="Times New Roman" w:cs="Times New Roman"/>
          <w:sz w:val="24"/>
          <w:szCs w:val="24"/>
        </w:rPr>
        <w:t xml:space="preserve"> </w:t>
      </w:r>
      <w:r w:rsidR="004101F6">
        <w:rPr>
          <w:rFonts w:ascii="Times New Roman" w:hAnsi="Times New Roman" w:cs="Times New Roman"/>
          <w:sz w:val="24"/>
          <w:szCs w:val="24"/>
        </w:rPr>
        <w:t>(2016, p. 16), “higher policy uncertainty leads to a greater frequency of large equity market moves triggered by policy-related news.”</w:t>
      </w:r>
      <w:r w:rsidR="00E375A5">
        <w:rPr>
          <w:rFonts w:ascii="Times New Roman" w:hAnsi="Times New Roman" w:cs="Times New Roman"/>
          <w:sz w:val="24"/>
          <w:szCs w:val="24"/>
        </w:rPr>
        <w:t xml:space="preserve"> Using a dataset over the period 1985–2013,</w:t>
      </w:r>
      <w:r w:rsidR="00097A01">
        <w:rPr>
          <w:rFonts w:ascii="Times New Roman" w:hAnsi="Times New Roman" w:cs="Times New Roman"/>
          <w:sz w:val="24"/>
          <w:szCs w:val="24"/>
        </w:rPr>
        <w:t xml:space="preserve"> </w:t>
      </w:r>
      <w:r w:rsidR="00C46DBF">
        <w:rPr>
          <w:rFonts w:ascii="Times New Roman" w:hAnsi="Times New Roman" w:cs="Times New Roman"/>
          <w:sz w:val="24"/>
          <w:szCs w:val="24"/>
        </w:rPr>
        <w:t>Antonakakis</w:t>
      </w:r>
      <w:r w:rsidR="00097A01">
        <w:rPr>
          <w:rFonts w:ascii="Times New Roman" w:hAnsi="Times New Roman" w:cs="Times New Roman"/>
          <w:sz w:val="24"/>
          <w:szCs w:val="24"/>
        </w:rPr>
        <w:t>, Chatziantoniou</w:t>
      </w:r>
      <w:r w:rsidR="00270E86">
        <w:rPr>
          <w:rFonts w:ascii="Times New Roman" w:hAnsi="Times New Roman" w:cs="Times New Roman"/>
          <w:sz w:val="24"/>
          <w:szCs w:val="24"/>
        </w:rPr>
        <w:t xml:space="preserve"> </w:t>
      </w:r>
      <w:r w:rsidR="00097A01">
        <w:rPr>
          <w:rFonts w:ascii="Times New Roman" w:hAnsi="Times New Roman" w:cs="Times New Roman"/>
          <w:sz w:val="24"/>
          <w:szCs w:val="24"/>
        </w:rPr>
        <w:t>and</w:t>
      </w:r>
      <w:r w:rsidR="00270E86">
        <w:rPr>
          <w:rFonts w:ascii="Times New Roman" w:hAnsi="Times New Roman" w:cs="Times New Roman"/>
          <w:sz w:val="24"/>
          <w:szCs w:val="24"/>
        </w:rPr>
        <w:t xml:space="preserve"> Filis</w:t>
      </w:r>
      <w:r w:rsidR="00097A01">
        <w:rPr>
          <w:rFonts w:ascii="Times New Roman" w:hAnsi="Times New Roman" w:cs="Times New Roman"/>
          <w:sz w:val="24"/>
          <w:szCs w:val="24"/>
        </w:rPr>
        <w:t xml:space="preserve"> </w:t>
      </w:r>
      <w:r w:rsidR="0074385F">
        <w:rPr>
          <w:rFonts w:ascii="Times New Roman" w:hAnsi="Times New Roman" w:cs="Times New Roman"/>
          <w:sz w:val="24"/>
          <w:szCs w:val="24"/>
        </w:rPr>
        <w:t>(2013) f</w:t>
      </w:r>
      <w:r w:rsidR="009110C5">
        <w:rPr>
          <w:rFonts w:ascii="Times New Roman" w:hAnsi="Times New Roman" w:cs="Times New Roman"/>
          <w:sz w:val="24"/>
          <w:szCs w:val="24"/>
        </w:rPr>
        <w:t>ou</w:t>
      </w:r>
      <w:r w:rsidR="0074385F">
        <w:rPr>
          <w:rFonts w:ascii="Times New Roman" w:hAnsi="Times New Roman" w:cs="Times New Roman"/>
          <w:sz w:val="24"/>
          <w:szCs w:val="24"/>
        </w:rPr>
        <w:t>nd that increases in</w:t>
      </w:r>
      <w:r w:rsidR="00C46DBF">
        <w:rPr>
          <w:rFonts w:ascii="Times New Roman" w:hAnsi="Times New Roman" w:cs="Times New Roman"/>
          <w:sz w:val="24"/>
          <w:szCs w:val="24"/>
        </w:rPr>
        <w:t xml:space="preserve"> stock market conditional volatility intensif</w:t>
      </w:r>
      <w:r w:rsidR="009110C5">
        <w:rPr>
          <w:rFonts w:ascii="Times New Roman" w:hAnsi="Times New Roman" w:cs="Times New Roman"/>
          <w:sz w:val="24"/>
          <w:szCs w:val="24"/>
        </w:rPr>
        <w:t>y</w:t>
      </w:r>
      <w:r w:rsidR="00C46DBF">
        <w:rPr>
          <w:rFonts w:ascii="Times New Roman" w:hAnsi="Times New Roman" w:cs="Times New Roman"/>
          <w:sz w:val="24"/>
          <w:szCs w:val="24"/>
        </w:rPr>
        <w:t xml:space="preserve"> policy uncertainty and reduce stock market returns, </w:t>
      </w:r>
      <w:r w:rsidR="004B09CF">
        <w:rPr>
          <w:rFonts w:ascii="Times New Roman" w:hAnsi="Times New Roman" w:cs="Times New Roman"/>
          <w:sz w:val="24"/>
          <w:szCs w:val="24"/>
        </w:rPr>
        <w:t xml:space="preserve">and conversely </w:t>
      </w:r>
      <w:r w:rsidR="00C46DBF">
        <w:rPr>
          <w:rFonts w:ascii="Times New Roman" w:hAnsi="Times New Roman" w:cs="Times New Roman"/>
          <w:sz w:val="24"/>
          <w:szCs w:val="24"/>
        </w:rPr>
        <w:t xml:space="preserve">increases in the volatility of policy uncertainty lead to negative stock market returns </w:t>
      </w:r>
      <w:r w:rsidR="00E375A5">
        <w:rPr>
          <w:rFonts w:ascii="Times New Roman" w:hAnsi="Times New Roman" w:cs="Times New Roman"/>
          <w:sz w:val="24"/>
          <w:szCs w:val="24"/>
        </w:rPr>
        <w:t xml:space="preserve">and worsened policy uncertainty (see </w:t>
      </w:r>
      <w:r w:rsidR="000C5A29">
        <w:rPr>
          <w:rFonts w:ascii="Times New Roman" w:hAnsi="Times New Roman" w:cs="Times New Roman"/>
          <w:sz w:val="24"/>
          <w:szCs w:val="24"/>
        </w:rPr>
        <w:t>Brog</w:t>
      </w:r>
      <w:r w:rsidR="008F6242">
        <w:rPr>
          <w:rFonts w:ascii="Times New Roman" w:hAnsi="Times New Roman" w:cs="Times New Roman"/>
          <w:sz w:val="24"/>
          <w:szCs w:val="24"/>
        </w:rPr>
        <w:t>a</w:t>
      </w:r>
      <w:r w:rsidR="000C5A29">
        <w:rPr>
          <w:rFonts w:ascii="Times New Roman" w:hAnsi="Times New Roman" w:cs="Times New Roman"/>
          <w:sz w:val="24"/>
          <w:szCs w:val="24"/>
        </w:rPr>
        <w:t>ard</w:t>
      </w:r>
      <w:r w:rsidR="00097A01">
        <w:rPr>
          <w:rFonts w:ascii="Times New Roman" w:hAnsi="Times New Roman" w:cs="Times New Roman"/>
          <w:sz w:val="24"/>
          <w:szCs w:val="24"/>
        </w:rPr>
        <w:t xml:space="preserve"> </w:t>
      </w:r>
      <w:r w:rsidR="004B5454">
        <w:rPr>
          <w:rFonts w:ascii="Times New Roman" w:hAnsi="Times New Roman" w:cs="Times New Roman"/>
          <w:sz w:val="24"/>
          <w:szCs w:val="24"/>
        </w:rPr>
        <w:t>&amp;</w:t>
      </w:r>
      <w:r w:rsidR="00097A01">
        <w:rPr>
          <w:rFonts w:ascii="Times New Roman" w:hAnsi="Times New Roman" w:cs="Times New Roman"/>
          <w:sz w:val="24"/>
          <w:szCs w:val="24"/>
        </w:rPr>
        <w:t xml:space="preserve"> </w:t>
      </w:r>
      <w:r w:rsidR="00E375A5">
        <w:rPr>
          <w:rFonts w:ascii="Times New Roman" w:hAnsi="Times New Roman" w:cs="Times New Roman"/>
          <w:sz w:val="24"/>
          <w:szCs w:val="24"/>
        </w:rPr>
        <w:t xml:space="preserve">Detzel, 2015). </w:t>
      </w:r>
      <w:r w:rsidR="002972E3">
        <w:rPr>
          <w:rFonts w:ascii="Times New Roman" w:hAnsi="Times New Roman" w:cs="Times New Roman"/>
          <w:sz w:val="24"/>
          <w:szCs w:val="24"/>
        </w:rPr>
        <w:t>It is important to note that</w:t>
      </w:r>
      <w:r w:rsidR="0005257E">
        <w:rPr>
          <w:rFonts w:ascii="Times New Roman" w:hAnsi="Times New Roman" w:cs="Times New Roman"/>
          <w:sz w:val="24"/>
          <w:szCs w:val="24"/>
        </w:rPr>
        <w:t xml:space="preserve"> the above studies analyse countries individually, therefore omitting to model any form of co-movement in EPU indices.</w:t>
      </w:r>
      <w:r w:rsidR="00A17517">
        <w:rPr>
          <w:rFonts w:ascii="Times New Roman" w:hAnsi="Times New Roman" w:cs="Times New Roman"/>
          <w:sz w:val="24"/>
          <w:szCs w:val="24"/>
        </w:rPr>
        <w:t xml:space="preserve"> </w:t>
      </w:r>
      <w:r w:rsidR="00E30FBF">
        <w:rPr>
          <w:rFonts w:ascii="Times New Roman" w:hAnsi="Times New Roman" w:cs="Times New Roman"/>
          <w:sz w:val="24"/>
          <w:szCs w:val="24"/>
        </w:rPr>
        <w:t>We contribute to the existing literature by measuring the co</w:t>
      </w:r>
      <w:r w:rsidR="004B09CF">
        <w:rPr>
          <w:rFonts w:ascii="Times New Roman" w:hAnsi="Times New Roman" w:cs="Times New Roman"/>
          <w:sz w:val="24"/>
          <w:szCs w:val="24"/>
        </w:rPr>
        <w:t>-</w:t>
      </w:r>
      <w:r w:rsidR="00E30FBF">
        <w:rPr>
          <w:rFonts w:ascii="Times New Roman" w:hAnsi="Times New Roman" w:cs="Times New Roman"/>
          <w:sz w:val="24"/>
          <w:szCs w:val="24"/>
        </w:rPr>
        <w:t xml:space="preserve">movement of EPU indices between two markets. </w:t>
      </w:r>
      <w:r w:rsidR="009110C5">
        <w:rPr>
          <w:rFonts w:ascii="Times New Roman" w:hAnsi="Times New Roman" w:cs="Times New Roman"/>
          <w:sz w:val="24"/>
          <w:szCs w:val="24"/>
        </w:rPr>
        <w:t>A</w:t>
      </w:r>
      <w:r w:rsidR="00E30FBF">
        <w:rPr>
          <w:rFonts w:ascii="Times New Roman" w:hAnsi="Times New Roman" w:cs="Times New Roman"/>
          <w:sz w:val="24"/>
          <w:szCs w:val="24"/>
        </w:rPr>
        <w:t xml:space="preserve">ll the above measures of </w:t>
      </w:r>
      <w:r w:rsidR="00875518">
        <w:rPr>
          <w:rFonts w:ascii="Times New Roman" w:hAnsi="Times New Roman" w:cs="Times New Roman"/>
          <w:sz w:val="24"/>
          <w:szCs w:val="24"/>
        </w:rPr>
        <w:t xml:space="preserve">macroeconomic </w:t>
      </w:r>
      <w:r w:rsidR="00E30FBF">
        <w:rPr>
          <w:rFonts w:ascii="Times New Roman" w:hAnsi="Times New Roman" w:cs="Times New Roman"/>
          <w:sz w:val="24"/>
          <w:szCs w:val="24"/>
        </w:rPr>
        <w:t>convergence are obtained by applying standard</w:t>
      </w:r>
      <w:r w:rsidR="0005257E">
        <w:rPr>
          <w:rFonts w:ascii="Times New Roman" w:hAnsi="Times New Roman" w:cs="Times New Roman"/>
          <w:sz w:val="24"/>
          <w:szCs w:val="24"/>
        </w:rPr>
        <w:t xml:space="preserve"> Dynamic Conditional Correlation</w:t>
      </w:r>
      <w:r w:rsidR="00097A01">
        <w:rPr>
          <w:rFonts w:ascii="Times New Roman" w:hAnsi="Times New Roman" w:cs="Times New Roman"/>
          <w:sz w:val="24"/>
          <w:szCs w:val="24"/>
        </w:rPr>
        <w:t xml:space="preserve"> </w:t>
      </w:r>
      <w:r w:rsidR="0005257E">
        <w:rPr>
          <w:rFonts w:ascii="Times New Roman" w:hAnsi="Times New Roman" w:cs="Times New Roman"/>
          <w:sz w:val="24"/>
          <w:szCs w:val="24"/>
        </w:rPr>
        <w:t>(</w:t>
      </w:r>
      <w:r w:rsidR="00E30FBF">
        <w:rPr>
          <w:rFonts w:ascii="Times New Roman" w:hAnsi="Times New Roman" w:cs="Times New Roman"/>
          <w:sz w:val="24"/>
          <w:szCs w:val="24"/>
        </w:rPr>
        <w:t>DCC</w:t>
      </w:r>
      <w:r w:rsidR="0005257E">
        <w:rPr>
          <w:rFonts w:ascii="Times New Roman" w:hAnsi="Times New Roman" w:cs="Times New Roman"/>
          <w:sz w:val="24"/>
          <w:szCs w:val="24"/>
        </w:rPr>
        <w:t>)</w:t>
      </w:r>
      <w:r w:rsidR="00E30FBF">
        <w:rPr>
          <w:rFonts w:ascii="Times New Roman" w:hAnsi="Times New Roman" w:cs="Times New Roman"/>
          <w:sz w:val="24"/>
          <w:szCs w:val="24"/>
        </w:rPr>
        <w:t xml:space="preserve"> GARCH models. </w:t>
      </w:r>
    </w:p>
    <w:p w:rsidR="00453FC5" w:rsidRPr="00AF6503" w:rsidRDefault="00F81EEA" w:rsidP="00AF6503">
      <w:pPr>
        <w:spacing w:after="0" w:line="480" w:lineRule="auto"/>
        <w:ind w:right="282"/>
        <w:rPr>
          <w:rFonts w:ascii="Times New Roman" w:hAnsi="Times New Roman" w:cs="Times New Roman"/>
          <w:i/>
          <w:sz w:val="24"/>
          <w:szCs w:val="24"/>
        </w:rPr>
      </w:pPr>
      <w:r w:rsidRPr="00AF6503">
        <w:rPr>
          <w:rFonts w:ascii="Times New Roman" w:hAnsi="Times New Roman" w:cs="Times New Roman"/>
          <w:i/>
          <w:sz w:val="24"/>
          <w:szCs w:val="24"/>
        </w:rPr>
        <w:lastRenderedPageBreak/>
        <w:t>3.2</w:t>
      </w:r>
      <w:r w:rsidR="007F2EF3">
        <w:rPr>
          <w:rFonts w:ascii="Times New Roman" w:hAnsi="Times New Roman" w:cs="Times New Roman"/>
          <w:i/>
          <w:sz w:val="24"/>
          <w:szCs w:val="24"/>
        </w:rPr>
        <w:t>.</w:t>
      </w:r>
      <w:r w:rsidR="00552618" w:rsidRPr="00AF6503">
        <w:rPr>
          <w:rFonts w:ascii="Times New Roman" w:hAnsi="Times New Roman" w:cs="Times New Roman"/>
          <w:i/>
          <w:sz w:val="24"/>
          <w:szCs w:val="24"/>
        </w:rPr>
        <w:tab/>
      </w:r>
      <w:r w:rsidR="00453FC5" w:rsidRPr="00AF6503">
        <w:rPr>
          <w:rFonts w:ascii="Times New Roman" w:hAnsi="Times New Roman" w:cs="Times New Roman"/>
          <w:i/>
          <w:sz w:val="24"/>
          <w:szCs w:val="24"/>
        </w:rPr>
        <w:t xml:space="preserve">Financial </w:t>
      </w:r>
      <w:r w:rsidR="0075422D">
        <w:rPr>
          <w:rFonts w:ascii="Times New Roman" w:hAnsi="Times New Roman" w:cs="Times New Roman"/>
          <w:i/>
          <w:sz w:val="24"/>
          <w:szCs w:val="24"/>
        </w:rPr>
        <w:t>v</w:t>
      </w:r>
      <w:r w:rsidR="00453FC5" w:rsidRPr="00AF6503">
        <w:rPr>
          <w:rFonts w:ascii="Times New Roman" w:hAnsi="Times New Roman" w:cs="Times New Roman"/>
          <w:i/>
          <w:sz w:val="24"/>
          <w:szCs w:val="24"/>
        </w:rPr>
        <w:t>olatility</w:t>
      </w:r>
    </w:p>
    <w:p w:rsidR="00166050"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3.2.1. </w:t>
      </w:r>
      <w:r w:rsidR="00166050" w:rsidRPr="00AF6503">
        <w:rPr>
          <w:rFonts w:ascii="Times New Roman" w:hAnsi="Times New Roman" w:cs="Times New Roman"/>
          <w:i/>
          <w:sz w:val="24"/>
          <w:szCs w:val="24"/>
        </w:rPr>
        <w:t xml:space="preserve">Real </w:t>
      </w:r>
      <w:r w:rsidR="0075422D">
        <w:rPr>
          <w:rFonts w:ascii="Times New Roman" w:hAnsi="Times New Roman" w:cs="Times New Roman"/>
          <w:i/>
          <w:sz w:val="24"/>
          <w:szCs w:val="24"/>
        </w:rPr>
        <w:t>e</w:t>
      </w:r>
      <w:r w:rsidR="00166050" w:rsidRPr="00AF6503">
        <w:rPr>
          <w:rFonts w:ascii="Times New Roman" w:hAnsi="Times New Roman" w:cs="Times New Roman"/>
          <w:i/>
          <w:sz w:val="24"/>
          <w:szCs w:val="24"/>
        </w:rPr>
        <w:t xml:space="preserve">xchange </w:t>
      </w:r>
      <w:r w:rsidR="0075422D">
        <w:rPr>
          <w:rFonts w:ascii="Times New Roman" w:hAnsi="Times New Roman" w:cs="Times New Roman"/>
          <w:i/>
          <w:sz w:val="24"/>
          <w:szCs w:val="24"/>
        </w:rPr>
        <w:t>r</w:t>
      </w:r>
      <w:r w:rsidR="00166050" w:rsidRPr="00AF6503">
        <w:rPr>
          <w:rFonts w:ascii="Times New Roman" w:hAnsi="Times New Roman" w:cs="Times New Roman"/>
          <w:i/>
          <w:sz w:val="24"/>
          <w:szCs w:val="24"/>
        </w:rPr>
        <w:t xml:space="preserve">ate </w:t>
      </w:r>
      <w:r w:rsidR="0075422D">
        <w:rPr>
          <w:rFonts w:ascii="Times New Roman" w:hAnsi="Times New Roman" w:cs="Times New Roman"/>
          <w:i/>
          <w:sz w:val="24"/>
          <w:szCs w:val="24"/>
        </w:rPr>
        <w:t>v</w:t>
      </w:r>
      <w:r w:rsidR="00166050" w:rsidRPr="00AF6503">
        <w:rPr>
          <w:rFonts w:ascii="Times New Roman" w:hAnsi="Times New Roman" w:cs="Times New Roman"/>
          <w:i/>
          <w:sz w:val="24"/>
          <w:szCs w:val="24"/>
        </w:rPr>
        <w:t>olatility</w:t>
      </w:r>
    </w:p>
    <w:p w:rsidR="00166050" w:rsidRPr="006853EA" w:rsidRDefault="00166050" w:rsidP="00AF6503">
      <w:pPr>
        <w:spacing w:after="0" w:line="480" w:lineRule="auto"/>
        <w:ind w:right="282" w:firstLine="720"/>
        <w:rPr>
          <w:rFonts w:ascii="Times New Roman" w:hAnsi="Times New Roman" w:cs="Times New Roman"/>
          <w:sz w:val="24"/>
          <w:szCs w:val="24"/>
        </w:rPr>
      </w:pPr>
      <w:r w:rsidRPr="006853EA">
        <w:rPr>
          <w:rFonts w:ascii="Times New Roman" w:hAnsi="Times New Roman" w:cs="Times New Roman"/>
          <w:sz w:val="24"/>
          <w:szCs w:val="24"/>
        </w:rPr>
        <w:t>Theoretically, there is an inverse relationship between stock market correlation and exchange rate volatility</w:t>
      </w:r>
      <w:r w:rsidR="00853CE1">
        <w:rPr>
          <w:rFonts w:ascii="Times New Roman" w:hAnsi="Times New Roman" w:cs="Times New Roman"/>
          <w:sz w:val="24"/>
          <w:szCs w:val="24"/>
        </w:rPr>
        <w:t>,</w:t>
      </w:r>
      <w:r w:rsidRPr="006853EA">
        <w:rPr>
          <w:rFonts w:ascii="Times New Roman" w:hAnsi="Times New Roman" w:cs="Times New Roman"/>
          <w:sz w:val="24"/>
          <w:szCs w:val="24"/>
        </w:rPr>
        <w:t xml:space="preserve"> because exchange rate risk is a critical source of risk priced on financial markets (see Bodart</w:t>
      </w:r>
      <w:r w:rsidR="00097A01">
        <w:rPr>
          <w:rFonts w:ascii="Times New Roman" w:hAnsi="Times New Roman" w:cs="Times New Roman"/>
          <w:sz w:val="24"/>
          <w:szCs w:val="24"/>
        </w:rPr>
        <w:t xml:space="preserve"> </w:t>
      </w:r>
      <w:r w:rsidR="00270E86">
        <w:rPr>
          <w:rFonts w:ascii="Times New Roman" w:hAnsi="Times New Roman" w:cs="Times New Roman"/>
          <w:sz w:val="24"/>
          <w:szCs w:val="24"/>
        </w:rPr>
        <w:t>&amp;</w:t>
      </w:r>
      <w:r w:rsidR="00097A01">
        <w:rPr>
          <w:rFonts w:ascii="Times New Roman" w:hAnsi="Times New Roman" w:cs="Times New Roman"/>
          <w:sz w:val="24"/>
          <w:szCs w:val="24"/>
        </w:rPr>
        <w:t xml:space="preserve"> </w:t>
      </w:r>
      <w:r w:rsidRPr="006853EA">
        <w:rPr>
          <w:rFonts w:ascii="Times New Roman" w:hAnsi="Times New Roman" w:cs="Times New Roman"/>
          <w:sz w:val="24"/>
          <w:szCs w:val="24"/>
        </w:rPr>
        <w:t>Reding, 1999). For instance, Fratzscher (2002) argue</w:t>
      </w:r>
      <w:r w:rsidR="009110C5">
        <w:rPr>
          <w:rFonts w:ascii="Times New Roman" w:hAnsi="Times New Roman" w:cs="Times New Roman"/>
          <w:sz w:val="24"/>
          <w:szCs w:val="24"/>
        </w:rPr>
        <w:t>d</w:t>
      </w:r>
      <w:r w:rsidRPr="006853EA">
        <w:rPr>
          <w:rFonts w:ascii="Times New Roman" w:hAnsi="Times New Roman" w:cs="Times New Roman"/>
          <w:sz w:val="24"/>
          <w:szCs w:val="24"/>
        </w:rPr>
        <w:t xml:space="preserve"> that the more turbulent and unpredictable exchange rates are, the more expensive hedging against such uncertainty is, the stronger the degree of market segmentation</w:t>
      </w:r>
      <w:r w:rsidR="00853CE1">
        <w:rPr>
          <w:rFonts w:ascii="Times New Roman" w:hAnsi="Times New Roman" w:cs="Times New Roman"/>
          <w:sz w:val="24"/>
          <w:szCs w:val="24"/>
        </w:rPr>
        <w:t>,</w:t>
      </w:r>
      <w:r w:rsidRPr="006853EA">
        <w:rPr>
          <w:rFonts w:ascii="Times New Roman" w:hAnsi="Times New Roman" w:cs="Times New Roman"/>
          <w:sz w:val="24"/>
          <w:szCs w:val="24"/>
        </w:rPr>
        <w:t xml:space="preserve"> and the lower the degree of cross-market correlation. Syllignakis</w:t>
      </w:r>
      <w:r w:rsidR="004B09CF">
        <w:rPr>
          <w:rFonts w:ascii="Times New Roman" w:hAnsi="Times New Roman" w:cs="Times New Roman"/>
          <w:sz w:val="24"/>
          <w:szCs w:val="24"/>
        </w:rPr>
        <w:t xml:space="preserve"> and Kouretas</w:t>
      </w:r>
      <w:r w:rsidRPr="006853EA">
        <w:rPr>
          <w:rFonts w:ascii="Times New Roman" w:hAnsi="Times New Roman" w:cs="Times New Roman"/>
          <w:sz w:val="24"/>
          <w:szCs w:val="24"/>
        </w:rPr>
        <w:t xml:space="preserve"> (2011) f</w:t>
      </w:r>
      <w:r w:rsidR="009110C5">
        <w:rPr>
          <w:rFonts w:ascii="Times New Roman" w:hAnsi="Times New Roman" w:cs="Times New Roman"/>
          <w:sz w:val="24"/>
          <w:szCs w:val="24"/>
        </w:rPr>
        <w:t>ou</w:t>
      </w:r>
      <w:r w:rsidRPr="006853EA">
        <w:rPr>
          <w:rFonts w:ascii="Times New Roman" w:hAnsi="Times New Roman" w:cs="Times New Roman"/>
          <w:sz w:val="24"/>
          <w:szCs w:val="24"/>
        </w:rPr>
        <w:t>nd that exchange rate movements have</w:t>
      </w:r>
      <w:r w:rsidR="00A11556">
        <w:rPr>
          <w:rFonts w:ascii="Times New Roman" w:hAnsi="Times New Roman" w:cs="Times New Roman"/>
          <w:sz w:val="24"/>
          <w:szCs w:val="24"/>
        </w:rPr>
        <w:t xml:space="preserve"> a</w:t>
      </w:r>
      <w:r w:rsidRPr="006853EA">
        <w:rPr>
          <w:rFonts w:ascii="Times New Roman" w:hAnsi="Times New Roman" w:cs="Times New Roman"/>
          <w:sz w:val="24"/>
          <w:szCs w:val="24"/>
        </w:rPr>
        <w:t xml:space="preserve"> significant impact on stock market integration, though </w:t>
      </w:r>
      <w:r w:rsidR="007F3BB1">
        <w:rPr>
          <w:rFonts w:ascii="Times New Roman" w:hAnsi="Times New Roman" w:cs="Times New Roman"/>
          <w:sz w:val="24"/>
          <w:szCs w:val="24"/>
        </w:rPr>
        <w:t xml:space="preserve">the effect is </w:t>
      </w:r>
      <w:r w:rsidRPr="006853EA">
        <w:rPr>
          <w:rFonts w:ascii="Times New Roman" w:hAnsi="Times New Roman" w:cs="Times New Roman"/>
          <w:sz w:val="24"/>
          <w:szCs w:val="24"/>
        </w:rPr>
        <w:t>positive in some perio</w:t>
      </w:r>
      <w:r w:rsidR="00384680">
        <w:rPr>
          <w:rFonts w:ascii="Times New Roman" w:hAnsi="Times New Roman" w:cs="Times New Roman"/>
          <w:sz w:val="24"/>
          <w:szCs w:val="24"/>
        </w:rPr>
        <w:t>d</w:t>
      </w:r>
      <w:r w:rsidR="009110C5">
        <w:rPr>
          <w:rFonts w:ascii="Times New Roman" w:hAnsi="Times New Roman" w:cs="Times New Roman"/>
          <w:sz w:val="24"/>
          <w:szCs w:val="24"/>
        </w:rPr>
        <w:t>s</w:t>
      </w:r>
      <w:r w:rsidR="00384680">
        <w:rPr>
          <w:rFonts w:ascii="Times New Roman" w:hAnsi="Times New Roman" w:cs="Times New Roman"/>
          <w:sz w:val="24"/>
          <w:szCs w:val="24"/>
        </w:rPr>
        <w:t xml:space="preserve"> and negative in other</w:t>
      </w:r>
      <w:r w:rsidR="007F3BB1">
        <w:rPr>
          <w:rFonts w:ascii="Times New Roman" w:hAnsi="Times New Roman" w:cs="Times New Roman"/>
          <w:sz w:val="24"/>
          <w:szCs w:val="24"/>
        </w:rPr>
        <w:t>s</w:t>
      </w:r>
      <w:r w:rsidRPr="006853EA">
        <w:rPr>
          <w:rFonts w:ascii="Times New Roman" w:hAnsi="Times New Roman" w:cs="Times New Roman"/>
          <w:sz w:val="24"/>
          <w:szCs w:val="24"/>
        </w:rPr>
        <w:t xml:space="preserve"> (</w:t>
      </w:r>
      <w:r w:rsidR="00384680">
        <w:rPr>
          <w:rFonts w:ascii="Times New Roman" w:hAnsi="Times New Roman" w:cs="Times New Roman"/>
          <w:sz w:val="24"/>
          <w:szCs w:val="24"/>
        </w:rPr>
        <w:t>s</w:t>
      </w:r>
      <w:r w:rsidR="00325A37" w:rsidRPr="006853EA">
        <w:rPr>
          <w:rFonts w:ascii="Times New Roman" w:hAnsi="Times New Roman" w:cs="Times New Roman"/>
          <w:sz w:val="24"/>
          <w:szCs w:val="24"/>
        </w:rPr>
        <w:t>ee</w:t>
      </w:r>
      <w:r w:rsidR="00325A37">
        <w:rPr>
          <w:rFonts w:ascii="Times New Roman" w:hAnsi="Times New Roman" w:cs="Times New Roman"/>
          <w:sz w:val="24"/>
          <w:szCs w:val="24"/>
        </w:rPr>
        <w:t xml:space="preserve"> also</w:t>
      </w:r>
      <w:r w:rsidR="00F5425A">
        <w:rPr>
          <w:rFonts w:ascii="Times New Roman" w:hAnsi="Times New Roman" w:cs="Times New Roman"/>
          <w:sz w:val="24"/>
          <w:szCs w:val="24"/>
        </w:rPr>
        <w:t xml:space="preserve"> </w:t>
      </w:r>
      <w:r w:rsidR="00322296" w:rsidRPr="006853EA">
        <w:rPr>
          <w:rFonts w:ascii="Times New Roman" w:hAnsi="Times New Roman" w:cs="Times New Roman"/>
          <w:sz w:val="24"/>
          <w:szCs w:val="24"/>
        </w:rPr>
        <w:t>Büttner</w:t>
      </w:r>
      <w:r w:rsidR="00F5425A">
        <w:rPr>
          <w:rFonts w:ascii="Times New Roman" w:hAnsi="Times New Roman" w:cs="Times New Roman"/>
          <w:sz w:val="24"/>
          <w:szCs w:val="24"/>
        </w:rPr>
        <w:t xml:space="preserve"> </w:t>
      </w:r>
      <w:r w:rsidR="00270E86">
        <w:rPr>
          <w:rFonts w:ascii="Times New Roman" w:hAnsi="Times New Roman" w:cs="Times New Roman"/>
          <w:sz w:val="24"/>
          <w:szCs w:val="24"/>
        </w:rPr>
        <w:t>&amp;</w:t>
      </w:r>
      <w:r w:rsidR="00F5425A">
        <w:rPr>
          <w:rFonts w:ascii="Times New Roman" w:hAnsi="Times New Roman" w:cs="Times New Roman"/>
          <w:sz w:val="24"/>
          <w:szCs w:val="24"/>
        </w:rPr>
        <w:t xml:space="preserve"> </w:t>
      </w:r>
      <w:r w:rsidRPr="006853EA">
        <w:rPr>
          <w:rFonts w:ascii="Times New Roman" w:hAnsi="Times New Roman" w:cs="Times New Roman"/>
          <w:sz w:val="24"/>
          <w:szCs w:val="24"/>
        </w:rPr>
        <w:t>Hayo, 2011).</w:t>
      </w:r>
    </w:p>
    <w:p w:rsidR="00166050"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3.2.2. </w:t>
      </w:r>
      <w:r w:rsidR="00166050" w:rsidRPr="00AF6503">
        <w:rPr>
          <w:rFonts w:ascii="Times New Roman" w:hAnsi="Times New Roman" w:cs="Times New Roman"/>
          <w:i/>
          <w:sz w:val="24"/>
          <w:szCs w:val="24"/>
        </w:rPr>
        <w:t xml:space="preserve">Commodity </w:t>
      </w:r>
      <w:r w:rsidR="0075422D">
        <w:rPr>
          <w:rFonts w:ascii="Times New Roman" w:hAnsi="Times New Roman" w:cs="Times New Roman"/>
          <w:i/>
          <w:sz w:val="24"/>
          <w:szCs w:val="24"/>
        </w:rPr>
        <w:t>p</w:t>
      </w:r>
      <w:r w:rsidR="00166050" w:rsidRPr="00AF6503">
        <w:rPr>
          <w:rFonts w:ascii="Times New Roman" w:hAnsi="Times New Roman" w:cs="Times New Roman"/>
          <w:i/>
          <w:sz w:val="24"/>
          <w:szCs w:val="24"/>
        </w:rPr>
        <w:t xml:space="preserve">rice </w:t>
      </w:r>
      <w:r w:rsidR="0075422D">
        <w:rPr>
          <w:rFonts w:ascii="Times New Roman" w:hAnsi="Times New Roman" w:cs="Times New Roman"/>
          <w:i/>
          <w:sz w:val="24"/>
          <w:szCs w:val="24"/>
        </w:rPr>
        <w:t>v</w:t>
      </w:r>
      <w:r w:rsidR="00166050" w:rsidRPr="00AF6503">
        <w:rPr>
          <w:rFonts w:ascii="Times New Roman" w:hAnsi="Times New Roman" w:cs="Times New Roman"/>
          <w:i/>
          <w:sz w:val="24"/>
          <w:szCs w:val="24"/>
        </w:rPr>
        <w:t>olatility</w:t>
      </w:r>
    </w:p>
    <w:p w:rsidR="00166050" w:rsidRPr="006853EA" w:rsidRDefault="00166050" w:rsidP="00AF6503">
      <w:pPr>
        <w:spacing w:after="0" w:line="480" w:lineRule="auto"/>
        <w:ind w:right="282" w:firstLine="720"/>
        <w:rPr>
          <w:rFonts w:ascii="Times New Roman" w:hAnsi="Times New Roman" w:cs="Times New Roman"/>
          <w:sz w:val="24"/>
          <w:szCs w:val="24"/>
        </w:rPr>
      </w:pPr>
      <w:r w:rsidRPr="006853EA">
        <w:rPr>
          <w:rFonts w:ascii="Times New Roman" w:hAnsi="Times New Roman" w:cs="Times New Roman"/>
          <w:sz w:val="24"/>
          <w:szCs w:val="24"/>
        </w:rPr>
        <w:t>The crude oil and gold markets play a significant role in the commodity markets. Many investors choose gold as a safe</w:t>
      </w:r>
      <w:r w:rsidR="003F0B22">
        <w:rPr>
          <w:rFonts w:ascii="Times New Roman" w:hAnsi="Times New Roman" w:cs="Times New Roman"/>
          <w:sz w:val="24"/>
          <w:szCs w:val="24"/>
        </w:rPr>
        <w:t>-</w:t>
      </w:r>
      <w:r w:rsidRPr="006853EA">
        <w:rPr>
          <w:rFonts w:ascii="Times New Roman" w:hAnsi="Times New Roman" w:cs="Times New Roman"/>
          <w:sz w:val="24"/>
          <w:szCs w:val="24"/>
        </w:rPr>
        <w:t xml:space="preserve">haven asset </w:t>
      </w:r>
      <w:r w:rsidR="00E30FBF">
        <w:rPr>
          <w:rFonts w:ascii="Times New Roman" w:hAnsi="Times New Roman" w:cs="Times New Roman"/>
          <w:sz w:val="24"/>
          <w:szCs w:val="24"/>
        </w:rPr>
        <w:t>whenever</w:t>
      </w:r>
      <w:r w:rsidR="00F5425A">
        <w:rPr>
          <w:rFonts w:ascii="Times New Roman" w:hAnsi="Times New Roman" w:cs="Times New Roman"/>
          <w:sz w:val="24"/>
          <w:szCs w:val="24"/>
        </w:rPr>
        <w:t xml:space="preserve"> </w:t>
      </w:r>
      <w:r w:rsidRPr="006853EA">
        <w:rPr>
          <w:rFonts w:ascii="Times New Roman" w:hAnsi="Times New Roman" w:cs="Times New Roman"/>
          <w:sz w:val="24"/>
          <w:szCs w:val="24"/>
        </w:rPr>
        <w:t>other assets exhibit extreme</w:t>
      </w:r>
      <w:r w:rsidR="003F0B22">
        <w:rPr>
          <w:rFonts w:ascii="Times New Roman" w:hAnsi="Times New Roman" w:cs="Times New Roman"/>
          <w:sz w:val="24"/>
          <w:szCs w:val="24"/>
        </w:rPr>
        <w:t>ly</w:t>
      </w:r>
      <w:r w:rsidRPr="006853EA">
        <w:rPr>
          <w:rFonts w:ascii="Times New Roman" w:hAnsi="Times New Roman" w:cs="Times New Roman"/>
          <w:sz w:val="24"/>
          <w:szCs w:val="24"/>
        </w:rPr>
        <w:t xml:space="preserve"> negative returns. </w:t>
      </w:r>
      <w:r w:rsidR="007F3BB1">
        <w:rPr>
          <w:rFonts w:ascii="Times New Roman" w:hAnsi="Times New Roman" w:cs="Times New Roman"/>
          <w:sz w:val="24"/>
          <w:szCs w:val="24"/>
        </w:rPr>
        <w:t>But g</w:t>
      </w:r>
      <w:r w:rsidRPr="006853EA">
        <w:rPr>
          <w:rFonts w:ascii="Times New Roman" w:hAnsi="Times New Roman" w:cs="Times New Roman"/>
          <w:sz w:val="24"/>
          <w:szCs w:val="24"/>
        </w:rPr>
        <w:t xml:space="preserve">old might not </w:t>
      </w:r>
      <w:r w:rsidR="009110C5">
        <w:rPr>
          <w:rFonts w:ascii="Times New Roman" w:hAnsi="Times New Roman" w:cs="Times New Roman"/>
          <w:sz w:val="24"/>
          <w:szCs w:val="24"/>
        </w:rPr>
        <w:t xml:space="preserve">prove to </w:t>
      </w:r>
      <w:r w:rsidRPr="006853EA">
        <w:rPr>
          <w:rFonts w:ascii="Times New Roman" w:hAnsi="Times New Roman" w:cs="Times New Roman"/>
          <w:sz w:val="24"/>
          <w:szCs w:val="24"/>
        </w:rPr>
        <w:t>be a safe-haven asset if it co</w:t>
      </w:r>
      <w:r w:rsidR="004B09CF">
        <w:rPr>
          <w:rFonts w:ascii="Times New Roman" w:hAnsi="Times New Roman" w:cs="Times New Roman"/>
          <w:sz w:val="24"/>
          <w:szCs w:val="24"/>
        </w:rPr>
        <w:t>-</w:t>
      </w:r>
      <w:r w:rsidRPr="006853EA">
        <w:rPr>
          <w:rFonts w:ascii="Times New Roman" w:hAnsi="Times New Roman" w:cs="Times New Roman"/>
          <w:sz w:val="24"/>
          <w:szCs w:val="24"/>
        </w:rPr>
        <w:t>move</w:t>
      </w:r>
      <w:r w:rsidR="00F12520">
        <w:rPr>
          <w:rFonts w:ascii="Times New Roman" w:hAnsi="Times New Roman" w:cs="Times New Roman"/>
          <w:sz w:val="24"/>
          <w:szCs w:val="24"/>
        </w:rPr>
        <w:t>s</w:t>
      </w:r>
      <w:r w:rsidRPr="006853EA">
        <w:rPr>
          <w:rFonts w:ascii="Times New Roman" w:hAnsi="Times New Roman" w:cs="Times New Roman"/>
          <w:sz w:val="24"/>
          <w:szCs w:val="24"/>
        </w:rPr>
        <w:t xml:space="preserve"> with other risky assets, such as stocks, real estate</w:t>
      </w:r>
      <w:r w:rsidR="009110C5">
        <w:rPr>
          <w:rFonts w:ascii="Times New Roman" w:hAnsi="Times New Roman" w:cs="Times New Roman"/>
          <w:sz w:val="24"/>
          <w:szCs w:val="24"/>
        </w:rPr>
        <w:t>,</w:t>
      </w:r>
      <w:r w:rsidRPr="006853EA">
        <w:rPr>
          <w:rFonts w:ascii="Times New Roman" w:hAnsi="Times New Roman" w:cs="Times New Roman"/>
          <w:sz w:val="24"/>
          <w:szCs w:val="24"/>
        </w:rPr>
        <w:t xml:space="preserve"> etc. </w:t>
      </w:r>
      <w:r w:rsidR="007F3BB1">
        <w:rPr>
          <w:rFonts w:ascii="Times New Roman" w:hAnsi="Times New Roman" w:cs="Times New Roman"/>
          <w:sz w:val="24"/>
          <w:szCs w:val="24"/>
        </w:rPr>
        <w:t>Still, a</w:t>
      </w:r>
      <w:r w:rsidRPr="006853EA">
        <w:rPr>
          <w:rFonts w:ascii="Times New Roman" w:hAnsi="Times New Roman" w:cs="Times New Roman"/>
          <w:sz w:val="24"/>
          <w:szCs w:val="24"/>
        </w:rPr>
        <w:t xml:space="preserve">ccording to Baur and Lucey (2010), gold is a hedge against stocks on average and a safe haven in extreme stock market conditions or negative market shocks. </w:t>
      </w:r>
    </w:p>
    <w:p w:rsidR="00166050" w:rsidRPr="006853EA" w:rsidRDefault="003F0B22"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S</w:t>
      </w:r>
      <w:r w:rsidR="00166050" w:rsidRPr="006853EA">
        <w:rPr>
          <w:rFonts w:ascii="Times New Roman" w:hAnsi="Times New Roman" w:cs="Times New Roman"/>
          <w:sz w:val="24"/>
          <w:szCs w:val="24"/>
        </w:rPr>
        <w:t>hocks to the oil market are global shocks</w:t>
      </w:r>
      <w:r w:rsidR="0074385F">
        <w:rPr>
          <w:rFonts w:ascii="Times New Roman" w:hAnsi="Times New Roman" w:cs="Times New Roman"/>
          <w:sz w:val="24"/>
          <w:szCs w:val="24"/>
        </w:rPr>
        <w:t>, as</w:t>
      </w:r>
      <w:r w:rsidR="00F5425A">
        <w:rPr>
          <w:rFonts w:ascii="Times New Roman" w:hAnsi="Times New Roman" w:cs="Times New Roman"/>
          <w:sz w:val="24"/>
          <w:szCs w:val="24"/>
        </w:rPr>
        <w:t xml:space="preserve"> </w:t>
      </w:r>
      <w:r w:rsidR="00166050" w:rsidRPr="006853EA">
        <w:rPr>
          <w:rFonts w:ascii="Times New Roman" w:hAnsi="Times New Roman" w:cs="Times New Roman"/>
          <w:sz w:val="24"/>
          <w:szCs w:val="24"/>
        </w:rPr>
        <w:t>the oil industry is affected by economic and institutional factors such as business cycle fluctuations, OPEC oil production policy</w:t>
      </w:r>
      <w:r>
        <w:rPr>
          <w:rFonts w:ascii="Times New Roman" w:hAnsi="Times New Roman" w:cs="Times New Roman"/>
          <w:sz w:val="24"/>
          <w:szCs w:val="24"/>
        </w:rPr>
        <w:t>,</w:t>
      </w:r>
      <w:r w:rsidR="00166050" w:rsidRPr="006853EA">
        <w:rPr>
          <w:rFonts w:ascii="Times New Roman" w:hAnsi="Times New Roman" w:cs="Times New Roman"/>
          <w:sz w:val="24"/>
          <w:szCs w:val="24"/>
        </w:rPr>
        <w:t xml:space="preserve"> and extreme political events. </w:t>
      </w:r>
      <w:r>
        <w:rPr>
          <w:rFonts w:ascii="Times New Roman" w:hAnsi="Times New Roman" w:cs="Times New Roman"/>
          <w:sz w:val="24"/>
          <w:szCs w:val="24"/>
        </w:rPr>
        <w:t>O</w:t>
      </w:r>
      <w:r w:rsidR="00166050" w:rsidRPr="006853EA">
        <w:rPr>
          <w:rFonts w:ascii="Times New Roman" w:hAnsi="Times New Roman" w:cs="Times New Roman"/>
          <w:sz w:val="24"/>
          <w:szCs w:val="24"/>
        </w:rPr>
        <w:t xml:space="preserve">il price volatility </w:t>
      </w:r>
      <w:r>
        <w:rPr>
          <w:rFonts w:ascii="Times New Roman" w:hAnsi="Times New Roman" w:cs="Times New Roman"/>
          <w:sz w:val="24"/>
          <w:szCs w:val="24"/>
        </w:rPr>
        <w:t xml:space="preserve">affects </w:t>
      </w:r>
      <w:r w:rsidR="00166050" w:rsidRPr="006853EA">
        <w:rPr>
          <w:rFonts w:ascii="Times New Roman" w:hAnsi="Times New Roman" w:cs="Times New Roman"/>
          <w:sz w:val="24"/>
          <w:szCs w:val="24"/>
        </w:rPr>
        <w:t xml:space="preserve">the real economy </w:t>
      </w:r>
      <w:r>
        <w:rPr>
          <w:rFonts w:ascii="Times New Roman" w:hAnsi="Times New Roman" w:cs="Times New Roman"/>
          <w:sz w:val="24"/>
          <w:szCs w:val="24"/>
        </w:rPr>
        <w:t>through</w:t>
      </w:r>
      <w:r w:rsidR="00166050" w:rsidRPr="006853EA">
        <w:rPr>
          <w:rFonts w:ascii="Times New Roman" w:hAnsi="Times New Roman" w:cs="Times New Roman"/>
          <w:sz w:val="24"/>
          <w:szCs w:val="24"/>
        </w:rPr>
        <w:t xml:space="preserve"> consumer and firm behavio</w:t>
      </w:r>
      <w:r w:rsidR="004B09CF">
        <w:rPr>
          <w:rFonts w:ascii="Times New Roman" w:hAnsi="Times New Roman" w:cs="Times New Roman"/>
          <w:sz w:val="24"/>
          <w:szCs w:val="24"/>
        </w:rPr>
        <w:t>u</w:t>
      </w:r>
      <w:r w:rsidR="00166050" w:rsidRPr="006853EA">
        <w:rPr>
          <w:rFonts w:ascii="Times New Roman" w:hAnsi="Times New Roman" w:cs="Times New Roman"/>
          <w:sz w:val="24"/>
          <w:szCs w:val="24"/>
        </w:rPr>
        <w:t>rs</w:t>
      </w:r>
      <w:r>
        <w:rPr>
          <w:rFonts w:ascii="Times New Roman" w:hAnsi="Times New Roman" w:cs="Times New Roman"/>
          <w:sz w:val="24"/>
          <w:szCs w:val="24"/>
        </w:rPr>
        <w:t>;</w:t>
      </w:r>
      <w:r w:rsidR="00F5425A">
        <w:rPr>
          <w:rFonts w:ascii="Times New Roman" w:hAnsi="Times New Roman" w:cs="Times New Roman"/>
          <w:sz w:val="24"/>
          <w:szCs w:val="24"/>
        </w:rPr>
        <w:t xml:space="preserve"> </w:t>
      </w:r>
      <w:r w:rsidR="00166050" w:rsidRPr="006853EA">
        <w:rPr>
          <w:rFonts w:ascii="Times New Roman" w:hAnsi="Times New Roman" w:cs="Times New Roman"/>
          <w:sz w:val="24"/>
          <w:szCs w:val="24"/>
        </w:rPr>
        <w:t xml:space="preserve">hence the link between oil and stock markets (see Kilian </w:t>
      </w:r>
      <w:r w:rsidR="00270E86">
        <w:rPr>
          <w:rFonts w:ascii="Times New Roman" w:hAnsi="Times New Roman" w:cs="Times New Roman"/>
          <w:sz w:val="24"/>
          <w:szCs w:val="24"/>
        </w:rPr>
        <w:t>&amp;</w:t>
      </w:r>
      <w:r w:rsidR="00166050" w:rsidRPr="006853EA">
        <w:rPr>
          <w:rFonts w:ascii="Times New Roman" w:hAnsi="Times New Roman" w:cs="Times New Roman"/>
          <w:sz w:val="24"/>
          <w:szCs w:val="24"/>
        </w:rPr>
        <w:t xml:space="preserve"> Park, 2009</w:t>
      </w:r>
      <w:r>
        <w:rPr>
          <w:rFonts w:ascii="Times New Roman" w:hAnsi="Times New Roman" w:cs="Times New Roman"/>
          <w:sz w:val="24"/>
          <w:szCs w:val="24"/>
        </w:rPr>
        <w:t>;</w:t>
      </w:r>
      <w:r w:rsidR="00F5425A">
        <w:rPr>
          <w:rFonts w:ascii="Times New Roman" w:hAnsi="Times New Roman" w:cs="Times New Roman"/>
          <w:sz w:val="24"/>
          <w:szCs w:val="24"/>
        </w:rPr>
        <w:t xml:space="preserve"> </w:t>
      </w:r>
      <w:r w:rsidRPr="006853EA">
        <w:rPr>
          <w:rFonts w:ascii="Times New Roman" w:hAnsi="Times New Roman" w:cs="Times New Roman"/>
          <w:sz w:val="24"/>
          <w:szCs w:val="24"/>
        </w:rPr>
        <w:t xml:space="preserve">Park </w:t>
      </w:r>
      <w:r>
        <w:rPr>
          <w:rFonts w:ascii="Times New Roman" w:hAnsi="Times New Roman" w:cs="Times New Roman"/>
          <w:sz w:val="24"/>
          <w:szCs w:val="24"/>
        </w:rPr>
        <w:t>&amp;</w:t>
      </w:r>
      <w:r w:rsidR="00F5425A">
        <w:rPr>
          <w:rFonts w:ascii="Times New Roman" w:hAnsi="Times New Roman" w:cs="Times New Roman"/>
          <w:sz w:val="24"/>
          <w:szCs w:val="24"/>
        </w:rPr>
        <w:t xml:space="preserve"> </w:t>
      </w:r>
      <w:r w:rsidRPr="006853EA">
        <w:rPr>
          <w:rFonts w:ascii="Times New Roman" w:hAnsi="Times New Roman" w:cs="Times New Roman"/>
          <w:sz w:val="24"/>
          <w:szCs w:val="24"/>
        </w:rPr>
        <w:t>Ratti, 2008</w:t>
      </w:r>
      <w:r w:rsidR="00166050" w:rsidRPr="006853EA">
        <w:rPr>
          <w:rFonts w:ascii="Times New Roman" w:hAnsi="Times New Roman" w:cs="Times New Roman"/>
          <w:sz w:val="24"/>
          <w:szCs w:val="24"/>
        </w:rPr>
        <w:t>).</w:t>
      </w:r>
      <w:r w:rsidR="00A17517">
        <w:rPr>
          <w:rFonts w:ascii="Times New Roman" w:hAnsi="Times New Roman" w:cs="Times New Roman"/>
          <w:sz w:val="24"/>
          <w:szCs w:val="24"/>
        </w:rPr>
        <w:t xml:space="preserve"> </w:t>
      </w:r>
      <w:r>
        <w:rPr>
          <w:rFonts w:ascii="Times New Roman" w:hAnsi="Times New Roman" w:cs="Times New Roman"/>
          <w:sz w:val="24"/>
          <w:szCs w:val="24"/>
        </w:rPr>
        <w:t>We compute t</w:t>
      </w:r>
      <w:r w:rsidR="0040215E" w:rsidRPr="0005358E">
        <w:rPr>
          <w:rFonts w:ascii="Times New Roman" w:hAnsi="Times New Roman" w:cs="Times New Roman"/>
          <w:sz w:val="24"/>
          <w:szCs w:val="24"/>
        </w:rPr>
        <w:t>he conditional volatilit</w:t>
      </w:r>
      <w:r w:rsidR="004A50D2" w:rsidRPr="0005358E">
        <w:rPr>
          <w:rFonts w:ascii="Times New Roman" w:hAnsi="Times New Roman" w:cs="Times New Roman"/>
          <w:sz w:val="24"/>
          <w:szCs w:val="24"/>
        </w:rPr>
        <w:t>ies</w:t>
      </w:r>
      <w:r w:rsidR="0040215E" w:rsidRPr="0005358E">
        <w:rPr>
          <w:rFonts w:ascii="Times New Roman" w:hAnsi="Times New Roman" w:cs="Times New Roman"/>
          <w:sz w:val="24"/>
          <w:szCs w:val="24"/>
        </w:rPr>
        <w:t xml:space="preserve"> of </w:t>
      </w:r>
      <w:r w:rsidR="00E30FBF" w:rsidRPr="0005358E">
        <w:rPr>
          <w:rFonts w:ascii="Times New Roman" w:hAnsi="Times New Roman" w:cs="Times New Roman"/>
          <w:sz w:val="24"/>
          <w:szCs w:val="24"/>
        </w:rPr>
        <w:t>real exchange rates</w:t>
      </w:r>
      <w:r w:rsidR="0005358E" w:rsidRPr="0005358E">
        <w:rPr>
          <w:rFonts w:ascii="Times New Roman" w:hAnsi="Times New Roman" w:cs="Times New Roman"/>
          <w:sz w:val="24"/>
          <w:szCs w:val="24"/>
        </w:rPr>
        <w:t xml:space="preserve">, </w:t>
      </w:r>
      <w:r w:rsidR="0040215E" w:rsidRPr="0005358E">
        <w:rPr>
          <w:rFonts w:ascii="Times New Roman" w:hAnsi="Times New Roman" w:cs="Times New Roman"/>
          <w:sz w:val="24"/>
          <w:szCs w:val="24"/>
        </w:rPr>
        <w:t xml:space="preserve">oil </w:t>
      </w:r>
      <w:r>
        <w:rPr>
          <w:rFonts w:ascii="Times New Roman" w:hAnsi="Times New Roman" w:cs="Times New Roman"/>
          <w:sz w:val="24"/>
          <w:szCs w:val="24"/>
        </w:rPr>
        <w:t xml:space="preserve">prices, </w:t>
      </w:r>
      <w:r w:rsidR="0040215E" w:rsidRPr="0005358E">
        <w:rPr>
          <w:rFonts w:ascii="Times New Roman" w:hAnsi="Times New Roman" w:cs="Times New Roman"/>
          <w:sz w:val="24"/>
          <w:szCs w:val="24"/>
        </w:rPr>
        <w:t>and gold prices</w:t>
      </w:r>
      <w:r w:rsidR="004A50D2" w:rsidRPr="0005358E">
        <w:rPr>
          <w:rFonts w:ascii="Times New Roman" w:hAnsi="Times New Roman" w:cs="Times New Roman"/>
          <w:sz w:val="24"/>
          <w:szCs w:val="24"/>
        </w:rPr>
        <w:t xml:space="preserve"> over 80 years</w:t>
      </w:r>
      <w:r w:rsidR="0040215E" w:rsidRPr="0005358E">
        <w:rPr>
          <w:rFonts w:ascii="Times New Roman" w:hAnsi="Times New Roman" w:cs="Times New Roman"/>
          <w:sz w:val="24"/>
          <w:szCs w:val="24"/>
        </w:rPr>
        <w:t xml:space="preserve"> using univariate GARCH (</w:t>
      </w:r>
      <w:r w:rsidR="0040215E" w:rsidRPr="0005358E">
        <w:rPr>
          <w:rFonts w:ascii="Times New Roman" w:hAnsi="Times New Roman" w:cs="Times New Roman"/>
          <w:i/>
          <w:sz w:val="24"/>
          <w:szCs w:val="24"/>
        </w:rPr>
        <w:t>1,1</w:t>
      </w:r>
      <w:r w:rsidR="0040215E" w:rsidRPr="0005358E">
        <w:rPr>
          <w:rFonts w:ascii="Times New Roman" w:hAnsi="Times New Roman" w:cs="Times New Roman"/>
          <w:sz w:val="24"/>
          <w:szCs w:val="24"/>
        </w:rPr>
        <w:t>) models.</w:t>
      </w:r>
    </w:p>
    <w:p w:rsidR="00166050" w:rsidRPr="00AF6503" w:rsidRDefault="007F2EF3" w:rsidP="00AF6503">
      <w:pPr>
        <w:spacing w:after="0" w:line="480" w:lineRule="auto"/>
        <w:ind w:right="282"/>
        <w:rPr>
          <w:rFonts w:ascii="Times New Roman" w:hAnsi="Times New Roman" w:cs="Times New Roman"/>
          <w:i/>
          <w:sz w:val="24"/>
          <w:szCs w:val="24"/>
        </w:rPr>
      </w:pPr>
      <w:r>
        <w:rPr>
          <w:rFonts w:ascii="Times New Roman" w:hAnsi="Times New Roman" w:cs="Times New Roman"/>
          <w:i/>
          <w:sz w:val="24"/>
          <w:szCs w:val="24"/>
        </w:rPr>
        <w:t xml:space="preserve">3.2.3. </w:t>
      </w:r>
      <w:r w:rsidR="00166050" w:rsidRPr="00AF6503">
        <w:rPr>
          <w:rFonts w:ascii="Times New Roman" w:hAnsi="Times New Roman" w:cs="Times New Roman"/>
          <w:i/>
          <w:sz w:val="24"/>
          <w:szCs w:val="24"/>
        </w:rPr>
        <w:t xml:space="preserve">Stock </w:t>
      </w:r>
      <w:r w:rsidR="0075422D">
        <w:rPr>
          <w:rFonts w:ascii="Times New Roman" w:hAnsi="Times New Roman" w:cs="Times New Roman"/>
          <w:i/>
          <w:sz w:val="24"/>
          <w:szCs w:val="24"/>
        </w:rPr>
        <w:t>m</w:t>
      </w:r>
      <w:r w:rsidR="00166050" w:rsidRPr="00AF6503">
        <w:rPr>
          <w:rFonts w:ascii="Times New Roman" w:hAnsi="Times New Roman" w:cs="Times New Roman"/>
          <w:i/>
          <w:sz w:val="24"/>
          <w:szCs w:val="24"/>
        </w:rPr>
        <w:t xml:space="preserve">arket </w:t>
      </w:r>
      <w:r w:rsidR="0075422D">
        <w:rPr>
          <w:rFonts w:ascii="Times New Roman" w:hAnsi="Times New Roman" w:cs="Times New Roman"/>
          <w:i/>
          <w:sz w:val="24"/>
          <w:szCs w:val="24"/>
        </w:rPr>
        <w:t>v</w:t>
      </w:r>
      <w:r w:rsidR="00166050" w:rsidRPr="00AF6503">
        <w:rPr>
          <w:rFonts w:ascii="Times New Roman" w:hAnsi="Times New Roman" w:cs="Times New Roman"/>
          <w:i/>
          <w:sz w:val="24"/>
          <w:szCs w:val="24"/>
        </w:rPr>
        <w:t>olatility</w:t>
      </w:r>
    </w:p>
    <w:p w:rsidR="00166050" w:rsidRPr="006853EA" w:rsidRDefault="00166050" w:rsidP="00AF6503">
      <w:pPr>
        <w:spacing w:after="0" w:line="480" w:lineRule="auto"/>
        <w:ind w:right="282" w:firstLine="720"/>
        <w:rPr>
          <w:rFonts w:ascii="Times New Roman" w:hAnsi="Times New Roman" w:cs="Times New Roman"/>
          <w:sz w:val="24"/>
          <w:szCs w:val="24"/>
        </w:rPr>
      </w:pPr>
      <w:r w:rsidRPr="006853EA">
        <w:rPr>
          <w:rFonts w:ascii="Times New Roman" w:hAnsi="Times New Roman" w:cs="Times New Roman"/>
          <w:sz w:val="24"/>
          <w:szCs w:val="24"/>
        </w:rPr>
        <w:t>Volatility is a measure of risk and remains an important feature of stock market</w:t>
      </w:r>
      <w:r w:rsidR="0005358E">
        <w:rPr>
          <w:rFonts w:ascii="Times New Roman" w:hAnsi="Times New Roman" w:cs="Times New Roman"/>
          <w:sz w:val="24"/>
          <w:szCs w:val="24"/>
        </w:rPr>
        <w:t>s</w:t>
      </w:r>
      <w:r w:rsidRPr="006853EA">
        <w:rPr>
          <w:rFonts w:ascii="Times New Roman" w:hAnsi="Times New Roman" w:cs="Times New Roman"/>
          <w:sz w:val="24"/>
          <w:szCs w:val="24"/>
        </w:rPr>
        <w:t>. High stock market volatility arises when economic agents are uncertain about the future</w:t>
      </w:r>
      <w:r w:rsidR="0005358E">
        <w:rPr>
          <w:rFonts w:ascii="Times New Roman" w:hAnsi="Times New Roman" w:cs="Times New Roman"/>
          <w:sz w:val="24"/>
          <w:szCs w:val="24"/>
        </w:rPr>
        <w:t>.</w:t>
      </w:r>
      <w:r w:rsidR="00A17517">
        <w:rPr>
          <w:rFonts w:ascii="Times New Roman" w:hAnsi="Times New Roman" w:cs="Times New Roman"/>
          <w:sz w:val="24"/>
          <w:szCs w:val="24"/>
        </w:rPr>
        <w:t xml:space="preserve"> </w:t>
      </w:r>
      <w:r w:rsidRPr="006853EA">
        <w:rPr>
          <w:rFonts w:ascii="Times New Roman" w:hAnsi="Times New Roman" w:cs="Times New Roman"/>
          <w:sz w:val="24"/>
          <w:szCs w:val="24"/>
        </w:rPr>
        <w:t>Cai</w:t>
      </w:r>
      <w:r w:rsidR="00270E86">
        <w:rPr>
          <w:rFonts w:ascii="Times New Roman" w:hAnsi="Times New Roman" w:cs="Times New Roman"/>
          <w:sz w:val="24"/>
          <w:szCs w:val="24"/>
        </w:rPr>
        <w:t>, Chou, and Li</w:t>
      </w:r>
      <w:r w:rsidRPr="006853EA">
        <w:rPr>
          <w:rFonts w:ascii="Times New Roman" w:hAnsi="Times New Roman" w:cs="Times New Roman"/>
          <w:sz w:val="24"/>
          <w:szCs w:val="24"/>
        </w:rPr>
        <w:t xml:space="preserve"> </w:t>
      </w:r>
      <w:r w:rsidRPr="006853EA">
        <w:rPr>
          <w:rFonts w:ascii="Times New Roman" w:hAnsi="Times New Roman" w:cs="Times New Roman"/>
          <w:sz w:val="24"/>
          <w:szCs w:val="24"/>
        </w:rPr>
        <w:lastRenderedPageBreak/>
        <w:t>(2009) f</w:t>
      </w:r>
      <w:r w:rsidR="009110C5">
        <w:rPr>
          <w:rFonts w:ascii="Times New Roman" w:hAnsi="Times New Roman" w:cs="Times New Roman"/>
          <w:sz w:val="24"/>
          <w:szCs w:val="24"/>
        </w:rPr>
        <w:t>ou</w:t>
      </w:r>
      <w:r w:rsidRPr="006853EA">
        <w:rPr>
          <w:rFonts w:ascii="Times New Roman" w:hAnsi="Times New Roman" w:cs="Times New Roman"/>
          <w:sz w:val="24"/>
          <w:szCs w:val="24"/>
        </w:rPr>
        <w:t xml:space="preserve">nd </w:t>
      </w:r>
      <w:r w:rsidR="00836B59">
        <w:rPr>
          <w:rFonts w:ascii="Times New Roman" w:hAnsi="Times New Roman" w:cs="Times New Roman"/>
          <w:sz w:val="24"/>
          <w:szCs w:val="24"/>
        </w:rPr>
        <w:t xml:space="preserve">a </w:t>
      </w:r>
      <w:r w:rsidRPr="006853EA">
        <w:rPr>
          <w:rFonts w:ascii="Times New Roman" w:hAnsi="Times New Roman" w:cs="Times New Roman"/>
          <w:sz w:val="24"/>
          <w:szCs w:val="24"/>
        </w:rPr>
        <w:t>significant relationship between stock correlation and stock volatility</w:t>
      </w:r>
      <w:r w:rsidR="00954E61">
        <w:rPr>
          <w:rFonts w:ascii="Times New Roman" w:hAnsi="Times New Roman" w:cs="Times New Roman"/>
          <w:sz w:val="24"/>
          <w:szCs w:val="24"/>
        </w:rPr>
        <w:t xml:space="preserve"> among</w:t>
      </w:r>
      <w:r w:rsidR="001D1694">
        <w:rPr>
          <w:rFonts w:ascii="Times New Roman" w:hAnsi="Times New Roman" w:cs="Times New Roman"/>
          <w:sz w:val="24"/>
          <w:szCs w:val="24"/>
        </w:rPr>
        <w:t xml:space="preserve"> six</w:t>
      </w:r>
      <w:r w:rsidR="00954E61">
        <w:rPr>
          <w:rFonts w:ascii="Times New Roman" w:hAnsi="Times New Roman" w:cs="Times New Roman"/>
          <w:sz w:val="24"/>
          <w:szCs w:val="24"/>
        </w:rPr>
        <w:t xml:space="preserve"> developed markets (US, UK, France, Germany, Hong Kong</w:t>
      </w:r>
      <w:r w:rsidR="003F0B22">
        <w:rPr>
          <w:rFonts w:ascii="Times New Roman" w:hAnsi="Times New Roman" w:cs="Times New Roman"/>
          <w:sz w:val="24"/>
          <w:szCs w:val="24"/>
        </w:rPr>
        <w:t>,</w:t>
      </w:r>
      <w:r w:rsidR="00954E61">
        <w:rPr>
          <w:rFonts w:ascii="Times New Roman" w:hAnsi="Times New Roman" w:cs="Times New Roman"/>
          <w:sz w:val="24"/>
          <w:szCs w:val="24"/>
        </w:rPr>
        <w:t xml:space="preserve"> and Japan) over the period 1991</w:t>
      </w:r>
      <w:r w:rsidR="009110C5">
        <w:rPr>
          <w:rFonts w:ascii="Times New Roman" w:hAnsi="Times New Roman" w:cs="Times New Roman"/>
          <w:sz w:val="24"/>
          <w:szCs w:val="24"/>
        </w:rPr>
        <w:t>–</w:t>
      </w:r>
      <w:r w:rsidR="00954E61">
        <w:rPr>
          <w:rFonts w:ascii="Times New Roman" w:hAnsi="Times New Roman" w:cs="Times New Roman"/>
          <w:sz w:val="24"/>
          <w:szCs w:val="24"/>
        </w:rPr>
        <w:t>2007</w:t>
      </w:r>
      <w:r w:rsidRPr="006853EA">
        <w:rPr>
          <w:rFonts w:ascii="Times New Roman" w:hAnsi="Times New Roman" w:cs="Times New Roman"/>
          <w:sz w:val="24"/>
          <w:szCs w:val="24"/>
        </w:rPr>
        <w:t>.</w:t>
      </w:r>
      <w:r w:rsidR="00A17517">
        <w:rPr>
          <w:rFonts w:ascii="Times New Roman" w:hAnsi="Times New Roman" w:cs="Times New Roman"/>
          <w:sz w:val="24"/>
          <w:szCs w:val="24"/>
        </w:rPr>
        <w:t xml:space="preserve"> </w:t>
      </w:r>
      <w:r w:rsidR="003F0B22">
        <w:rPr>
          <w:rFonts w:ascii="Times New Roman" w:hAnsi="Times New Roman" w:cs="Times New Roman"/>
          <w:sz w:val="24"/>
          <w:szCs w:val="24"/>
        </w:rPr>
        <w:t>We measure s</w:t>
      </w:r>
      <w:r w:rsidR="00C76F49">
        <w:rPr>
          <w:rFonts w:ascii="Times New Roman" w:hAnsi="Times New Roman" w:cs="Times New Roman"/>
          <w:sz w:val="24"/>
          <w:szCs w:val="24"/>
        </w:rPr>
        <w:t xml:space="preserve">tock market volatility as the ratio of </w:t>
      </w:r>
      <w:r w:rsidR="00F304F2">
        <w:rPr>
          <w:rFonts w:ascii="Times New Roman" w:hAnsi="Times New Roman" w:cs="Times New Roman"/>
          <w:sz w:val="24"/>
          <w:szCs w:val="24"/>
        </w:rPr>
        <w:t xml:space="preserve">conditional </w:t>
      </w:r>
      <w:r w:rsidR="00C76F49">
        <w:rPr>
          <w:rFonts w:ascii="Times New Roman" w:hAnsi="Times New Roman" w:cs="Times New Roman"/>
          <w:sz w:val="24"/>
          <w:szCs w:val="24"/>
        </w:rPr>
        <w:t>variances</w:t>
      </w:r>
      <w:r w:rsidR="00A17517">
        <w:rPr>
          <w:rFonts w:ascii="Times New Roman" w:hAnsi="Times New Roman" w:cs="Times New Roman"/>
          <w:sz w:val="24"/>
          <w:szCs w:val="24"/>
        </w:rPr>
        <w:t xml:space="preserve"> </w:t>
      </w:r>
      <w:r w:rsidR="00C76F49">
        <w:rPr>
          <w:rFonts w:ascii="Times New Roman" w:hAnsi="Times New Roman" w:cs="Times New Roman"/>
          <w:sz w:val="24"/>
          <w:szCs w:val="24"/>
        </w:rPr>
        <w:t>(</w:t>
      </w:r>
      <w:r w:rsidR="00F304F2">
        <w:rPr>
          <w:rFonts w:ascii="Times New Roman" w:hAnsi="Times New Roman" w:cs="Times New Roman"/>
          <w:sz w:val="24"/>
          <w:szCs w:val="24"/>
        </w:rPr>
        <w:t xml:space="preserve">obtained from the </w:t>
      </w:r>
      <w:r w:rsidR="001412E4">
        <w:rPr>
          <w:rFonts w:ascii="Times New Roman" w:hAnsi="Times New Roman" w:cs="Times New Roman"/>
          <w:sz w:val="24"/>
          <w:szCs w:val="24"/>
        </w:rPr>
        <w:t>asymmetric</w:t>
      </w:r>
      <w:r w:rsidR="00F304F2">
        <w:rPr>
          <w:rFonts w:ascii="Times New Roman" w:hAnsi="Times New Roman" w:cs="Times New Roman"/>
          <w:sz w:val="24"/>
          <w:szCs w:val="24"/>
        </w:rPr>
        <w:t xml:space="preserve"> BEKK model</w:t>
      </w:r>
      <w:r w:rsidR="00C76F49">
        <w:rPr>
          <w:rFonts w:ascii="Times New Roman" w:hAnsi="Times New Roman" w:cs="Times New Roman"/>
          <w:sz w:val="24"/>
          <w:szCs w:val="24"/>
        </w:rPr>
        <w:t>) of US and UK stock returns</w:t>
      </w:r>
      <w:r w:rsidRPr="006853EA">
        <w:rPr>
          <w:rFonts w:ascii="Times New Roman" w:hAnsi="Times New Roman" w:cs="Times New Roman"/>
          <w:sz w:val="24"/>
          <w:szCs w:val="24"/>
        </w:rPr>
        <w:t xml:space="preserve">. </w:t>
      </w:r>
      <w:r w:rsidR="00D57257" w:rsidRPr="006853EA">
        <w:rPr>
          <w:rFonts w:ascii="Times New Roman" w:hAnsi="Times New Roman" w:cs="Times New Roman"/>
          <w:sz w:val="24"/>
          <w:szCs w:val="24"/>
        </w:rPr>
        <w:t>Since international investors always react to information,</w:t>
      </w:r>
      <w:r w:rsidR="00D57257">
        <w:rPr>
          <w:rFonts w:ascii="Times New Roman" w:hAnsi="Times New Roman" w:cs="Times New Roman"/>
          <w:sz w:val="24"/>
          <w:szCs w:val="24"/>
        </w:rPr>
        <w:t xml:space="preserve"> w</w:t>
      </w:r>
      <w:r w:rsidRPr="006853EA">
        <w:rPr>
          <w:rFonts w:ascii="Times New Roman" w:hAnsi="Times New Roman" w:cs="Times New Roman"/>
          <w:sz w:val="24"/>
          <w:szCs w:val="24"/>
        </w:rPr>
        <w:t xml:space="preserve">e expect that </w:t>
      </w:r>
      <w:r w:rsidR="00D37823">
        <w:rPr>
          <w:rFonts w:ascii="Times New Roman" w:hAnsi="Times New Roman" w:cs="Times New Roman"/>
          <w:sz w:val="24"/>
          <w:szCs w:val="24"/>
        </w:rPr>
        <w:t>if the volatility in the two markets</w:t>
      </w:r>
      <w:r w:rsidR="00F5425A">
        <w:rPr>
          <w:rFonts w:ascii="Times New Roman" w:hAnsi="Times New Roman" w:cs="Times New Roman"/>
          <w:sz w:val="24"/>
          <w:szCs w:val="24"/>
        </w:rPr>
        <w:t xml:space="preserve"> is similar</w:t>
      </w:r>
      <w:r w:rsidR="00D37823">
        <w:rPr>
          <w:rFonts w:ascii="Times New Roman" w:hAnsi="Times New Roman" w:cs="Times New Roman"/>
          <w:sz w:val="24"/>
          <w:szCs w:val="24"/>
        </w:rPr>
        <w:t>, then their stock markets</w:t>
      </w:r>
      <w:r w:rsidR="00E74976">
        <w:rPr>
          <w:rFonts w:ascii="Times New Roman" w:hAnsi="Times New Roman" w:cs="Times New Roman"/>
          <w:sz w:val="24"/>
          <w:szCs w:val="24"/>
        </w:rPr>
        <w:t xml:space="preserve"> will</w:t>
      </w:r>
      <w:r w:rsidR="00D37823">
        <w:rPr>
          <w:rFonts w:ascii="Times New Roman" w:hAnsi="Times New Roman" w:cs="Times New Roman"/>
          <w:sz w:val="24"/>
          <w:szCs w:val="24"/>
        </w:rPr>
        <w:t xml:space="preserve"> converge</w:t>
      </w:r>
      <w:r w:rsidR="00E74976">
        <w:rPr>
          <w:rFonts w:ascii="Times New Roman" w:hAnsi="Times New Roman" w:cs="Times New Roman"/>
          <w:sz w:val="24"/>
          <w:szCs w:val="24"/>
        </w:rPr>
        <w:t xml:space="preserve"> as well</w:t>
      </w:r>
      <w:r w:rsidRPr="006853EA">
        <w:rPr>
          <w:rFonts w:ascii="Times New Roman" w:hAnsi="Times New Roman" w:cs="Times New Roman"/>
          <w:sz w:val="24"/>
          <w:szCs w:val="24"/>
        </w:rPr>
        <w:t>.</w:t>
      </w:r>
    </w:p>
    <w:p w:rsidR="00166050" w:rsidRPr="00AF6503" w:rsidRDefault="00552618" w:rsidP="00AF6503">
      <w:pPr>
        <w:spacing w:after="0" w:line="480" w:lineRule="auto"/>
        <w:ind w:right="282"/>
        <w:rPr>
          <w:rFonts w:ascii="Times New Roman" w:hAnsi="Times New Roman" w:cs="Times New Roman"/>
          <w:i/>
          <w:sz w:val="24"/>
          <w:szCs w:val="24"/>
        </w:rPr>
      </w:pPr>
      <w:r w:rsidRPr="00AF6503">
        <w:rPr>
          <w:rFonts w:ascii="Times New Roman" w:hAnsi="Times New Roman" w:cs="Times New Roman"/>
          <w:i/>
          <w:sz w:val="24"/>
          <w:szCs w:val="24"/>
        </w:rPr>
        <w:t>3.3</w:t>
      </w:r>
      <w:r w:rsidR="007F2EF3">
        <w:rPr>
          <w:rFonts w:ascii="Times New Roman" w:hAnsi="Times New Roman" w:cs="Times New Roman"/>
          <w:i/>
          <w:sz w:val="24"/>
          <w:szCs w:val="24"/>
        </w:rPr>
        <w:t>.</w:t>
      </w:r>
      <w:r w:rsidRPr="00AF6503">
        <w:rPr>
          <w:rFonts w:ascii="Times New Roman" w:hAnsi="Times New Roman" w:cs="Times New Roman"/>
          <w:i/>
          <w:sz w:val="24"/>
          <w:szCs w:val="24"/>
        </w:rPr>
        <w:tab/>
      </w:r>
      <w:r w:rsidR="00207337" w:rsidRPr="00AF6503">
        <w:rPr>
          <w:rFonts w:ascii="Times New Roman" w:hAnsi="Times New Roman" w:cs="Times New Roman"/>
          <w:i/>
          <w:sz w:val="24"/>
          <w:szCs w:val="24"/>
        </w:rPr>
        <w:t>Non</w:t>
      </w:r>
      <w:r w:rsidR="0075422D">
        <w:rPr>
          <w:rFonts w:ascii="Times New Roman" w:hAnsi="Times New Roman" w:cs="Times New Roman"/>
          <w:i/>
          <w:sz w:val="24"/>
          <w:szCs w:val="24"/>
        </w:rPr>
        <w:t>e</w:t>
      </w:r>
      <w:r w:rsidR="00207337" w:rsidRPr="00AF6503">
        <w:rPr>
          <w:rFonts w:ascii="Times New Roman" w:hAnsi="Times New Roman" w:cs="Times New Roman"/>
          <w:i/>
          <w:sz w:val="24"/>
          <w:szCs w:val="24"/>
        </w:rPr>
        <w:t xml:space="preserve">conomic </w:t>
      </w:r>
      <w:r w:rsidR="0075422D">
        <w:rPr>
          <w:rFonts w:ascii="Times New Roman" w:hAnsi="Times New Roman" w:cs="Times New Roman"/>
          <w:i/>
          <w:sz w:val="24"/>
          <w:szCs w:val="24"/>
        </w:rPr>
        <w:t>f</w:t>
      </w:r>
      <w:r w:rsidR="00207337" w:rsidRPr="00AF6503">
        <w:rPr>
          <w:rFonts w:ascii="Times New Roman" w:hAnsi="Times New Roman" w:cs="Times New Roman"/>
          <w:i/>
          <w:sz w:val="24"/>
          <w:szCs w:val="24"/>
        </w:rPr>
        <w:t xml:space="preserve">undamentals: </w:t>
      </w:r>
      <w:r w:rsidR="0075422D">
        <w:rPr>
          <w:rFonts w:ascii="Times New Roman" w:hAnsi="Times New Roman" w:cs="Times New Roman"/>
          <w:i/>
          <w:sz w:val="24"/>
          <w:szCs w:val="24"/>
        </w:rPr>
        <w:t>p</w:t>
      </w:r>
      <w:r w:rsidR="00207337" w:rsidRPr="00AF6503">
        <w:rPr>
          <w:rFonts w:ascii="Times New Roman" w:hAnsi="Times New Roman" w:cs="Times New Roman"/>
          <w:i/>
          <w:sz w:val="24"/>
          <w:szCs w:val="24"/>
        </w:rPr>
        <w:t xml:space="preserve">olitical and </w:t>
      </w:r>
      <w:r w:rsidR="0075422D">
        <w:rPr>
          <w:rFonts w:ascii="Times New Roman" w:hAnsi="Times New Roman" w:cs="Times New Roman"/>
          <w:i/>
          <w:sz w:val="24"/>
          <w:szCs w:val="24"/>
        </w:rPr>
        <w:t>e</w:t>
      </w:r>
      <w:r w:rsidR="00207337" w:rsidRPr="00AF6503">
        <w:rPr>
          <w:rFonts w:ascii="Times New Roman" w:hAnsi="Times New Roman" w:cs="Times New Roman"/>
          <w:i/>
          <w:sz w:val="24"/>
          <w:szCs w:val="24"/>
        </w:rPr>
        <w:t xml:space="preserve">conomic </w:t>
      </w:r>
      <w:r w:rsidR="0075422D">
        <w:rPr>
          <w:rFonts w:ascii="Times New Roman" w:hAnsi="Times New Roman" w:cs="Times New Roman"/>
          <w:i/>
          <w:sz w:val="24"/>
          <w:szCs w:val="24"/>
        </w:rPr>
        <w:t>e</w:t>
      </w:r>
      <w:r w:rsidR="00207337" w:rsidRPr="00AF6503">
        <w:rPr>
          <w:rFonts w:ascii="Times New Roman" w:hAnsi="Times New Roman" w:cs="Times New Roman"/>
          <w:i/>
          <w:sz w:val="24"/>
          <w:szCs w:val="24"/>
        </w:rPr>
        <w:t>pisodes</w:t>
      </w:r>
    </w:p>
    <w:p w:rsidR="00166050" w:rsidRDefault="003F0B22"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V</w:t>
      </w:r>
      <w:r w:rsidR="00166050" w:rsidRPr="006853EA">
        <w:rPr>
          <w:rFonts w:ascii="Times New Roman" w:hAnsi="Times New Roman" w:cs="Times New Roman"/>
          <w:sz w:val="24"/>
          <w:szCs w:val="24"/>
        </w:rPr>
        <w:t xml:space="preserve">arious </w:t>
      </w:r>
      <w:r w:rsidR="00101E12">
        <w:rPr>
          <w:rFonts w:ascii="Times New Roman" w:hAnsi="Times New Roman" w:cs="Times New Roman"/>
          <w:sz w:val="24"/>
          <w:szCs w:val="24"/>
        </w:rPr>
        <w:t>political, economic, or financial</w:t>
      </w:r>
      <w:r w:rsidR="008053B1">
        <w:rPr>
          <w:rFonts w:ascii="Times New Roman" w:hAnsi="Times New Roman" w:cs="Times New Roman"/>
          <w:sz w:val="24"/>
          <w:szCs w:val="24"/>
        </w:rPr>
        <w:t xml:space="preserve"> </w:t>
      </w:r>
      <w:r w:rsidR="00E74976">
        <w:rPr>
          <w:rFonts w:ascii="Times New Roman" w:hAnsi="Times New Roman" w:cs="Times New Roman"/>
          <w:sz w:val="24"/>
          <w:szCs w:val="24"/>
        </w:rPr>
        <w:t>cris</w:t>
      </w:r>
      <w:r>
        <w:rPr>
          <w:rFonts w:ascii="Times New Roman" w:hAnsi="Times New Roman" w:cs="Times New Roman"/>
          <w:sz w:val="24"/>
          <w:szCs w:val="24"/>
        </w:rPr>
        <w:t>e</w:t>
      </w:r>
      <w:r w:rsidR="00E74976">
        <w:rPr>
          <w:rFonts w:ascii="Times New Roman" w:hAnsi="Times New Roman" w:cs="Times New Roman"/>
          <w:sz w:val="24"/>
          <w:szCs w:val="24"/>
        </w:rPr>
        <w:t xml:space="preserve">s </w:t>
      </w:r>
      <w:r w:rsidR="00166050" w:rsidRPr="006853EA">
        <w:rPr>
          <w:rFonts w:ascii="Times New Roman" w:hAnsi="Times New Roman" w:cs="Times New Roman"/>
          <w:sz w:val="24"/>
          <w:szCs w:val="24"/>
        </w:rPr>
        <w:t xml:space="preserve">in the last </w:t>
      </w:r>
      <w:r>
        <w:rPr>
          <w:rFonts w:ascii="Times New Roman" w:hAnsi="Times New Roman" w:cs="Times New Roman"/>
          <w:sz w:val="24"/>
          <w:szCs w:val="24"/>
        </w:rPr>
        <w:t>eight</w:t>
      </w:r>
      <w:r w:rsidR="00166050" w:rsidRPr="006853EA">
        <w:rPr>
          <w:rFonts w:ascii="Times New Roman" w:hAnsi="Times New Roman" w:cs="Times New Roman"/>
          <w:sz w:val="24"/>
          <w:szCs w:val="24"/>
        </w:rPr>
        <w:t xml:space="preserve"> decades may </w:t>
      </w:r>
      <w:r w:rsidR="009110C5">
        <w:rPr>
          <w:rFonts w:ascii="Times New Roman" w:hAnsi="Times New Roman" w:cs="Times New Roman"/>
          <w:sz w:val="24"/>
          <w:szCs w:val="24"/>
        </w:rPr>
        <w:t xml:space="preserve">have </w:t>
      </w:r>
      <w:r w:rsidR="00166050" w:rsidRPr="006853EA">
        <w:rPr>
          <w:rFonts w:ascii="Times New Roman" w:hAnsi="Times New Roman" w:cs="Times New Roman"/>
          <w:sz w:val="24"/>
          <w:szCs w:val="24"/>
        </w:rPr>
        <w:t>influence</w:t>
      </w:r>
      <w:r w:rsidR="009110C5">
        <w:rPr>
          <w:rFonts w:ascii="Times New Roman" w:hAnsi="Times New Roman" w:cs="Times New Roman"/>
          <w:sz w:val="24"/>
          <w:szCs w:val="24"/>
        </w:rPr>
        <w:t>d</w:t>
      </w:r>
      <w:r w:rsidR="00166050" w:rsidRPr="006853EA">
        <w:rPr>
          <w:rFonts w:ascii="Times New Roman" w:hAnsi="Times New Roman" w:cs="Times New Roman"/>
          <w:sz w:val="24"/>
          <w:szCs w:val="24"/>
        </w:rPr>
        <w:t xml:space="preserve"> the linkages of international stock markets. </w:t>
      </w:r>
      <w:r w:rsidR="00101E12">
        <w:rPr>
          <w:rFonts w:ascii="Times New Roman" w:hAnsi="Times New Roman" w:cs="Times New Roman"/>
          <w:sz w:val="24"/>
          <w:szCs w:val="24"/>
        </w:rPr>
        <w:t xml:space="preserve">Empirical studies have documented </w:t>
      </w:r>
      <w:r w:rsidR="00157855">
        <w:rPr>
          <w:rFonts w:ascii="Times New Roman" w:hAnsi="Times New Roman" w:cs="Times New Roman"/>
          <w:sz w:val="24"/>
          <w:szCs w:val="24"/>
        </w:rPr>
        <w:t>the impact</w:t>
      </w:r>
      <w:r w:rsidR="0005358E">
        <w:rPr>
          <w:rFonts w:ascii="Times New Roman" w:hAnsi="Times New Roman" w:cs="Times New Roman"/>
          <w:sz w:val="24"/>
          <w:szCs w:val="24"/>
        </w:rPr>
        <w:t>s</w:t>
      </w:r>
      <w:r w:rsidR="00157855">
        <w:rPr>
          <w:rFonts w:ascii="Times New Roman" w:hAnsi="Times New Roman" w:cs="Times New Roman"/>
          <w:sz w:val="24"/>
          <w:szCs w:val="24"/>
        </w:rPr>
        <w:t xml:space="preserve"> of</w:t>
      </w:r>
      <w:r w:rsidR="008C2BC8">
        <w:rPr>
          <w:rFonts w:ascii="Times New Roman" w:hAnsi="Times New Roman" w:cs="Times New Roman"/>
          <w:sz w:val="24"/>
          <w:szCs w:val="24"/>
        </w:rPr>
        <w:t xml:space="preserve"> several financial crash, currency crisis, oil shock and debt crisis episodes </w:t>
      </w:r>
      <w:r w:rsidR="00BA7747">
        <w:rPr>
          <w:rFonts w:ascii="Times New Roman" w:hAnsi="Times New Roman" w:cs="Times New Roman"/>
          <w:sz w:val="24"/>
          <w:szCs w:val="24"/>
        </w:rPr>
        <w:t xml:space="preserve">on stock </w:t>
      </w:r>
      <w:r w:rsidR="00E74976">
        <w:rPr>
          <w:rFonts w:ascii="Times New Roman" w:hAnsi="Times New Roman" w:cs="Times New Roman"/>
          <w:sz w:val="24"/>
          <w:szCs w:val="24"/>
        </w:rPr>
        <w:t>market integration</w:t>
      </w:r>
      <w:r w:rsidR="00A17517">
        <w:rPr>
          <w:rFonts w:ascii="Times New Roman" w:hAnsi="Times New Roman" w:cs="Times New Roman"/>
          <w:sz w:val="24"/>
          <w:szCs w:val="24"/>
        </w:rPr>
        <w:t xml:space="preserve"> </w:t>
      </w:r>
      <w:r w:rsidR="00157855">
        <w:rPr>
          <w:rFonts w:ascii="Times New Roman" w:hAnsi="Times New Roman" w:cs="Times New Roman"/>
          <w:sz w:val="24"/>
          <w:szCs w:val="24"/>
        </w:rPr>
        <w:t xml:space="preserve">(Wang </w:t>
      </w:r>
      <w:r w:rsidR="00F220C4">
        <w:rPr>
          <w:rFonts w:ascii="Times New Roman" w:hAnsi="Times New Roman" w:cs="Times New Roman"/>
          <w:sz w:val="24"/>
          <w:szCs w:val="24"/>
        </w:rPr>
        <w:t>&amp;</w:t>
      </w:r>
      <w:r w:rsidR="00157855">
        <w:rPr>
          <w:rFonts w:ascii="Times New Roman" w:hAnsi="Times New Roman" w:cs="Times New Roman"/>
          <w:sz w:val="24"/>
          <w:szCs w:val="24"/>
        </w:rPr>
        <w:t xml:space="preserve"> Moore, 2008;</w:t>
      </w:r>
      <w:r w:rsidR="00A17517">
        <w:rPr>
          <w:rFonts w:ascii="Times New Roman" w:hAnsi="Times New Roman" w:cs="Times New Roman"/>
          <w:sz w:val="24"/>
          <w:szCs w:val="24"/>
        </w:rPr>
        <w:t xml:space="preserve"> </w:t>
      </w:r>
      <w:r w:rsidR="00157855" w:rsidRPr="006853EA">
        <w:rPr>
          <w:rFonts w:ascii="Times New Roman" w:hAnsi="Times New Roman" w:cs="Times New Roman"/>
          <w:sz w:val="24"/>
          <w:szCs w:val="24"/>
        </w:rPr>
        <w:t>Syllignakis</w:t>
      </w:r>
      <w:r w:rsidR="003C4EE7">
        <w:rPr>
          <w:rFonts w:ascii="Times New Roman" w:hAnsi="Times New Roman" w:cs="Times New Roman"/>
          <w:sz w:val="24"/>
          <w:szCs w:val="24"/>
        </w:rPr>
        <w:t xml:space="preserve"> and Kouretas</w:t>
      </w:r>
      <w:r w:rsidR="00E30FBF">
        <w:rPr>
          <w:rFonts w:ascii="Times New Roman" w:hAnsi="Times New Roman" w:cs="Times New Roman"/>
          <w:i/>
          <w:sz w:val="24"/>
          <w:szCs w:val="24"/>
        </w:rPr>
        <w:t>,</w:t>
      </w:r>
      <w:r w:rsidR="007D3AB0">
        <w:rPr>
          <w:rFonts w:ascii="Times New Roman" w:hAnsi="Times New Roman" w:cs="Times New Roman"/>
          <w:i/>
          <w:sz w:val="24"/>
          <w:szCs w:val="24"/>
        </w:rPr>
        <w:t xml:space="preserve"> </w:t>
      </w:r>
      <w:r w:rsidR="00157855" w:rsidRPr="006853EA">
        <w:rPr>
          <w:rFonts w:ascii="Times New Roman" w:hAnsi="Times New Roman" w:cs="Times New Roman"/>
          <w:sz w:val="24"/>
          <w:szCs w:val="24"/>
        </w:rPr>
        <w:t>2011</w:t>
      </w:r>
      <w:r w:rsidR="00157855">
        <w:rPr>
          <w:rFonts w:ascii="Times New Roman" w:hAnsi="Times New Roman" w:cs="Times New Roman"/>
          <w:sz w:val="24"/>
          <w:szCs w:val="24"/>
        </w:rPr>
        <w:t>)</w:t>
      </w:r>
      <w:r w:rsidR="00414785">
        <w:rPr>
          <w:rFonts w:ascii="Times New Roman" w:hAnsi="Times New Roman" w:cs="Times New Roman"/>
          <w:sz w:val="24"/>
          <w:szCs w:val="24"/>
        </w:rPr>
        <w:t>.</w:t>
      </w:r>
      <w:r w:rsidR="007D3AB0">
        <w:rPr>
          <w:rFonts w:ascii="Times New Roman" w:hAnsi="Times New Roman" w:cs="Times New Roman"/>
          <w:sz w:val="24"/>
          <w:szCs w:val="24"/>
        </w:rPr>
        <w:t xml:space="preserve"> </w:t>
      </w:r>
      <w:r w:rsidR="00140943">
        <w:rPr>
          <w:rFonts w:ascii="Times New Roman" w:hAnsi="Times New Roman" w:cs="Times New Roman"/>
          <w:sz w:val="24"/>
          <w:szCs w:val="24"/>
        </w:rPr>
        <w:t xml:space="preserve">We expect that </w:t>
      </w:r>
      <w:r w:rsidR="0005358E">
        <w:rPr>
          <w:rFonts w:ascii="Times New Roman" w:hAnsi="Times New Roman" w:cs="Times New Roman"/>
          <w:sz w:val="24"/>
          <w:szCs w:val="24"/>
        </w:rPr>
        <w:t xml:space="preserve">such </w:t>
      </w:r>
      <w:r w:rsidR="008C2BC8">
        <w:rPr>
          <w:rFonts w:ascii="Times New Roman" w:hAnsi="Times New Roman" w:cs="Times New Roman"/>
          <w:sz w:val="24"/>
          <w:szCs w:val="24"/>
        </w:rPr>
        <w:t>episodes of crisis</w:t>
      </w:r>
      <w:r w:rsidR="007D3AB0">
        <w:rPr>
          <w:rFonts w:ascii="Times New Roman" w:hAnsi="Times New Roman" w:cs="Times New Roman"/>
          <w:sz w:val="24"/>
          <w:szCs w:val="24"/>
        </w:rPr>
        <w:t xml:space="preserve"> </w:t>
      </w:r>
      <w:r w:rsidR="0093201B">
        <w:rPr>
          <w:rFonts w:ascii="Times New Roman" w:hAnsi="Times New Roman" w:cs="Times New Roman"/>
          <w:sz w:val="24"/>
          <w:szCs w:val="24"/>
        </w:rPr>
        <w:t xml:space="preserve">may </w:t>
      </w:r>
      <w:r w:rsidR="00140943">
        <w:rPr>
          <w:rFonts w:ascii="Times New Roman" w:hAnsi="Times New Roman" w:cs="Times New Roman"/>
          <w:sz w:val="24"/>
          <w:szCs w:val="24"/>
        </w:rPr>
        <w:t>increase stock market integration</w:t>
      </w:r>
      <w:r w:rsidR="00A17517">
        <w:rPr>
          <w:rFonts w:ascii="Times New Roman" w:hAnsi="Times New Roman" w:cs="Times New Roman"/>
          <w:sz w:val="24"/>
          <w:szCs w:val="24"/>
        </w:rPr>
        <w:t xml:space="preserve"> </w:t>
      </w:r>
      <w:r w:rsidR="00101E12">
        <w:rPr>
          <w:rFonts w:ascii="Times New Roman" w:hAnsi="Times New Roman" w:cs="Times New Roman"/>
          <w:sz w:val="24"/>
          <w:szCs w:val="24"/>
        </w:rPr>
        <w:t xml:space="preserve">through </w:t>
      </w:r>
      <w:r w:rsidR="00C90881">
        <w:rPr>
          <w:rFonts w:ascii="Times New Roman" w:hAnsi="Times New Roman" w:cs="Times New Roman"/>
          <w:sz w:val="24"/>
          <w:szCs w:val="24"/>
        </w:rPr>
        <w:t>financial contagion</w:t>
      </w:r>
      <w:r w:rsidR="00E74976">
        <w:rPr>
          <w:rFonts w:ascii="Times New Roman" w:hAnsi="Times New Roman" w:cs="Times New Roman"/>
          <w:sz w:val="24"/>
          <w:szCs w:val="24"/>
        </w:rPr>
        <w:t>.</w:t>
      </w:r>
    </w:p>
    <w:p w:rsidR="007F3BB1" w:rsidRDefault="007F3BB1" w:rsidP="00AF6503">
      <w:pPr>
        <w:spacing w:after="0" w:line="480" w:lineRule="auto"/>
        <w:ind w:right="282" w:firstLine="720"/>
        <w:rPr>
          <w:rFonts w:ascii="Times New Roman" w:hAnsi="Times New Roman" w:cs="Times New Roman"/>
          <w:sz w:val="24"/>
          <w:szCs w:val="24"/>
        </w:rPr>
      </w:pPr>
    </w:p>
    <w:p w:rsidR="00FE196B" w:rsidRDefault="00FE196B" w:rsidP="00AF6503">
      <w:pPr>
        <w:spacing w:after="0" w:line="480" w:lineRule="auto"/>
        <w:ind w:right="282"/>
        <w:rPr>
          <w:rFonts w:ascii="Times New Roman" w:hAnsi="Times New Roman" w:cs="Times New Roman"/>
          <w:sz w:val="24"/>
          <w:szCs w:val="24"/>
        </w:rPr>
      </w:pPr>
      <w:r>
        <w:rPr>
          <w:rStyle w:val="Heading1Char"/>
          <w:rFonts w:ascii="Times New Roman" w:hAnsi="Times New Roman" w:cs="Times New Roman"/>
          <w:color w:val="auto"/>
          <w:sz w:val="24"/>
          <w:szCs w:val="24"/>
        </w:rPr>
        <w:t>4</w:t>
      </w:r>
      <w:r w:rsidRPr="006853EA">
        <w:rPr>
          <w:rStyle w:val="Heading1Char"/>
          <w:rFonts w:ascii="Times New Roman" w:hAnsi="Times New Roman" w:cs="Times New Roman"/>
          <w:color w:val="auto"/>
          <w:sz w:val="24"/>
          <w:szCs w:val="24"/>
        </w:rPr>
        <w:t>.</w:t>
      </w:r>
      <w:r w:rsidRPr="006853EA">
        <w:rPr>
          <w:rStyle w:val="Heading1Char"/>
          <w:rFonts w:ascii="Times New Roman" w:hAnsi="Times New Roman" w:cs="Times New Roman"/>
          <w:color w:val="auto"/>
          <w:sz w:val="24"/>
          <w:szCs w:val="24"/>
        </w:rPr>
        <w:tab/>
        <w:t>Method</w:t>
      </w:r>
    </w:p>
    <w:p w:rsidR="007A2749" w:rsidRPr="007A2749" w:rsidRDefault="00F66200" w:rsidP="00AF6503">
      <w:pPr>
        <w:spacing w:after="0" w:line="480" w:lineRule="auto"/>
        <w:ind w:right="282" w:firstLine="720"/>
        <w:rPr>
          <w:rFonts w:ascii="Times New Roman" w:eastAsiaTheme="minorEastAsia" w:hAnsi="Times New Roman" w:cs="Times New Roman"/>
          <w:sz w:val="24"/>
          <w:szCs w:val="24"/>
        </w:rPr>
      </w:pPr>
      <w:r w:rsidRPr="00A375D7">
        <w:rPr>
          <w:rFonts w:ascii="Times New Roman" w:hAnsi="Times New Roman" w:cs="Times New Roman"/>
          <w:sz w:val="24"/>
          <w:szCs w:val="24"/>
        </w:rPr>
        <w:t xml:space="preserve">Engle and Granger (1987) propose </w:t>
      </w:r>
      <w:r w:rsidR="00101E12">
        <w:rPr>
          <w:rFonts w:ascii="Times New Roman" w:hAnsi="Times New Roman" w:cs="Times New Roman"/>
          <w:sz w:val="24"/>
          <w:szCs w:val="24"/>
        </w:rPr>
        <w:t>an</w:t>
      </w:r>
      <w:r w:rsidR="007D3AB0">
        <w:rPr>
          <w:rFonts w:ascii="Times New Roman" w:hAnsi="Times New Roman" w:cs="Times New Roman"/>
          <w:sz w:val="24"/>
          <w:szCs w:val="24"/>
        </w:rPr>
        <w:t xml:space="preserve"> </w:t>
      </w:r>
      <w:r>
        <w:rPr>
          <w:rFonts w:ascii="Times New Roman" w:hAnsi="Times New Roman" w:cs="Times New Roman"/>
          <w:sz w:val="24"/>
          <w:szCs w:val="24"/>
        </w:rPr>
        <w:t>error correction model (</w:t>
      </w:r>
      <w:r w:rsidRPr="00A375D7">
        <w:rPr>
          <w:rFonts w:ascii="Times New Roman" w:hAnsi="Times New Roman" w:cs="Times New Roman"/>
          <w:sz w:val="24"/>
          <w:szCs w:val="24"/>
        </w:rPr>
        <w:t>ECM</w:t>
      </w:r>
      <w:r>
        <w:rPr>
          <w:rFonts w:ascii="Times New Roman" w:hAnsi="Times New Roman" w:cs="Times New Roman"/>
          <w:sz w:val="24"/>
          <w:szCs w:val="24"/>
        </w:rPr>
        <w:t>)</w:t>
      </w:r>
      <w:r w:rsidRPr="00A375D7">
        <w:rPr>
          <w:rFonts w:ascii="Times New Roman" w:hAnsi="Times New Roman" w:cs="Times New Roman"/>
          <w:sz w:val="24"/>
          <w:szCs w:val="24"/>
        </w:rPr>
        <w:t xml:space="preserve"> on the basis that if</w:t>
      </w:r>
      <w:r w:rsidR="00101E12">
        <w:rPr>
          <w:rFonts w:ascii="Times New Roman" w:hAnsi="Times New Roman" w:cs="Times New Roman"/>
          <w:sz w:val="24"/>
          <w:szCs w:val="24"/>
        </w:rPr>
        <w:t>,</w:t>
      </w:r>
      <w:r w:rsidR="008C081D">
        <w:rPr>
          <w:rFonts w:ascii="Times New Roman" w:hAnsi="Times New Roman" w:cs="Times New Roman"/>
          <w:sz w:val="24"/>
          <w:szCs w:val="24"/>
        </w:rPr>
        <w:t xml:space="preserve"> for instance,</w:t>
      </w:r>
      <w:r w:rsidR="007D3AB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lnP</m:t>
            </m:r>
          </m:e>
          <m:sub>
            <m:r>
              <w:rPr>
                <w:rFonts w:ascii="Cambria Math" w:hAnsi="Cambria Math" w:cs="Times New Roman"/>
                <w:sz w:val="24"/>
                <w:szCs w:val="24"/>
              </w:rPr>
              <m:t>UK,t</m:t>
            </m:r>
          </m:sub>
        </m:sSub>
      </m:oMath>
      <w:r w:rsidR="007D3AB0">
        <w:rPr>
          <w:rFonts w:ascii="Times New Roman" w:eastAsiaTheme="minorEastAsia" w:hAnsi="Times New Roman" w:cs="Times New Roman"/>
          <w:sz w:val="24"/>
          <w:szCs w:val="24"/>
        </w:rPr>
        <w:t xml:space="preserve"> </w:t>
      </w:r>
      <w:r w:rsidRPr="00A375D7">
        <w:rPr>
          <w:rFonts w:ascii="Times New Roman" w:eastAsiaTheme="minorEastAsia" w:hAnsi="Times New Roman" w:cs="Times New Roman"/>
          <w:sz w:val="24"/>
          <w:szCs w:val="24"/>
        </w:rPr>
        <w:t xml:space="preserve">and </w:t>
      </w:r>
      <m:oMath>
        <m:r>
          <w:rPr>
            <w:rFonts w:ascii="Cambria Math" w:eastAsiaTheme="minorEastAsia"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US,t</m:t>
            </m:r>
          </m:sub>
        </m:sSub>
      </m:oMath>
      <w:r w:rsidRPr="00A375D7">
        <w:rPr>
          <w:rFonts w:ascii="Times New Roman" w:eastAsiaTheme="minorEastAsia" w:hAnsi="Times New Roman" w:cs="Times New Roman"/>
          <w:sz w:val="24"/>
          <w:szCs w:val="24"/>
        </w:rPr>
        <w:t xml:space="preserve"> are </w:t>
      </w:r>
      <w:r w:rsidRPr="00A375D7">
        <w:rPr>
          <w:rFonts w:ascii="Times New Roman" w:eastAsiaTheme="minorEastAsia" w:hAnsi="Times New Roman" w:cs="Times New Roman"/>
          <w:i/>
          <w:sz w:val="24"/>
          <w:szCs w:val="24"/>
        </w:rPr>
        <w:t>I</w:t>
      </w:r>
      <w:r w:rsidRPr="00A375D7">
        <w:rPr>
          <w:rFonts w:ascii="Times New Roman" w:eastAsiaTheme="minorEastAsia" w:hAnsi="Times New Roman" w:cs="Times New Roman"/>
          <w:sz w:val="24"/>
          <w:szCs w:val="24"/>
        </w:rPr>
        <w:t>(1) variables and co</w:t>
      </w:r>
      <w:r w:rsidR="003C4EE7">
        <w:rPr>
          <w:rFonts w:ascii="Times New Roman" w:eastAsiaTheme="minorEastAsia" w:hAnsi="Times New Roman" w:cs="Times New Roman"/>
          <w:sz w:val="24"/>
          <w:szCs w:val="24"/>
        </w:rPr>
        <w:t>-</w:t>
      </w:r>
      <w:r w:rsidRPr="00A375D7">
        <w:rPr>
          <w:rFonts w:ascii="Times New Roman" w:eastAsiaTheme="minorEastAsia" w:hAnsi="Times New Roman" w:cs="Times New Roman"/>
          <w:sz w:val="24"/>
          <w:szCs w:val="24"/>
        </w:rPr>
        <w:t xml:space="preserve">integrated </w:t>
      </w:r>
      <w:r w:rsidRPr="00A375D7">
        <w:rPr>
          <w:rFonts w:ascii="Times New Roman" w:eastAsiaTheme="minorEastAsia" w:hAnsi="Times New Roman" w:cs="Times New Roman"/>
          <w:i/>
          <w:sz w:val="24"/>
          <w:szCs w:val="24"/>
        </w:rPr>
        <w:t>CI</w:t>
      </w:r>
      <w:r w:rsidRPr="00A375D7">
        <w:rPr>
          <w:rFonts w:ascii="Times New Roman" w:eastAsiaTheme="minorEastAsia" w:hAnsi="Times New Roman" w:cs="Times New Roman"/>
          <w:sz w:val="24"/>
          <w:szCs w:val="24"/>
        </w:rPr>
        <w:t>(1,1), then an ECM exist</w:t>
      </w:r>
      <w:r w:rsidR="00AF7942">
        <w:rPr>
          <w:rFonts w:ascii="Times New Roman" w:eastAsiaTheme="minorEastAsia" w:hAnsi="Times New Roman" w:cs="Times New Roman"/>
          <w:sz w:val="24"/>
          <w:szCs w:val="24"/>
        </w:rPr>
        <w:t>s,</w:t>
      </w:r>
      <w:r w:rsidR="007D3AB0">
        <w:rPr>
          <w:rFonts w:ascii="Times New Roman" w:eastAsiaTheme="minorEastAsia" w:hAnsi="Times New Roman" w:cs="Times New Roman"/>
          <w:sz w:val="24"/>
          <w:szCs w:val="24"/>
        </w:rPr>
        <w:t xml:space="preserve"> </w:t>
      </w:r>
      <w:r w:rsidRPr="00A375D7">
        <w:rPr>
          <w:rFonts w:ascii="Times New Roman" w:eastAsiaTheme="minorEastAsia" w:hAnsi="Times New Roman" w:cs="Times New Roman"/>
          <w:sz w:val="24"/>
          <w:szCs w:val="24"/>
        </w:rPr>
        <w:t>or else the model that does not incorporate the ECM is mis</w:t>
      </w:r>
      <w:r w:rsidR="000C4778">
        <w:rPr>
          <w:rFonts w:ascii="Times New Roman" w:eastAsiaTheme="minorEastAsia" w:hAnsi="Times New Roman" w:cs="Times New Roman"/>
          <w:sz w:val="24"/>
          <w:szCs w:val="24"/>
        </w:rPr>
        <w:t>-</w:t>
      </w:r>
      <w:r w:rsidRPr="00A375D7">
        <w:rPr>
          <w:rFonts w:ascii="Times New Roman" w:eastAsiaTheme="minorEastAsia" w:hAnsi="Times New Roman" w:cs="Times New Roman"/>
          <w:sz w:val="24"/>
          <w:szCs w:val="24"/>
        </w:rPr>
        <w:t>specified</w:t>
      </w:r>
      <w:r>
        <w:rPr>
          <w:rFonts w:ascii="Times New Roman" w:eastAsiaTheme="minorEastAsia" w:hAnsi="Times New Roman" w:cs="Times New Roman"/>
          <w:sz w:val="24"/>
          <w:szCs w:val="24"/>
        </w:rPr>
        <w:t>.</w:t>
      </w:r>
      <w:r w:rsidR="007D3AB0">
        <w:rPr>
          <w:rFonts w:ascii="Times New Roman" w:eastAsiaTheme="minorEastAsia" w:hAnsi="Times New Roman" w:cs="Times New Roman"/>
          <w:sz w:val="24"/>
          <w:szCs w:val="24"/>
        </w:rPr>
        <w:t xml:space="preserve"> </w:t>
      </w:r>
      <w:r w:rsidR="00101E12">
        <w:rPr>
          <w:rFonts w:ascii="Times New Roman" w:eastAsiaTheme="minorEastAsia" w:hAnsi="Times New Roman" w:cs="Times New Roman"/>
          <w:sz w:val="24"/>
          <w:szCs w:val="24"/>
        </w:rPr>
        <w:t>We</w:t>
      </w:r>
      <w:r w:rsidR="00351F76">
        <w:rPr>
          <w:rFonts w:ascii="Times New Roman" w:eastAsiaTheme="minorEastAsia" w:hAnsi="Times New Roman" w:cs="Times New Roman"/>
          <w:sz w:val="24"/>
          <w:szCs w:val="24"/>
        </w:rPr>
        <w:t>,</w:t>
      </w:r>
      <w:r w:rsidR="00101E12">
        <w:rPr>
          <w:rFonts w:ascii="Times New Roman" w:eastAsiaTheme="minorEastAsia" w:hAnsi="Times New Roman" w:cs="Times New Roman"/>
          <w:sz w:val="24"/>
          <w:szCs w:val="24"/>
        </w:rPr>
        <w:t xml:space="preserve"> t</w:t>
      </w:r>
      <w:r w:rsidR="007A2749">
        <w:rPr>
          <w:rFonts w:ascii="Times New Roman" w:eastAsiaTheme="minorEastAsia" w:hAnsi="Times New Roman" w:cs="Times New Roman"/>
          <w:sz w:val="24"/>
          <w:szCs w:val="24"/>
        </w:rPr>
        <w:t>herefore</w:t>
      </w:r>
      <w:r w:rsidR="00351F76">
        <w:rPr>
          <w:rFonts w:ascii="Times New Roman" w:eastAsiaTheme="minorEastAsia" w:hAnsi="Times New Roman" w:cs="Times New Roman"/>
          <w:sz w:val="24"/>
          <w:szCs w:val="24"/>
        </w:rPr>
        <w:t>,</w:t>
      </w:r>
      <w:r w:rsidR="00101E12">
        <w:rPr>
          <w:rFonts w:ascii="Times New Roman" w:eastAsiaTheme="minorEastAsia" w:hAnsi="Times New Roman" w:cs="Times New Roman"/>
          <w:sz w:val="24"/>
          <w:szCs w:val="24"/>
        </w:rPr>
        <w:t xml:space="preserve"> model</w:t>
      </w:r>
      <w:r w:rsidR="007A2749">
        <w:rPr>
          <w:rFonts w:ascii="Times New Roman" w:eastAsiaTheme="minorEastAsia" w:hAnsi="Times New Roman" w:cs="Times New Roman"/>
          <w:sz w:val="24"/>
          <w:szCs w:val="24"/>
        </w:rPr>
        <w:t xml:space="preserve"> t</w:t>
      </w:r>
      <w:r w:rsidR="007A2749">
        <w:rPr>
          <w:rFonts w:ascii="Times New Roman" w:hAnsi="Times New Roman" w:cs="Times New Roman"/>
          <w:sz w:val="24"/>
          <w:szCs w:val="24"/>
        </w:rPr>
        <w:t>he UK and US series by means of a VECM in which the first difference of the natural log of stock indices depend</w:t>
      </w:r>
      <w:r w:rsidR="00101E12">
        <w:rPr>
          <w:rFonts w:ascii="Times New Roman" w:hAnsi="Times New Roman" w:cs="Times New Roman"/>
          <w:sz w:val="24"/>
          <w:szCs w:val="24"/>
        </w:rPr>
        <w:t>s</w:t>
      </w:r>
      <w:r w:rsidR="007A2749">
        <w:rPr>
          <w:rFonts w:ascii="Times New Roman" w:hAnsi="Times New Roman" w:cs="Times New Roman"/>
          <w:sz w:val="24"/>
          <w:szCs w:val="24"/>
        </w:rPr>
        <w:t xml:space="preserve"> on a constant,</w:t>
      </w:r>
      <w:r w:rsidR="008C081D">
        <w:rPr>
          <w:rFonts w:ascii="Times New Roman" w:hAnsi="Times New Roman" w:cs="Times New Roman"/>
          <w:sz w:val="24"/>
          <w:szCs w:val="24"/>
        </w:rPr>
        <w:t xml:space="preserve"> on the speed of adjustment,</w:t>
      </w:r>
      <w:r w:rsidR="007A2749">
        <w:rPr>
          <w:rFonts w:ascii="Times New Roman" w:hAnsi="Times New Roman" w:cs="Times New Roman"/>
          <w:sz w:val="24"/>
          <w:szCs w:val="24"/>
        </w:rPr>
        <w:t xml:space="preserve"> on their own lags and cross-lags</w:t>
      </w:r>
      <w:r w:rsidR="00101E12">
        <w:rPr>
          <w:rFonts w:ascii="Times New Roman" w:hAnsi="Times New Roman" w:cs="Times New Roman"/>
          <w:sz w:val="24"/>
          <w:szCs w:val="24"/>
        </w:rPr>
        <w:t>,</w:t>
      </w:r>
      <w:r w:rsidR="007A2749">
        <w:rPr>
          <w:rFonts w:ascii="Times New Roman" w:hAnsi="Times New Roman" w:cs="Times New Roman"/>
          <w:sz w:val="24"/>
          <w:szCs w:val="24"/>
        </w:rPr>
        <w:t xml:space="preserve"> and on the disturbance terms that capture the unexpected shocks on the endogenous variables. On the assumption that the mean equations follow a VECM(</w:t>
      </w:r>
      <w:r w:rsidR="007A2749" w:rsidRPr="00104DDA">
        <w:rPr>
          <w:rFonts w:ascii="Times New Roman" w:hAnsi="Times New Roman" w:cs="Times New Roman"/>
          <w:i/>
          <w:sz w:val="24"/>
          <w:szCs w:val="24"/>
        </w:rPr>
        <w:t>p</w:t>
      </w:r>
      <w:r w:rsidR="007A2749">
        <w:rPr>
          <w:rFonts w:ascii="Times New Roman" w:hAnsi="Times New Roman" w:cs="Times New Roman"/>
          <w:sz w:val="24"/>
          <w:szCs w:val="24"/>
        </w:rPr>
        <w:t>) stochastic process, we specify each equation as follows:</w:t>
      </w:r>
    </w:p>
    <w:p w:rsidR="000B63F7" w:rsidRPr="008529E4" w:rsidRDefault="0022506A" w:rsidP="00AF6503">
      <w:pPr>
        <w:spacing w:after="0" w:line="480" w:lineRule="auto"/>
        <w:ind w:right="139"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UK,t</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UK</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UK</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UK</m:t>
                </m:r>
              </m:sub>
            </m:s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UK,i</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UK,t-p</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US</m:t>
                </m:r>
              </m:sub>
            </m:s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US,p</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US,t-p</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UK,t</m:t>
            </m:r>
          </m:sub>
        </m:sSub>
      </m:oMath>
      <w:r w:rsidR="000B63F7" w:rsidRPr="008529E4">
        <w:rPr>
          <w:rFonts w:ascii="Times New Roman" w:hAnsi="Times New Roman" w:cs="Times New Roman"/>
          <w:sz w:val="24"/>
          <w:szCs w:val="24"/>
        </w:rPr>
        <w:tab/>
      </w:r>
      <w:r w:rsidR="00431DFB">
        <w:rPr>
          <w:rFonts w:ascii="Times New Roman" w:hAnsi="Times New Roman" w:cs="Times New Roman"/>
          <w:sz w:val="24"/>
          <w:szCs w:val="24"/>
        </w:rPr>
        <w:tab/>
      </w:r>
      <w:r w:rsidR="000B63F7" w:rsidRPr="008529E4">
        <w:rPr>
          <w:rFonts w:ascii="Times New Roman" w:hAnsi="Times New Roman" w:cs="Times New Roman"/>
          <w:sz w:val="24"/>
          <w:szCs w:val="24"/>
        </w:rPr>
        <w:t>(</w:t>
      </w:r>
      <w:r w:rsidR="00A16164">
        <w:rPr>
          <w:rFonts w:ascii="Times New Roman" w:hAnsi="Times New Roman" w:cs="Times New Roman"/>
          <w:sz w:val="24"/>
          <w:szCs w:val="24"/>
        </w:rPr>
        <w:t>1</w:t>
      </w:r>
      <w:r w:rsidR="000B63F7" w:rsidRPr="008529E4">
        <w:rPr>
          <w:rFonts w:ascii="Times New Roman" w:hAnsi="Times New Roman" w:cs="Times New Roman"/>
          <w:sz w:val="24"/>
          <w:szCs w:val="24"/>
        </w:rPr>
        <w:t>)</w:t>
      </w:r>
    </w:p>
    <w:p w:rsidR="000B63F7" w:rsidRPr="008529E4" w:rsidRDefault="0022506A" w:rsidP="00AF6503">
      <w:pPr>
        <w:spacing w:after="0" w:line="480" w:lineRule="auto"/>
        <w:ind w:right="-142" w:firstLine="72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US,t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US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US</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US</m:t>
                </m:r>
              </m:sub>
            </m:s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US,p</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US,t-p</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UK</m:t>
                </m:r>
              </m:sub>
            </m:sSub>
          </m:sup>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UK,p</m:t>
                </m:r>
              </m:sub>
            </m:sSub>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UK,t-p</m:t>
                </m:r>
              </m:sub>
            </m:sSub>
          </m:e>
        </m:nary>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US,t</m:t>
            </m:r>
          </m:sub>
        </m:sSub>
      </m:oMath>
      <w:r w:rsidR="00415F50">
        <w:rPr>
          <w:rFonts w:ascii="Times New Roman" w:eastAsiaTheme="minorEastAsia" w:hAnsi="Times New Roman" w:cs="Times New Roman"/>
          <w:sz w:val="24"/>
          <w:szCs w:val="24"/>
        </w:rPr>
        <w:t xml:space="preserve"> ,</w:t>
      </w:r>
      <w:r w:rsidR="000B63F7" w:rsidRPr="008529E4">
        <w:rPr>
          <w:rFonts w:ascii="Times New Roman" w:hAnsi="Times New Roman" w:cs="Times New Roman"/>
          <w:sz w:val="24"/>
          <w:szCs w:val="24"/>
        </w:rPr>
        <w:tab/>
      </w:r>
      <w:r w:rsidR="00431DFB">
        <w:rPr>
          <w:rFonts w:ascii="Times New Roman" w:hAnsi="Times New Roman" w:cs="Times New Roman"/>
          <w:sz w:val="24"/>
          <w:szCs w:val="24"/>
        </w:rPr>
        <w:tab/>
      </w:r>
      <w:r w:rsidR="000B63F7" w:rsidRPr="008529E4">
        <w:rPr>
          <w:rFonts w:ascii="Times New Roman" w:hAnsi="Times New Roman" w:cs="Times New Roman"/>
          <w:sz w:val="24"/>
          <w:szCs w:val="24"/>
        </w:rPr>
        <w:t>(</w:t>
      </w:r>
      <w:r w:rsidR="00A16164">
        <w:rPr>
          <w:rFonts w:ascii="Times New Roman" w:hAnsi="Times New Roman" w:cs="Times New Roman"/>
          <w:sz w:val="24"/>
          <w:szCs w:val="24"/>
        </w:rPr>
        <w:t>2</w:t>
      </w:r>
      <w:r w:rsidR="000B63F7" w:rsidRPr="008529E4">
        <w:rPr>
          <w:rFonts w:ascii="Times New Roman" w:hAnsi="Times New Roman" w:cs="Times New Roman"/>
          <w:sz w:val="24"/>
          <w:szCs w:val="24"/>
        </w:rPr>
        <w:t>)</w:t>
      </w:r>
    </w:p>
    <w:p w:rsidR="00F66200" w:rsidRDefault="007D3AB0" w:rsidP="00AF6503">
      <w:pPr>
        <w:spacing w:after="0" w:line="480" w:lineRule="auto"/>
        <w:ind w:right="282"/>
        <w:rPr>
          <w:rFonts w:ascii="Times New Roman" w:hAnsi="Times New Roman" w:cs="Times New Roman"/>
          <w:sz w:val="24"/>
          <w:szCs w:val="24"/>
        </w:rPr>
      </w:pPr>
      <w:r>
        <w:rPr>
          <w:rFonts w:ascii="Times New Roman" w:hAnsi="Times New Roman" w:cs="Times New Roman"/>
          <w:sz w:val="24"/>
          <w:szCs w:val="24"/>
        </w:rPr>
        <w:lastRenderedPageBreak/>
        <w:t>w</w:t>
      </w:r>
      <w:r w:rsidR="000B63F7">
        <w:rPr>
          <w:rFonts w:ascii="Times New Roman" w:hAnsi="Times New Roman" w:cs="Times New Roman"/>
          <w:sz w:val="24"/>
          <w:szCs w:val="24"/>
        </w:rPr>
        <w:t>here</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t-1</m:t>
            </m:r>
          </m:sub>
        </m:sSub>
      </m:oMath>
      <w:r w:rsidR="00F66200" w:rsidRPr="006853EA">
        <w:rPr>
          <w:rFonts w:ascii="Times New Roman" w:hAnsi="Times New Roman" w:cs="Times New Roman"/>
          <w:sz w:val="24"/>
          <w:szCs w:val="24"/>
        </w:rPr>
        <w:t xml:space="preserve"> is the error correction term </w:t>
      </w:r>
      <w:r w:rsidR="00415F50">
        <w:rPr>
          <w:rFonts w:ascii="Times New Roman" w:hAnsi="Times New Roman" w:cs="Times New Roman"/>
          <w:sz w:val="24"/>
          <w:szCs w:val="24"/>
        </w:rPr>
        <w:t>that</w:t>
      </w:r>
      <w:r>
        <w:rPr>
          <w:rFonts w:ascii="Times New Roman" w:hAnsi="Times New Roman" w:cs="Times New Roman"/>
          <w:sz w:val="24"/>
          <w:szCs w:val="24"/>
        </w:rPr>
        <w:t xml:space="preserve"> </w:t>
      </w:r>
      <w:r w:rsidR="00F66200" w:rsidRPr="006853EA">
        <w:rPr>
          <w:rFonts w:ascii="Times New Roman" w:hAnsi="Times New Roman" w:cs="Times New Roman"/>
          <w:sz w:val="24"/>
          <w:szCs w:val="24"/>
        </w:rPr>
        <w:t>measures how the dependent variables adjust to the last period’s deviations from the long-run equilibrium</w:t>
      </w:r>
      <w:r w:rsidR="008C081D">
        <w:rPr>
          <w:rFonts w:ascii="Times New Roman" w:hAnsi="Times New Roman" w:cs="Times New Roman"/>
          <w:sz w:val="24"/>
          <w:szCs w:val="24"/>
        </w:rPr>
        <w:t xml:space="preserve"> path</w:t>
      </w:r>
      <w:r w:rsidR="00F66200" w:rsidRPr="006853EA">
        <w:rPr>
          <w:rFonts w:ascii="Times New Roman" w:hAnsi="Times New Roman" w:cs="Times New Roman"/>
          <w:sz w:val="24"/>
          <w:szCs w:val="24"/>
        </w:rPr>
        <w:t xml:space="preserve">. </w:t>
      </w:r>
      <w:r w:rsidR="00F66200" w:rsidRPr="008529E4">
        <w:rPr>
          <w:rFonts w:ascii="Times New Roman" w:hAnsi="Times New Roman" w:cs="Times New Roman"/>
          <w:sz w:val="24"/>
          <w:szCs w:val="24"/>
        </w:rPr>
        <w:t xml:space="preserve">The speed of adjustment to the long-run equilibrium is captured by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 xml:space="preserve">UK </m:t>
            </m:r>
          </m:sub>
        </m:sSub>
      </m:oMath>
      <w:r w:rsidR="00F66200" w:rsidRPr="008529E4">
        <w:rPr>
          <w:rFonts w:ascii="Times New Roman" w:hAnsi="Times New Roman" w:cs="Times New Roman"/>
          <w:sz w:val="24"/>
          <w:szCs w:val="24"/>
        </w:rPr>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US</m:t>
            </m:r>
          </m:sub>
        </m:sSub>
      </m:oMath>
      <w:r w:rsidR="00F66200" w:rsidRPr="008529E4">
        <w:rPr>
          <w:rFonts w:ascii="Times New Roman" w:hAnsi="Times New Roman" w:cs="Times New Roman"/>
          <w:sz w:val="24"/>
          <w:szCs w:val="24"/>
        </w:rPr>
        <w:t xml:space="preserve">, </w:t>
      </w:r>
      <w:r w:rsidR="00415F50">
        <w:rPr>
          <w:rFonts w:ascii="Times New Roman" w:hAnsi="Times New Roman" w:cs="Times New Roman"/>
          <w:sz w:val="24"/>
          <w:szCs w:val="24"/>
        </w:rPr>
        <w:t xml:space="preserve">which </w:t>
      </w:r>
      <w:r w:rsidR="00592303">
        <w:rPr>
          <w:rFonts w:ascii="Times New Roman" w:hAnsi="Times New Roman" w:cs="Times New Roman"/>
          <w:sz w:val="24"/>
          <w:szCs w:val="24"/>
        </w:rPr>
        <w:t xml:space="preserve">must be of opposite sign and at least one of </w:t>
      </w:r>
      <w:r w:rsidR="00415F50">
        <w:rPr>
          <w:rFonts w:ascii="Times New Roman" w:hAnsi="Times New Roman" w:cs="Times New Roman"/>
          <w:sz w:val="24"/>
          <w:szCs w:val="24"/>
        </w:rPr>
        <w:t>which must</w:t>
      </w:r>
      <w:r w:rsidR="00AF7942">
        <w:rPr>
          <w:rFonts w:ascii="Times New Roman" w:hAnsi="Times New Roman" w:cs="Times New Roman"/>
          <w:sz w:val="24"/>
          <w:szCs w:val="24"/>
        </w:rPr>
        <w:t xml:space="preserve"> be</w:t>
      </w:r>
      <w:r w:rsidR="00592303">
        <w:rPr>
          <w:rFonts w:ascii="Times New Roman" w:hAnsi="Times New Roman" w:cs="Times New Roman"/>
          <w:sz w:val="24"/>
          <w:szCs w:val="24"/>
        </w:rPr>
        <w:t xml:space="preserve"> statistically significant. </w:t>
      </w:r>
    </w:p>
    <w:p w:rsidR="00061668" w:rsidRPr="00F96429" w:rsidRDefault="00FB3D9D" w:rsidP="00AF6503">
      <w:pPr>
        <w:spacing w:after="0" w:line="480" w:lineRule="auto"/>
        <w:ind w:right="282"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Given </w:t>
      </w:r>
      <w:r w:rsidR="00AF7942">
        <w:rPr>
          <w:rFonts w:ascii="Times New Roman" w:hAnsi="Times New Roman" w:cs="Times New Roman"/>
          <w:sz w:val="24"/>
          <w:szCs w:val="24"/>
        </w:rPr>
        <w:t xml:space="preserve">that </w:t>
      </w:r>
      <w:r>
        <w:rPr>
          <w:rFonts w:ascii="Times New Roman" w:hAnsi="Times New Roman" w:cs="Times New Roman"/>
          <w:sz w:val="24"/>
          <w:szCs w:val="24"/>
        </w:rPr>
        <w:t xml:space="preserve">the residual vector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061668" w:rsidRPr="00F96429">
        <w:rPr>
          <w:rFonts w:ascii="Times New Roman" w:eastAsiaTheme="minorEastAsia" w:hAnsi="Times New Roman" w:cs="Times New Roman"/>
          <w:i/>
          <w:sz w:val="24"/>
          <w:szCs w:val="24"/>
        </w:rPr>
        <w:t xml:space="preserve"> =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UK,t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US,t</m:t>
            </m:r>
          </m:sub>
        </m:sSub>
        <m:r>
          <w:rPr>
            <w:rFonts w:ascii="Cambria Math" w:hAnsi="Cambria Math" w:cs="Times New Roman"/>
            <w:sz w:val="24"/>
            <w:szCs w:val="24"/>
          </w:rPr>
          <m:t xml:space="preserve">) </m:t>
        </m:r>
      </m:oMath>
      <w:r w:rsidR="00061668" w:rsidRPr="00F96429">
        <w:rPr>
          <w:rFonts w:ascii="Times New Roman" w:hAnsi="Times New Roman" w:cs="Times New Roman"/>
          <w:sz w:val="24"/>
          <w:szCs w:val="24"/>
        </w:rPr>
        <w:t xml:space="preserve">is distributed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sub>
        </m:sSub>
      </m:oMath>
      <w:r w:rsidR="00061668" w:rsidRPr="00F96429">
        <w:rPr>
          <w:rFonts w:ascii="Times New Roman" w:eastAsiaTheme="minorEastAsia" w:hAnsi="Times New Roman" w:cs="Times New Roman"/>
          <w:i/>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t-1</m:t>
            </m:r>
          </m:sub>
        </m:sSub>
        <m:d>
          <m:dPr>
            <m:ctrlPr>
              <w:rPr>
                <w:rFonts w:ascii="Cambria Math" w:hAnsi="Cambria Math" w:cs="Times New Roman"/>
                <w:i/>
                <w:sz w:val="24"/>
                <w:szCs w:val="24"/>
              </w:rPr>
            </m:ctrlPr>
          </m:dPr>
          <m:e>
            <m:r>
              <w:rPr>
                <w:rFonts w:ascii="Cambria Math" w:hAnsi="Cambria Math" w:cs="Times New Roman"/>
                <w:sz w:val="24"/>
                <w:szCs w:val="24"/>
              </w:rPr>
              <m:t>0,</m:t>
            </m:r>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e>
        </m:d>
        <m:r>
          <m:rPr>
            <m:sty m:val="p"/>
          </m:rPr>
          <w:rPr>
            <w:rFonts w:ascii="Cambria Math" w:hAnsi="Cambria Math" w:cs="Times New Roman"/>
            <w:sz w:val="24"/>
            <w:szCs w:val="24"/>
          </w:rPr>
          <m:t>,</m:t>
        </m:r>
      </m:oMath>
      <w:r w:rsidR="00976849">
        <w:rPr>
          <w:rFonts w:ascii="Times New Roman" w:eastAsiaTheme="minorEastAsia" w:hAnsi="Times New Roman" w:cs="Times New Roman"/>
          <w:i/>
          <w:sz w:val="24"/>
          <w:szCs w:val="24"/>
        </w:rPr>
        <w:t xml:space="preserve"> </w:t>
      </w:r>
      <w:r w:rsidR="00061668">
        <w:rPr>
          <w:rFonts w:ascii="Times New Roman" w:eastAsiaTheme="minorEastAsia" w:hAnsi="Times New Roman" w:cs="Times New Roman"/>
          <w:sz w:val="24"/>
          <w:szCs w:val="24"/>
        </w:rPr>
        <w:t xml:space="preserve">we model the conditional covariance matrix </w:t>
      </w: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7D3AB0">
        <w:rPr>
          <w:rFonts w:ascii="Times New Roman" w:eastAsiaTheme="minorEastAsia" w:hAnsi="Times New Roman" w:cs="Times New Roman"/>
          <w:sz w:val="24"/>
          <w:szCs w:val="24"/>
        </w:rPr>
        <w:t xml:space="preserve"> </w:t>
      </w:r>
      <w:r w:rsidR="00061668">
        <w:rPr>
          <w:rFonts w:ascii="Times New Roman" w:hAnsi="Times New Roman" w:cs="Times New Roman"/>
          <w:sz w:val="24"/>
          <w:szCs w:val="24"/>
        </w:rPr>
        <w:t xml:space="preserve">by means of an </w:t>
      </w:r>
      <w:r w:rsidR="00A216F8">
        <w:rPr>
          <w:rFonts w:ascii="Times New Roman" w:hAnsi="Times New Roman" w:cs="Times New Roman"/>
          <w:sz w:val="24"/>
          <w:szCs w:val="24"/>
        </w:rPr>
        <w:t>A</w:t>
      </w:r>
      <w:r w:rsidR="00061668">
        <w:rPr>
          <w:rFonts w:ascii="Times New Roman" w:hAnsi="Times New Roman" w:cs="Times New Roman"/>
          <w:sz w:val="24"/>
          <w:szCs w:val="24"/>
        </w:rPr>
        <w:t xml:space="preserve">symmetric GARCH BEKK </w:t>
      </w:r>
      <w:r w:rsidR="002033AE">
        <w:rPr>
          <w:rFonts w:ascii="Times New Roman" w:hAnsi="Times New Roman" w:cs="Times New Roman"/>
          <w:sz w:val="24"/>
          <w:szCs w:val="24"/>
        </w:rPr>
        <w:t>model</w:t>
      </w:r>
      <w:r w:rsidR="00061668">
        <w:rPr>
          <w:rFonts w:ascii="Times New Roman" w:hAnsi="Times New Roman" w:cs="Times New Roman"/>
          <w:sz w:val="24"/>
          <w:szCs w:val="24"/>
        </w:rPr>
        <w:t xml:space="preserve"> (Kroner </w:t>
      </w:r>
      <w:r w:rsidR="00F220C4">
        <w:rPr>
          <w:rFonts w:ascii="Times New Roman" w:hAnsi="Times New Roman" w:cs="Times New Roman"/>
          <w:sz w:val="24"/>
          <w:szCs w:val="24"/>
        </w:rPr>
        <w:t>&amp;</w:t>
      </w:r>
      <w:r w:rsidR="00061668">
        <w:rPr>
          <w:rFonts w:ascii="Times New Roman" w:hAnsi="Times New Roman" w:cs="Times New Roman"/>
          <w:sz w:val="24"/>
          <w:szCs w:val="24"/>
        </w:rPr>
        <w:t xml:space="preserve"> Ng, 1998)</w:t>
      </w:r>
      <w:r w:rsidR="00061668" w:rsidRPr="00F96429">
        <w:rPr>
          <w:rFonts w:ascii="Times New Roman" w:hAnsi="Times New Roman" w:cs="Times New Roman"/>
          <w:sz w:val="24"/>
          <w:szCs w:val="24"/>
        </w:rPr>
        <w:t xml:space="preserve"> specified as follows</w:t>
      </w:r>
      <w:r w:rsidR="00061668">
        <w:rPr>
          <w:rFonts w:ascii="Times New Roman" w:hAnsi="Times New Roman" w:cs="Times New Roman"/>
          <w:sz w:val="24"/>
          <w:szCs w:val="24"/>
        </w:rPr>
        <w:t>:</w:t>
      </w:r>
    </w:p>
    <w:p w:rsidR="00166050" w:rsidRPr="006853EA" w:rsidRDefault="0022506A" w:rsidP="00AF6503">
      <w:pPr>
        <w:spacing w:after="0" w:line="480" w:lineRule="auto"/>
        <w:ind w:right="-2" w:firstLine="720"/>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sub>
        </m:sSub>
      </m:oMath>
      <w:r w:rsidR="00166050" w:rsidRPr="006853EA">
        <w:rPr>
          <w:rFonts w:ascii="Times New Roman" w:hAnsi="Times New Roman" w:cs="Times New Roman"/>
          <w:sz w:val="24"/>
          <w:szCs w:val="24"/>
        </w:rPr>
        <w:t xml:space="preserve"> = </w:t>
      </w:r>
      <m:oMath>
        <m:r>
          <w:rPr>
            <w:rFonts w:ascii="Cambria Math" w:hAnsi="Cambria Math" w:cs="Times New Roman"/>
            <w:sz w:val="24"/>
            <w:szCs w:val="24"/>
          </w:rPr>
          <m:t>CC'</m:t>
        </m:r>
      </m:oMath>
      <w:r w:rsidR="00166050" w:rsidRPr="006853EA">
        <w:rPr>
          <w:rFonts w:ascii="Times New Roman" w:hAnsi="Times New Roman" w:cs="Times New Roman"/>
          <w:sz w:val="24"/>
          <w:szCs w:val="24"/>
        </w:rPr>
        <w:t xml:space="preserve"> + </w:t>
      </w:r>
      <m:oMath>
        <m:r>
          <w:rPr>
            <w:rFonts w:ascii="Cambria Math" w:hAnsi="Cambria Math" w:cs="Times New Roman"/>
            <w:sz w:val="24"/>
            <w:szCs w:val="24"/>
          </w:rPr>
          <m:t>A'</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t</m:t>
            </m:r>
            <m:r>
              <m:rPr>
                <m:sty m:val="p"/>
              </m:rPr>
              <w:rPr>
                <w:rFonts w:ascii="Cambria Math" w:hAnsi="Cambria Math" w:cs="Times New Roman"/>
                <w:sz w:val="24"/>
                <w:szCs w:val="24"/>
              </w:rPr>
              <m:t>-1</m:t>
            </m:r>
          </m:sub>
        </m:sSub>
        <m:sSubSup>
          <m:sSubSupPr>
            <m:ctrlPr>
              <w:rPr>
                <w:rFonts w:ascii="Cambria Math" w:hAnsi="Cambria Math" w:cs="Times New Roman"/>
                <w:sz w:val="24"/>
                <w:szCs w:val="24"/>
              </w:rPr>
            </m:ctrlPr>
          </m:sSubSupPr>
          <m:e>
            <m:r>
              <w:rPr>
                <w:rFonts w:ascii="Cambria Math" w:hAnsi="Cambria Math" w:cs="Times New Roman"/>
                <w:sz w:val="24"/>
                <w:szCs w:val="24"/>
              </w:rPr>
              <m:t>ε</m:t>
            </m:r>
          </m:e>
          <m:sub>
            <m:r>
              <w:rPr>
                <w:rFonts w:ascii="Cambria Math" w:hAnsi="Cambria Math" w:cs="Times New Roman"/>
                <w:sz w:val="24"/>
                <w:szCs w:val="24"/>
              </w:rPr>
              <m:t>t</m:t>
            </m:r>
            <m:r>
              <m:rPr>
                <m:sty m:val="p"/>
              </m:rPr>
              <w:rPr>
                <w:rFonts w:ascii="Cambria Math" w:hAnsi="Cambria Math" w:cs="Times New Roman"/>
                <w:sz w:val="24"/>
                <w:szCs w:val="24"/>
              </w:rPr>
              <m:t>-1</m:t>
            </m:r>
          </m:sub>
          <m:sup>
            <m:r>
              <m:rPr>
                <m:sty m:val="p"/>
              </m:rPr>
              <w:rPr>
                <w:rFonts w:ascii="Cambria Math" w:hAnsi="Cambria Math" w:cs="Times New Roman"/>
                <w:sz w:val="24"/>
                <w:szCs w:val="24"/>
              </w:rPr>
              <m:t>'</m:t>
            </m:r>
          </m:sup>
        </m:sSubSup>
        <m:r>
          <m:rPr>
            <m:sty m:val="p"/>
          </m:rPr>
          <w:rPr>
            <w:rFonts w:ascii="Cambria Math" w:hAnsi="Cambria Math" w:cs="Times New Roman"/>
            <w:sz w:val="24"/>
            <w:szCs w:val="24"/>
          </w:rPr>
          <m:t>A+</m:t>
        </m:r>
        <m:r>
          <w:rPr>
            <w:rFonts w:ascii="Cambria Math" w:hAnsi="Cambria Math" w:cs="Times New Roman"/>
            <w:sz w:val="24"/>
            <w:szCs w:val="24"/>
          </w:rPr>
          <m:t>B'</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t</m:t>
            </m:r>
            <m:r>
              <m:rPr>
                <m:sty m:val="p"/>
              </m:rPr>
              <w:rPr>
                <w:rFonts w:ascii="Cambria Math" w:hAnsi="Cambria Math" w:cs="Times New Roman"/>
                <w:sz w:val="24"/>
                <w:szCs w:val="24"/>
              </w:rPr>
              <m:t>-1</m:t>
            </m:r>
          </m:sub>
        </m:sSub>
        <m:r>
          <w:rPr>
            <w:rFonts w:ascii="Cambria Math" w:hAnsi="Cambria Math" w:cs="Times New Roman"/>
            <w:sz w:val="24"/>
            <w:szCs w:val="24"/>
          </w:rPr>
          <m:t>B+D'</m:t>
        </m:r>
        <m:sSub>
          <m:sSubPr>
            <m:ctrlPr>
              <w:rPr>
                <w:rFonts w:ascii="Cambria Math" w:hAnsi="Cambria Math" w:cs="Times New Roman"/>
                <w:sz w:val="24"/>
                <w:szCs w:val="24"/>
              </w:rPr>
            </m:ctrlPr>
          </m:sSubPr>
          <m:e>
            <m:r>
              <w:rPr>
                <w:rFonts w:ascii="Cambria Math" w:hAnsi="Cambria Math" w:cs="Times New Roman"/>
                <w:sz w:val="24"/>
                <w:szCs w:val="24"/>
              </w:rPr>
              <m:t>η</m:t>
            </m:r>
          </m:e>
          <m:sub>
            <m:r>
              <w:rPr>
                <w:rFonts w:ascii="Cambria Math" w:hAnsi="Cambria Math" w:cs="Times New Roman"/>
                <w:sz w:val="24"/>
                <w:szCs w:val="24"/>
              </w:rPr>
              <m:t>t</m:t>
            </m:r>
            <m:r>
              <m:rPr>
                <m:sty m:val="p"/>
              </m:rPr>
              <w:rPr>
                <w:rFonts w:ascii="Cambria Math" w:hAnsi="Cambria Math" w:cs="Times New Roman"/>
                <w:sz w:val="24"/>
                <w:szCs w:val="24"/>
              </w:rPr>
              <m:t>-1</m:t>
            </m:r>
          </m:sub>
        </m:sSub>
        <m:sSubSup>
          <m:sSubSupPr>
            <m:ctrlPr>
              <w:rPr>
                <w:rFonts w:ascii="Cambria Math" w:hAnsi="Cambria Math" w:cs="Times New Roman"/>
                <w:sz w:val="24"/>
                <w:szCs w:val="24"/>
              </w:rPr>
            </m:ctrlPr>
          </m:sSubSupPr>
          <m:e>
            <m:r>
              <w:rPr>
                <w:rFonts w:ascii="Cambria Math" w:hAnsi="Cambria Math" w:cs="Times New Roman"/>
                <w:sz w:val="24"/>
                <w:szCs w:val="24"/>
              </w:rPr>
              <m:t>η</m:t>
            </m:r>
          </m:e>
          <m:sub>
            <m:r>
              <w:rPr>
                <w:rFonts w:ascii="Cambria Math" w:hAnsi="Cambria Math" w:cs="Times New Roman"/>
                <w:sz w:val="24"/>
                <w:szCs w:val="24"/>
              </w:rPr>
              <m:t>t</m:t>
            </m:r>
            <m:r>
              <m:rPr>
                <m:sty m:val="p"/>
              </m:rPr>
              <w:rPr>
                <w:rFonts w:ascii="Cambria Math" w:hAnsi="Cambria Math" w:cs="Times New Roman"/>
                <w:sz w:val="24"/>
                <w:szCs w:val="24"/>
              </w:rPr>
              <m:t>-1</m:t>
            </m:r>
          </m:sub>
          <m:sup>
            <m:r>
              <m:rPr>
                <m:sty m:val="p"/>
              </m:rPr>
              <w:rPr>
                <w:rFonts w:ascii="Cambria Math" w:hAnsi="Cambria Math" w:cs="Times New Roman"/>
                <w:sz w:val="24"/>
                <w:szCs w:val="24"/>
              </w:rPr>
              <m:t>'</m:t>
            </m:r>
          </m:sup>
        </m:sSubSup>
        <m:r>
          <w:rPr>
            <w:rFonts w:ascii="Cambria Math" w:hAnsi="Cambria Math" w:cs="Times New Roman"/>
            <w:sz w:val="24"/>
            <w:szCs w:val="24"/>
          </w:rPr>
          <m:t>D</m:t>
        </m:r>
      </m:oMath>
      <w:r w:rsidR="00166050" w:rsidRPr="006853EA">
        <w:rPr>
          <w:rFonts w:ascii="Times New Roman" w:eastAsiaTheme="minorEastAsia" w:hAnsi="Times New Roman" w:cs="Times New Roman"/>
          <w:sz w:val="24"/>
          <w:szCs w:val="24"/>
        </w:rPr>
        <w:tab/>
      </w:r>
      <w:r w:rsidR="00415F50">
        <w:rPr>
          <w:rFonts w:ascii="Times New Roman" w:eastAsiaTheme="minorEastAsia" w:hAnsi="Times New Roman" w:cs="Times New Roman"/>
          <w:sz w:val="24"/>
          <w:szCs w:val="24"/>
        </w:rPr>
        <w:t>,</w:t>
      </w:r>
      <w:r w:rsidR="00166050" w:rsidRPr="006853EA">
        <w:rPr>
          <w:rFonts w:ascii="Times New Roman" w:eastAsiaTheme="minorEastAsia" w:hAnsi="Times New Roman" w:cs="Times New Roman"/>
          <w:sz w:val="24"/>
          <w:szCs w:val="24"/>
        </w:rPr>
        <w:tab/>
      </w:r>
      <w:r w:rsidR="00166050" w:rsidRPr="006853EA">
        <w:rPr>
          <w:rFonts w:ascii="Times New Roman" w:eastAsiaTheme="minorEastAsia" w:hAnsi="Times New Roman" w:cs="Times New Roman"/>
          <w:sz w:val="24"/>
          <w:szCs w:val="24"/>
        </w:rPr>
        <w:tab/>
      </w:r>
      <w:r w:rsidR="00166050" w:rsidRPr="006853EA">
        <w:rPr>
          <w:rFonts w:ascii="Times New Roman" w:eastAsiaTheme="minorEastAsia" w:hAnsi="Times New Roman" w:cs="Times New Roman"/>
          <w:sz w:val="24"/>
          <w:szCs w:val="24"/>
        </w:rPr>
        <w:tab/>
      </w:r>
      <w:r w:rsidR="00201B17">
        <w:rPr>
          <w:rFonts w:ascii="Times New Roman" w:eastAsiaTheme="minorEastAsia" w:hAnsi="Times New Roman" w:cs="Times New Roman"/>
          <w:sz w:val="24"/>
          <w:szCs w:val="24"/>
        </w:rPr>
        <w:tab/>
      </w:r>
      <w:r w:rsidR="00325A37">
        <w:rPr>
          <w:rFonts w:ascii="Times New Roman" w:eastAsiaTheme="minorEastAsia" w:hAnsi="Times New Roman" w:cs="Times New Roman"/>
          <w:sz w:val="24"/>
          <w:szCs w:val="24"/>
        </w:rPr>
        <w:tab/>
      </w:r>
      <w:r w:rsidR="00A16164">
        <w:rPr>
          <w:rFonts w:ascii="Times New Roman" w:eastAsiaTheme="minorEastAsia" w:hAnsi="Times New Roman" w:cs="Times New Roman"/>
          <w:sz w:val="24"/>
          <w:szCs w:val="24"/>
        </w:rPr>
        <w:t>(3</w:t>
      </w:r>
      <w:r w:rsidR="00166050" w:rsidRPr="006853EA">
        <w:rPr>
          <w:rFonts w:ascii="Times New Roman" w:eastAsiaTheme="minorEastAsia" w:hAnsi="Times New Roman" w:cs="Times New Roman"/>
          <w:sz w:val="24"/>
          <w:szCs w:val="24"/>
        </w:rPr>
        <w:t>)</w:t>
      </w:r>
    </w:p>
    <w:p w:rsidR="00166050" w:rsidRDefault="007D3AB0" w:rsidP="00AF6503">
      <w:pPr>
        <w:spacing w:after="0" w:line="480" w:lineRule="auto"/>
        <w:ind w:right="282"/>
        <w:rPr>
          <w:rFonts w:ascii="Times New Roman" w:hAnsi="Times New Roman" w:cs="Times New Roman"/>
          <w:sz w:val="24"/>
          <w:szCs w:val="24"/>
        </w:rPr>
      </w:pPr>
      <w:r>
        <w:rPr>
          <w:rFonts w:ascii="Times New Roman" w:hAnsi="Times New Roman" w:cs="Times New Roman"/>
          <w:sz w:val="24"/>
          <w:szCs w:val="24"/>
        </w:rPr>
        <w:t>w</w:t>
      </w:r>
      <w:r w:rsidR="003B2706">
        <w:rPr>
          <w:rFonts w:ascii="Times New Roman" w:hAnsi="Times New Roman" w:cs="Times New Roman"/>
          <w:sz w:val="24"/>
          <w:szCs w:val="24"/>
        </w:rPr>
        <w:t>here</w:t>
      </w:r>
      <w:r>
        <w:rPr>
          <w:rFonts w:ascii="Times New Roman" w:hAnsi="Times New Roman" w:cs="Times New Roman"/>
          <w:sz w:val="24"/>
          <w:szCs w:val="24"/>
        </w:rPr>
        <w:t xml:space="preserve"> </w:t>
      </w:r>
      <w:r w:rsidR="00592303">
        <w:rPr>
          <w:rFonts w:ascii="Times New Roman" w:hAnsi="Times New Roman" w:cs="Times New Roman"/>
          <w:sz w:val="24"/>
          <w:szCs w:val="24"/>
        </w:rPr>
        <w:t xml:space="preserve">the </w:t>
      </w:r>
      <w:r w:rsidR="003B2706">
        <w:rPr>
          <w:rFonts w:ascii="Times New Roman" w:hAnsi="Times New Roman" w:cs="Times New Roman"/>
          <w:sz w:val="24"/>
          <w:szCs w:val="24"/>
        </w:rPr>
        <w:t>matrix</w:t>
      </w:r>
      <w:r>
        <w:rPr>
          <w:rFonts w:ascii="Times New Roman" w:hAnsi="Times New Roman" w:cs="Times New Roman"/>
          <w:sz w:val="24"/>
          <w:szCs w:val="24"/>
        </w:rPr>
        <w:t xml:space="preserve"> </w:t>
      </w:r>
      <w:r w:rsidR="00166050" w:rsidRPr="006853EA">
        <w:rPr>
          <w:rFonts w:ascii="Times New Roman" w:hAnsi="Times New Roman" w:cs="Times New Roman"/>
          <w:i/>
          <w:sz w:val="24"/>
          <w:szCs w:val="24"/>
        </w:rPr>
        <w:t>C</w:t>
      </w:r>
      <w:r w:rsidR="00592303">
        <w:rPr>
          <w:rFonts w:ascii="Times New Roman" w:hAnsi="Times New Roman" w:cs="Times New Roman"/>
          <w:i/>
          <w:sz w:val="24"/>
          <w:szCs w:val="24"/>
        </w:rPr>
        <w:t xml:space="preserve"> is </w:t>
      </w:r>
      <w:r w:rsidR="00E52E81" w:rsidRPr="00F96429">
        <w:rPr>
          <w:rFonts w:ascii="Times New Roman" w:eastAsiaTheme="minorEastAsia" w:hAnsi="Times New Roman" w:cs="Times New Roman"/>
          <w:sz w:val="24"/>
          <w:szCs w:val="24"/>
        </w:rPr>
        <w:t>restricted to be upper triangular, and</w:t>
      </w:r>
      <w:r>
        <w:rPr>
          <w:rFonts w:ascii="Times New Roman" w:eastAsiaTheme="minorEastAsia" w:hAnsi="Times New Roman" w:cs="Times New Roman"/>
          <w:sz w:val="24"/>
          <w:szCs w:val="24"/>
        </w:rPr>
        <w:t xml:space="preserve"> </w:t>
      </w:r>
      <w:r w:rsidR="00A216F8">
        <w:rPr>
          <w:rFonts w:ascii="Times New Roman" w:eastAsiaTheme="minorEastAsia" w:hAnsi="Times New Roman" w:cs="Times New Roman"/>
          <w:sz w:val="24"/>
          <w:szCs w:val="24"/>
        </w:rPr>
        <w:t xml:space="preserve">the </w:t>
      </w:r>
      <w:r w:rsidR="003B2706">
        <w:rPr>
          <w:rFonts w:ascii="Times New Roman" w:eastAsiaTheme="minorEastAsia" w:hAnsi="Times New Roman" w:cs="Times New Roman"/>
          <w:sz w:val="24"/>
          <w:szCs w:val="24"/>
        </w:rPr>
        <w:t>matrices</w:t>
      </w:r>
      <w:r>
        <w:rPr>
          <w:rFonts w:ascii="Times New Roman" w:eastAsiaTheme="minorEastAsia" w:hAnsi="Times New Roman" w:cs="Times New Roman"/>
          <w:sz w:val="24"/>
          <w:szCs w:val="24"/>
        </w:rPr>
        <w:t xml:space="preserve"> </w:t>
      </w:r>
      <w:r w:rsidR="00E52E81" w:rsidRPr="00F96429">
        <w:rPr>
          <w:rFonts w:ascii="Times New Roman" w:eastAsiaTheme="minorEastAsia" w:hAnsi="Times New Roman" w:cs="Times New Roman"/>
          <w:i/>
          <w:sz w:val="24"/>
          <w:szCs w:val="24"/>
        </w:rPr>
        <w:t>A</w:t>
      </w:r>
      <w:r w:rsidR="00E52E81" w:rsidRPr="00AF6503">
        <w:rPr>
          <w:rFonts w:ascii="Times New Roman" w:eastAsiaTheme="minorEastAsia" w:hAnsi="Times New Roman" w:cs="Times New Roman"/>
          <w:sz w:val="24"/>
          <w:szCs w:val="24"/>
        </w:rPr>
        <w:t>,</w:t>
      </w:r>
      <w:r w:rsidR="00E52E81" w:rsidRPr="00F96429">
        <w:rPr>
          <w:rFonts w:ascii="Times New Roman" w:eastAsiaTheme="minorEastAsia" w:hAnsi="Times New Roman" w:cs="Times New Roman"/>
          <w:i/>
          <w:sz w:val="24"/>
          <w:szCs w:val="24"/>
        </w:rPr>
        <w:t xml:space="preserve"> B</w:t>
      </w:r>
      <w:r w:rsidR="00415F50" w:rsidRPr="00AF6503">
        <w:rPr>
          <w:rFonts w:ascii="Times New Roman" w:eastAsiaTheme="minorEastAsia" w:hAnsi="Times New Roman" w:cs="Times New Roman"/>
          <w:sz w:val="24"/>
          <w:szCs w:val="24"/>
        </w:rPr>
        <w:t>.</w:t>
      </w:r>
      <w:r w:rsidR="00E52E81" w:rsidRPr="00F96429">
        <w:rPr>
          <w:rFonts w:ascii="Times New Roman" w:eastAsiaTheme="minorEastAsia" w:hAnsi="Times New Roman" w:cs="Times New Roman"/>
          <w:sz w:val="24"/>
          <w:szCs w:val="24"/>
        </w:rPr>
        <w:t xml:space="preserve"> and </w:t>
      </w:r>
      <w:r w:rsidR="00E52E81" w:rsidRPr="00F96429">
        <w:rPr>
          <w:rFonts w:ascii="Times New Roman" w:eastAsiaTheme="minorEastAsia" w:hAnsi="Times New Roman" w:cs="Times New Roman"/>
          <w:i/>
          <w:sz w:val="24"/>
          <w:szCs w:val="24"/>
        </w:rPr>
        <w:t>D</w:t>
      </w:r>
      <w:r>
        <w:rPr>
          <w:rFonts w:ascii="Times New Roman" w:eastAsiaTheme="minorEastAsia" w:hAnsi="Times New Roman" w:cs="Times New Roman"/>
          <w:i/>
          <w:sz w:val="24"/>
          <w:szCs w:val="24"/>
        </w:rPr>
        <w:t xml:space="preserve"> </w:t>
      </w:r>
      <w:r w:rsidR="003B2706" w:rsidRPr="003B2706">
        <w:rPr>
          <w:rFonts w:ascii="Times New Roman" w:eastAsiaTheme="minorEastAsia" w:hAnsi="Times New Roman" w:cs="Times New Roman"/>
          <w:sz w:val="24"/>
          <w:szCs w:val="24"/>
        </w:rPr>
        <w:t>are</w:t>
      </w:r>
      <w:r>
        <w:rPr>
          <w:rFonts w:ascii="Times New Roman" w:eastAsiaTheme="minorEastAsia" w:hAnsi="Times New Roman" w:cs="Times New Roman"/>
          <w:sz w:val="24"/>
          <w:szCs w:val="24"/>
        </w:rPr>
        <w:t xml:space="preserve"> </w:t>
      </w:r>
      <w:r w:rsidR="00E52E81" w:rsidRPr="00F96429">
        <w:rPr>
          <w:rFonts w:ascii="Times New Roman" w:eastAsiaTheme="minorEastAsia" w:hAnsi="Times New Roman" w:cs="Times New Roman"/>
          <w:sz w:val="24"/>
          <w:szCs w:val="24"/>
        </w:rPr>
        <w:t xml:space="preserve">unrestricted </w:t>
      </w:r>
      <w:r w:rsidR="00E52E81" w:rsidRPr="00F96429">
        <w:rPr>
          <w:rFonts w:ascii="Times New Roman" w:hAnsi="Times New Roman" w:cs="Times New Roman"/>
          <w:sz w:val="24"/>
          <w:szCs w:val="24"/>
        </w:rPr>
        <w:t>(see</w:t>
      </w:r>
      <w:r w:rsidR="003B2706">
        <w:rPr>
          <w:rFonts w:ascii="Times New Roman" w:hAnsi="Times New Roman" w:cs="Times New Roman"/>
          <w:sz w:val="24"/>
          <w:szCs w:val="24"/>
        </w:rPr>
        <w:t>,</w:t>
      </w:r>
      <w:r w:rsidR="00E52E81" w:rsidRPr="00F96429">
        <w:rPr>
          <w:rFonts w:ascii="Times New Roman" w:hAnsi="Times New Roman" w:cs="Times New Roman"/>
          <w:sz w:val="24"/>
          <w:szCs w:val="24"/>
        </w:rPr>
        <w:t xml:space="preserve"> e.g.</w:t>
      </w:r>
      <w:r w:rsidR="00F220C4">
        <w:rPr>
          <w:rFonts w:ascii="Times New Roman" w:hAnsi="Times New Roman" w:cs="Times New Roman"/>
          <w:sz w:val="24"/>
          <w:szCs w:val="24"/>
        </w:rPr>
        <w:t>,</w:t>
      </w:r>
      <w:r>
        <w:rPr>
          <w:rFonts w:ascii="Times New Roman" w:hAnsi="Times New Roman" w:cs="Times New Roman"/>
          <w:sz w:val="24"/>
          <w:szCs w:val="24"/>
        </w:rPr>
        <w:t xml:space="preserve"> </w:t>
      </w:r>
      <w:r w:rsidR="00E52E81" w:rsidRPr="00F96429">
        <w:rPr>
          <w:rFonts w:ascii="Times New Roman" w:hAnsi="Times New Roman" w:cs="Times New Roman"/>
          <w:sz w:val="24"/>
          <w:szCs w:val="24"/>
        </w:rPr>
        <w:t>Caporale</w:t>
      </w:r>
      <w:r w:rsidR="00F220C4">
        <w:rPr>
          <w:rFonts w:ascii="Times New Roman" w:hAnsi="Times New Roman" w:cs="Times New Roman"/>
          <w:sz w:val="24"/>
          <w:szCs w:val="24"/>
        </w:rPr>
        <w:t>, Pittis, &amp;</w:t>
      </w:r>
      <w:r>
        <w:rPr>
          <w:rFonts w:ascii="Times New Roman" w:hAnsi="Times New Roman" w:cs="Times New Roman"/>
          <w:sz w:val="24"/>
          <w:szCs w:val="24"/>
        </w:rPr>
        <w:t xml:space="preserve"> </w:t>
      </w:r>
      <w:r w:rsidR="00F220C4">
        <w:rPr>
          <w:rFonts w:ascii="Times New Roman" w:hAnsi="Times New Roman" w:cs="Times New Roman"/>
          <w:sz w:val="24"/>
          <w:szCs w:val="24"/>
        </w:rPr>
        <w:t>S</w:t>
      </w:r>
      <w:r>
        <w:rPr>
          <w:rFonts w:ascii="Times New Roman" w:hAnsi="Times New Roman" w:cs="Times New Roman"/>
          <w:sz w:val="24"/>
          <w:szCs w:val="24"/>
        </w:rPr>
        <w:t>pagno</w:t>
      </w:r>
      <w:r w:rsidR="00F220C4">
        <w:rPr>
          <w:rFonts w:ascii="Times New Roman" w:hAnsi="Times New Roman" w:cs="Times New Roman"/>
          <w:sz w:val="24"/>
          <w:szCs w:val="24"/>
        </w:rPr>
        <w:t>lo</w:t>
      </w:r>
      <w:r w:rsidR="00E52E81" w:rsidRPr="008F6242">
        <w:rPr>
          <w:rFonts w:ascii="Times New Roman" w:hAnsi="Times New Roman" w:cs="Times New Roman"/>
          <w:sz w:val="24"/>
          <w:szCs w:val="24"/>
        </w:rPr>
        <w:t>,</w:t>
      </w:r>
      <w:r w:rsidR="00E52E81" w:rsidRPr="00F96429">
        <w:rPr>
          <w:rFonts w:ascii="Times New Roman" w:hAnsi="Times New Roman" w:cs="Times New Roman"/>
          <w:sz w:val="24"/>
          <w:szCs w:val="24"/>
        </w:rPr>
        <w:t xml:space="preserve"> 2006; Panopoulou</w:t>
      </w:r>
      <w:r>
        <w:rPr>
          <w:rFonts w:ascii="Times New Roman" w:hAnsi="Times New Roman" w:cs="Times New Roman"/>
          <w:sz w:val="24"/>
          <w:szCs w:val="24"/>
        </w:rPr>
        <w:t xml:space="preserve"> </w:t>
      </w:r>
      <w:r w:rsidR="00F220C4">
        <w:rPr>
          <w:rFonts w:ascii="Times New Roman" w:hAnsi="Times New Roman" w:cs="Times New Roman"/>
          <w:sz w:val="24"/>
          <w:szCs w:val="24"/>
        </w:rPr>
        <w:t>&amp;</w:t>
      </w:r>
      <w:r>
        <w:rPr>
          <w:rFonts w:ascii="Times New Roman" w:hAnsi="Times New Roman" w:cs="Times New Roman"/>
          <w:sz w:val="24"/>
          <w:szCs w:val="24"/>
        </w:rPr>
        <w:t xml:space="preserve"> </w:t>
      </w:r>
      <w:r w:rsidR="00E52E81" w:rsidRPr="00F96429">
        <w:rPr>
          <w:rFonts w:ascii="Times New Roman" w:hAnsi="Times New Roman" w:cs="Times New Roman"/>
          <w:sz w:val="24"/>
          <w:szCs w:val="24"/>
        </w:rPr>
        <w:t xml:space="preserve">Pantelidis, 2009). </w:t>
      </w:r>
    </w:p>
    <w:p w:rsidR="00166050" w:rsidRPr="006853EA" w:rsidRDefault="00513500" w:rsidP="004B7E83">
      <w:pPr>
        <w:spacing w:after="0" w:line="480" w:lineRule="auto"/>
        <w:ind w:right="282" w:firstLine="720"/>
        <w:rPr>
          <w:rFonts w:ascii="Times New Roman" w:eastAsiaTheme="minorEastAsia" w:hAnsi="Times New Roman" w:cs="Times New Roman"/>
          <w:sz w:val="24"/>
          <w:szCs w:val="24"/>
        </w:rPr>
      </w:pPr>
      <w:r>
        <w:rPr>
          <w:rFonts w:ascii="Times New Roman" w:hAnsi="Times New Roman" w:cs="Times New Roman"/>
          <w:sz w:val="24"/>
          <w:szCs w:val="24"/>
        </w:rPr>
        <w:t xml:space="preserve">For the explanatory variables, </w:t>
      </w:r>
      <w:r w:rsidR="00415F50">
        <w:rPr>
          <w:rFonts w:ascii="Times New Roman" w:hAnsi="Times New Roman" w:cs="Times New Roman"/>
          <w:sz w:val="24"/>
          <w:szCs w:val="24"/>
        </w:rPr>
        <w:t xml:space="preserve">we use </w:t>
      </w:r>
      <w:r>
        <w:rPr>
          <w:rFonts w:ascii="Times New Roman" w:hAnsi="Times New Roman" w:cs="Times New Roman"/>
          <w:sz w:val="24"/>
          <w:szCs w:val="24"/>
        </w:rPr>
        <w:t>t</w:t>
      </w:r>
      <w:r w:rsidR="003B2A52">
        <w:rPr>
          <w:rFonts w:ascii="Times New Roman" w:hAnsi="Times New Roman" w:cs="Times New Roman"/>
          <w:sz w:val="24"/>
          <w:szCs w:val="24"/>
        </w:rPr>
        <w:t>he standard GARCH (</w:t>
      </w:r>
      <w:r w:rsidR="003B2A52" w:rsidRPr="003B2A52">
        <w:rPr>
          <w:rFonts w:ascii="Times New Roman" w:hAnsi="Times New Roman" w:cs="Times New Roman"/>
          <w:i/>
          <w:sz w:val="24"/>
          <w:szCs w:val="24"/>
        </w:rPr>
        <w:t>1,1</w:t>
      </w:r>
      <w:r w:rsidR="003B2A52">
        <w:rPr>
          <w:rFonts w:ascii="Times New Roman" w:hAnsi="Times New Roman" w:cs="Times New Roman"/>
          <w:sz w:val="24"/>
          <w:szCs w:val="24"/>
        </w:rPr>
        <w:t>) specification to compute the volatility of foreign exchange rate</w:t>
      </w:r>
      <w:r w:rsidR="00AF7942">
        <w:rPr>
          <w:rFonts w:ascii="Times New Roman" w:hAnsi="Times New Roman" w:cs="Times New Roman"/>
          <w:sz w:val="24"/>
          <w:szCs w:val="24"/>
        </w:rPr>
        <w:t>s</w:t>
      </w:r>
      <w:r w:rsidR="003B2A52">
        <w:rPr>
          <w:rFonts w:ascii="Times New Roman" w:hAnsi="Times New Roman" w:cs="Times New Roman"/>
          <w:sz w:val="24"/>
          <w:szCs w:val="24"/>
        </w:rPr>
        <w:t>, oil</w:t>
      </w:r>
      <w:r w:rsidR="00415F50">
        <w:rPr>
          <w:rFonts w:ascii="Times New Roman" w:hAnsi="Times New Roman" w:cs="Times New Roman"/>
          <w:sz w:val="24"/>
          <w:szCs w:val="24"/>
        </w:rPr>
        <w:t xml:space="preserve"> prices,</w:t>
      </w:r>
      <w:r w:rsidR="003B2A52">
        <w:rPr>
          <w:rFonts w:ascii="Times New Roman" w:hAnsi="Times New Roman" w:cs="Times New Roman"/>
          <w:sz w:val="24"/>
          <w:szCs w:val="24"/>
        </w:rPr>
        <w:t xml:space="preserve"> and gold price</w:t>
      </w:r>
      <w:r w:rsidR="00E24631">
        <w:rPr>
          <w:rFonts w:ascii="Times New Roman" w:hAnsi="Times New Roman" w:cs="Times New Roman"/>
          <w:sz w:val="24"/>
          <w:szCs w:val="24"/>
        </w:rPr>
        <w:t>s</w:t>
      </w:r>
      <w:r w:rsidR="003B2A52">
        <w:rPr>
          <w:rFonts w:ascii="Times New Roman" w:hAnsi="Times New Roman" w:cs="Times New Roman"/>
          <w:sz w:val="24"/>
          <w:szCs w:val="24"/>
        </w:rPr>
        <w:t xml:space="preserve">. </w:t>
      </w:r>
      <w:r w:rsidR="00592303">
        <w:rPr>
          <w:rFonts w:ascii="Times New Roman" w:hAnsi="Times New Roman" w:cs="Times New Roman"/>
          <w:sz w:val="24"/>
          <w:szCs w:val="24"/>
        </w:rPr>
        <w:t xml:space="preserve">The conditional </w:t>
      </w:r>
      <w:r w:rsidR="003B2A52" w:rsidRPr="008529E4">
        <w:rPr>
          <w:rFonts w:ascii="Times New Roman" w:hAnsi="Times New Roman" w:cs="Times New Roman"/>
          <w:sz w:val="24"/>
          <w:szCs w:val="24"/>
        </w:rPr>
        <w:t>correlation</w:t>
      </w:r>
      <w:r w:rsidR="00C4191B">
        <w:rPr>
          <w:rFonts w:ascii="Times New Roman" w:hAnsi="Times New Roman" w:cs="Times New Roman"/>
          <w:sz w:val="24"/>
          <w:szCs w:val="24"/>
        </w:rPr>
        <w:t>s</w:t>
      </w:r>
      <w:r w:rsidR="003B2A52" w:rsidRPr="008529E4">
        <w:rPr>
          <w:rFonts w:ascii="Times New Roman" w:hAnsi="Times New Roman" w:cs="Times New Roman"/>
          <w:sz w:val="24"/>
          <w:szCs w:val="24"/>
        </w:rPr>
        <w:t xml:space="preserve"> between</w:t>
      </w:r>
      <w:r w:rsidR="007D3AB0">
        <w:rPr>
          <w:rFonts w:ascii="Times New Roman" w:hAnsi="Times New Roman" w:cs="Times New Roman"/>
          <w:sz w:val="24"/>
          <w:szCs w:val="24"/>
        </w:rPr>
        <w:t xml:space="preserve"> </w:t>
      </w:r>
      <w:r w:rsidR="003F4DC1">
        <w:rPr>
          <w:rFonts w:ascii="Times New Roman" w:hAnsi="Times New Roman" w:cs="Times New Roman"/>
          <w:sz w:val="24"/>
          <w:szCs w:val="24"/>
        </w:rPr>
        <w:t xml:space="preserve">UK and US </w:t>
      </w:r>
      <w:r w:rsidR="003B2A52" w:rsidRPr="008529E4">
        <w:rPr>
          <w:rFonts w:ascii="Times New Roman" w:hAnsi="Times New Roman" w:cs="Times New Roman"/>
          <w:sz w:val="24"/>
          <w:szCs w:val="24"/>
        </w:rPr>
        <w:t>macroeconomic variables</w:t>
      </w:r>
      <w:r w:rsidR="003B2A52">
        <w:rPr>
          <w:rFonts w:ascii="Times New Roman" w:hAnsi="Times New Roman" w:cs="Times New Roman"/>
          <w:sz w:val="24"/>
          <w:szCs w:val="24"/>
        </w:rPr>
        <w:t xml:space="preserve"> (industrial output, CPI inflation, interest rate</w:t>
      </w:r>
      <w:r w:rsidR="00415F50">
        <w:rPr>
          <w:rFonts w:ascii="Times New Roman" w:hAnsi="Times New Roman" w:cs="Times New Roman"/>
          <w:sz w:val="24"/>
          <w:szCs w:val="24"/>
        </w:rPr>
        <w:t>,</w:t>
      </w:r>
      <w:r w:rsidR="003B2A52">
        <w:rPr>
          <w:rFonts w:ascii="Times New Roman" w:hAnsi="Times New Roman" w:cs="Times New Roman"/>
          <w:sz w:val="24"/>
          <w:szCs w:val="24"/>
        </w:rPr>
        <w:t xml:space="preserve"> and </w:t>
      </w:r>
      <w:r w:rsidR="005E7668">
        <w:rPr>
          <w:rFonts w:ascii="Times New Roman" w:hAnsi="Times New Roman" w:cs="Times New Roman"/>
          <w:sz w:val="24"/>
          <w:szCs w:val="24"/>
        </w:rPr>
        <w:t xml:space="preserve">EPU </w:t>
      </w:r>
      <w:r w:rsidR="003B2A52">
        <w:rPr>
          <w:rFonts w:ascii="Times New Roman" w:hAnsi="Times New Roman" w:cs="Times New Roman"/>
          <w:sz w:val="24"/>
          <w:szCs w:val="24"/>
        </w:rPr>
        <w:t>index)</w:t>
      </w:r>
      <w:r w:rsidR="007D3AB0">
        <w:rPr>
          <w:rFonts w:ascii="Times New Roman" w:hAnsi="Times New Roman" w:cs="Times New Roman"/>
          <w:sz w:val="24"/>
          <w:szCs w:val="24"/>
        </w:rPr>
        <w:t xml:space="preserve"> </w:t>
      </w:r>
      <w:r w:rsidR="00C4191B">
        <w:rPr>
          <w:rFonts w:ascii="Times New Roman" w:hAnsi="Times New Roman" w:cs="Times New Roman"/>
          <w:sz w:val="24"/>
          <w:szCs w:val="24"/>
        </w:rPr>
        <w:t>are</w:t>
      </w:r>
      <w:r w:rsidR="003B2A52" w:rsidRPr="008529E4">
        <w:rPr>
          <w:rFonts w:ascii="Times New Roman" w:hAnsi="Times New Roman" w:cs="Times New Roman"/>
          <w:sz w:val="24"/>
          <w:szCs w:val="24"/>
        </w:rPr>
        <w:t xml:space="preserve"> estimated</w:t>
      </w:r>
      <w:r w:rsidR="007D3AB0">
        <w:rPr>
          <w:rFonts w:ascii="Times New Roman" w:hAnsi="Times New Roman" w:cs="Times New Roman"/>
          <w:sz w:val="24"/>
          <w:szCs w:val="24"/>
        </w:rPr>
        <w:t xml:space="preserve"> </w:t>
      </w:r>
      <w:r w:rsidR="00592303">
        <w:rPr>
          <w:rFonts w:ascii="Times New Roman" w:hAnsi="Times New Roman" w:cs="Times New Roman"/>
          <w:sz w:val="24"/>
          <w:szCs w:val="24"/>
        </w:rPr>
        <w:t xml:space="preserve">by means of </w:t>
      </w:r>
      <w:r w:rsidR="003B2A52" w:rsidRPr="008529E4">
        <w:rPr>
          <w:rFonts w:ascii="Times New Roman" w:hAnsi="Times New Roman" w:cs="Times New Roman"/>
          <w:sz w:val="24"/>
          <w:szCs w:val="24"/>
        </w:rPr>
        <w:t xml:space="preserve">bivariate </w:t>
      </w:r>
      <w:r w:rsidR="00EB15C2">
        <w:rPr>
          <w:rFonts w:ascii="Times New Roman" w:hAnsi="Times New Roman" w:cs="Times New Roman"/>
          <w:sz w:val="24"/>
          <w:szCs w:val="24"/>
        </w:rPr>
        <w:t>DCC</w:t>
      </w:r>
      <w:r w:rsidR="003B2A52">
        <w:rPr>
          <w:rFonts w:ascii="Times New Roman" w:hAnsi="Times New Roman" w:cs="Times New Roman"/>
          <w:sz w:val="24"/>
          <w:szCs w:val="24"/>
        </w:rPr>
        <w:t xml:space="preserve"> GARCH</w:t>
      </w:r>
      <w:r w:rsidR="00855073">
        <w:rPr>
          <w:rFonts w:ascii="Times New Roman" w:hAnsi="Times New Roman" w:cs="Times New Roman"/>
          <w:sz w:val="24"/>
          <w:szCs w:val="24"/>
        </w:rPr>
        <w:t xml:space="preserve"> model</w:t>
      </w:r>
      <w:r w:rsidR="005E7668">
        <w:rPr>
          <w:rFonts w:ascii="Times New Roman" w:hAnsi="Times New Roman" w:cs="Times New Roman"/>
          <w:sz w:val="24"/>
          <w:szCs w:val="24"/>
        </w:rPr>
        <w:t>s</w:t>
      </w:r>
      <w:r w:rsidR="007D3AB0">
        <w:rPr>
          <w:rFonts w:ascii="Times New Roman" w:hAnsi="Times New Roman" w:cs="Times New Roman"/>
          <w:sz w:val="24"/>
          <w:szCs w:val="24"/>
        </w:rPr>
        <w:t xml:space="preserve"> </w:t>
      </w:r>
      <w:r w:rsidR="00855073">
        <w:rPr>
          <w:rFonts w:ascii="Times New Roman" w:hAnsi="Times New Roman" w:cs="Times New Roman"/>
          <w:sz w:val="24"/>
          <w:szCs w:val="24"/>
        </w:rPr>
        <w:t>(</w:t>
      </w:r>
      <w:r w:rsidR="003B2A52" w:rsidRPr="008529E4">
        <w:rPr>
          <w:rFonts w:ascii="Times New Roman" w:hAnsi="Times New Roman" w:cs="Times New Roman"/>
          <w:sz w:val="24"/>
          <w:szCs w:val="24"/>
        </w:rPr>
        <w:t>Engle</w:t>
      </w:r>
      <w:r w:rsidR="00855073">
        <w:rPr>
          <w:rFonts w:ascii="Times New Roman" w:hAnsi="Times New Roman" w:cs="Times New Roman"/>
          <w:sz w:val="24"/>
          <w:szCs w:val="24"/>
        </w:rPr>
        <w:t xml:space="preserve">, </w:t>
      </w:r>
      <w:r w:rsidR="003B2A52" w:rsidRPr="008529E4">
        <w:rPr>
          <w:rFonts w:ascii="Times New Roman" w:hAnsi="Times New Roman" w:cs="Times New Roman"/>
          <w:sz w:val="24"/>
          <w:szCs w:val="24"/>
        </w:rPr>
        <w:t>2002).</w:t>
      </w:r>
      <w:r w:rsidR="007D3AB0">
        <w:rPr>
          <w:rFonts w:ascii="Times New Roman" w:hAnsi="Times New Roman" w:cs="Times New Roman"/>
          <w:sz w:val="24"/>
          <w:szCs w:val="24"/>
        </w:rPr>
        <w:t xml:space="preserve"> </w:t>
      </w:r>
      <w:r w:rsidR="00D059B1" w:rsidRPr="006853EA">
        <w:rPr>
          <w:rFonts w:ascii="Times New Roman" w:hAnsi="Times New Roman" w:cs="Times New Roman"/>
          <w:sz w:val="24"/>
          <w:szCs w:val="24"/>
        </w:rPr>
        <w:t xml:space="preserve">We </w:t>
      </w:r>
      <w:r w:rsidR="00727EC9">
        <w:rPr>
          <w:rFonts w:ascii="Times New Roman" w:hAnsi="Times New Roman" w:cs="Times New Roman"/>
          <w:sz w:val="24"/>
          <w:szCs w:val="24"/>
        </w:rPr>
        <w:t xml:space="preserve">therefore </w:t>
      </w:r>
      <w:r w:rsidR="00166050" w:rsidRPr="006853EA">
        <w:rPr>
          <w:rFonts w:ascii="Times New Roman" w:hAnsi="Times New Roman" w:cs="Times New Roman"/>
          <w:sz w:val="24"/>
          <w:szCs w:val="24"/>
        </w:rPr>
        <w:t>compute the conditional correlation</w:t>
      </w:r>
      <w:r w:rsidR="00BA7747">
        <w:rPr>
          <w:rFonts w:ascii="Times New Roman" w:hAnsi="Times New Roman" w:cs="Times New Roman"/>
          <w:sz w:val="24"/>
          <w:szCs w:val="24"/>
        </w:rPr>
        <w:t>s</w:t>
      </w:r>
      <w:r w:rsidR="007D3AB0">
        <w:rPr>
          <w:rFonts w:ascii="Times New Roman" w:hAnsi="Times New Roman" w:cs="Times New Roman"/>
          <w:sz w:val="24"/>
          <w:szCs w:val="24"/>
        </w:rPr>
        <w:t xml:space="preserve"> </w:t>
      </w:r>
      <w:r w:rsidR="00FD1742" w:rsidRPr="006853EA">
        <w:rPr>
          <w:rFonts w:ascii="Times New Roman" w:hAnsi="Times New Roman" w:cs="Times New Roman"/>
          <w:sz w:val="24"/>
          <w:szCs w:val="24"/>
        </w:rPr>
        <w:t>as follows</w:t>
      </w:r>
      <w:r w:rsidR="00FC0533">
        <w:rPr>
          <w:rFonts w:ascii="Times New Roman" w:eastAsiaTheme="minorEastAsia" w:hAnsi="Times New Roman" w:cs="Times New Roman"/>
          <w:sz w:val="24"/>
          <w:szCs w:val="24"/>
        </w:rPr>
        <w:t>:</w:t>
      </w:r>
    </w:p>
    <w:p w:rsidR="00166050" w:rsidRPr="006853EA" w:rsidRDefault="0022506A" w:rsidP="00AF6503">
      <w:pPr>
        <w:spacing w:after="0" w:line="480" w:lineRule="auto"/>
        <w:ind w:right="-2" w:firstLine="72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12,t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12, t</m:t>
                </m:r>
              </m:sub>
            </m:sSub>
          </m:num>
          <m:den>
            <m:rad>
              <m:radPr>
                <m:degHide m:val="1"/>
                <m:ctrlPr>
                  <w:rPr>
                    <w:rFonts w:ascii="Cambria Math" w:hAnsi="Cambria Math" w:cs="Times New Roman"/>
                    <w:i/>
                    <w:sz w:val="24"/>
                    <w:szCs w:val="24"/>
                  </w:rPr>
                </m:ctrlPr>
              </m:radPr>
              <m:deg/>
              <m:e>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11, t</m:t>
                    </m:r>
                  </m:sub>
                </m:sSub>
                <m:r>
                  <w:rPr>
                    <w:rFonts w:ascii="Cambria Math" w:hAnsi="Cambria Math" w:cs="Times New Roman"/>
                    <w:sz w:val="24"/>
                    <w:szCs w:val="24"/>
                  </w:rPr>
                  <m:t xml:space="preserve"> × </m:t>
                </m:r>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22, t</m:t>
                    </m:r>
                  </m:sub>
                </m:sSub>
              </m:e>
            </m:rad>
          </m:den>
        </m:f>
      </m:oMath>
      <w:r w:rsidR="00415F50">
        <w:rPr>
          <w:rFonts w:ascii="Times New Roman" w:eastAsiaTheme="minorEastAsia" w:hAnsi="Times New Roman" w:cs="Times New Roman"/>
          <w:sz w:val="24"/>
          <w:szCs w:val="24"/>
        </w:rPr>
        <w:t xml:space="preserve"> ,</w:t>
      </w:r>
      <w:r w:rsidR="003B2706">
        <w:rPr>
          <w:rFonts w:ascii="Times New Roman" w:eastAsiaTheme="minorEastAsia" w:hAnsi="Times New Roman" w:cs="Times New Roman"/>
          <w:sz w:val="24"/>
          <w:szCs w:val="24"/>
        </w:rPr>
        <w:tab/>
      </w:r>
      <w:r w:rsidR="003B2706">
        <w:rPr>
          <w:rFonts w:ascii="Times New Roman" w:eastAsiaTheme="minorEastAsia" w:hAnsi="Times New Roman" w:cs="Times New Roman"/>
          <w:sz w:val="24"/>
          <w:szCs w:val="24"/>
        </w:rPr>
        <w:tab/>
      </w:r>
      <w:r w:rsidR="003B2706">
        <w:rPr>
          <w:rFonts w:ascii="Times New Roman" w:eastAsiaTheme="minorEastAsia" w:hAnsi="Times New Roman" w:cs="Times New Roman"/>
          <w:sz w:val="24"/>
          <w:szCs w:val="24"/>
        </w:rPr>
        <w:tab/>
      </w:r>
      <w:r w:rsidR="003B2706">
        <w:rPr>
          <w:rFonts w:ascii="Times New Roman" w:eastAsiaTheme="minorEastAsia" w:hAnsi="Times New Roman" w:cs="Times New Roman"/>
          <w:sz w:val="24"/>
          <w:szCs w:val="24"/>
        </w:rPr>
        <w:tab/>
      </w:r>
      <w:r w:rsidR="00166050" w:rsidRPr="006853EA">
        <w:rPr>
          <w:rFonts w:ascii="Times New Roman" w:eastAsiaTheme="minorEastAsia" w:hAnsi="Times New Roman" w:cs="Times New Roman"/>
          <w:sz w:val="24"/>
          <w:szCs w:val="24"/>
        </w:rPr>
        <w:tab/>
      </w:r>
      <w:r w:rsidR="00166050" w:rsidRPr="006853EA">
        <w:rPr>
          <w:rFonts w:ascii="Times New Roman" w:eastAsiaTheme="minorEastAsia" w:hAnsi="Times New Roman" w:cs="Times New Roman"/>
          <w:i/>
          <w:sz w:val="24"/>
          <w:szCs w:val="24"/>
        </w:rPr>
        <w:tab/>
      </w:r>
      <w:r w:rsidR="00166050" w:rsidRPr="006853EA">
        <w:rPr>
          <w:rFonts w:ascii="Times New Roman" w:eastAsiaTheme="minorEastAsia" w:hAnsi="Times New Roman" w:cs="Times New Roman"/>
          <w:i/>
          <w:sz w:val="24"/>
          <w:szCs w:val="24"/>
        </w:rPr>
        <w:tab/>
      </w:r>
      <w:r w:rsidR="00166050" w:rsidRPr="006853EA">
        <w:rPr>
          <w:rFonts w:ascii="Times New Roman" w:eastAsiaTheme="minorEastAsia" w:hAnsi="Times New Roman" w:cs="Times New Roman"/>
          <w:i/>
          <w:sz w:val="24"/>
          <w:szCs w:val="24"/>
        </w:rPr>
        <w:tab/>
      </w:r>
      <w:r w:rsidR="00166050" w:rsidRPr="006853EA">
        <w:rPr>
          <w:rFonts w:ascii="Times New Roman" w:eastAsiaTheme="minorEastAsia" w:hAnsi="Times New Roman" w:cs="Times New Roman"/>
          <w:i/>
          <w:sz w:val="24"/>
          <w:szCs w:val="24"/>
        </w:rPr>
        <w:tab/>
      </w:r>
      <w:r w:rsidR="00166050" w:rsidRPr="006853EA">
        <w:rPr>
          <w:rFonts w:ascii="Times New Roman" w:eastAsiaTheme="minorEastAsia" w:hAnsi="Times New Roman" w:cs="Times New Roman"/>
          <w:i/>
          <w:sz w:val="24"/>
          <w:szCs w:val="24"/>
        </w:rPr>
        <w:tab/>
      </w:r>
      <w:r w:rsidR="00432977" w:rsidRPr="006853EA">
        <w:rPr>
          <w:rFonts w:ascii="Times New Roman" w:eastAsiaTheme="minorEastAsia" w:hAnsi="Times New Roman" w:cs="Times New Roman"/>
          <w:sz w:val="24"/>
          <w:szCs w:val="24"/>
        </w:rPr>
        <w:t>(</w:t>
      </w:r>
      <w:r w:rsidR="00A16164">
        <w:rPr>
          <w:rFonts w:ascii="Times New Roman" w:eastAsiaTheme="minorEastAsia" w:hAnsi="Times New Roman" w:cs="Times New Roman"/>
          <w:sz w:val="24"/>
          <w:szCs w:val="24"/>
        </w:rPr>
        <w:t>4</w:t>
      </w:r>
      <w:r w:rsidR="00166050" w:rsidRPr="006853EA">
        <w:rPr>
          <w:rFonts w:ascii="Times New Roman" w:eastAsiaTheme="minorEastAsia" w:hAnsi="Times New Roman" w:cs="Times New Roman"/>
          <w:sz w:val="24"/>
          <w:szCs w:val="24"/>
        </w:rPr>
        <w:t>)</w:t>
      </w:r>
    </w:p>
    <w:p w:rsidR="00166050" w:rsidRPr="006853EA" w:rsidRDefault="00CB40F4" w:rsidP="00AF6503">
      <w:pPr>
        <w:spacing w:after="0" w:line="480" w:lineRule="auto"/>
        <w:ind w:right="282"/>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166050" w:rsidRPr="006853EA">
        <w:rPr>
          <w:rFonts w:ascii="Times New Roman" w:eastAsiaTheme="minorEastAsia" w:hAnsi="Times New Roman" w:cs="Times New Roman"/>
          <w:sz w:val="24"/>
          <w:szCs w:val="24"/>
        </w:rPr>
        <w:t>here</w:t>
      </w:r>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12,t</m:t>
            </m:r>
          </m:sub>
        </m:sSub>
      </m:oMath>
      <w:r w:rsidR="00166050" w:rsidRPr="006853EA">
        <w:rPr>
          <w:rFonts w:ascii="Times New Roman" w:eastAsiaTheme="minorEastAsia" w:hAnsi="Times New Roman" w:cs="Times New Roman"/>
          <w:sz w:val="24"/>
          <w:szCs w:val="24"/>
        </w:rPr>
        <w:t xml:space="preserve"> is the estimated conditional correlation coefficient between</w:t>
      </w:r>
      <w:r w:rsidR="0000059E">
        <w:rPr>
          <w:rFonts w:ascii="Times New Roman" w:eastAsiaTheme="minorEastAsia" w:hAnsi="Times New Roman" w:cs="Times New Roman"/>
          <w:sz w:val="24"/>
          <w:szCs w:val="24"/>
        </w:rPr>
        <w:t xml:space="preserve"> the</w:t>
      </w:r>
      <w:r w:rsidR="00166050" w:rsidRPr="006853EA">
        <w:rPr>
          <w:rFonts w:ascii="Times New Roman" w:eastAsiaTheme="minorEastAsia" w:hAnsi="Times New Roman" w:cs="Times New Roman"/>
          <w:sz w:val="24"/>
          <w:szCs w:val="24"/>
        </w:rPr>
        <w:t xml:space="preserve"> UK and US </w:t>
      </w:r>
      <w:r w:rsidR="00E34381">
        <w:rPr>
          <w:rFonts w:ascii="Times New Roman" w:eastAsiaTheme="minorEastAsia" w:hAnsi="Times New Roman" w:cs="Times New Roman"/>
          <w:sz w:val="24"/>
          <w:szCs w:val="24"/>
        </w:rPr>
        <w:t>indic</w:t>
      </w:r>
      <w:r w:rsidR="005D778A">
        <w:rPr>
          <w:rFonts w:ascii="Times New Roman" w:eastAsiaTheme="minorEastAsia" w:hAnsi="Times New Roman" w:cs="Times New Roman"/>
          <w:sz w:val="24"/>
          <w:szCs w:val="24"/>
        </w:rPr>
        <w:t>a</w:t>
      </w:r>
      <w:r w:rsidR="00E34381">
        <w:rPr>
          <w:rFonts w:ascii="Times New Roman" w:eastAsiaTheme="minorEastAsia" w:hAnsi="Times New Roman" w:cs="Times New Roman"/>
          <w:sz w:val="24"/>
          <w:szCs w:val="24"/>
        </w:rPr>
        <w:t>tors under scrutiny,</w:t>
      </w:r>
      <w:r>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12, t</m:t>
            </m:r>
          </m:sub>
        </m:sSub>
      </m:oMath>
      <w:r w:rsidR="00E34381">
        <w:rPr>
          <w:rFonts w:ascii="Times New Roman" w:eastAsiaTheme="minorEastAsia" w:hAnsi="Times New Roman" w:cs="Times New Roman"/>
          <w:sz w:val="24"/>
          <w:szCs w:val="24"/>
        </w:rPr>
        <w:t xml:space="preserve"> is the conditional covariance, and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11, t</m:t>
            </m:r>
          </m:sub>
        </m:sSub>
      </m:oMath>
      <w:r w:rsidR="00166050" w:rsidRPr="006853EA">
        <w:rPr>
          <w:rFonts w:ascii="Times New Roman" w:hAnsi="Times New Roman" w:cs="Times New Roman"/>
          <w:sz w:val="24"/>
          <w:szCs w:val="24"/>
        </w:rPr>
        <w:t xml:space="preserve"> and </w:t>
      </w:r>
      <m:oMath>
        <m:sSub>
          <m:sSubPr>
            <m:ctrlPr>
              <w:rPr>
                <w:rFonts w:ascii="Cambria Math" w:hAnsi="Cambria Math" w:cs="Times New Roman"/>
                <w:sz w:val="24"/>
                <w:szCs w:val="24"/>
              </w:rPr>
            </m:ctrlPr>
          </m:sSubPr>
          <m:e>
            <m:r>
              <w:rPr>
                <w:rFonts w:ascii="Cambria Math" w:hAnsi="Cambria Math" w:cs="Times New Roman"/>
                <w:sz w:val="24"/>
                <w:szCs w:val="24"/>
              </w:rPr>
              <m:t>h</m:t>
            </m:r>
          </m:e>
          <m:sub>
            <m:r>
              <w:rPr>
                <w:rFonts w:ascii="Cambria Math" w:hAnsi="Cambria Math" w:cs="Times New Roman"/>
                <w:sz w:val="24"/>
                <w:szCs w:val="24"/>
              </w:rPr>
              <m:t>22, t</m:t>
            </m:r>
          </m:sub>
        </m:sSub>
      </m:oMath>
      <w:r w:rsidR="00166050" w:rsidRPr="006853EA">
        <w:rPr>
          <w:rFonts w:ascii="Times New Roman" w:eastAsiaTheme="minorEastAsia" w:hAnsi="Times New Roman" w:cs="Times New Roman"/>
          <w:sz w:val="24"/>
          <w:szCs w:val="24"/>
        </w:rPr>
        <w:t xml:space="preserve"> are the conditional </w:t>
      </w:r>
      <w:r w:rsidR="0066628E">
        <w:rPr>
          <w:rFonts w:ascii="Times New Roman" w:eastAsiaTheme="minorEastAsia" w:hAnsi="Times New Roman" w:cs="Times New Roman"/>
          <w:sz w:val="24"/>
          <w:szCs w:val="24"/>
        </w:rPr>
        <w:t>variances</w:t>
      </w:r>
      <w:r w:rsidR="00672B31">
        <w:rPr>
          <w:rFonts w:ascii="Times New Roman" w:eastAsiaTheme="minorEastAsia" w:hAnsi="Times New Roman" w:cs="Times New Roman"/>
          <w:sz w:val="24"/>
          <w:szCs w:val="24"/>
        </w:rPr>
        <w:t xml:space="preserve"> </w:t>
      </w:r>
      <w:r w:rsidR="00166050" w:rsidRPr="006853EA">
        <w:rPr>
          <w:rFonts w:ascii="Times New Roman" w:eastAsiaTheme="minorEastAsia" w:hAnsi="Times New Roman" w:cs="Times New Roman"/>
          <w:sz w:val="24"/>
          <w:szCs w:val="24"/>
        </w:rPr>
        <w:t>for</w:t>
      </w:r>
      <w:r w:rsidR="0000059E">
        <w:rPr>
          <w:rFonts w:ascii="Times New Roman" w:eastAsiaTheme="minorEastAsia" w:hAnsi="Times New Roman" w:cs="Times New Roman"/>
          <w:sz w:val="24"/>
          <w:szCs w:val="24"/>
        </w:rPr>
        <w:t xml:space="preserve"> the</w:t>
      </w:r>
      <w:r w:rsidR="00166050" w:rsidRPr="006853EA">
        <w:rPr>
          <w:rFonts w:ascii="Times New Roman" w:eastAsiaTheme="minorEastAsia" w:hAnsi="Times New Roman" w:cs="Times New Roman"/>
          <w:sz w:val="24"/>
          <w:szCs w:val="24"/>
        </w:rPr>
        <w:t xml:space="preserve"> UK and US, respectively.</w:t>
      </w:r>
    </w:p>
    <w:p w:rsidR="00214745" w:rsidRDefault="00F61854"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 xml:space="preserve">We then use the above GARCH-based indicators of correlation and volatility to </w:t>
      </w:r>
      <w:r w:rsidR="00214745">
        <w:rPr>
          <w:rFonts w:ascii="Times New Roman" w:hAnsi="Times New Roman" w:cs="Times New Roman"/>
          <w:sz w:val="24"/>
          <w:szCs w:val="24"/>
        </w:rPr>
        <w:t xml:space="preserve">explain the </w:t>
      </w:r>
      <w:r w:rsidR="002B13E1">
        <w:rPr>
          <w:rFonts w:ascii="Times New Roman" w:hAnsi="Times New Roman" w:cs="Times New Roman"/>
          <w:sz w:val="24"/>
          <w:szCs w:val="24"/>
        </w:rPr>
        <w:t xml:space="preserve">nature </w:t>
      </w:r>
      <w:r w:rsidR="00214745">
        <w:rPr>
          <w:rFonts w:ascii="Times New Roman" w:hAnsi="Times New Roman" w:cs="Times New Roman"/>
          <w:sz w:val="24"/>
          <w:szCs w:val="24"/>
        </w:rPr>
        <w:t>of stock market integration between the UK and US.</w:t>
      </w:r>
      <w:r w:rsidR="002B13E1">
        <w:rPr>
          <w:rFonts w:ascii="Times New Roman" w:hAnsi="Times New Roman" w:cs="Times New Roman"/>
          <w:sz w:val="24"/>
          <w:szCs w:val="24"/>
        </w:rPr>
        <w:t xml:space="preserve"> We regress</w:t>
      </w:r>
      <w:r w:rsidR="00DA3870">
        <w:rPr>
          <w:rFonts w:ascii="Times New Roman" w:hAnsi="Times New Roman" w:cs="Times New Roman"/>
          <w:sz w:val="24"/>
          <w:szCs w:val="24"/>
        </w:rPr>
        <w:t xml:space="preserve"> the</w:t>
      </w:r>
      <w:r w:rsidR="002B13E1">
        <w:rPr>
          <w:rFonts w:ascii="Times New Roman" w:hAnsi="Times New Roman" w:cs="Times New Roman"/>
          <w:sz w:val="24"/>
          <w:szCs w:val="24"/>
        </w:rPr>
        <w:t xml:space="preserve"> time-varying</w:t>
      </w:r>
      <w:r w:rsidR="0066628E">
        <w:rPr>
          <w:rFonts w:ascii="Times New Roman" w:hAnsi="Times New Roman" w:cs="Times New Roman"/>
          <w:sz w:val="24"/>
          <w:szCs w:val="24"/>
        </w:rPr>
        <w:t xml:space="preserve"> stock</w:t>
      </w:r>
      <w:r w:rsidR="002B13E1">
        <w:rPr>
          <w:rFonts w:ascii="Times New Roman" w:hAnsi="Times New Roman" w:cs="Times New Roman"/>
          <w:sz w:val="24"/>
          <w:szCs w:val="24"/>
        </w:rPr>
        <w:t xml:space="preserve"> correlation coefficient against indicators for </w:t>
      </w:r>
      <w:r w:rsidR="00873D55">
        <w:rPr>
          <w:rFonts w:ascii="Times New Roman" w:hAnsi="Times New Roman" w:cs="Times New Roman"/>
          <w:sz w:val="24"/>
          <w:szCs w:val="24"/>
        </w:rPr>
        <w:t xml:space="preserve">the </w:t>
      </w:r>
      <w:r w:rsidR="002B13E1">
        <w:rPr>
          <w:rFonts w:ascii="Times New Roman" w:hAnsi="Times New Roman" w:cs="Times New Roman"/>
          <w:sz w:val="24"/>
          <w:szCs w:val="24"/>
        </w:rPr>
        <w:t>business cycle, monetary pol</w:t>
      </w:r>
      <w:r w:rsidR="00873D55">
        <w:rPr>
          <w:rFonts w:ascii="Times New Roman" w:hAnsi="Times New Roman" w:cs="Times New Roman"/>
          <w:sz w:val="24"/>
          <w:szCs w:val="24"/>
        </w:rPr>
        <w:t xml:space="preserve">icy, </w:t>
      </w:r>
      <w:r w:rsidR="008C081D">
        <w:rPr>
          <w:rFonts w:ascii="Times New Roman" w:hAnsi="Times New Roman" w:cs="Times New Roman"/>
          <w:sz w:val="24"/>
          <w:szCs w:val="24"/>
        </w:rPr>
        <w:t>policy uncertainty</w:t>
      </w:r>
      <w:r w:rsidR="00415F50">
        <w:rPr>
          <w:rFonts w:ascii="Times New Roman" w:hAnsi="Times New Roman" w:cs="Times New Roman"/>
          <w:sz w:val="24"/>
          <w:szCs w:val="24"/>
        </w:rPr>
        <w:t>,</w:t>
      </w:r>
      <w:r w:rsidR="00AF7942">
        <w:rPr>
          <w:rFonts w:ascii="Times New Roman" w:hAnsi="Times New Roman" w:cs="Times New Roman"/>
          <w:sz w:val="24"/>
          <w:szCs w:val="24"/>
        </w:rPr>
        <w:t xml:space="preserve"> and</w:t>
      </w:r>
      <w:r w:rsidR="00AF5220">
        <w:rPr>
          <w:rFonts w:ascii="Times New Roman" w:hAnsi="Times New Roman" w:cs="Times New Roman"/>
          <w:sz w:val="24"/>
          <w:szCs w:val="24"/>
        </w:rPr>
        <w:t xml:space="preserve"> </w:t>
      </w:r>
      <w:r w:rsidR="00873D55">
        <w:rPr>
          <w:rFonts w:ascii="Times New Roman" w:hAnsi="Times New Roman" w:cs="Times New Roman"/>
          <w:sz w:val="24"/>
          <w:szCs w:val="24"/>
        </w:rPr>
        <w:t>financial volatility</w:t>
      </w:r>
      <w:r w:rsidR="000474B6">
        <w:rPr>
          <w:rFonts w:ascii="Times New Roman" w:hAnsi="Times New Roman" w:cs="Times New Roman"/>
          <w:sz w:val="24"/>
          <w:szCs w:val="24"/>
        </w:rPr>
        <w:t>,</w:t>
      </w:r>
      <w:r w:rsidR="00AF5220">
        <w:rPr>
          <w:rFonts w:ascii="Times New Roman" w:hAnsi="Times New Roman" w:cs="Times New Roman"/>
          <w:sz w:val="24"/>
          <w:szCs w:val="24"/>
        </w:rPr>
        <w:t xml:space="preserve"> </w:t>
      </w:r>
      <w:r w:rsidR="002B13E1">
        <w:rPr>
          <w:rFonts w:ascii="Times New Roman" w:hAnsi="Times New Roman" w:cs="Times New Roman"/>
          <w:sz w:val="24"/>
          <w:szCs w:val="24"/>
        </w:rPr>
        <w:t>as well as</w:t>
      </w:r>
      <w:r w:rsidR="00AF5220">
        <w:rPr>
          <w:rFonts w:ascii="Times New Roman" w:hAnsi="Times New Roman" w:cs="Times New Roman"/>
          <w:sz w:val="24"/>
          <w:szCs w:val="24"/>
        </w:rPr>
        <w:t xml:space="preserve"> </w:t>
      </w:r>
      <w:r w:rsidR="00CE57BA">
        <w:rPr>
          <w:rFonts w:ascii="Times New Roman" w:hAnsi="Times New Roman" w:cs="Times New Roman"/>
          <w:sz w:val="24"/>
          <w:szCs w:val="24"/>
        </w:rPr>
        <w:t>crisis episodes</w:t>
      </w:r>
      <w:r w:rsidR="002B13E1">
        <w:rPr>
          <w:rFonts w:ascii="Times New Roman" w:hAnsi="Times New Roman" w:cs="Times New Roman"/>
          <w:sz w:val="24"/>
          <w:szCs w:val="24"/>
        </w:rPr>
        <w:t xml:space="preserve">. </w:t>
      </w:r>
      <w:r w:rsidR="00DA3870">
        <w:rPr>
          <w:rFonts w:ascii="Times New Roman" w:hAnsi="Times New Roman" w:cs="Times New Roman"/>
          <w:sz w:val="24"/>
          <w:szCs w:val="24"/>
        </w:rPr>
        <w:t>More specifically</w:t>
      </w:r>
      <w:r w:rsidR="002B13E1">
        <w:rPr>
          <w:rFonts w:ascii="Times New Roman" w:hAnsi="Times New Roman" w:cs="Times New Roman"/>
          <w:sz w:val="24"/>
          <w:szCs w:val="24"/>
        </w:rPr>
        <w:t>, we</w:t>
      </w:r>
      <w:r w:rsidR="00DA3870">
        <w:rPr>
          <w:rFonts w:ascii="Times New Roman" w:hAnsi="Times New Roman" w:cs="Times New Roman"/>
          <w:sz w:val="24"/>
          <w:szCs w:val="24"/>
        </w:rPr>
        <w:t xml:space="preserve"> carry out empirical estimates of the </w:t>
      </w:r>
      <w:r w:rsidR="002B13E1">
        <w:rPr>
          <w:rFonts w:ascii="Times New Roman" w:hAnsi="Times New Roman" w:cs="Times New Roman"/>
          <w:sz w:val="24"/>
          <w:szCs w:val="24"/>
        </w:rPr>
        <w:t>following linear regression:</w:t>
      </w:r>
    </w:p>
    <w:p w:rsidR="002B13E1" w:rsidRPr="00CA57CA" w:rsidRDefault="0022506A" w:rsidP="00AF6503">
      <w:pPr>
        <w:spacing w:after="0" w:line="480" w:lineRule="auto"/>
        <w:ind w:right="-143" w:firstLine="72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12,t</m:t>
            </m:r>
          </m:sub>
        </m:sSub>
        <m:r>
          <m:rPr>
            <m:sty m:val="p"/>
          </m:rP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0</m:t>
            </m:r>
          </m:sub>
        </m:sSub>
        <m:r>
          <m:rPr>
            <m:sty m:val="p"/>
          </m:rPr>
          <w:rPr>
            <w:rFonts w:ascii="Cambria Math" w:hAnsi="Cambria Math" w:cs="Times New Roman"/>
            <w:sz w:val="24"/>
            <w:szCs w:val="24"/>
          </w:rPr>
          <m:t>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IPX</m:t>
                </m:r>
              </m:sub>
            </m:sSub>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Corr</m:t>
                </m:r>
              </m:e>
              <m:sub>
                <m:r>
                  <m:rPr>
                    <m:sty m:val="p"/>
                  </m:rPr>
                  <w:rPr>
                    <w:rFonts w:ascii="Cambria Math" w:hAnsi="Cambria Math" w:cs="Times New Roman"/>
                    <w:sz w:val="24"/>
                    <w:szCs w:val="24"/>
                  </w:rPr>
                  <m:t>CPI</m:t>
                </m:r>
              </m:sub>
            </m:sSub>
          </m:e>
          <m:sub>
            <m:r>
              <m:rPr>
                <m:sty m:val="p"/>
              </m:rP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YS</m:t>
                </m:r>
              </m:sub>
            </m:sSub>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EPU</m:t>
                </m:r>
              </m:sub>
            </m:sSub>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FX</m:t>
                </m:r>
              </m:sub>
            </m:sSub>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6</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OIL</m:t>
                </m:r>
              </m:sub>
            </m:sSub>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7</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GOLD</m:t>
                </m:r>
              </m:sub>
            </m:sSub>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8</m:t>
            </m:r>
          </m:sub>
        </m:sSub>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STOCK</m:t>
                </m:r>
              </m:sub>
            </m:sSub>
          </m:e>
          <m:sub>
            <m:r>
              <w:rPr>
                <w:rFonts w:ascii="Cambria Math" w:hAnsi="Cambria Math" w:cs="Times New Roman"/>
                <w:sz w:val="24"/>
                <w:szCs w:val="24"/>
              </w:rPr>
              <m:t>t</m:t>
            </m:r>
          </m:sub>
        </m:sSub>
        <m:r>
          <w:rPr>
            <w:rFonts w:ascii="Cambria Math" w:hAnsi="Cambria Math" w:cs="Times New Roman"/>
            <w:sz w:val="24"/>
            <w:szCs w:val="24"/>
          </w:rPr>
          <m:t>+</m:t>
        </m:r>
        <m:nary>
          <m:naryPr>
            <m:chr m:val="∑"/>
            <m:limLoc m:val="undOvr"/>
            <m:ctrlPr>
              <w:rPr>
                <w:rFonts w:ascii="Cambria Math" w:hAnsi="Times New Roman" w:cs="Times New Roman"/>
                <w:sz w:val="24"/>
                <w:szCs w:val="24"/>
              </w:rPr>
            </m:ctrlPr>
          </m:naryPr>
          <m:sub>
            <m:r>
              <w:rPr>
                <w:rFonts w:ascii="Cambria Math" w:hAnsi="Cambria Math" w:cs="Times New Roman"/>
                <w:sz w:val="24"/>
                <w:szCs w:val="24"/>
              </w:rPr>
              <m:t>k</m:t>
            </m:r>
            <m:r>
              <m:rPr>
                <m:sty m:val="p"/>
              </m:rPr>
              <w:rPr>
                <w:rFonts w:ascii="Cambria Math" w:hAnsi="Times New Roman" w:cs="Times New Roman"/>
                <w:sz w:val="24"/>
                <w:szCs w:val="24"/>
              </w:rPr>
              <m:t>=1</m:t>
            </m:r>
          </m:sub>
          <m:sup>
            <m:r>
              <w:rPr>
                <w:rFonts w:ascii="Cambria Math" w:hAnsi="Times New Roman" w:cs="Times New Roman"/>
                <w:sz w:val="24"/>
                <w:szCs w:val="24"/>
              </w:rPr>
              <m:t>15</m:t>
            </m:r>
          </m:sup>
          <m:e>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δ</m:t>
                    </m:r>
                  </m:e>
                  <m:sub>
                    <m:r>
                      <w:rPr>
                        <w:rFonts w:ascii="Cambria Math" w:hAnsi="Cambria Math" w:cs="Times New Roman"/>
                        <w:sz w:val="24"/>
                        <w:szCs w:val="24"/>
                      </w:rPr>
                      <m:t>k</m:t>
                    </m:r>
                  </m:sub>
                </m:sSub>
                <m:r>
                  <w:rPr>
                    <w:rFonts w:ascii="Cambria Math" w:hAnsi="Cambria Math" w:cs="Times New Roman"/>
                    <w:sz w:val="24"/>
                    <w:szCs w:val="24"/>
                  </w:rPr>
                  <m:t>DM</m:t>
                </m:r>
              </m:e>
              <m:sub>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t</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12</m:t>
            </m:r>
            <m:r>
              <m:rPr>
                <m:sty m:val="p"/>
              </m:rPr>
              <w:rPr>
                <w:rFonts w:ascii="Cambria Math" w:hAnsi="Cambria Math" w:cs="Times New Roman"/>
                <w:sz w:val="24"/>
                <w:szCs w:val="24"/>
              </w:rPr>
              <m:t>,</m:t>
            </m:r>
            <m:r>
              <w:rPr>
                <w:rFonts w:ascii="Cambria Math" w:hAnsi="Cambria Math" w:cs="Times New Roman"/>
                <w:sz w:val="24"/>
                <w:szCs w:val="24"/>
              </w:rPr>
              <m:t>t</m:t>
            </m:r>
          </m:sub>
        </m:sSub>
      </m:oMath>
      <w:r w:rsidR="00325A37">
        <w:rPr>
          <w:rFonts w:ascii="Times New Roman" w:eastAsiaTheme="minorEastAsia" w:hAnsi="Times New Roman" w:cs="Times New Roman"/>
          <w:sz w:val="24"/>
          <w:szCs w:val="24"/>
        </w:rPr>
        <w:tab/>
      </w:r>
      <w:r w:rsidR="0066628E">
        <w:rPr>
          <w:rFonts w:ascii="Times New Roman" w:eastAsiaTheme="minorEastAsia" w:hAnsi="Times New Roman" w:cs="Times New Roman"/>
          <w:sz w:val="24"/>
          <w:szCs w:val="24"/>
        </w:rPr>
        <w:tab/>
      </w:r>
      <w:r w:rsidR="0066628E">
        <w:rPr>
          <w:rFonts w:ascii="Times New Roman" w:eastAsiaTheme="minorEastAsia" w:hAnsi="Times New Roman" w:cs="Times New Roman"/>
          <w:sz w:val="24"/>
          <w:szCs w:val="24"/>
        </w:rPr>
        <w:tab/>
      </w:r>
      <w:r w:rsidR="002B13E1" w:rsidRPr="00CA57CA">
        <w:rPr>
          <w:rFonts w:ascii="Times New Roman" w:eastAsiaTheme="minorEastAsia" w:hAnsi="Times New Roman" w:cs="Times New Roman"/>
          <w:sz w:val="24"/>
          <w:szCs w:val="24"/>
        </w:rPr>
        <w:t>(</w:t>
      </w:r>
      <w:r w:rsidR="00FF5F64">
        <w:rPr>
          <w:rFonts w:ascii="Times New Roman" w:eastAsiaTheme="minorEastAsia" w:hAnsi="Times New Roman" w:cs="Times New Roman"/>
          <w:sz w:val="24"/>
          <w:szCs w:val="24"/>
        </w:rPr>
        <w:t>5</w:t>
      </w:r>
      <w:r w:rsidR="002B13E1" w:rsidRPr="00CA57CA">
        <w:rPr>
          <w:rFonts w:ascii="Times New Roman" w:eastAsiaTheme="minorEastAsia" w:hAnsi="Times New Roman" w:cs="Times New Roman"/>
          <w:sz w:val="24"/>
          <w:szCs w:val="24"/>
        </w:rPr>
        <w:t>)</w:t>
      </w:r>
    </w:p>
    <w:p w:rsidR="002B13E1" w:rsidRPr="00CA57CA" w:rsidRDefault="00082630" w:rsidP="00AF6503">
      <w:pPr>
        <w:spacing w:after="0" w:line="480" w:lineRule="auto"/>
        <w:ind w:right="282"/>
        <w:rPr>
          <w:rFonts w:ascii="Times New Roman" w:eastAsiaTheme="minorEastAsia" w:hAnsi="Times New Roman" w:cs="Times New Roman"/>
          <w:sz w:val="24"/>
          <w:szCs w:val="24"/>
        </w:rPr>
      </w:pPr>
      <w:r>
        <w:rPr>
          <w:rFonts w:ascii="Times New Roman" w:eastAsiaTheme="minorEastAsia" w:hAnsi="Times New Roman" w:cs="Times New Roman"/>
          <w:sz w:val="24"/>
          <w:szCs w:val="24"/>
        </w:rPr>
        <w:t>w</w:t>
      </w:r>
      <w:r w:rsidR="002B13E1" w:rsidRPr="00CA57CA">
        <w:rPr>
          <w:rFonts w:ascii="Times New Roman" w:eastAsiaTheme="minorEastAsia" w:hAnsi="Times New Roman" w:cs="Times New Roman"/>
          <w:sz w:val="24"/>
          <w:szCs w:val="24"/>
        </w:rPr>
        <w:t xml:space="preserve">here </w:t>
      </w:r>
      <m:oMath>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12,t</m:t>
            </m:r>
          </m:sub>
        </m:sSub>
      </m:oMath>
      <w:r w:rsidR="00AF5220">
        <w:rPr>
          <w:rFonts w:ascii="Times New Roman" w:eastAsiaTheme="minorEastAsia" w:hAnsi="Times New Roman" w:cs="Times New Roman"/>
          <w:sz w:val="24"/>
          <w:szCs w:val="24"/>
        </w:rPr>
        <w:t xml:space="preserve"> </w:t>
      </w:r>
      <w:r w:rsidR="002B13E1" w:rsidRPr="00CA57CA">
        <w:rPr>
          <w:rFonts w:ascii="Times New Roman" w:eastAsiaTheme="minorEastAsia" w:hAnsi="Times New Roman" w:cs="Times New Roman"/>
          <w:sz w:val="24"/>
          <w:szCs w:val="24"/>
        </w:rPr>
        <w:t>is the</w:t>
      </w:r>
      <w:r>
        <w:rPr>
          <w:rFonts w:ascii="Times New Roman" w:eastAsiaTheme="minorEastAsia" w:hAnsi="Times New Roman" w:cs="Times New Roman"/>
          <w:sz w:val="24"/>
          <w:szCs w:val="24"/>
        </w:rPr>
        <w:t xml:space="preserve"> estimated</w:t>
      </w:r>
      <w:r w:rsidR="002B13E1" w:rsidRPr="00CA57CA">
        <w:rPr>
          <w:rFonts w:ascii="Times New Roman" w:eastAsiaTheme="minorEastAsia" w:hAnsi="Times New Roman" w:cs="Times New Roman"/>
          <w:sz w:val="24"/>
          <w:szCs w:val="24"/>
        </w:rPr>
        <w:t xml:space="preserve"> correlation</w:t>
      </w:r>
      <w:r>
        <w:rPr>
          <w:rFonts w:ascii="Times New Roman" w:eastAsiaTheme="minorEastAsia" w:hAnsi="Times New Roman" w:cs="Times New Roman"/>
          <w:sz w:val="24"/>
          <w:szCs w:val="24"/>
        </w:rPr>
        <w:t xml:space="preserve"> coefficient</w:t>
      </w:r>
      <w:r w:rsidR="00AF52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between</w:t>
      </w:r>
      <w:r w:rsidR="00AF5220">
        <w:rPr>
          <w:rFonts w:ascii="Times New Roman" w:eastAsiaTheme="minorEastAsia" w:hAnsi="Times New Roman" w:cs="Times New Roman"/>
          <w:sz w:val="24"/>
          <w:szCs w:val="24"/>
        </w:rPr>
        <w:t xml:space="preserve"> </w:t>
      </w:r>
      <w:r w:rsidR="008A6C50">
        <w:rPr>
          <w:rFonts w:ascii="Times New Roman" w:eastAsiaTheme="minorEastAsia" w:hAnsi="Times New Roman" w:cs="Times New Roman"/>
          <w:sz w:val="24"/>
          <w:szCs w:val="24"/>
        </w:rPr>
        <w:t xml:space="preserve">the </w:t>
      </w:r>
      <w:r w:rsidR="002B13E1" w:rsidRPr="00CA57CA">
        <w:rPr>
          <w:rFonts w:ascii="Times New Roman" w:eastAsiaTheme="minorEastAsia" w:hAnsi="Times New Roman" w:cs="Times New Roman"/>
          <w:sz w:val="24"/>
          <w:szCs w:val="24"/>
        </w:rPr>
        <w:t xml:space="preserve">UK and US stock </w:t>
      </w:r>
      <w:r>
        <w:rPr>
          <w:rFonts w:ascii="Times New Roman" w:eastAsiaTheme="minorEastAsia" w:hAnsi="Times New Roman" w:cs="Times New Roman"/>
          <w:sz w:val="24"/>
          <w:szCs w:val="24"/>
        </w:rPr>
        <w:t>markets</w:t>
      </w:r>
      <w:r w:rsidR="00F61854">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IPX</m:t>
                </m:r>
              </m:sub>
            </m:sSub>
          </m:e>
          <m:sub>
            <m:r>
              <w:rPr>
                <w:rFonts w:ascii="Cambria Math" w:hAnsi="Cambria Math" w:cs="Times New Roman"/>
                <w:sz w:val="24"/>
                <w:szCs w:val="24"/>
              </w:rPr>
              <m:t>t</m:t>
            </m:r>
          </m:sub>
        </m:sSub>
      </m:oMath>
      <w:r>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CPI</m:t>
                </m:r>
              </m:sub>
            </m:sSub>
          </m:e>
          <m:sub>
            <m:r>
              <w:rPr>
                <w:rFonts w:ascii="Cambria Math" w:hAnsi="Cambria Math" w:cs="Times New Roman"/>
                <w:sz w:val="24"/>
                <w:szCs w:val="24"/>
              </w:rPr>
              <m:t>t</m:t>
            </m:r>
          </m:sub>
        </m:sSub>
      </m:oMath>
      <w:r w:rsidR="00474099">
        <w:rPr>
          <w:rFonts w:ascii="Times New Roman" w:eastAsiaTheme="minorEastAsia"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 xml:space="preserve"> 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YS</m:t>
                </m:r>
              </m:sub>
            </m:sSub>
          </m:e>
          <m:sub>
            <m:r>
              <w:rPr>
                <w:rFonts w:ascii="Cambria Math" w:hAnsi="Cambria Math" w:cs="Times New Roman"/>
                <w:sz w:val="24"/>
                <w:szCs w:val="24"/>
              </w:rPr>
              <m:t>t</m:t>
            </m:r>
          </m:sub>
        </m:sSub>
      </m:oMath>
      <w:r w:rsidR="00415F50">
        <w:rPr>
          <w:rFonts w:ascii="Times New Roman" w:eastAsiaTheme="minorEastAsia" w:hAnsi="Times New Roman" w:cs="Times New Roman"/>
          <w:sz w:val="24"/>
          <w:szCs w:val="24"/>
        </w:rPr>
        <w:t>,</w:t>
      </w:r>
      <w:r w:rsidR="00AF5220">
        <w:rPr>
          <w:rFonts w:ascii="Times New Roman" w:eastAsiaTheme="minorEastAsia" w:hAnsi="Times New Roman" w:cs="Times New Roman"/>
          <w:sz w:val="24"/>
          <w:szCs w:val="24"/>
        </w:rPr>
        <w:t xml:space="preserve"> </w:t>
      </w:r>
      <w:r w:rsidR="00474099">
        <w:rPr>
          <w:rFonts w:ascii="Times New Roman" w:eastAsiaTheme="minorEastAsia" w:hAnsi="Times New Roman" w:cs="Times New Roman"/>
          <w:sz w:val="24"/>
          <w:szCs w:val="24"/>
        </w:rPr>
        <w:t>and</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Cor</m:t>
            </m:r>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EPU</m:t>
                </m:r>
              </m:sub>
            </m:sSub>
          </m:e>
          <m:sub>
            <m:r>
              <w:rPr>
                <w:rFonts w:ascii="Cambria Math" w:hAnsi="Cambria Math" w:cs="Times New Roman"/>
                <w:sz w:val="24"/>
                <w:szCs w:val="24"/>
              </w:rPr>
              <m:t>t</m:t>
            </m:r>
          </m:sub>
        </m:sSub>
      </m:oMath>
      <w:r w:rsidR="00AF522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are</w:t>
      </w:r>
      <w:r w:rsidR="00415F50">
        <w:rPr>
          <w:rFonts w:ascii="Times New Roman" w:eastAsiaTheme="minorEastAsia" w:hAnsi="Times New Roman" w:cs="Times New Roman"/>
          <w:sz w:val="24"/>
          <w:szCs w:val="24"/>
        </w:rPr>
        <w:t>, respectively,</w:t>
      </w:r>
      <w:r>
        <w:rPr>
          <w:rFonts w:ascii="Times New Roman" w:eastAsiaTheme="minorEastAsia" w:hAnsi="Times New Roman" w:cs="Times New Roman"/>
          <w:sz w:val="24"/>
          <w:szCs w:val="24"/>
        </w:rPr>
        <w:t xml:space="preserve"> the estimated </w:t>
      </w:r>
      <w:r w:rsidR="002B13E1" w:rsidRPr="00CA57CA">
        <w:rPr>
          <w:rFonts w:ascii="Times New Roman" w:eastAsiaTheme="minorEastAsia" w:hAnsi="Times New Roman" w:cs="Times New Roman"/>
          <w:sz w:val="24"/>
          <w:szCs w:val="24"/>
        </w:rPr>
        <w:t>correlation</w:t>
      </w:r>
      <w:r>
        <w:rPr>
          <w:rFonts w:ascii="Times New Roman" w:eastAsiaTheme="minorEastAsia" w:hAnsi="Times New Roman" w:cs="Times New Roman"/>
          <w:sz w:val="24"/>
          <w:szCs w:val="24"/>
        </w:rPr>
        <w:t xml:space="preserve"> coefficient</w:t>
      </w:r>
      <w:r w:rsidR="00AC08FE">
        <w:rPr>
          <w:rFonts w:ascii="Times New Roman" w:eastAsiaTheme="minorEastAsia" w:hAnsi="Times New Roman" w:cs="Times New Roman"/>
          <w:sz w:val="24"/>
          <w:szCs w:val="24"/>
        </w:rPr>
        <w:t>s</w:t>
      </w:r>
      <w:r w:rsidR="00AF5220">
        <w:rPr>
          <w:rFonts w:ascii="Times New Roman" w:eastAsiaTheme="minorEastAsia" w:hAnsi="Times New Roman" w:cs="Times New Roman"/>
          <w:sz w:val="24"/>
          <w:szCs w:val="24"/>
        </w:rPr>
        <w:t xml:space="preserve"> </w:t>
      </w:r>
      <w:r w:rsidR="00415F50">
        <w:rPr>
          <w:rFonts w:ascii="Times New Roman" w:hAnsi="Times New Roman" w:cs="Times New Roman"/>
          <w:sz w:val="24"/>
          <w:szCs w:val="24"/>
        </w:rPr>
        <w:t>between the UK and US</w:t>
      </w:r>
      <w:r w:rsidR="00AF5220">
        <w:rPr>
          <w:rFonts w:ascii="Times New Roman" w:hAnsi="Times New Roman" w:cs="Times New Roman"/>
          <w:sz w:val="24"/>
          <w:szCs w:val="24"/>
        </w:rPr>
        <w:t xml:space="preserve"> </w:t>
      </w:r>
      <w:r w:rsidR="00415F50">
        <w:rPr>
          <w:rFonts w:ascii="Times New Roman" w:eastAsiaTheme="minorEastAsia" w:hAnsi="Times New Roman" w:cs="Times New Roman"/>
          <w:sz w:val="24"/>
          <w:szCs w:val="24"/>
        </w:rPr>
        <w:t>for</w:t>
      </w:r>
      <w:r>
        <w:rPr>
          <w:rFonts w:ascii="Times New Roman" w:eastAsiaTheme="minorEastAsia" w:hAnsi="Times New Roman" w:cs="Times New Roman"/>
          <w:sz w:val="24"/>
          <w:szCs w:val="24"/>
        </w:rPr>
        <w:t xml:space="preserve"> the growth rate of seasonally adjusted industrial production</w:t>
      </w:r>
      <w:r w:rsidR="00DA3870">
        <w:rPr>
          <w:rFonts w:ascii="Times New Roman" w:eastAsiaTheme="minorEastAsia" w:hAnsi="Times New Roman" w:cs="Times New Roman"/>
          <w:sz w:val="24"/>
          <w:szCs w:val="24"/>
        </w:rPr>
        <w:t xml:space="preserve"> indices</w:t>
      </w:r>
      <w:r>
        <w:rPr>
          <w:rFonts w:ascii="Times New Roman" w:eastAsiaTheme="minorEastAsia" w:hAnsi="Times New Roman" w:cs="Times New Roman"/>
          <w:sz w:val="24"/>
          <w:szCs w:val="24"/>
        </w:rPr>
        <w:t xml:space="preserve">, </w:t>
      </w:r>
      <w:r>
        <w:rPr>
          <w:rFonts w:ascii="Times New Roman" w:hAnsi="Times New Roman" w:cs="Times New Roman"/>
          <w:sz w:val="24"/>
          <w:szCs w:val="24"/>
        </w:rPr>
        <w:t>CPI inflation</w:t>
      </w:r>
      <w:r w:rsidR="00210FE2">
        <w:rPr>
          <w:rFonts w:ascii="Times New Roman" w:hAnsi="Times New Roman" w:cs="Times New Roman"/>
          <w:sz w:val="24"/>
          <w:szCs w:val="24"/>
        </w:rPr>
        <w:t xml:space="preserve">, </w:t>
      </w:r>
      <w:r w:rsidR="002B13E1" w:rsidRPr="00CA57CA">
        <w:rPr>
          <w:rFonts w:ascii="Times New Roman" w:hAnsi="Times New Roman" w:cs="Times New Roman"/>
          <w:sz w:val="24"/>
          <w:szCs w:val="24"/>
        </w:rPr>
        <w:t>yield spread</w:t>
      </w:r>
      <w:r w:rsidR="000474B6">
        <w:rPr>
          <w:rFonts w:ascii="Times New Roman" w:hAnsi="Times New Roman" w:cs="Times New Roman"/>
          <w:sz w:val="24"/>
          <w:szCs w:val="24"/>
        </w:rPr>
        <w:t>s</w:t>
      </w:r>
      <w:r w:rsidR="00AC08FE">
        <w:rPr>
          <w:rFonts w:ascii="Times New Roman" w:hAnsi="Times New Roman" w:cs="Times New Roman"/>
          <w:sz w:val="24"/>
          <w:szCs w:val="24"/>
        </w:rPr>
        <w:t>,</w:t>
      </w:r>
      <w:r w:rsidR="00210FE2">
        <w:rPr>
          <w:rFonts w:ascii="Times New Roman" w:hAnsi="Times New Roman" w:cs="Times New Roman"/>
          <w:sz w:val="24"/>
          <w:szCs w:val="24"/>
        </w:rPr>
        <w:t xml:space="preserve"> and EPU indices</w:t>
      </w:r>
      <w:r w:rsidR="00F61854">
        <w:rPr>
          <w:rFonts w:ascii="Times New Roman" w:hAnsi="Times New Roman" w:cs="Times New Roman"/>
          <w:sz w:val="24"/>
          <w:szCs w:val="24"/>
        </w:rPr>
        <w:t>.</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FX</m:t>
                </m:r>
              </m:sub>
            </m:sSub>
          </m:e>
          <m:sub>
            <m:r>
              <w:rPr>
                <w:rFonts w:ascii="Cambria Math" w:hAnsi="Cambria Math" w:cs="Times New Roman"/>
                <w:sz w:val="24"/>
                <w:szCs w:val="24"/>
              </w:rPr>
              <m:t>t</m:t>
            </m:r>
          </m:sub>
        </m:sSub>
      </m:oMath>
      <w:r w:rsidR="00AC08FE">
        <w:rPr>
          <w:rFonts w:ascii="Times New Roman" w:eastAsiaTheme="minorEastAsia" w:hAnsi="Times New Roman" w:cs="Times New Roman"/>
          <w:sz w:val="24"/>
          <w:szCs w:val="24"/>
        </w:rPr>
        <w:t>,</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OIL</m:t>
                </m:r>
              </m:sub>
            </m:sSub>
          </m:e>
          <m:sub>
            <m:r>
              <w:rPr>
                <w:rFonts w:ascii="Cambria Math" w:hAnsi="Cambria Math" w:cs="Times New Roman"/>
                <w:sz w:val="24"/>
                <w:szCs w:val="24"/>
              </w:rPr>
              <m:t>t</m:t>
            </m:r>
          </m:sub>
        </m:sSub>
      </m:oMath>
      <w:r w:rsidR="0054436F">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GOLD</m:t>
                </m:r>
              </m:sub>
            </m:sSub>
          </m:e>
          <m:sub>
            <m:r>
              <w:rPr>
                <w:rFonts w:ascii="Cambria Math" w:hAnsi="Cambria Math" w:cs="Times New Roman"/>
                <w:sz w:val="24"/>
                <w:szCs w:val="24"/>
              </w:rPr>
              <m:t>t</m:t>
            </m:r>
          </m:sub>
        </m:sSub>
      </m:oMath>
      <w:r w:rsidR="00415F50">
        <w:rPr>
          <w:rFonts w:ascii="Times New Roman" w:eastAsiaTheme="minorEastAsia" w:hAnsi="Times New Roman" w:cs="Times New Roman"/>
          <w:sz w:val="24"/>
          <w:szCs w:val="24"/>
        </w:rPr>
        <w:t>,</w:t>
      </w:r>
      <w:r w:rsidR="0054436F">
        <w:rPr>
          <w:rFonts w:ascii="Times New Roman" w:eastAsiaTheme="minorEastAsia" w:hAnsi="Times New Roman" w:cs="Times New Roman"/>
          <w:sz w:val="24"/>
          <w:szCs w:val="24"/>
        </w:rPr>
        <w:t xml:space="preserve"> and </w:t>
      </w:r>
      <m:oMath>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Vol</m:t>
                </m:r>
              </m:e>
              <m:sub>
                <m:r>
                  <w:rPr>
                    <w:rFonts w:ascii="Cambria Math" w:hAnsi="Cambria Math" w:cs="Times New Roman"/>
                    <w:sz w:val="24"/>
                    <w:szCs w:val="24"/>
                  </w:rPr>
                  <m:t>STOCK</m:t>
                </m:r>
              </m:sub>
            </m:sSub>
          </m:e>
          <m:sub>
            <m:r>
              <w:rPr>
                <w:rFonts w:ascii="Cambria Math" w:hAnsi="Cambria Math" w:cs="Times New Roman"/>
                <w:sz w:val="24"/>
                <w:szCs w:val="24"/>
              </w:rPr>
              <m:t>t</m:t>
            </m:r>
          </m:sub>
        </m:sSub>
      </m:oMath>
      <w:r w:rsidR="00AC08FE">
        <w:rPr>
          <w:rFonts w:ascii="Times New Roman" w:hAnsi="Times New Roman" w:cs="Times New Roman"/>
          <w:sz w:val="24"/>
          <w:szCs w:val="24"/>
        </w:rPr>
        <w:t xml:space="preserve"> are</w:t>
      </w:r>
      <w:r w:rsidR="002B13E1" w:rsidRPr="00CA57CA">
        <w:rPr>
          <w:rFonts w:ascii="Times New Roman" w:hAnsi="Times New Roman" w:cs="Times New Roman"/>
          <w:sz w:val="24"/>
          <w:szCs w:val="24"/>
        </w:rPr>
        <w:t xml:space="preserve"> the </w:t>
      </w:r>
      <w:r w:rsidR="00AC08FE">
        <w:rPr>
          <w:rFonts w:ascii="Times New Roman" w:hAnsi="Times New Roman" w:cs="Times New Roman"/>
          <w:sz w:val="24"/>
          <w:szCs w:val="24"/>
        </w:rPr>
        <w:t xml:space="preserve">estimated </w:t>
      </w:r>
      <w:r w:rsidR="002B13E1" w:rsidRPr="00CA57CA">
        <w:rPr>
          <w:rFonts w:ascii="Times New Roman" w:hAnsi="Times New Roman" w:cs="Times New Roman"/>
          <w:sz w:val="24"/>
          <w:szCs w:val="24"/>
        </w:rPr>
        <w:t>conditional volatilit</w:t>
      </w:r>
      <w:r w:rsidR="00AC08FE">
        <w:rPr>
          <w:rFonts w:ascii="Times New Roman" w:hAnsi="Times New Roman" w:cs="Times New Roman"/>
          <w:sz w:val="24"/>
          <w:szCs w:val="24"/>
        </w:rPr>
        <w:t>ies</w:t>
      </w:r>
      <w:r w:rsidR="002B13E1" w:rsidRPr="00CA57CA">
        <w:rPr>
          <w:rFonts w:ascii="Times New Roman" w:hAnsi="Times New Roman" w:cs="Times New Roman"/>
          <w:sz w:val="24"/>
          <w:szCs w:val="24"/>
        </w:rPr>
        <w:t xml:space="preserve"> of exchange rate</w:t>
      </w:r>
      <w:r w:rsidR="00AF7942">
        <w:rPr>
          <w:rFonts w:ascii="Times New Roman" w:hAnsi="Times New Roman" w:cs="Times New Roman"/>
          <w:sz w:val="24"/>
          <w:szCs w:val="24"/>
        </w:rPr>
        <w:t>s</w:t>
      </w:r>
      <w:r w:rsidR="000474B6">
        <w:rPr>
          <w:rFonts w:ascii="Times New Roman" w:hAnsi="Times New Roman" w:cs="Times New Roman"/>
          <w:sz w:val="24"/>
          <w:szCs w:val="24"/>
        </w:rPr>
        <w:t>,</w:t>
      </w:r>
      <w:r w:rsidR="00AF5220">
        <w:rPr>
          <w:rFonts w:ascii="Times New Roman" w:hAnsi="Times New Roman" w:cs="Times New Roman"/>
          <w:sz w:val="24"/>
          <w:szCs w:val="24"/>
        </w:rPr>
        <w:t xml:space="preserve"> </w:t>
      </w:r>
      <w:r w:rsidR="00426DBC">
        <w:rPr>
          <w:rFonts w:ascii="Times New Roman" w:hAnsi="Times New Roman" w:cs="Times New Roman"/>
          <w:sz w:val="24"/>
          <w:szCs w:val="24"/>
        </w:rPr>
        <w:t xml:space="preserve">oil, </w:t>
      </w:r>
      <w:r w:rsidR="002B13E1" w:rsidRPr="00CA57CA">
        <w:rPr>
          <w:rFonts w:ascii="Times New Roman" w:hAnsi="Times New Roman" w:cs="Times New Roman"/>
          <w:sz w:val="24"/>
          <w:szCs w:val="24"/>
        </w:rPr>
        <w:t>gold</w:t>
      </w:r>
      <w:r w:rsidR="00415F50">
        <w:rPr>
          <w:rFonts w:ascii="Times New Roman" w:hAnsi="Times New Roman" w:cs="Times New Roman"/>
          <w:sz w:val="24"/>
          <w:szCs w:val="24"/>
        </w:rPr>
        <w:t>,</w:t>
      </w:r>
      <w:r w:rsidR="00AF5220">
        <w:rPr>
          <w:rFonts w:ascii="Times New Roman" w:hAnsi="Times New Roman" w:cs="Times New Roman"/>
          <w:sz w:val="24"/>
          <w:szCs w:val="24"/>
        </w:rPr>
        <w:t xml:space="preserve"> </w:t>
      </w:r>
      <w:r w:rsidR="00DA3870">
        <w:rPr>
          <w:rFonts w:ascii="Times New Roman" w:hAnsi="Times New Roman" w:cs="Times New Roman"/>
          <w:sz w:val="24"/>
          <w:szCs w:val="24"/>
        </w:rPr>
        <w:t xml:space="preserve">and </w:t>
      </w:r>
      <w:r w:rsidR="00426DBC">
        <w:rPr>
          <w:rFonts w:ascii="Times New Roman" w:hAnsi="Times New Roman" w:cs="Times New Roman"/>
          <w:sz w:val="24"/>
          <w:szCs w:val="24"/>
        </w:rPr>
        <w:t>stock</w:t>
      </w:r>
      <w:r w:rsidR="002B13E1" w:rsidRPr="00CA57CA">
        <w:rPr>
          <w:rFonts w:ascii="Times New Roman" w:hAnsi="Times New Roman" w:cs="Times New Roman"/>
          <w:sz w:val="24"/>
          <w:szCs w:val="24"/>
        </w:rPr>
        <w:t xml:space="preserve"> price</w:t>
      </w:r>
      <w:r w:rsidR="00426DBC">
        <w:rPr>
          <w:rFonts w:ascii="Times New Roman" w:hAnsi="Times New Roman" w:cs="Times New Roman"/>
          <w:sz w:val="24"/>
          <w:szCs w:val="24"/>
        </w:rPr>
        <w:t>s</w:t>
      </w:r>
      <w:r w:rsidR="002B13E1" w:rsidRPr="00CA57CA">
        <w:rPr>
          <w:rFonts w:ascii="Times New Roman" w:eastAsiaTheme="minorEastAsia" w:hAnsi="Times New Roman" w:cs="Times New Roman"/>
          <w:sz w:val="24"/>
          <w:szCs w:val="24"/>
        </w:rPr>
        <w:t>.</w:t>
      </w:r>
    </w:p>
    <w:p w:rsidR="002B13E1" w:rsidRDefault="00415F50" w:rsidP="00AF6503">
      <w:pPr>
        <w:spacing w:after="0" w:line="480" w:lineRule="auto"/>
        <w:ind w:right="282" w:firstLine="720"/>
        <w:rPr>
          <w:rFonts w:ascii="Times New Roman" w:hAnsi="Times New Roman" w:cs="Times New Roman"/>
          <w:sz w:val="24"/>
          <w:szCs w:val="24"/>
        </w:rPr>
      </w:pPr>
      <w:r>
        <w:rPr>
          <w:rFonts w:ascii="Times New Roman" w:eastAsiaTheme="minorEastAsia" w:hAnsi="Times New Roman" w:cs="Times New Roman"/>
          <w:sz w:val="24"/>
          <w:szCs w:val="24"/>
        </w:rPr>
        <w:t>I</w:t>
      </w:r>
      <w:r w:rsidR="0015669C">
        <w:rPr>
          <w:rFonts w:ascii="Times New Roman" w:eastAsiaTheme="minorEastAsia" w:hAnsi="Times New Roman" w:cs="Times New Roman"/>
          <w:sz w:val="24"/>
          <w:szCs w:val="24"/>
        </w:rPr>
        <w:t xml:space="preserve">n order to investigate the impact of a number of </w:t>
      </w:r>
      <w:r w:rsidR="000E6D96">
        <w:rPr>
          <w:rFonts w:ascii="Times New Roman" w:eastAsiaTheme="minorEastAsia" w:hAnsi="Times New Roman" w:cs="Times New Roman"/>
          <w:sz w:val="24"/>
          <w:szCs w:val="24"/>
        </w:rPr>
        <w:t xml:space="preserve">crisis </w:t>
      </w:r>
      <w:r w:rsidR="0015669C">
        <w:rPr>
          <w:rFonts w:ascii="Times New Roman" w:eastAsiaTheme="minorEastAsia" w:hAnsi="Times New Roman" w:cs="Times New Roman"/>
          <w:sz w:val="24"/>
          <w:szCs w:val="24"/>
        </w:rPr>
        <w:t xml:space="preserve">episodes on the degree of integration between the two markets, we </w:t>
      </w:r>
      <w:r w:rsidR="00BD635A">
        <w:rPr>
          <w:rFonts w:ascii="Times New Roman" w:eastAsiaTheme="minorEastAsia" w:hAnsi="Times New Roman" w:cs="Times New Roman"/>
          <w:sz w:val="24"/>
          <w:szCs w:val="24"/>
        </w:rPr>
        <w:t>c</w:t>
      </w:r>
      <w:r w:rsidR="0015669C">
        <w:rPr>
          <w:rFonts w:ascii="Times New Roman" w:eastAsiaTheme="minorEastAsia" w:hAnsi="Times New Roman" w:cs="Times New Roman"/>
          <w:sz w:val="24"/>
          <w:szCs w:val="24"/>
        </w:rPr>
        <w:t xml:space="preserve">onsider </w:t>
      </w:r>
      <w:r w:rsidR="00BD635A">
        <w:rPr>
          <w:rFonts w:ascii="Times New Roman" w:eastAsiaTheme="minorEastAsia" w:hAnsi="Times New Roman" w:cs="Times New Roman"/>
          <w:sz w:val="24"/>
          <w:szCs w:val="24"/>
        </w:rPr>
        <w:t xml:space="preserve">a set of </w:t>
      </w:r>
      <w:r w:rsidR="002B13E1" w:rsidRPr="00CA57CA">
        <w:rPr>
          <w:rFonts w:ascii="Times New Roman" w:eastAsiaTheme="minorEastAsia" w:hAnsi="Times New Roman" w:cs="Times New Roman"/>
          <w:sz w:val="24"/>
          <w:szCs w:val="24"/>
        </w:rPr>
        <w:t>dummy variables</w:t>
      </w:r>
      <w:r w:rsidR="00BD635A">
        <w:rPr>
          <w:rFonts w:ascii="Times New Roman" w:eastAsiaTheme="minorEastAsia" w:hAnsi="Times New Roman" w:cs="Times New Roman"/>
          <w:sz w:val="24"/>
          <w:szCs w:val="24"/>
        </w:rPr>
        <w:t xml:space="preserve"> such as</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m:rPr>
                <m:sty m:val="p"/>
              </m:rPr>
              <w:rPr>
                <w:rFonts w:ascii="Cambria Math" w:hAnsi="Cambria Math" w:cs="Times New Roman"/>
                <w:sz w:val="24"/>
                <w:szCs w:val="24"/>
              </w:rPr>
              <m:t>1,t</m:t>
            </m:r>
          </m:sub>
        </m:sSub>
      </m:oMath>
      <w:r w:rsidR="002B13E1" w:rsidRPr="00CA57CA">
        <w:rPr>
          <w:rFonts w:ascii="Times New Roman" w:hAnsi="Times New Roman" w:cs="Times New Roman"/>
          <w:sz w:val="24"/>
          <w:szCs w:val="24"/>
        </w:rPr>
        <w:t xml:space="preserve"> for World War II (Sep</w:t>
      </w:r>
      <w:r w:rsidR="008C74B1">
        <w:rPr>
          <w:rFonts w:ascii="Times New Roman" w:hAnsi="Times New Roman" w:cs="Times New Roman"/>
          <w:sz w:val="24"/>
          <w:szCs w:val="24"/>
        </w:rPr>
        <w:t xml:space="preserve"> 1939–Apr</w:t>
      </w:r>
      <w:r w:rsidR="00F61854">
        <w:rPr>
          <w:rFonts w:ascii="Times New Roman" w:hAnsi="Times New Roman" w:cs="Times New Roman"/>
          <w:sz w:val="24"/>
          <w:szCs w:val="24"/>
        </w:rPr>
        <w:t xml:space="preserve"> 1942),</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2</m:t>
            </m:r>
            <m:r>
              <m:rPr>
                <m:sty m:val="p"/>
              </m:rPr>
              <w:rPr>
                <w:rFonts w:ascii="Cambria Math" w:hAnsi="Cambria Math" w:cs="Times New Roman"/>
                <w:sz w:val="24"/>
                <w:szCs w:val="24"/>
              </w:rPr>
              <m:t>,t</m:t>
            </m:r>
          </m:sub>
        </m:sSub>
      </m:oMath>
      <w:r w:rsidR="008C74B1">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8C74B1">
        <w:rPr>
          <w:rFonts w:ascii="Times New Roman" w:hAnsi="Times New Roman" w:cs="Times New Roman"/>
          <w:sz w:val="24"/>
          <w:szCs w:val="24"/>
        </w:rPr>
        <w:t>Korean War (Jun 1950–Jul</w:t>
      </w:r>
      <w:r w:rsidR="00F61854">
        <w:rPr>
          <w:rFonts w:ascii="Times New Roman" w:hAnsi="Times New Roman" w:cs="Times New Roman"/>
          <w:sz w:val="24"/>
          <w:szCs w:val="24"/>
        </w:rPr>
        <w:t xml:space="preserve"> 1957),</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3</m:t>
            </m:r>
            <m:r>
              <m:rPr>
                <m:sty m:val="p"/>
              </m:rPr>
              <w:rPr>
                <w:rFonts w:ascii="Cambria Math" w:hAnsi="Cambria Math" w:cs="Times New Roman"/>
                <w:sz w:val="24"/>
                <w:szCs w:val="24"/>
              </w:rPr>
              <m:t>,t</m:t>
            </m:r>
          </m:sub>
        </m:sSub>
      </m:oMath>
      <w:r w:rsidR="008C74B1">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8C74B1">
        <w:rPr>
          <w:rFonts w:ascii="Times New Roman" w:hAnsi="Times New Roman" w:cs="Times New Roman"/>
          <w:sz w:val="24"/>
          <w:szCs w:val="24"/>
        </w:rPr>
        <w:t>Vietnam War (Mar 1959–Apr</w:t>
      </w:r>
      <w:r w:rsidR="00F61854">
        <w:rPr>
          <w:rFonts w:ascii="Times New Roman" w:hAnsi="Times New Roman" w:cs="Times New Roman"/>
          <w:sz w:val="24"/>
          <w:szCs w:val="24"/>
        </w:rPr>
        <w:t xml:space="preserve"> 1974),</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DM</m:t>
            </m:r>
          </m:e>
          <m:sub>
            <m:r>
              <m:rPr>
                <m:sty m:val="p"/>
              </m:rPr>
              <w:rPr>
                <w:rFonts w:ascii="Cambria Math" w:hAnsi="Cambria Math" w:cs="Times New Roman"/>
                <w:sz w:val="24"/>
                <w:szCs w:val="24"/>
              </w:rPr>
              <m:t>4,t</m:t>
            </m:r>
          </m:sub>
        </m:sSub>
      </m:oMath>
      <w:r w:rsidR="008C74B1" w:rsidRPr="00CA57CA">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Pr>
          <w:rFonts w:ascii="Times New Roman" w:hAnsi="Times New Roman" w:cs="Times New Roman"/>
          <w:sz w:val="24"/>
          <w:szCs w:val="24"/>
        </w:rPr>
        <w:t>f</w:t>
      </w:r>
      <w:r w:rsidR="00065F43">
        <w:rPr>
          <w:rFonts w:ascii="Times New Roman" w:hAnsi="Times New Roman" w:cs="Times New Roman"/>
          <w:sz w:val="24"/>
          <w:szCs w:val="24"/>
        </w:rPr>
        <w:t xml:space="preserve">irst </w:t>
      </w:r>
      <w:r>
        <w:rPr>
          <w:rFonts w:ascii="Times New Roman" w:hAnsi="Times New Roman" w:cs="Times New Roman"/>
          <w:sz w:val="24"/>
          <w:szCs w:val="24"/>
        </w:rPr>
        <w:t>g</w:t>
      </w:r>
      <w:r w:rsidR="008C74B1">
        <w:rPr>
          <w:rFonts w:ascii="Times New Roman" w:hAnsi="Times New Roman" w:cs="Times New Roman"/>
          <w:sz w:val="24"/>
          <w:szCs w:val="24"/>
        </w:rPr>
        <w:t xml:space="preserve">lobal </w:t>
      </w:r>
      <w:r>
        <w:rPr>
          <w:rFonts w:ascii="Times New Roman" w:hAnsi="Times New Roman" w:cs="Times New Roman"/>
          <w:sz w:val="24"/>
          <w:szCs w:val="24"/>
        </w:rPr>
        <w:t>o</w:t>
      </w:r>
      <w:r w:rsidR="008C74B1" w:rsidRPr="00CA57CA">
        <w:rPr>
          <w:rFonts w:ascii="Times New Roman" w:hAnsi="Times New Roman" w:cs="Times New Roman"/>
          <w:sz w:val="24"/>
          <w:szCs w:val="24"/>
        </w:rPr>
        <w:t>il</w:t>
      </w:r>
      <w:r w:rsidR="00AF5220">
        <w:rPr>
          <w:rFonts w:ascii="Times New Roman" w:hAnsi="Times New Roman" w:cs="Times New Roman"/>
          <w:sz w:val="24"/>
          <w:szCs w:val="24"/>
        </w:rPr>
        <w:t xml:space="preserve"> </w:t>
      </w:r>
      <w:r>
        <w:rPr>
          <w:rFonts w:ascii="Times New Roman" w:hAnsi="Times New Roman" w:cs="Times New Roman"/>
          <w:sz w:val="24"/>
          <w:szCs w:val="24"/>
        </w:rPr>
        <w:t>s</w:t>
      </w:r>
      <w:r w:rsidR="00F61854">
        <w:rPr>
          <w:rFonts w:ascii="Times New Roman" w:hAnsi="Times New Roman" w:cs="Times New Roman"/>
          <w:sz w:val="24"/>
          <w:szCs w:val="24"/>
        </w:rPr>
        <w:t>hock (Oct 1973</w:t>
      </w:r>
      <w:r w:rsidR="00F220C4">
        <w:rPr>
          <w:rFonts w:ascii="Times New Roman" w:hAnsi="Times New Roman" w:cs="Times New Roman"/>
          <w:sz w:val="24"/>
          <w:szCs w:val="24"/>
        </w:rPr>
        <w:t>–</w:t>
      </w:r>
      <w:r w:rsidR="00F61854">
        <w:rPr>
          <w:rFonts w:ascii="Times New Roman" w:hAnsi="Times New Roman" w:cs="Times New Roman"/>
          <w:sz w:val="24"/>
          <w:szCs w:val="24"/>
        </w:rPr>
        <w:t>Mar</w:t>
      </w:r>
      <w:r w:rsidR="001D7EDC">
        <w:rPr>
          <w:rFonts w:ascii="Times New Roman" w:hAnsi="Times New Roman" w:cs="Times New Roman"/>
          <w:sz w:val="24"/>
          <w:szCs w:val="24"/>
        </w:rPr>
        <w:t xml:space="preserve"> </w:t>
      </w:r>
      <w:r w:rsidR="00F61854">
        <w:rPr>
          <w:rFonts w:ascii="Times New Roman" w:hAnsi="Times New Roman" w:cs="Times New Roman"/>
          <w:sz w:val="24"/>
          <w:szCs w:val="24"/>
        </w:rPr>
        <w:t>1974),</w:t>
      </w:r>
      <w:r w:rsidR="00AF5220">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5</m:t>
            </m:r>
            <m:r>
              <m:rPr>
                <m:sty m:val="p"/>
              </m:rPr>
              <w:rPr>
                <w:rFonts w:ascii="Cambria Math" w:hAnsi="Cambria Math" w:cs="Times New Roman"/>
                <w:sz w:val="24"/>
                <w:szCs w:val="24"/>
              </w:rPr>
              <m:t>,t</m:t>
            </m:r>
          </m:sub>
        </m:sSub>
      </m:oMath>
      <w:r w:rsidR="00AF5220">
        <w:rPr>
          <w:rFonts w:ascii="Times New Roman" w:eastAsiaTheme="minorEastAsia" w:hAnsi="Times New Roman" w:cs="Times New Roman"/>
          <w:sz w:val="24"/>
          <w:szCs w:val="24"/>
        </w:rPr>
        <w:t xml:space="preserve"> </w:t>
      </w:r>
      <w:r w:rsidR="00065F43">
        <w:rPr>
          <w:rFonts w:ascii="Times New Roman" w:hAnsi="Times New Roman" w:cs="Times New Roman"/>
          <w:sz w:val="24"/>
          <w:szCs w:val="24"/>
        </w:rPr>
        <w:t xml:space="preserve">for </w:t>
      </w:r>
      <w:r w:rsidR="00AF7942">
        <w:rPr>
          <w:rFonts w:ascii="Times New Roman" w:hAnsi="Times New Roman" w:cs="Times New Roman"/>
          <w:sz w:val="24"/>
          <w:szCs w:val="24"/>
        </w:rPr>
        <w:t xml:space="preserve">the </w:t>
      </w:r>
      <w:r>
        <w:rPr>
          <w:rFonts w:ascii="Times New Roman" w:hAnsi="Times New Roman" w:cs="Times New Roman"/>
          <w:sz w:val="24"/>
          <w:szCs w:val="24"/>
        </w:rPr>
        <w:t>s</w:t>
      </w:r>
      <w:r w:rsidR="00065F43">
        <w:rPr>
          <w:rFonts w:ascii="Times New Roman" w:hAnsi="Times New Roman" w:cs="Times New Roman"/>
          <w:sz w:val="24"/>
          <w:szCs w:val="24"/>
        </w:rPr>
        <w:t xml:space="preserve">econd </w:t>
      </w:r>
      <w:r>
        <w:rPr>
          <w:rFonts w:ascii="Times New Roman" w:hAnsi="Times New Roman" w:cs="Times New Roman"/>
          <w:sz w:val="24"/>
          <w:szCs w:val="24"/>
        </w:rPr>
        <w:t>g</w:t>
      </w:r>
      <w:r w:rsidR="00065F43">
        <w:rPr>
          <w:rFonts w:ascii="Times New Roman" w:hAnsi="Times New Roman" w:cs="Times New Roman"/>
          <w:sz w:val="24"/>
          <w:szCs w:val="24"/>
        </w:rPr>
        <w:t xml:space="preserve">lobal </w:t>
      </w:r>
      <w:r>
        <w:rPr>
          <w:rFonts w:ascii="Times New Roman" w:hAnsi="Times New Roman" w:cs="Times New Roman"/>
          <w:sz w:val="24"/>
          <w:szCs w:val="24"/>
        </w:rPr>
        <w:t>o</w:t>
      </w:r>
      <w:r w:rsidR="00F61854">
        <w:rPr>
          <w:rFonts w:ascii="Times New Roman" w:hAnsi="Times New Roman" w:cs="Times New Roman"/>
          <w:sz w:val="24"/>
          <w:szCs w:val="24"/>
        </w:rPr>
        <w:t xml:space="preserve">il </w:t>
      </w:r>
      <w:r>
        <w:rPr>
          <w:rFonts w:ascii="Times New Roman" w:hAnsi="Times New Roman" w:cs="Times New Roman"/>
          <w:sz w:val="24"/>
          <w:szCs w:val="24"/>
        </w:rPr>
        <w:t>s</w:t>
      </w:r>
      <w:r w:rsidR="00F61854">
        <w:rPr>
          <w:rFonts w:ascii="Times New Roman" w:hAnsi="Times New Roman" w:cs="Times New Roman"/>
          <w:sz w:val="24"/>
          <w:szCs w:val="24"/>
        </w:rPr>
        <w:t>hock (Jan 1979–Dec 1980),</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6</m:t>
            </m:r>
            <m:r>
              <m:rPr>
                <m:sty m:val="p"/>
              </m:rPr>
              <w:rPr>
                <w:rFonts w:ascii="Cambria Math" w:hAnsi="Cambria Math" w:cs="Times New Roman"/>
                <w:sz w:val="24"/>
                <w:szCs w:val="24"/>
              </w:rPr>
              <m:t>,t</m:t>
            </m:r>
          </m:sub>
        </m:sSub>
      </m:oMath>
      <w:r w:rsidR="008C74B1">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8C74B1">
        <w:rPr>
          <w:rFonts w:ascii="Times New Roman" w:hAnsi="Times New Roman" w:cs="Times New Roman"/>
          <w:sz w:val="24"/>
          <w:szCs w:val="24"/>
        </w:rPr>
        <w:t xml:space="preserve">1987 </w:t>
      </w:r>
      <w:r>
        <w:rPr>
          <w:rFonts w:ascii="Times New Roman" w:hAnsi="Times New Roman" w:cs="Times New Roman"/>
          <w:sz w:val="24"/>
          <w:szCs w:val="24"/>
        </w:rPr>
        <w:t>s</w:t>
      </w:r>
      <w:r w:rsidR="008C74B1">
        <w:rPr>
          <w:rFonts w:ascii="Times New Roman" w:hAnsi="Times New Roman" w:cs="Times New Roman"/>
          <w:sz w:val="24"/>
          <w:szCs w:val="24"/>
        </w:rPr>
        <w:t xml:space="preserve">tock </w:t>
      </w:r>
      <w:r>
        <w:rPr>
          <w:rFonts w:ascii="Times New Roman" w:hAnsi="Times New Roman" w:cs="Times New Roman"/>
          <w:sz w:val="24"/>
          <w:szCs w:val="24"/>
        </w:rPr>
        <w:t>m</w:t>
      </w:r>
      <w:r w:rsidR="008C74B1">
        <w:rPr>
          <w:rFonts w:ascii="Times New Roman" w:hAnsi="Times New Roman" w:cs="Times New Roman"/>
          <w:sz w:val="24"/>
          <w:szCs w:val="24"/>
        </w:rPr>
        <w:t xml:space="preserve">arket </w:t>
      </w:r>
      <w:r>
        <w:rPr>
          <w:rFonts w:ascii="Times New Roman" w:hAnsi="Times New Roman" w:cs="Times New Roman"/>
          <w:sz w:val="24"/>
          <w:szCs w:val="24"/>
        </w:rPr>
        <w:t>c</w:t>
      </w:r>
      <w:r w:rsidR="00F61854">
        <w:rPr>
          <w:rFonts w:ascii="Times New Roman" w:hAnsi="Times New Roman" w:cs="Times New Roman"/>
          <w:sz w:val="24"/>
          <w:szCs w:val="24"/>
        </w:rPr>
        <w:t>rash (Sep 1987–Nov 1987),</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7</m:t>
            </m:r>
            <m:r>
              <m:rPr>
                <m:sty m:val="p"/>
              </m:rPr>
              <w:rPr>
                <w:rFonts w:ascii="Cambria Math" w:hAnsi="Cambria Math" w:cs="Times New Roman"/>
                <w:sz w:val="24"/>
                <w:szCs w:val="24"/>
              </w:rPr>
              <m:t>,t</m:t>
            </m:r>
          </m:sub>
        </m:sSub>
      </m:oMath>
      <w:r w:rsidR="002B13E1" w:rsidRPr="00CA57CA">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2B13E1" w:rsidRPr="00CA57CA">
        <w:rPr>
          <w:rFonts w:ascii="Times New Roman" w:hAnsi="Times New Roman" w:cs="Times New Roman"/>
          <w:sz w:val="24"/>
          <w:szCs w:val="24"/>
        </w:rPr>
        <w:t>Iraq-K</w:t>
      </w:r>
      <w:r w:rsidR="00364650">
        <w:rPr>
          <w:rFonts w:ascii="Times New Roman" w:hAnsi="Times New Roman" w:cs="Times New Roman"/>
          <w:sz w:val="24"/>
          <w:szCs w:val="24"/>
        </w:rPr>
        <w:t>uwait War (Aug 1990–Feb 1991)</w:t>
      </w:r>
      <w:r w:rsidR="00F61854">
        <w:rPr>
          <w:rFonts w:ascii="Times New Roman" w:hAnsi="Times New Roman" w:cs="Times New Roman"/>
          <w:sz w:val="24"/>
          <w:szCs w:val="24"/>
        </w:rPr>
        <w:t>,</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8</m:t>
            </m:r>
            <m:r>
              <m:rPr>
                <m:sty m:val="p"/>
              </m:rPr>
              <w:rPr>
                <w:rFonts w:ascii="Cambria Math" w:hAnsi="Cambria Math" w:cs="Times New Roman"/>
                <w:sz w:val="24"/>
                <w:szCs w:val="24"/>
              </w:rPr>
              <m:t>,t</m:t>
            </m:r>
          </m:sub>
        </m:sSub>
      </m:oMath>
      <w:r w:rsidR="00997ED7">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997ED7">
        <w:rPr>
          <w:rFonts w:ascii="Times New Roman" w:hAnsi="Times New Roman" w:cs="Times New Roman"/>
          <w:sz w:val="24"/>
          <w:szCs w:val="24"/>
        </w:rPr>
        <w:t xml:space="preserve">European </w:t>
      </w:r>
      <w:r w:rsidR="00DD0D7F">
        <w:rPr>
          <w:rFonts w:ascii="Times New Roman" w:hAnsi="Times New Roman" w:cs="Times New Roman"/>
          <w:sz w:val="24"/>
          <w:szCs w:val="24"/>
        </w:rPr>
        <w:t>c</w:t>
      </w:r>
      <w:r w:rsidR="00997ED7">
        <w:rPr>
          <w:rFonts w:ascii="Times New Roman" w:hAnsi="Times New Roman" w:cs="Times New Roman"/>
          <w:sz w:val="24"/>
          <w:szCs w:val="24"/>
        </w:rPr>
        <w:t xml:space="preserve">urrency </w:t>
      </w:r>
      <w:r w:rsidR="00DD0D7F">
        <w:rPr>
          <w:rFonts w:ascii="Times New Roman" w:hAnsi="Times New Roman" w:cs="Times New Roman"/>
          <w:sz w:val="24"/>
          <w:szCs w:val="24"/>
        </w:rPr>
        <w:t>c</w:t>
      </w:r>
      <w:r w:rsidR="00F61854">
        <w:rPr>
          <w:rFonts w:ascii="Times New Roman" w:hAnsi="Times New Roman" w:cs="Times New Roman"/>
          <w:sz w:val="24"/>
          <w:szCs w:val="24"/>
        </w:rPr>
        <w:t>risis (Sep 1992–Aug 1993),</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9</m:t>
            </m:r>
            <m:r>
              <m:rPr>
                <m:sty m:val="p"/>
              </m:rPr>
              <w:rPr>
                <w:rFonts w:ascii="Cambria Math" w:hAnsi="Cambria Math" w:cs="Times New Roman"/>
                <w:sz w:val="24"/>
                <w:szCs w:val="24"/>
              </w:rPr>
              <m:t>,t</m:t>
            </m:r>
          </m:sub>
        </m:sSub>
      </m:oMath>
      <w:r w:rsidR="000D0D54">
        <w:rPr>
          <w:rFonts w:ascii="Times New Roman" w:eastAsiaTheme="minorEastAsia" w:hAnsi="Times New Roman" w:cs="Times New Roman"/>
          <w:sz w:val="24"/>
          <w:szCs w:val="24"/>
        </w:rPr>
        <w:t xml:space="preserve"> for </w:t>
      </w:r>
      <w:r w:rsidR="00AF7942">
        <w:rPr>
          <w:rFonts w:ascii="Times New Roman" w:eastAsiaTheme="minorEastAsia" w:hAnsi="Times New Roman" w:cs="Times New Roman"/>
          <w:sz w:val="24"/>
          <w:szCs w:val="24"/>
        </w:rPr>
        <w:t xml:space="preserve">the </w:t>
      </w:r>
      <w:r w:rsidR="00610EEC">
        <w:rPr>
          <w:rFonts w:ascii="Times New Roman" w:eastAsiaTheme="minorEastAsia" w:hAnsi="Times New Roman" w:cs="Times New Roman"/>
          <w:sz w:val="24"/>
          <w:szCs w:val="24"/>
        </w:rPr>
        <w:t xml:space="preserve">Mexican </w:t>
      </w:r>
      <w:r w:rsidR="00DD0D7F">
        <w:rPr>
          <w:rFonts w:ascii="Times New Roman" w:eastAsiaTheme="minorEastAsia" w:hAnsi="Times New Roman" w:cs="Times New Roman"/>
          <w:sz w:val="24"/>
          <w:szCs w:val="24"/>
        </w:rPr>
        <w:t>c</w:t>
      </w:r>
      <w:r w:rsidR="00610EEC">
        <w:rPr>
          <w:rFonts w:ascii="Times New Roman" w:eastAsiaTheme="minorEastAsia" w:hAnsi="Times New Roman" w:cs="Times New Roman"/>
          <w:sz w:val="24"/>
          <w:szCs w:val="24"/>
        </w:rPr>
        <w:t xml:space="preserve">urrency </w:t>
      </w:r>
      <w:r w:rsidR="00DD0D7F">
        <w:rPr>
          <w:rFonts w:ascii="Times New Roman" w:eastAsiaTheme="minorEastAsia" w:hAnsi="Times New Roman" w:cs="Times New Roman"/>
          <w:sz w:val="24"/>
          <w:szCs w:val="24"/>
        </w:rPr>
        <w:t>c</w:t>
      </w:r>
      <w:r w:rsidR="00610EEC">
        <w:rPr>
          <w:rFonts w:ascii="Times New Roman" w:eastAsiaTheme="minorEastAsia" w:hAnsi="Times New Roman" w:cs="Times New Roman"/>
          <w:sz w:val="24"/>
          <w:szCs w:val="24"/>
        </w:rPr>
        <w:t>risis</w:t>
      </w:r>
      <w:r w:rsidR="000D0D54" w:rsidRPr="00CA57CA">
        <w:rPr>
          <w:rFonts w:ascii="Times New Roman" w:eastAsiaTheme="minorEastAsia" w:hAnsi="Times New Roman" w:cs="Times New Roman"/>
          <w:sz w:val="24"/>
          <w:szCs w:val="24"/>
        </w:rPr>
        <w:t xml:space="preserve"> (Dec</w:t>
      </w:r>
      <w:r w:rsidR="006E4D91">
        <w:rPr>
          <w:rFonts w:ascii="Times New Roman" w:eastAsiaTheme="minorEastAsia" w:hAnsi="Times New Roman" w:cs="Times New Roman"/>
          <w:sz w:val="24"/>
          <w:szCs w:val="24"/>
        </w:rPr>
        <w:t xml:space="preserve"> </w:t>
      </w:r>
      <w:r w:rsidR="00F61854">
        <w:rPr>
          <w:rFonts w:ascii="Times New Roman" w:eastAsiaTheme="minorEastAsia" w:hAnsi="Times New Roman" w:cs="Times New Roman"/>
          <w:sz w:val="24"/>
          <w:szCs w:val="24"/>
        </w:rPr>
        <w:t>1994–Nov</w:t>
      </w:r>
      <w:r w:rsidR="006E4D91">
        <w:rPr>
          <w:rFonts w:ascii="Times New Roman" w:eastAsiaTheme="minorEastAsia" w:hAnsi="Times New Roman" w:cs="Times New Roman"/>
          <w:sz w:val="24"/>
          <w:szCs w:val="24"/>
        </w:rPr>
        <w:t xml:space="preserve"> </w:t>
      </w:r>
      <w:r w:rsidR="00F61854">
        <w:rPr>
          <w:rFonts w:ascii="Times New Roman" w:eastAsiaTheme="minorEastAsia" w:hAnsi="Times New Roman" w:cs="Times New Roman"/>
          <w:sz w:val="24"/>
          <w:szCs w:val="24"/>
        </w:rPr>
        <w:t>1995),</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10</m:t>
            </m:r>
            <m:r>
              <m:rPr>
                <m:sty m:val="p"/>
              </m:rPr>
              <w:rPr>
                <w:rFonts w:ascii="Cambria Math" w:hAnsi="Cambria Math" w:cs="Times New Roman"/>
                <w:sz w:val="24"/>
                <w:szCs w:val="24"/>
              </w:rPr>
              <m:t>,t</m:t>
            </m:r>
          </m:sub>
        </m:sSub>
      </m:oMath>
      <w:r w:rsidR="000D0D54" w:rsidRPr="00CA57CA">
        <w:rPr>
          <w:rFonts w:ascii="Times New Roman" w:hAnsi="Times New Roman" w:cs="Times New Roman"/>
          <w:sz w:val="24"/>
          <w:szCs w:val="24"/>
        </w:rPr>
        <w:t xml:space="preserve"> fo</w:t>
      </w:r>
      <w:r w:rsidR="000D0D54">
        <w:rPr>
          <w:rFonts w:ascii="Times New Roman" w:hAnsi="Times New Roman" w:cs="Times New Roman"/>
          <w:sz w:val="24"/>
          <w:szCs w:val="24"/>
        </w:rPr>
        <w:t xml:space="preserve">r </w:t>
      </w:r>
      <w:r w:rsidR="00AF7942">
        <w:rPr>
          <w:rFonts w:ascii="Times New Roman" w:hAnsi="Times New Roman" w:cs="Times New Roman"/>
          <w:sz w:val="24"/>
          <w:szCs w:val="24"/>
        </w:rPr>
        <w:t xml:space="preserve">the </w:t>
      </w:r>
      <w:r w:rsidR="000D0D54">
        <w:rPr>
          <w:rFonts w:ascii="Times New Roman" w:hAnsi="Times New Roman" w:cs="Times New Roman"/>
          <w:sz w:val="24"/>
          <w:szCs w:val="24"/>
        </w:rPr>
        <w:t xml:space="preserve">Asian and Russian </w:t>
      </w:r>
      <w:r w:rsidR="00DD0D7F">
        <w:rPr>
          <w:rFonts w:ascii="Times New Roman" w:hAnsi="Times New Roman" w:cs="Times New Roman"/>
          <w:sz w:val="24"/>
          <w:szCs w:val="24"/>
        </w:rPr>
        <w:t>c</w:t>
      </w:r>
      <w:r w:rsidR="000D0D54">
        <w:rPr>
          <w:rFonts w:ascii="Times New Roman" w:hAnsi="Times New Roman" w:cs="Times New Roman"/>
          <w:sz w:val="24"/>
          <w:szCs w:val="24"/>
        </w:rPr>
        <w:t>risis (Jun 1997–Oct</w:t>
      </w:r>
      <w:r w:rsidR="00F61854">
        <w:rPr>
          <w:rFonts w:ascii="Times New Roman" w:hAnsi="Times New Roman" w:cs="Times New Roman"/>
          <w:sz w:val="24"/>
          <w:szCs w:val="24"/>
        </w:rPr>
        <w:t xml:space="preserve"> 1998),</w:t>
      </w:r>
      <m:oMath>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DM</m:t>
            </m:r>
          </m:e>
          <m:sub>
            <m:r>
              <m:rPr>
                <m:sty m:val="p"/>
              </m:rPr>
              <w:rPr>
                <w:rFonts w:ascii="Cambria Math" w:hAnsi="Cambria Math" w:cs="Times New Roman"/>
                <w:sz w:val="24"/>
                <w:szCs w:val="24"/>
              </w:rPr>
              <m:t>11,t</m:t>
            </m:r>
          </m:sub>
        </m:sSub>
      </m:oMath>
      <w:r w:rsidR="000D0D54">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DD0D7F">
        <w:rPr>
          <w:rFonts w:ascii="Times New Roman" w:hAnsi="Times New Roman" w:cs="Times New Roman"/>
          <w:sz w:val="24"/>
          <w:szCs w:val="24"/>
        </w:rPr>
        <w:t>d</w:t>
      </w:r>
      <w:r w:rsidR="000D0D54">
        <w:rPr>
          <w:rFonts w:ascii="Times New Roman" w:hAnsi="Times New Roman" w:cs="Times New Roman"/>
          <w:sz w:val="24"/>
          <w:szCs w:val="24"/>
        </w:rPr>
        <w:t>ot-</w:t>
      </w:r>
      <w:r w:rsidR="00DD0D7F">
        <w:rPr>
          <w:rFonts w:ascii="Times New Roman" w:hAnsi="Times New Roman" w:cs="Times New Roman"/>
          <w:sz w:val="24"/>
          <w:szCs w:val="24"/>
        </w:rPr>
        <w:t>c</w:t>
      </w:r>
      <w:r w:rsidR="000D0D54">
        <w:rPr>
          <w:rFonts w:ascii="Times New Roman" w:hAnsi="Times New Roman" w:cs="Times New Roman"/>
          <w:sz w:val="24"/>
          <w:szCs w:val="24"/>
        </w:rPr>
        <w:t xml:space="preserve">om </w:t>
      </w:r>
      <w:r w:rsidR="00696DEF">
        <w:rPr>
          <w:rFonts w:ascii="Times New Roman" w:hAnsi="Times New Roman" w:cs="Times New Roman"/>
          <w:sz w:val="24"/>
          <w:szCs w:val="24"/>
        </w:rPr>
        <w:t>burst</w:t>
      </w:r>
      <w:r w:rsidR="002D4027">
        <w:rPr>
          <w:rFonts w:ascii="Times New Roman" w:hAnsi="Times New Roman" w:cs="Times New Roman"/>
          <w:sz w:val="24"/>
          <w:szCs w:val="24"/>
        </w:rPr>
        <w:t xml:space="preserve"> (Mar 2000–Sep</w:t>
      </w:r>
      <w:r w:rsidR="00F61854">
        <w:rPr>
          <w:rFonts w:ascii="Times New Roman" w:hAnsi="Times New Roman" w:cs="Times New Roman"/>
          <w:sz w:val="24"/>
          <w:szCs w:val="24"/>
        </w:rPr>
        <w:t xml:space="preserve"> 2002),</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12</m:t>
            </m:r>
            <m:r>
              <m:rPr>
                <m:sty m:val="p"/>
              </m:rPr>
              <w:rPr>
                <w:rFonts w:ascii="Cambria Math" w:hAnsi="Cambria Math" w:cs="Times New Roman"/>
                <w:sz w:val="24"/>
                <w:szCs w:val="24"/>
              </w:rPr>
              <m:t>,t</m:t>
            </m:r>
          </m:sub>
        </m:sSub>
      </m:oMath>
      <w:r w:rsidR="002B13E1" w:rsidRPr="00CA57CA">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065F43">
        <w:rPr>
          <w:rFonts w:ascii="Times New Roman" w:hAnsi="Times New Roman" w:cs="Times New Roman"/>
          <w:sz w:val="24"/>
          <w:szCs w:val="24"/>
        </w:rPr>
        <w:t>9/11</w:t>
      </w:r>
      <w:r w:rsidR="006E4D91">
        <w:rPr>
          <w:rFonts w:ascii="Times New Roman" w:hAnsi="Times New Roman" w:cs="Times New Roman"/>
          <w:sz w:val="24"/>
          <w:szCs w:val="24"/>
        </w:rPr>
        <w:t xml:space="preserve"> </w:t>
      </w:r>
      <w:r w:rsidR="00DD0D7F">
        <w:rPr>
          <w:rFonts w:ascii="Times New Roman" w:hAnsi="Times New Roman" w:cs="Times New Roman"/>
          <w:sz w:val="24"/>
          <w:szCs w:val="24"/>
        </w:rPr>
        <w:t>t</w:t>
      </w:r>
      <w:r w:rsidR="001F2138">
        <w:rPr>
          <w:rFonts w:ascii="Times New Roman" w:hAnsi="Times New Roman" w:cs="Times New Roman"/>
          <w:sz w:val="24"/>
          <w:szCs w:val="24"/>
        </w:rPr>
        <w:t xml:space="preserve">errorist </w:t>
      </w:r>
      <w:r w:rsidR="00DD0D7F">
        <w:rPr>
          <w:rFonts w:ascii="Times New Roman" w:hAnsi="Times New Roman" w:cs="Times New Roman"/>
          <w:sz w:val="24"/>
          <w:szCs w:val="24"/>
        </w:rPr>
        <w:t>a</w:t>
      </w:r>
      <w:r w:rsidR="002B13E1" w:rsidRPr="00CA57CA">
        <w:rPr>
          <w:rFonts w:ascii="Times New Roman" w:hAnsi="Times New Roman" w:cs="Times New Roman"/>
          <w:sz w:val="24"/>
          <w:szCs w:val="24"/>
        </w:rPr>
        <w:t>ttack and Afghanist</w:t>
      </w:r>
      <w:r w:rsidR="00F61854">
        <w:rPr>
          <w:rFonts w:ascii="Times New Roman" w:hAnsi="Times New Roman" w:cs="Times New Roman"/>
          <w:sz w:val="24"/>
          <w:szCs w:val="24"/>
        </w:rPr>
        <w:t>an War (Sep 2001–Dec 2013),</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13</m:t>
            </m:r>
            <m:r>
              <m:rPr>
                <m:sty m:val="p"/>
              </m:rPr>
              <w:rPr>
                <w:rFonts w:ascii="Cambria Math" w:hAnsi="Cambria Math" w:cs="Times New Roman"/>
                <w:sz w:val="24"/>
                <w:szCs w:val="24"/>
              </w:rPr>
              <m:t>,t</m:t>
            </m:r>
          </m:sub>
        </m:sSub>
      </m:oMath>
      <w:r w:rsidR="002B13E1" w:rsidRPr="00CA57CA">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2B13E1" w:rsidRPr="00CA57CA">
        <w:rPr>
          <w:rFonts w:ascii="Times New Roman" w:hAnsi="Times New Roman" w:cs="Times New Roman"/>
          <w:sz w:val="24"/>
          <w:szCs w:val="24"/>
        </w:rPr>
        <w:t>Iraq War (Mar</w:t>
      </w:r>
      <w:r w:rsidR="006E4D91">
        <w:rPr>
          <w:rFonts w:ascii="Times New Roman" w:hAnsi="Times New Roman" w:cs="Times New Roman"/>
          <w:sz w:val="24"/>
          <w:szCs w:val="24"/>
        </w:rPr>
        <w:t xml:space="preserve"> </w:t>
      </w:r>
      <w:r w:rsidR="008C74B1">
        <w:rPr>
          <w:rFonts w:ascii="Times New Roman" w:hAnsi="Times New Roman" w:cs="Times New Roman"/>
          <w:sz w:val="24"/>
          <w:szCs w:val="24"/>
        </w:rPr>
        <w:t>2003–Dec</w:t>
      </w:r>
      <w:r w:rsidR="002B13E1" w:rsidRPr="00CA57CA">
        <w:rPr>
          <w:rFonts w:ascii="Times New Roman" w:hAnsi="Times New Roman" w:cs="Times New Roman"/>
          <w:sz w:val="24"/>
          <w:szCs w:val="24"/>
        </w:rPr>
        <w:t xml:space="preserve"> 2011</w:t>
      </w:r>
      <w:r w:rsidR="00F61854">
        <w:rPr>
          <w:rFonts w:ascii="Times New Roman" w:eastAsiaTheme="minorEastAsia" w:hAnsi="Times New Roman" w:cs="Times New Roman"/>
          <w:sz w:val="24"/>
          <w:szCs w:val="24"/>
        </w:rPr>
        <w:t>),</w:t>
      </w:r>
      <w:r w:rsidR="006E4D91">
        <w:rPr>
          <w:rFonts w:ascii="Times New Roman" w:eastAsiaTheme="minorEastAsia"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m:rPr>
                <m:sty m:val="p"/>
              </m:rPr>
              <w:rPr>
                <w:rFonts w:ascii="Cambria Math" w:hAnsi="Cambria Math" w:cs="Times New Roman"/>
                <w:sz w:val="24"/>
                <w:szCs w:val="24"/>
              </w:rPr>
              <m:t>14,t</m:t>
            </m:r>
          </m:sub>
        </m:sSub>
      </m:oMath>
      <w:r w:rsidR="008C74B1">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DD0D7F">
        <w:rPr>
          <w:rFonts w:ascii="Times New Roman" w:hAnsi="Times New Roman" w:cs="Times New Roman"/>
          <w:sz w:val="24"/>
          <w:szCs w:val="24"/>
        </w:rPr>
        <w:t>g</w:t>
      </w:r>
      <w:r w:rsidR="008C74B1">
        <w:rPr>
          <w:rFonts w:ascii="Times New Roman" w:hAnsi="Times New Roman" w:cs="Times New Roman"/>
          <w:sz w:val="24"/>
          <w:szCs w:val="24"/>
        </w:rPr>
        <w:t xml:space="preserve">lobal </w:t>
      </w:r>
      <w:r w:rsidR="00DD0D7F">
        <w:rPr>
          <w:rFonts w:ascii="Times New Roman" w:hAnsi="Times New Roman" w:cs="Times New Roman"/>
          <w:sz w:val="24"/>
          <w:szCs w:val="24"/>
        </w:rPr>
        <w:t>f</w:t>
      </w:r>
      <w:r w:rsidR="002B13E1" w:rsidRPr="00CA57CA">
        <w:rPr>
          <w:rFonts w:ascii="Times New Roman" w:hAnsi="Times New Roman" w:cs="Times New Roman"/>
          <w:sz w:val="24"/>
          <w:szCs w:val="24"/>
        </w:rPr>
        <w:t xml:space="preserve">inancial </w:t>
      </w:r>
      <w:r w:rsidR="00DD0D7F">
        <w:rPr>
          <w:rFonts w:ascii="Times New Roman" w:hAnsi="Times New Roman" w:cs="Times New Roman"/>
          <w:sz w:val="24"/>
          <w:szCs w:val="24"/>
        </w:rPr>
        <w:t>c</w:t>
      </w:r>
      <w:r w:rsidR="002B13E1" w:rsidRPr="00CA57CA">
        <w:rPr>
          <w:rFonts w:ascii="Times New Roman" w:hAnsi="Times New Roman" w:cs="Times New Roman"/>
          <w:sz w:val="24"/>
          <w:szCs w:val="24"/>
        </w:rPr>
        <w:t>risis (Aug</w:t>
      </w:r>
      <w:r w:rsidR="006E4D91">
        <w:rPr>
          <w:rFonts w:ascii="Times New Roman" w:hAnsi="Times New Roman" w:cs="Times New Roman"/>
          <w:sz w:val="24"/>
          <w:szCs w:val="24"/>
        </w:rPr>
        <w:t xml:space="preserve"> </w:t>
      </w:r>
      <w:r w:rsidR="008C74B1">
        <w:rPr>
          <w:rFonts w:ascii="Times New Roman" w:hAnsi="Times New Roman" w:cs="Times New Roman"/>
          <w:sz w:val="24"/>
          <w:szCs w:val="24"/>
        </w:rPr>
        <w:t>2007–Jun</w:t>
      </w:r>
      <w:r w:rsidR="00F61854">
        <w:rPr>
          <w:rFonts w:ascii="Times New Roman" w:hAnsi="Times New Roman" w:cs="Times New Roman"/>
          <w:sz w:val="24"/>
          <w:szCs w:val="24"/>
        </w:rPr>
        <w:t xml:space="preserve"> 2009), and finally</w:t>
      </w:r>
      <w:r w:rsidR="006E4D91">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DM</m:t>
            </m:r>
          </m:e>
          <m:sub>
            <m:r>
              <w:rPr>
                <w:rFonts w:ascii="Cambria Math" w:hAnsi="Cambria Math" w:cs="Times New Roman"/>
                <w:sz w:val="24"/>
                <w:szCs w:val="24"/>
              </w:rPr>
              <m:t>15</m:t>
            </m:r>
            <m:r>
              <m:rPr>
                <m:sty m:val="p"/>
              </m:rPr>
              <w:rPr>
                <w:rFonts w:ascii="Cambria Math" w:hAnsi="Cambria Math" w:cs="Times New Roman"/>
                <w:sz w:val="24"/>
                <w:szCs w:val="24"/>
              </w:rPr>
              <m:t>,t</m:t>
            </m:r>
          </m:sub>
        </m:sSub>
      </m:oMath>
      <w:r w:rsidR="002B13E1" w:rsidRPr="00CA57CA">
        <w:rPr>
          <w:rFonts w:ascii="Times New Roman" w:hAnsi="Times New Roman" w:cs="Times New Roman"/>
          <w:sz w:val="24"/>
          <w:szCs w:val="24"/>
        </w:rPr>
        <w:t xml:space="preserve"> for </w:t>
      </w:r>
      <w:r w:rsidR="00AF7942">
        <w:rPr>
          <w:rFonts w:ascii="Times New Roman" w:hAnsi="Times New Roman" w:cs="Times New Roman"/>
          <w:sz w:val="24"/>
          <w:szCs w:val="24"/>
        </w:rPr>
        <w:t xml:space="preserve">the </w:t>
      </w:r>
      <w:r w:rsidR="002B13E1" w:rsidRPr="00CA57CA">
        <w:rPr>
          <w:rFonts w:ascii="Times New Roman" w:hAnsi="Times New Roman" w:cs="Times New Roman"/>
          <w:sz w:val="24"/>
          <w:szCs w:val="24"/>
        </w:rPr>
        <w:t xml:space="preserve">Eurozone </w:t>
      </w:r>
      <w:r w:rsidR="00DD0D7F">
        <w:rPr>
          <w:rFonts w:ascii="Times New Roman" w:hAnsi="Times New Roman" w:cs="Times New Roman"/>
          <w:sz w:val="24"/>
          <w:szCs w:val="24"/>
        </w:rPr>
        <w:t>d</w:t>
      </w:r>
      <w:r w:rsidR="002B13E1" w:rsidRPr="00CA57CA">
        <w:rPr>
          <w:rFonts w:ascii="Times New Roman" w:hAnsi="Times New Roman" w:cs="Times New Roman"/>
          <w:sz w:val="24"/>
          <w:szCs w:val="24"/>
        </w:rPr>
        <w:t xml:space="preserve">ebt </w:t>
      </w:r>
      <w:r w:rsidR="00DD0D7F">
        <w:rPr>
          <w:rFonts w:ascii="Times New Roman" w:hAnsi="Times New Roman" w:cs="Times New Roman"/>
          <w:sz w:val="24"/>
          <w:szCs w:val="24"/>
        </w:rPr>
        <w:t>c</w:t>
      </w:r>
      <w:r w:rsidR="008C74B1">
        <w:rPr>
          <w:rFonts w:ascii="Times New Roman" w:hAnsi="Times New Roman" w:cs="Times New Roman"/>
          <w:sz w:val="24"/>
          <w:szCs w:val="24"/>
        </w:rPr>
        <w:t>risis (May 2010–Dec</w:t>
      </w:r>
      <w:r w:rsidR="002B13E1" w:rsidRPr="00CA57CA">
        <w:rPr>
          <w:rFonts w:ascii="Times New Roman" w:hAnsi="Times New Roman" w:cs="Times New Roman"/>
          <w:sz w:val="24"/>
          <w:szCs w:val="24"/>
        </w:rPr>
        <w:t xml:space="preserve"> 2015)</w:t>
      </w:r>
      <w:r w:rsidR="001F2138">
        <w:rPr>
          <w:rFonts w:ascii="Times New Roman" w:hAnsi="Times New Roman" w:cs="Times New Roman"/>
          <w:sz w:val="24"/>
          <w:szCs w:val="24"/>
        </w:rPr>
        <w:t>.</w:t>
      </w:r>
    </w:p>
    <w:p w:rsidR="00610A7F" w:rsidRDefault="00610A7F" w:rsidP="00AF6503">
      <w:pPr>
        <w:spacing w:after="0" w:line="480" w:lineRule="auto"/>
        <w:ind w:right="282" w:firstLine="720"/>
        <w:rPr>
          <w:rFonts w:ascii="Times New Roman" w:hAnsi="Times New Roman" w:cs="Times New Roman"/>
          <w:sz w:val="24"/>
          <w:szCs w:val="24"/>
        </w:rPr>
      </w:pPr>
    </w:p>
    <w:p w:rsidR="00166050" w:rsidRPr="006853EA" w:rsidRDefault="00AF745D" w:rsidP="00AF6503">
      <w:pPr>
        <w:pStyle w:val="Heading1"/>
        <w:numPr>
          <w:ilvl w:val="0"/>
          <w:numId w:val="42"/>
        </w:numPr>
        <w:spacing w:before="0" w:line="480" w:lineRule="auto"/>
        <w:ind w:left="0" w:right="282" w:firstLine="0"/>
        <w:rPr>
          <w:rFonts w:ascii="Times New Roman" w:hAnsi="Times New Roman" w:cs="Times New Roman"/>
          <w:color w:val="auto"/>
          <w:sz w:val="24"/>
          <w:szCs w:val="24"/>
        </w:rPr>
      </w:pPr>
      <w:r w:rsidRPr="006853EA">
        <w:rPr>
          <w:rFonts w:ascii="Times New Roman" w:hAnsi="Times New Roman" w:cs="Times New Roman"/>
          <w:color w:val="auto"/>
          <w:sz w:val="24"/>
          <w:szCs w:val="24"/>
        </w:rPr>
        <w:t>D</w:t>
      </w:r>
      <w:r w:rsidR="005369EE">
        <w:rPr>
          <w:rFonts w:ascii="Times New Roman" w:hAnsi="Times New Roman" w:cs="Times New Roman"/>
          <w:color w:val="auto"/>
          <w:sz w:val="24"/>
          <w:szCs w:val="24"/>
        </w:rPr>
        <w:t>ataset</w:t>
      </w:r>
    </w:p>
    <w:p w:rsidR="007D536B" w:rsidRDefault="00DF139D" w:rsidP="00AF6503">
      <w:pPr>
        <w:spacing w:after="0" w:line="480" w:lineRule="auto"/>
        <w:ind w:right="282" w:firstLine="720"/>
        <w:rPr>
          <w:rFonts w:ascii="Times New Roman" w:hAnsi="Times New Roman" w:cs="Times New Roman"/>
          <w:sz w:val="24"/>
          <w:szCs w:val="24"/>
        </w:rPr>
      </w:pPr>
      <w:bookmarkStart w:id="1" w:name="_Ref409514833"/>
      <w:r>
        <w:rPr>
          <w:rFonts w:ascii="Times New Roman" w:hAnsi="Times New Roman" w:cs="Times New Roman"/>
          <w:sz w:val="24"/>
          <w:szCs w:val="24"/>
        </w:rPr>
        <w:t>We consider</w:t>
      </w:r>
      <w:r w:rsidR="000C1AA6">
        <w:rPr>
          <w:rFonts w:ascii="Times New Roman" w:hAnsi="Times New Roman" w:cs="Times New Roman"/>
          <w:sz w:val="24"/>
          <w:szCs w:val="24"/>
        </w:rPr>
        <w:t xml:space="preserve"> the</w:t>
      </w:r>
      <w:r>
        <w:rPr>
          <w:rFonts w:ascii="Times New Roman" w:hAnsi="Times New Roman" w:cs="Times New Roman"/>
          <w:sz w:val="24"/>
          <w:szCs w:val="24"/>
        </w:rPr>
        <w:t xml:space="preserve"> daily </w:t>
      </w:r>
      <w:r w:rsidR="00EB4F89">
        <w:rPr>
          <w:rFonts w:ascii="Times New Roman" w:hAnsi="Times New Roman" w:cs="Times New Roman"/>
          <w:sz w:val="24"/>
          <w:szCs w:val="24"/>
        </w:rPr>
        <w:t xml:space="preserve">closing </w:t>
      </w:r>
      <w:r>
        <w:rPr>
          <w:rFonts w:ascii="Times New Roman" w:hAnsi="Times New Roman" w:cs="Times New Roman"/>
          <w:sz w:val="24"/>
          <w:szCs w:val="24"/>
        </w:rPr>
        <w:t>prices</w:t>
      </w:r>
      <w:r w:rsidR="00166050" w:rsidRPr="006853EA">
        <w:rPr>
          <w:rFonts w:ascii="Times New Roman" w:hAnsi="Times New Roman" w:cs="Times New Roman"/>
          <w:sz w:val="24"/>
          <w:szCs w:val="24"/>
        </w:rPr>
        <w:t xml:space="preserve"> of </w:t>
      </w:r>
      <w:r w:rsidR="00DD0D7F">
        <w:rPr>
          <w:rFonts w:ascii="Times New Roman" w:hAnsi="Times New Roman" w:cs="Times New Roman"/>
          <w:sz w:val="24"/>
          <w:szCs w:val="24"/>
        </w:rPr>
        <w:t xml:space="preserve">the </w:t>
      </w:r>
      <w:r w:rsidR="00166050" w:rsidRPr="006853EA">
        <w:rPr>
          <w:rFonts w:ascii="Times New Roman" w:hAnsi="Times New Roman" w:cs="Times New Roman"/>
          <w:sz w:val="24"/>
          <w:szCs w:val="24"/>
        </w:rPr>
        <w:t xml:space="preserve">FT30 and Dow30 indices </w:t>
      </w:r>
      <w:r>
        <w:rPr>
          <w:rFonts w:ascii="Times New Roman" w:hAnsi="Times New Roman" w:cs="Times New Roman"/>
          <w:sz w:val="24"/>
          <w:szCs w:val="24"/>
        </w:rPr>
        <w:t>over the period</w:t>
      </w:r>
      <w:r w:rsidR="00166050" w:rsidRPr="006853EA">
        <w:rPr>
          <w:rFonts w:ascii="Times New Roman" w:hAnsi="Times New Roman" w:cs="Times New Roman"/>
          <w:sz w:val="24"/>
          <w:szCs w:val="24"/>
        </w:rPr>
        <w:t xml:space="preserve"> July </w:t>
      </w:r>
      <w:r w:rsidR="00DD0D7F">
        <w:rPr>
          <w:rFonts w:ascii="Times New Roman" w:hAnsi="Times New Roman" w:cs="Times New Roman"/>
          <w:sz w:val="24"/>
          <w:szCs w:val="24"/>
        </w:rPr>
        <w:t xml:space="preserve">1, </w:t>
      </w:r>
      <w:r w:rsidR="00C91E8A">
        <w:rPr>
          <w:rFonts w:ascii="Times New Roman" w:hAnsi="Times New Roman" w:cs="Times New Roman"/>
          <w:sz w:val="24"/>
          <w:szCs w:val="24"/>
        </w:rPr>
        <w:t xml:space="preserve">1935 to </w:t>
      </w:r>
      <w:r w:rsidR="00166050" w:rsidRPr="006853EA">
        <w:rPr>
          <w:rFonts w:ascii="Times New Roman" w:hAnsi="Times New Roman" w:cs="Times New Roman"/>
          <w:sz w:val="24"/>
          <w:szCs w:val="24"/>
        </w:rPr>
        <w:t xml:space="preserve">June </w:t>
      </w:r>
      <w:r w:rsidR="00DD0D7F">
        <w:rPr>
          <w:rFonts w:ascii="Times New Roman" w:hAnsi="Times New Roman" w:cs="Times New Roman"/>
          <w:sz w:val="24"/>
          <w:szCs w:val="24"/>
        </w:rPr>
        <w:t xml:space="preserve">30, </w:t>
      </w:r>
      <w:r w:rsidR="00166050" w:rsidRPr="006853EA">
        <w:rPr>
          <w:rFonts w:ascii="Times New Roman" w:hAnsi="Times New Roman" w:cs="Times New Roman"/>
          <w:sz w:val="24"/>
          <w:szCs w:val="24"/>
        </w:rPr>
        <w:t>2015.</w:t>
      </w:r>
      <w:r w:rsidR="00F316F4">
        <w:rPr>
          <w:rStyle w:val="FootnoteReference"/>
          <w:rFonts w:ascii="Times New Roman" w:hAnsi="Times New Roman" w:cs="Times New Roman"/>
          <w:sz w:val="24"/>
          <w:szCs w:val="24"/>
        </w:rPr>
        <w:footnoteReference w:id="2"/>
      </w:r>
      <w:r w:rsidR="001A61CC">
        <w:rPr>
          <w:rFonts w:ascii="Times New Roman" w:hAnsi="Times New Roman" w:cs="Times New Roman"/>
          <w:sz w:val="24"/>
          <w:szCs w:val="24"/>
        </w:rPr>
        <w:t xml:space="preserve"> </w:t>
      </w:r>
      <w:r w:rsidR="009A30B0">
        <w:rPr>
          <w:rFonts w:ascii="Times New Roman" w:hAnsi="Times New Roman" w:cs="Times New Roman"/>
          <w:sz w:val="24"/>
          <w:szCs w:val="24"/>
        </w:rPr>
        <w:t>The FT30</w:t>
      </w:r>
      <w:r w:rsidR="004A3614">
        <w:rPr>
          <w:rFonts w:ascii="Times New Roman" w:hAnsi="Times New Roman" w:cs="Times New Roman"/>
          <w:sz w:val="24"/>
          <w:szCs w:val="24"/>
        </w:rPr>
        <w:t xml:space="preserve"> index </w:t>
      </w:r>
      <w:r w:rsidR="009A30B0">
        <w:rPr>
          <w:rFonts w:ascii="Times New Roman" w:hAnsi="Times New Roman" w:cs="Times New Roman"/>
          <w:sz w:val="24"/>
          <w:szCs w:val="24"/>
        </w:rPr>
        <w:t xml:space="preserve">was launched on July </w:t>
      </w:r>
      <w:r w:rsidR="00DD0D7F">
        <w:rPr>
          <w:rFonts w:ascii="Times New Roman" w:hAnsi="Times New Roman" w:cs="Times New Roman"/>
          <w:sz w:val="24"/>
          <w:szCs w:val="24"/>
        </w:rPr>
        <w:t xml:space="preserve">1, </w:t>
      </w:r>
      <w:r w:rsidR="009A30B0">
        <w:rPr>
          <w:rFonts w:ascii="Times New Roman" w:hAnsi="Times New Roman" w:cs="Times New Roman"/>
          <w:sz w:val="24"/>
          <w:szCs w:val="24"/>
        </w:rPr>
        <w:t>1935</w:t>
      </w:r>
      <w:r w:rsidR="00DD0D7F">
        <w:rPr>
          <w:rFonts w:ascii="Times New Roman" w:hAnsi="Times New Roman" w:cs="Times New Roman"/>
          <w:sz w:val="24"/>
          <w:szCs w:val="24"/>
        </w:rPr>
        <w:t>,</w:t>
      </w:r>
      <w:r w:rsidR="001A61CC">
        <w:rPr>
          <w:rFonts w:ascii="Times New Roman" w:hAnsi="Times New Roman" w:cs="Times New Roman"/>
          <w:sz w:val="24"/>
          <w:szCs w:val="24"/>
        </w:rPr>
        <w:t xml:space="preserve"> </w:t>
      </w:r>
      <w:r w:rsidR="00691D4C">
        <w:rPr>
          <w:rFonts w:ascii="Times New Roman" w:hAnsi="Times New Roman" w:cs="Times New Roman"/>
          <w:sz w:val="24"/>
          <w:szCs w:val="24"/>
        </w:rPr>
        <w:t>and</w:t>
      </w:r>
      <w:r w:rsidR="003435F5">
        <w:rPr>
          <w:rFonts w:ascii="Times New Roman" w:hAnsi="Times New Roman" w:cs="Times New Roman"/>
          <w:sz w:val="24"/>
          <w:szCs w:val="24"/>
        </w:rPr>
        <w:t xml:space="preserve"> is</w:t>
      </w:r>
      <w:r w:rsidR="00691D4C">
        <w:rPr>
          <w:rFonts w:ascii="Times New Roman" w:hAnsi="Times New Roman" w:cs="Times New Roman"/>
          <w:sz w:val="24"/>
          <w:szCs w:val="24"/>
        </w:rPr>
        <w:t xml:space="preserve"> the geometric average </w:t>
      </w:r>
      <w:r w:rsidR="00691D4C">
        <w:rPr>
          <w:rFonts w:ascii="Times New Roman" w:hAnsi="Times New Roman" w:cs="Times New Roman"/>
          <w:sz w:val="24"/>
          <w:szCs w:val="24"/>
        </w:rPr>
        <w:lastRenderedPageBreak/>
        <w:t>weighting of 30 UK blue</w:t>
      </w:r>
      <w:r w:rsidR="00DD0D7F">
        <w:rPr>
          <w:rFonts w:ascii="Times New Roman" w:hAnsi="Times New Roman" w:cs="Times New Roman"/>
          <w:sz w:val="24"/>
          <w:szCs w:val="24"/>
        </w:rPr>
        <w:t>-</w:t>
      </w:r>
      <w:r w:rsidR="00691D4C">
        <w:rPr>
          <w:rFonts w:ascii="Times New Roman" w:hAnsi="Times New Roman" w:cs="Times New Roman"/>
          <w:sz w:val="24"/>
          <w:szCs w:val="24"/>
        </w:rPr>
        <w:t xml:space="preserve">chip companies. </w:t>
      </w:r>
      <w:r w:rsidR="00E34442">
        <w:rPr>
          <w:rFonts w:ascii="Times New Roman" w:hAnsi="Times New Roman" w:cs="Times New Roman"/>
          <w:sz w:val="24"/>
          <w:szCs w:val="24"/>
        </w:rPr>
        <w:t>T</w:t>
      </w:r>
      <w:r w:rsidR="009A30B0">
        <w:rPr>
          <w:rFonts w:ascii="Times New Roman" w:hAnsi="Times New Roman" w:cs="Times New Roman"/>
          <w:sz w:val="24"/>
          <w:szCs w:val="24"/>
        </w:rPr>
        <w:t>he Dow</w:t>
      </w:r>
      <w:r w:rsidR="001A61CC">
        <w:rPr>
          <w:rFonts w:ascii="Times New Roman" w:hAnsi="Times New Roman" w:cs="Times New Roman"/>
          <w:sz w:val="24"/>
          <w:szCs w:val="24"/>
        </w:rPr>
        <w:t xml:space="preserve"> </w:t>
      </w:r>
      <w:r w:rsidR="004A3614">
        <w:rPr>
          <w:rFonts w:ascii="Times New Roman" w:hAnsi="Times New Roman" w:cs="Times New Roman"/>
          <w:sz w:val="24"/>
          <w:szCs w:val="24"/>
        </w:rPr>
        <w:t>was</w:t>
      </w:r>
      <w:r w:rsidR="009A30B0">
        <w:rPr>
          <w:rFonts w:ascii="Times New Roman" w:hAnsi="Times New Roman" w:cs="Times New Roman"/>
          <w:sz w:val="24"/>
          <w:szCs w:val="24"/>
        </w:rPr>
        <w:t xml:space="preserve"> expanded to 30 blue</w:t>
      </w:r>
      <w:r w:rsidR="00DD0D7F">
        <w:rPr>
          <w:rFonts w:ascii="Times New Roman" w:hAnsi="Times New Roman" w:cs="Times New Roman"/>
          <w:sz w:val="24"/>
          <w:szCs w:val="24"/>
        </w:rPr>
        <w:t>-</w:t>
      </w:r>
      <w:r w:rsidR="009A30B0">
        <w:rPr>
          <w:rFonts w:ascii="Times New Roman" w:hAnsi="Times New Roman" w:cs="Times New Roman"/>
          <w:sz w:val="24"/>
          <w:szCs w:val="24"/>
        </w:rPr>
        <w:t xml:space="preserve">chip companies in </w:t>
      </w:r>
      <w:r w:rsidR="00DA0439">
        <w:rPr>
          <w:rFonts w:ascii="Times New Roman" w:hAnsi="Times New Roman" w:cs="Times New Roman"/>
          <w:sz w:val="24"/>
          <w:szCs w:val="24"/>
        </w:rPr>
        <w:t xml:space="preserve">October </w:t>
      </w:r>
      <w:r w:rsidR="009A30B0">
        <w:rPr>
          <w:rFonts w:ascii="Times New Roman" w:hAnsi="Times New Roman" w:cs="Times New Roman"/>
          <w:sz w:val="24"/>
          <w:szCs w:val="24"/>
        </w:rPr>
        <w:t>1928</w:t>
      </w:r>
      <w:r w:rsidR="00691D4C">
        <w:rPr>
          <w:rFonts w:ascii="Times New Roman" w:hAnsi="Times New Roman" w:cs="Times New Roman"/>
          <w:sz w:val="24"/>
          <w:szCs w:val="24"/>
        </w:rPr>
        <w:t xml:space="preserve"> and </w:t>
      </w:r>
      <w:r w:rsidR="004A2DA0">
        <w:rPr>
          <w:rFonts w:ascii="Times New Roman" w:hAnsi="Times New Roman" w:cs="Times New Roman"/>
          <w:sz w:val="24"/>
          <w:szCs w:val="24"/>
        </w:rPr>
        <w:t>is a price-weighted index</w:t>
      </w:r>
      <w:r w:rsidR="001A61CC">
        <w:rPr>
          <w:rFonts w:ascii="Times New Roman" w:hAnsi="Times New Roman" w:cs="Times New Roman"/>
          <w:sz w:val="24"/>
          <w:szCs w:val="24"/>
        </w:rPr>
        <w:t xml:space="preserve"> </w:t>
      </w:r>
      <w:r w:rsidR="00691D4C">
        <w:rPr>
          <w:rFonts w:ascii="Times New Roman" w:hAnsi="Times New Roman" w:cs="Times New Roman"/>
          <w:sz w:val="24"/>
          <w:szCs w:val="24"/>
        </w:rPr>
        <w:t>of 30 large and diverse companies</w:t>
      </w:r>
      <w:r w:rsidR="009A30B0">
        <w:rPr>
          <w:rFonts w:ascii="Times New Roman" w:hAnsi="Times New Roman" w:cs="Times New Roman"/>
          <w:sz w:val="24"/>
          <w:szCs w:val="24"/>
        </w:rPr>
        <w:t xml:space="preserve">. </w:t>
      </w:r>
      <w:r w:rsidR="00EB4F89">
        <w:rPr>
          <w:rFonts w:ascii="Times New Roman" w:hAnsi="Times New Roman" w:cs="Times New Roman"/>
          <w:sz w:val="24"/>
          <w:szCs w:val="24"/>
        </w:rPr>
        <w:t>The stock</w:t>
      </w:r>
      <w:r w:rsidR="00EB4F89" w:rsidRPr="00F96429">
        <w:rPr>
          <w:rFonts w:ascii="Times New Roman" w:hAnsi="Times New Roman" w:cs="Times New Roman"/>
          <w:sz w:val="24"/>
          <w:szCs w:val="24"/>
        </w:rPr>
        <w:t xml:space="preserve"> prices are denominated in local currency </w:t>
      </w:r>
      <w:r w:rsidR="00DD0D7F">
        <w:rPr>
          <w:rFonts w:ascii="Times New Roman" w:hAnsi="Times New Roman" w:cs="Times New Roman"/>
          <w:sz w:val="24"/>
          <w:szCs w:val="24"/>
        </w:rPr>
        <w:t xml:space="preserve">in order to isolate </w:t>
      </w:r>
      <w:r w:rsidR="00EB4F89" w:rsidRPr="00F96429">
        <w:rPr>
          <w:rFonts w:ascii="Times New Roman" w:hAnsi="Times New Roman" w:cs="Times New Roman"/>
          <w:sz w:val="24"/>
          <w:szCs w:val="24"/>
        </w:rPr>
        <w:t>th</w:t>
      </w:r>
      <w:r w:rsidR="00EB4F89">
        <w:rPr>
          <w:rFonts w:ascii="Times New Roman" w:hAnsi="Times New Roman" w:cs="Times New Roman"/>
          <w:sz w:val="24"/>
          <w:szCs w:val="24"/>
        </w:rPr>
        <w:t>e direct</w:t>
      </w:r>
      <w:r w:rsidR="00EB4F89" w:rsidRPr="00F96429">
        <w:rPr>
          <w:rFonts w:ascii="Times New Roman" w:hAnsi="Times New Roman" w:cs="Times New Roman"/>
          <w:sz w:val="24"/>
          <w:szCs w:val="24"/>
        </w:rPr>
        <w:t xml:space="preserve"> linkages </w:t>
      </w:r>
      <w:r w:rsidR="00EB4F89">
        <w:rPr>
          <w:rFonts w:ascii="Times New Roman" w:hAnsi="Times New Roman" w:cs="Times New Roman"/>
          <w:sz w:val="24"/>
          <w:szCs w:val="24"/>
        </w:rPr>
        <w:t xml:space="preserve">between the </w:t>
      </w:r>
      <w:r w:rsidR="00EB4F89" w:rsidRPr="00F96429">
        <w:rPr>
          <w:rFonts w:ascii="Times New Roman" w:hAnsi="Times New Roman" w:cs="Times New Roman"/>
          <w:sz w:val="24"/>
          <w:szCs w:val="24"/>
        </w:rPr>
        <w:t>markets</w:t>
      </w:r>
      <w:r w:rsidR="00EB4F89">
        <w:rPr>
          <w:rFonts w:ascii="Times New Roman" w:hAnsi="Times New Roman" w:cs="Times New Roman"/>
          <w:sz w:val="24"/>
          <w:szCs w:val="24"/>
        </w:rPr>
        <w:t xml:space="preserve"> under scrutiny</w:t>
      </w:r>
      <w:r w:rsidR="001A61CC">
        <w:rPr>
          <w:rFonts w:ascii="Times New Roman" w:hAnsi="Times New Roman" w:cs="Times New Roman"/>
          <w:sz w:val="24"/>
          <w:szCs w:val="24"/>
        </w:rPr>
        <w:t xml:space="preserve"> </w:t>
      </w:r>
      <w:r w:rsidR="00DD0D7F">
        <w:rPr>
          <w:rFonts w:ascii="Times New Roman" w:hAnsi="Times New Roman" w:cs="Times New Roman"/>
          <w:sz w:val="24"/>
          <w:szCs w:val="24"/>
        </w:rPr>
        <w:t xml:space="preserve">from </w:t>
      </w:r>
      <w:r w:rsidR="00EB4F89" w:rsidRPr="00F96429">
        <w:rPr>
          <w:rFonts w:ascii="Times New Roman" w:hAnsi="Times New Roman" w:cs="Times New Roman"/>
          <w:sz w:val="24"/>
          <w:szCs w:val="24"/>
        </w:rPr>
        <w:t>exchange rate risk</w:t>
      </w:r>
      <w:r w:rsidR="00EB4F89">
        <w:rPr>
          <w:rFonts w:ascii="Times New Roman" w:hAnsi="Times New Roman" w:cs="Times New Roman"/>
          <w:sz w:val="24"/>
          <w:szCs w:val="24"/>
        </w:rPr>
        <w:t xml:space="preserve">. </w:t>
      </w:r>
      <w:r w:rsidR="006C727A">
        <w:rPr>
          <w:rFonts w:ascii="Times New Roman" w:hAnsi="Times New Roman" w:cs="Times New Roman"/>
          <w:sz w:val="24"/>
          <w:szCs w:val="24"/>
        </w:rPr>
        <w:t xml:space="preserve">Our dataset </w:t>
      </w:r>
      <w:r w:rsidR="00AF7942">
        <w:rPr>
          <w:rFonts w:ascii="Times New Roman" w:hAnsi="Times New Roman" w:cs="Times New Roman"/>
          <w:sz w:val="24"/>
          <w:szCs w:val="24"/>
        </w:rPr>
        <w:t xml:space="preserve">also </w:t>
      </w:r>
      <w:r w:rsidR="006C727A">
        <w:rPr>
          <w:rFonts w:ascii="Times New Roman" w:hAnsi="Times New Roman" w:cs="Times New Roman"/>
          <w:sz w:val="24"/>
          <w:szCs w:val="24"/>
        </w:rPr>
        <w:t>includes monthly series of the yield spread</w:t>
      </w:r>
      <w:r w:rsidR="003D4E43">
        <w:rPr>
          <w:rFonts w:ascii="Times New Roman" w:hAnsi="Times New Roman" w:cs="Times New Roman"/>
          <w:sz w:val="24"/>
          <w:szCs w:val="24"/>
        </w:rPr>
        <w:t>,</w:t>
      </w:r>
      <w:r w:rsidR="006C727A">
        <w:rPr>
          <w:rFonts w:ascii="Times New Roman" w:hAnsi="Times New Roman" w:cs="Times New Roman"/>
          <w:sz w:val="24"/>
          <w:szCs w:val="24"/>
        </w:rPr>
        <w:t xml:space="preserve"> CPI inflation, industrial output,</w:t>
      </w:r>
      <w:r w:rsidR="001A61CC">
        <w:rPr>
          <w:rFonts w:ascii="Times New Roman" w:hAnsi="Times New Roman" w:cs="Times New Roman"/>
          <w:sz w:val="24"/>
          <w:szCs w:val="24"/>
        </w:rPr>
        <w:t xml:space="preserve"> </w:t>
      </w:r>
      <w:r w:rsidR="00065F43">
        <w:rPr>
          <w:rFonts w:ascii="Times New Roman" w:hAnsi="Times New Roman" w:cs="Times New Roman"/>
          <w:sz w:val="24"/>
          <w:szCs w:val="24"/>
        </w:rPr>
        <w:t xml:space="preserve">Baker </w:t>
      </w:r>
      <w:r w:rsidR="00B12241" w:rsidRPr="00B12241">
        <w:rPr>
          <w:rFonts w:ascii="Times New Roman" w:hAnsi="Times New Roman" w:cs="Times New Roman"/>
          <w:sz w:val="24"/>
          <w:szCs w:val="24"/>
        </w:rPr>
        <w:t>et al.’s</w:t>
      </w:r>
      <w:r w:rsidR="001A61CC">
        <w:rPr>
          <w:rFonts w:ascii="Times New Roman" w:hAnsi="Times New Roman" w:cs="Times New Roman"/>
          <w:sz w:val="24"/>
          <w:szCs w:val="24"/>
        </w:rPr>
        <w:t xml:space="preserve"> </w:t>
      </w:r>
      <w:r w:rsidR="00065F43">
        <w:rPr>
          <w:rFonts w:ascii="Times New Roman" w:hAnsi="Times New Roman" w:cs="Times New Roman"/>
          <w:sz w:val="24"/>
          <w:szCs w:val="24"/>
        </w:rPr>
        <w:t>(</w:t>
      </w:r>
      <w:r w:rsidR="00433D63">
        <w:rPr>
          <w:rFonts w:ascii="Times New Roman" w:hAnsi="Times New Roman" w:cs="Times New Roman"/>
          <w:sz w:val="24"/>
          <w:szCs w:val="24"/>
        </w:rPr>
        <w:t>2016</w:t>
      </w:r>
      <w:r w:rsidR="00065F43">
        <w:rPr>
          <w:rFonts w:ascii="Times New Roman" w:hAnsi="Times New Roman" w:cs="Times New Roman"/>
          <w:sz w:val="24"/>
          <w:szCs w:val="24"/>
        </w:rPr>
        <w:t>)</w:t>
      </w:r>
      <w:r w:rsidR="00433D63">
        <w:rPr>
          <w:rFonts w:ascii="Times New Roman" w:hAnsi="Times New Roman" w:cs="Times New Roman"/>
          <w:sz w:val="24"/>
          <w:szCs w:val="24"/>
        </w:rPr>
        <w:t xml:space="preserve"> index of</w:t>
      </w:r>
      <w:r w:rsidR="00C719EB">
        <w:rPr>
          <w:rFonts w:ascii="Times New Roman" w:hAnsi="Times New Roman" w:cs="Times New Roman"/>
          <w:sz w:val="24"/>
          <w:szCs w:val="24"/>
        </w:rPr>
        <w:t xml:space="preserve"> economic policy uncertainty,</w:t>
      </w:r>
      <w:r w:rsidR="006C727A">
        <w:rPr>
          <w:rFonts w:ascii="Times New Roman" w:hAnsi="Times New Roman" w:cs="Times New Roman"/>
          <w:sz w:val="24"/>
          <w:szCs w:val="24"/>
        </w:rPr>
        <w:t xml:space="preserve"> foreign exchange, </w:t>
      </w:r>
      <w:r w:rsidR="00DD0D7F">
        <w:rPr>
          <w:rFonts w:ascii="Times New Roman" w:hAnsi="Times New Roman" w:cs="Times New Roman"/>
          <w:sz w:val="24"/>
          <w:szCs w:val="24"/>
        </w:rPr>
        <w:t xml:space="preserve">and </w:t>
      </w:r>
      <w:r w:rsidR="006C727A">
        <w:rPr>
          <w:rFonts w:ascii="Times New Roman" w:hAnsi="Times New Roman" w:cs="Times New Roman"/>
          <w:sz w:val="24"/>
          <w:szCs w:val="24"/>
        </w:rPr>
        <w:t>gold</w:t>
      </w:r>
      <w:r w:rsidR="00433D63">
        <w:rPr>
          <w:rFonts w:ascii="Times New Roman" w:hAnsi="Times New Roman" w:cs="Times New Roman"/>
          <w:sz w:val="24"/>
          <w:szCs w:val="24"/>
        </w:rPr>
        <w:t xml:space="preserve"> and</w:t>
      </w:r>
      <w:r w:rsidR="006C727A">
        <w:rPr>
          <w:rFonts w:ascii="Times New Roman" w:hAnsi="Times New Roman" w:cs="Times New Roman"/>
          <w:sz w:val="24"/>
          <w:szCs w:val="24"/>
        </w:rPr>
        <w:t xml:space="preserve"> oil prices.</w:t>
      </w:r>
      <w:r w:rsidR="00F316F4">
        <w:rPr>
          <w:rStyle w:val="FootnoteReference"/>
          <w:rFonts w:ascii="Times New Roman" w:hAnsi="Times New Roman" w:cs="Times New Roman"/>
          <w:sz w:val="24"/>
          <w:szCs w:val="24"/>
        </w:rPr>
        <w:footnoteReference w:id="3"/>
      </w:r>
    </w:p>
    <w:p w:rsidR="00781FB9" w:rsidRDefault="007E3809"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fldChar w:fldCharType="begin"/>
      </w:r>
      <w:r w:rsidR="006645B0">
        <w:rPr>
          <w:rFonts w:ascii="Times New Roman" w:hAnsi="Times New Roman" w:cs="Times New Roman"/>
          <w:sz w:val="24"/>
          <w:szCs w:val="24"/>
        </w:rPr>
        <w:instrText xml:space="preserve"> REF _Ref523570263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6645B0" w:rsidRPr="00970484">
        <w:rPr>
          <w:rFonts w:ascii="Times New Roman" w:hAnsi="Times New Roman" w:cs="Times New Roman"/>
          <w:sz w:val="24"/>
          <w:szCs w:val="24"/>
        </w:rPr>
        <w:t xml:space="preserve">Figure </w:t>
      </w:r>
      <w:r w:rsidR="006645B0" w:rsidRPr="00970484">
        <w:rPr>
          <w:rFonts w:ascii="Times New Roman" w:hAnsi="Times New Roman" w:cs="Times New Roman"/>
          <w:noProof/>
          <w:sz w:val="24"/>
          <w:szCs w:val="24"/>
        </w:rPr>
        <w:t>1</w:t>
      </w:r>
      <w:r>
        <w:rPr>
          <w:rFonts w:ascii="Times New Roman" w:hAnsi="Times New Roman" w:cs="Times New Roman"/>
          <w:sz w:val="24"/>
          <w:szCs w:val="24"/>
        </w:rPr>
        <w:fldChar w:fldCharType="end"/>
      </w:r>
      <w:r w:rsidR="001D7EDC">
        <w:rPr>
          <w:rFonts w:ascii="Times New Roman" w:hAnsi="Times New Roman" w:cs="Times New Roman"/>
          <w:sz w:val="24"/>
          <w:szCs w:val="24"/>
        </w:rPr>
        <w:t xml:space="preserve"> </w:t>
      </w:r>
      <w:r w:rsidR="006E43F1">
        <w:rPr>
          <w:rFonts w:ascii="Times New Roman" w:hAnsi="Times New Roman" w:cs="Times New Roman"/>
          <w:sz w:val="24"/>
          <w:szCs w:val="24"/>
        </w:rPr>
        <w:t xml:space="preserve">displays the </w:t>
      </w:r>
      <w:r w:rsidR="00970484">
        <w:rPr>
          <w:rFonts w:ascii="Times New Roman" w:hAnsi="Times New Roman" w:cs="Times New Roman"/>
          <w:sz w:val="24"/>
          <w:szCs w:val="24"/>
        </w:rPr>
        <w:t xml:space="preserve">natural logs of </w:t>
      </w:r>
      <w:r w:rsidR="006E43F1">
        <w:rPr>
          <w:rFonts w:ascii="Times New Roman" w:hAnsi="Times New Roman" w:cs="Times New Roman"/>
          <w:sz w:val="24"/>
          <w:szCs w:val="24"/>
        </w:rPr>
        <w:t>UK and US stock prices</w:t>
      </w:r>
      <w:r w:rsidR="00E34442">
        <w:rPr>
          <w:rFonts w:ascii="Times New Roman" w:hAnsi="Times New Roman" w:cs="Times New Roman"/>
          <w:sz w:val="24"/>
          <w:szCs w:val="24"/>
        </w:rPr>
        <w:t>. O</w:t>
      </w:r>
      <w:r w:rsidR="006E43F1">
        <w:rPr>
          <w:rFonts w:ascii="Times New Roman" w:hAnsi="Times New Roman" w:cs="Times New Roman"/>
          <w:sz w:val="24"/>
          <w:szCs w:val="24"/>
        </w:rPr>
        <w:t xml:space="preserve">ver </w:t>
      </w:r>
      <w:r w:rsidR="00C434AC">
        <w:rPr>
          <w:rFonts w:ascii="Times New Roman" w:hAnsi="Times New Roman" w:cs="Times New Roman"/>
          <w:sz w:val="24"/>
          <w:szCs w:val="24"/>
        </w:rPr>
        <w:t>time,</w:t>
      </w:r>
      <w:r w:rsidR="001A61CC">
        <w:rPr>
          <w:rFonts w:ascii="Times New Roman" w:hAnsi="Times New Roman" w:cs="Times New Roman"/>
          <w:sz w:val="24"/>
          <w:szCs w:val="24"/>
        </w:rPr>
        <w:t xml:space="preserve"> </w:t>
      </w:r>
      <w:r w:rsidR="00E34442">
        <w:rPr>
          <w:rFonts w:ascii="Times New Roman" w:hAnsi="Times New Roman" w:cs="Times New Roman"/>
          <w:sz w:val="24"/>
          <w:szCs w:val="24"/>
        </w:rPr>
        <w:t xml:space="preserve">they follow similar patterns. </w:t>
      </w:r>
      <w:r w:rsidR="00DD0D7F">
        <w:rPr>
          <w:rFonts w:ascii="Times New Roman" w:hAnsi="Times New Roman" w:cs="Times New Roman"/>
          <w:sz w:val="24"/>
          <w:szCs w:val="24"/>
        </w:rPr>
        <w:t>C</w:t>
      </w:r>
      <w:r w:rsidR="00885785" w:rsidRPr="008529E4">
        <w:rPr>
          <w:rFonts w:ascii="Times New Roman" w:hAnsi="Times New Roman" w:cs="Times New Roman"/>
          <w:sz w:val="24"/>
          <w:szCs w:val="24"/>
        </w:rPr>
        <w:t>ris</w:t>
      </w:r>
      <w:r w:rsidR="00DD0D7F">
        <w:rPr>
          <w:rFonts w:ascii="Times New Roman" w:hAnsi="Times New Roman" w:cs="Times New Roman"/>
          <w:sz w:val="24"/>
          <w:szCs w:val="24"/>
        </w:rPr>
        <w:t>e</w:t>
      </w:r>
      <w:r w:rsidR="00885785" w:rsidRPr="008529E4">
        <w:rPr>
          <w:rFonts w:ascii="Times New Roman" w:hAnsi="Times New Roman" w:cs="Times New Roman"/>
          <w:sz w:val="24"/>
          <w:szCs w:val="24"/>
        </w:rPr>
        <w:t xml:space="preserve">s such as the October 1987 stock market crash, </w:t>
      </w:r>
      <w:r w:rsidR="00517F4B">
        <w:rPr>
          <w:rFonts w:ascii="Times New Roman" w:hAnsi="Times New Roman" w:cs="Times New Roman"/>
          <w:sz w:val="24"/>
          <w:szCs w:val="24"/>
        </w:rPr>
        <w:t xml:space="preserve">2000 </w:t>
      </w:r>
      <w:r w:rsidR="00DD0D7F">
        <w:rPr>
          <w:rFonts w:ascii="Times New Roman" w:hAnsi="Times New Roman" w:cs="Times New Roman"/>
          <w:sz w:val="24"/>
          <w:szCs w:val="24"/>
        </w:rPr>
        <w:t>d</w:t>
      </w:r>
      <w:r w:rsidR="00517F4B">
        <w:rPr>
          <w:rFonts w:ascii="Times New Roman" w:hAnsi="Times New Roman" w:cs="Times New Roman"/>
          <w:sz w:val="24"/>
          <w:szCs w:val="24"/>
        </w:rPr>
        <w:t>ot-</w:t>
      </w:r>
      <w:r w:rsidR="00DD0D7F">
        <w:rPr>
          <w:rFonts w:ascii="Times New Roman" w:hAnsi="Times New Roman" w:cs="Times New Roman"/>
          <w:sz w:val="24"/>
          <w:szCs w:val="24"/>
        </w:rPr>
        <w:t>c</w:t>
      </w:r>
      <w:r w:rsidR="00517F4B">
        <w:rPr>
          <w:rFonts w:ascii="Times New Roman" w:hAnsi="Times New Roman" w:cs="Times New Roman"/>
          <w:sz w:val="24"/>
          <w:szCs w:val="24"/>
        </w:rPr>
        <w:t xml:space="preserve">om </w:t>
      </w:r>
      <w:r w:rsidR="00DD0D7F">
        <w:rPr>
          <w:rFonts w:ascii="Times New Roman" w:hAnsi="Times New Roman" w:cs="Times New Roman"/>
          <w:sz w:val="24"/>
          <w:szCs w:val="24"/>
        </w:rPr>
        <w:t>b</w:t>
      </w:r>
      <w:r w:rsidR="00517F4B">
        <w:rPr>
          <w:rFonts w:ascii="Times New Roman" w:hAnsi="Times New Roman" w:cs="Times New Roman"/>
          <w:sz w:val="24"/>
          <w:szCs w:val="24"/>
        </w:rPr>
        <w:t xml:space="preserve">ubble </w:t>
      </w:r>
      <w:r w:rsidR="00696DEF">
        <w:rPr>
          <w:rFonts w:ascii="Times New Roman" w:hAnsi="Times New Roman" w:cs="Times New Roman"/>
          <w:sz w:val="24"/>
          <w:szCs w:val="24"/>
        </w:rPr>
        <w:t>burst</w:t>
      </w:r>
      <w:r w:rsidR="00DD0D7F">
        <w:rPr>
          <w:rFonts w:ascii="Times New Roman" w:hAnsi="Times New Roman" w:cs="Times New Roman"/>
          <w:sz w:val="24"/>
          <w:szCs w:val="24"/>
        </w:rPr>
        <w:t>,</w:t>
      </w:r>
      <w:r w:rsidR="00885785" w:rsidRPr="008529E4">
        <w:rPr>
          <w:rFonts w:ascii="Times New Roman" w:hAnsi="Times New Roman" w:cs="Times New Roman"/>
          <w:sz w:val="24"/>
          <w:szCs w:val="24"/>
        </w:rPr>
        <w:t xml:space="preserve"> and 2008 stock market crash</w:t>
      </w:r>
      <w:r w:rsidR="001A61CC">
        <w:rPr>
          <w:rFonts w:ascii="Times New Roman" w:hAnsi="Times New Roman" w:cs="Times New Roman"/>
          <w:sz w:val="24"/>
          <w:szCs w:val="24"/>
        </w:rPr>
        <w:t xml:space="preserve"> </w:t>
      </w:r>
      <w:r w:rsidR="00AF7942">
        <w:rPr>
          <w:rFonts w:ascii="Times New Roman" w:hAnsi="Times New Roman" w:cs="Times New Roman"/>
          <w:sz w:val="24"/>
          <w:szCs w:val="24"/>
        </w:rPr>
        <w:t>all</w:t>
      </w:r>
      <w:r w:rsidR="006E43F1">
        <w:rPr>
          <w:rFonts w:ascii="Times New Roman" w:hAnsi="Times New Roman" w:cs="Times New Roman"/>
          <w:sz w:val="24"/>
          <w:szCs w:val="24"/>
        </w:rPr>
        <w:t xml:space="preserve"> caused </w:t>
      </w:r>
      <w:r w:rsidR="00DD0D7F">
        <w:rPr>
          <w:rFonts w:ascii="Times New Roman" w:hAnsi="Times New Roman" w:cs="Times New Roman"/>
          <w:sz w:val="24"/>
          <w:szCs w:val="24"/>
        </w:rPr>
        <w:t xml:space="preserve">these </w:t>
      </w:r>
      <w:r w:rsidR="006E43F1">
        <w:rPr>
          <w:rFonts w:ascii="Times New Roman" w:hAnsi="Times New Roman" w:cs="Times New Roman"/>
          <w:sz w:val="24"/>
          <w:szCs w:val="24"/>
        </w:rPr>
        <w:t>prices to plunge from peaks to historic lows.</w:t>
      </w:r>
    </w:p>
    <w:p w:rsidR="00166050" w:rsidRDefault="003E2799"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We</w:t>
      </w:r>
      <w:r w:rsidR="001A61CC">
        <w:rPr>
          <w:rFonts w:ascii="Times New Roman" w:hAnsi="Times New Roman" w:cs="Times New Roman"/>
          <w:sz w:val="24"/>
          <w:szCs w:val="24"/>
        </w:rPr>
        <w:t xml:space="preserve"> </w:t>
      </w:r>
      <w:r>
        <w:rPr>
          <w:rFonts w:ascii="Times New Roman" w:hAnsi="Times New Roman" w:cs="Times New Roman"/>
          <w:sz w:val="24"/>
          <w:szCs w:val="24"/>
        </w:rPr>
        <w:t>report the</w:t>
      </w:r>
      <w:r w:rsidR="001A61CC">
        <w:rPr>
          <w:rFonts w:ascii="Times New Roman" w:hAnsi="Times New Roman" w:cs="Times New Roman"/>
          <w:sz w:val="24"/>
          <w:szCs w:val="24"/>
        </w:rPr>
        <w:t xml:space="preserve"> </w:t>
      </w:r>
      <w:r w:rsidR="00097AED">
        <w:rPr>
          <w:rFonts w:ascii="Times New Roman" w:hAnsi="Times New Roman" w:cs="Times New Roman"/>
          <w:sz w:val="24"/>
          <w:szCs w:val="24"/>
        </w:rPr>
        <w:t xml:space="preserve">statistical properties </w:t>
      </w:r>
      <w:r w:rsidR="00166050" w:rsidRPr="006853EA">
        <w:rPr>
          <w:rFonts w:ascii="Times New Roman" w:hAnsi="Times New Roman" w:cs="Times New Roman"/>
          <w:sz w:val="24"/>
          <w:szCs w:val="24"/>
        </w:rPr>
        <w:t xml:space="preserve">of the </w:t>
      </w:r>
      <w:r w:rsidR="004A795E">
        <w:rPr>
          <w:rFonts w:ascii="Times New Roman" w:hAnsi="Times New Roman" w:cs="Times New Roman"/>
          <w:sz w:val="24"/>
          <w:szCs w:val="24"/>
        </w:rPr>
        <w:t xml:space="preserve">UK and US </w:t>
      </w:r>
      <w:r w:rsidR="00166050" w:rsidRPr="006853EA">
        <w:rPr>
          <w:rFonts w:ascii="Times New Roman" w:hAnsi="Times New Roman" w:cs="Times New Roman"/>
          <w:sz w:val="24"/>
          <w:szCs w:val="24"/>
        </w:rPr>
        <w:t>stock returns</w:t>
      </w:r>
      <w:r w:rsidR="00EE35DD">
        <w:rPr>
          <w:rFonts w:ascii="Times New Roman" w:hAnsi="Times New Roman" w:cs="Times New Roman"/>
          <w:sz w:val="24"/>
          <w:szCs w:val="24"/>
        </w:rPr>
        <w:t xml:space="preserve"> during the full </w:t>
      </w:r>
      <w:r w:rsidR="00C434AC">
        <w:rPr>
          <w:rFonts w:ascii="Times New Roman" w:hAnsi="Times New Roman" w:cs="Times New Roman"/>
          <w:sz w:val="24"/>
          <w:szCs w:val="24"/>
        </w:rPr>
        <w:t xml:space="preserve">sample </w:t>
      </w:r>
      <w:r w:rsidR="004A795E">
        <w:rPr>
          <w:rFonts w:ascii="Times New Roman" w:hAnsi="Times New Roman" w:cs="Times New Roman"/>
          <w:sz w:val="24"/>
          <w:szCs w:val="24"/>
        </w:rPr>
        <w:t>and</w:t>
      </w:r>
      <w:r w:rsidR="00C434AC">
        <w:rPr>
          <w:rFonts w:ascii="Times New Roman" w:hAnsi="Times New Roman" w:cs="Times New Roman"/>
          <w:sz w:val="24"/>
          <w:szCs w:val="24"/>
        </w:rPr>
        <w:t xml:space="preserve"> the three</w:t>
      </w:r>
      <w:r w:rsidR="001A61CC">
        <w:rPr>
          <w:rFonts w:ascii="Times New Roman" w:hAnsi="Times New Roman" w:cs="Times New Roman"/>
          <w:sz w:val="24"/>
          <w:szCs w:val="24"/>
        </w:rPr>
        <w:t xml:space="preserve"> </w:t>
      </w:r>
      <w:r w:rsidR="004A795E">
        <w:rPr>
          <w:rFonts w:ascii="Times New Roman" w:hAnsi="Times New Roman" w:cs="Times New Roman"/>
          <w:sz w:val="24"/>
          <w:szCs w:val="24"/>
        </w:rPr>
        <w:t>subperiods</w:t>
      </w:r>
      <w:r w:rsidR="001A61CC">
        <w:rPr>
          <w:rFonts w:ascii="Times New Roman" w:hAnsi="Times New Roman" w:cs="Times New Roman"/>
          <w:sz w:val="24"/>
          <w:szCs w:val="24"/>
        </w:rPr>
        <w:t xml:space="preserve"> </w:t>
      </w:r>
      <w:r w:rsidR="00C434AC">
        <w:rPr>
          <w:rFonts w:ascii="Times New Roman" w:hAnsi="Times New Roman" w:cs="Times New Roman"/>
          <w:sz w:val="24"/>
          <w:szCs w:val="24"/>
        </w:rPr>
        <w:t xml:space="preserve">under scrutiny </w:t>
      </w:r>
      <w:r w:rsidR="00166050" w:rsidRPr="006853EA">
        <w:rPr>
          <w:rFonts w:ascii="Times New Roman" w:hAnsi="Times New Roman" w:cs="Times New Roman"/>
          <w:sz w:val="24"/>
          <w:szCs w:val="24"/>
        </w:rPr>
        <w:t xml:space="preserve">in </w:t>
      </w:r>
      <w:r w:rsidR="00231DB0">
        <w:fldChar w:fldCharType="begin"/>
      </w:r>
      <w:r w:rsidR="00231DB0">
        <w:instrText xml:space="preserve"> REF _Ref464729553 \h  \* MERGEFORMAT </w:instrText>
      </w:r>
      <w:r w:rsidR="00231DB0">
        <w:fldChar w:fldCharType="separate"/>
      </w:r>
      <w:r w:rsidR="00074908" w:rsidRPr="006853EA">
        <w:rPr>
          <w:rFonts w:ascii="Times New Roman" w:hAnsi="Times New Roman" w:cs="Times New Roman"/>
          <w:sz w:val="24"/>
          <w:szCs w:val="24"/>
        </w:rPr>
        <w:t xml:space="preserve">Table </w:t>
      </w:r>
      <w:r w:rsidR="00074908">
        <w:rPr>
          <w:rFonts w:ascii="Times New Roman" w:hAnsi="Times New Roman" w:cs="Times New Roman"/>
          <w:sz w:val="24"/>
          <w:szCs w:val="24"/>
        </w:rPr>
        <w:t>1</w:t>
      </w:r>
      <w:r w:rsidR="00231DB0">
        <w:fldChar w:fldCharType="end"/>
      </w:r>
      <w:r w:rsidR="00166050" w:rsidRPr="006853EA">
        <w:rPr>
          <w:rFonts w:ascii="Times New Roman" w:hAnsi="Times New Roman" w:cs="Times New Roman"/>
          <w:sz w:val="24"/>
          <w:szCs w:val="24"/>
        </w:rPr>
        <w:t xml:space="preserve">. </w:t>
      </w:r>
      <w:bookmarkStart w:id="2" w:name="_Ref463335456"/>
      <w:bookmarkStart w:id="3" w:name="_Toc463959218"/>
      <w:r w:rsidR="000702DE" w:rsidRPr="008529E4">
        <w:rPr>
          <w:rFonts w:ascii="Times New Roman" w:hAnsi="Times New Roman" w:cs="Times New Roman"/>
          <w:sz w:val="24"/>
          <w:szCs w:val="24"/>
        </w:rPr>
        <w:t xml:space="preserve">The </w:t>
      </w:r>
      <w:r w:rsidR="000702DE">
        <w:rPr>
          <w:rFonts w:ascii="Times New Roman" w:hAnsi="Times New Roman" w:cs="Times New Roman"/>
          <w:sz w:val="24"/>
          <w:szCs w:val="24"/>
        </w:rPr>
        <w:t xml:space="preserve">stock </w:t>
      </w:r>
      <w:r w:rsidR="000702DE" w:rsidRPr="008529E4">
        <w:rPr>
          <w:rFonts w:ascii="Times New Roman" w:hAnsi="Times New Roman" w:cs="Times New Roman"/>
          <w:sz w:val="24"/>
          <w:szCs w:val="24"/>
        </w:rPr>
        <w:t>returns</w:t>
      </w:r>
      <w:r w:rsidR="000702DE">
        <w:rPr>
          <w:rFonts w:ascii="Times New Roman" w:hAnsi="Times New Roman" w:cs="Times New Roman"/>
          <w:sz w:val="24"/>
          <w:szCs w:val="24"/>
        </w:rPr>
        <w:t xml:space="preserve"> of both markets</w:t>
      </w:r>
      <w:r w:rsidR="001A61CC">
        <w:rPr>
          <w:rFonts w:ascii="Times New Roman" w:hAnsi="Times New Roman" w:cs="Times New Roman"/>
          <w:sz w:val="24"/>
          <w:szCs w:val="24"/>
        </w:rPr>
        <w:t xml:space="preserve"> </w:t>
      </w:r>
      <w:r w:rsidR="007873EF">
        <w:rPr>
          <w:rFonts w:ascii="Times New Roman" w:hAnsi="Times New Roman" w:cs="Times New Roman"/>
          <w:sz w:val="24"/>
          <w:szCs w:val="24"/>
        </w:rPr>
        <w:t>recorded significant</w:t>
      </w:r>
      <w:r w:rsidR="00431E6F">
        <w:rPr>
          <w:rFonts w:ascii="Times New Roman" w:hAnsi="Times New Roman" w:cs="Times New Roman"/>
          <w:sz w:val="24"/>
          <w:szCs w:val="24"/>
        </w:rPr>
        <w:t xml:space="preserve"> positive returns</w:t>
      </w:r>
      <w:r w:rsidR="001A61CC">
        <w:rPr>
          <w:rFonts w:ascii="Times New Roman" w:hAnsi="Times New Roman" w:cs="Times New Roman"/>
          <w:sz w:val="24"/>
          <w:szCs w:val="24"/>
        </w:rPr>
        <w:t xml:space="preserve"> </w:t>
      </w:r>
      <w:r w:rsidR="00A5475D">
        <w:rPr>
          <w:rFonts w:ascii="Times New Roman" w:hAnsi="Times New Roman" w:cs="Times New Roman"/>
          <w:sz w:val="24"/>
          <w:szCs w:val="24"/>
        </w:rPr>
        <w:t>over</w:t>
      </w:r>
      <w:r w:rsidR="001A61CC">
        <w:rPr>
          <w:rFonts w:ascii="Times New Roman" w:hAnsi="Times New Roman" w:cs="Times New Roman"/>
          <w:sz w:val="24"/>
          <w:szCs w:val="24"/>
        </w:rPr>
        <w:t xml:space="preserve"> </w:t>
      </w:r>
      <w:r w:rsidR="00984A1A">
        <w:rPr>
          <w:rFonts w:ascii="Times New Roman" w:hAnsi="Times New Roman" w:cs="Times New Roman"/>
          <w:sz w:val="24"/>
          <w:szCs w:val="24"/>
        </w:rPr>
        <w:t>the full period and</w:t>
      </w:r>
      <w:r w:rsidR="00A5475D">
        <w:rPr>
          <w:rFonts w:ascii="Times New Roman" w:hAnsi="Times New Roman" w:cs="Times New Roman"/>
          <w:sz w:val="24"/>
          <w:szCs w:val="24"/>
        </w:rPr>
        <w:t xml:space="preserve"> in the</w:t>
      </w:r>
      <w:r w:rsidR="00984A1A">
        <w:rPr>
          <w:rFonts w:ascii="Times New Roman" w:hAnsi="Times New Roman" w:cs="Times New Roman"/>
          <w:sz w:val="24"/>
          <w:szCs w:val="24"/>
        </w:rPr>
        <w:t xml:space="preserve"> BW</w:t>
      </w:r>
      <w:r w:rsidR="001A61CC">
        <w:rPr>
          <w:rFonts w:ascii="Times New Roman" w:hAnsi="Times New Roman" w:cs="Times New Roman"/>
          <w:sz w:val="24"/>
          <w:szCs w:val="24"/>
        </w:rPr>
        <w:t xml:space="preserve"> </w:t>
      </w:r>
      <w:r w:rsidR="00A5475D">
        <w:rPr>
          <w:rFonts w:ascii="Times New Roman" w:hAnsi="Times New Roman" w:cs="Times New Roman"/>
          <w:sz w:val="24"/>
          <w:szCs w:val="24"/>
        </w:rPr>
        <w:t>sub</w:t>
      </w:r>
      <w:r w:rsidR="00C864B2">
        <w:rPr>
          <w:rFonts w:ascii="Times New Roman" w:hAnsi="Times New Roman" w:cs="Times New Roman"/>
          <w:sz w:val="24"/>
          <w:szCs w:val="24"/>
        </w:rPr>
        <w:t>period</w:t>
      </w:r>
      <w:r w:rsidR="000702DE" w:rsidRPr="008529E4">
        <w:rPr>
          <w:rFonts w:ascii="Times New Roman" w:hAnsi="Times New Roman" w:cs="Times New Roman"/>
          <w:sz w:val="24"/>
          <w:szCs w:val="24"/>
        </w:rPr>
        <w:t>.</w:t>
      </w:r>
      <w:r w:rsidR="000702DE">
        <w:rPr>
          <w:rFonts w:ascii="Times New Roman" w:hAnsi="Times New Roman" w:cs="Times New Roman"/>
          <w:sz w:val="24"/>
          <w:szCs w:val="24"/>
        </w:rPr>
        <w:t xml:space="preserve"> However,</w:t>
      </w:r>
      <w:r w:rsidR="001A61CC">
        <w:rPr>
          <w:rFonts w:ascii="Times New Roman" w:hAnsi="Times New Roman" w:cs="Times New Roman"/>
          <w:sz w:val="24"/>
          <w:szCs w:val="24"/>
        </w:rPr>
        <w:t xml:space="preserve"> </w:t>
      </w:r>
      <w:r w:rsidR="002B399B">
        <w:rPr>
          <w:rFonts w:ascii="Times New Roman" w:hAnsi="Times New Roman" w:cs="Times New Roman"/>
          <w:sz w:val="24"/>
          <w:szCs w:val="24"/>
        </w:rPr>
        <w:t>the US has the highest daily average returns</w:t>
      </w:r>
      <w:r w:rsidR="001A61CC">
        <w:rPr>
          <w:rFonts w:ascii="Times New Roman" w:hAnsi="Times New Roman" w:cs="Times New Roman"/>
          <w:sz w:val="24"/>
          <w:szCs w:val="24"/>
        </w:rPr>
        <w:t xml:space="preserve"> </w:t>
      </w:r>
      <w:r w:rsidR="00660C79">
        <w:rPr>
          <w:rFonts w:ascii="Times New Roman" w:hAnsi="Times New Roman" w:cs="Times New Roman"/>
          <w:sz w:val="24"/>
          <w:szCs w:val="24"/>
        </w:rPr>
        <w:t xml:space="preserve">whereas </w:t>
      </w:r>
      <w:r w:rsidR="000702DE">
        <w:rPr>
          <w:rFonts w:ascii="Times New Roman" w:hAnsi="Times New Roman" w:cs="Times New Roman"/>
          <w:sz w:val="24"/>
          <w:szCs w:val="24"/>
        </w:rPr>
        <w:t>t</w:t>
      </w:r>
      <w:r w:rsidR="000702DE" w:rsidRPr="008529E4">
        <w:rPr>
          <w:rFonts w:ascii="Times New Roman" w:hAnsi="Times New Roman" w:cs="Times New Roman"/>
          <w:sz w:val="24"/>
          <w:szCs w:val="24"/>
        </w:rPr>
        <w:t>he UK has been more volatile</w:t>
      </w:r>
      <w:r w:rsidR="00201711">
        <w:rPr>
          <w:rFonts w:ascii="Times New Roman" w:hAnsi="Times New Roman" w:cs="Times New Roman"/>
          <w:sz w:val="24"/>
          <w:szCs w:val="24"/>
        </w:rPr>
        <w:t xml:space="preserve">, </w:t>
      </w:r>
      <w:r w:rsidR="00D039E9">
        <w:rPr>
          <w:rFonts w:ascii="Times New Roman" w:hAnsi="Times New Roman" w:cs="Times New Roman"/>
          <w:sz w:val="24"/>
          <w:szCs w:val="24"/>
        </w:rPr>
        <w:t>suggest</w:t>
      </w:r>
      <w:r w:rsidR="00201711">
        <w:rPr>
          <w:rFonts w:ascii="Times New Roman" w:hAnsi="Times New Roman" w:cs="Times New Roman"/>
          <w:sz w:val="24"/>
          <w:szCs w:val="24"/>
        </w:rPr>
        <w:t>ing</w:t>
      </w:r>
      <w:r w:rsidR="00D039E9">
        <w:rPr>
          <w:rFonts w:ascii="Times New Roman" w:hAnsi="Times New Roman" w:cs="Times New Roman"/>
          <w:sz w:val="24"/>
          <w:szCs w:val="24"/>
        </w:rPr>
        <w:t xml:space="preserve"> that the risk-return profile is far better </w:t>
      </w:r>
      <w:r w:rsidR="00E76408">
        <w:rPr>
          <w:rFonts w:ascii="Times New Roman" w:hAnsi="Times New Roman" w:cs="Times New Roman"/>
          <w:sz w:val="24"/>
          <w:szCs w:val="24"/>
        </w:rPr>
        <w:t xml:space="preserve">in the US </w:t>
      </w:r>
      <w:r w:rsidR="00D039E9">
        <w:rPr>
          <w:rFonts w:ascii="Times New Roman" w:hAnsi="Times New Roman" w:cs="Times New Roman"/>
          <w:sz w:val="24"/>
          <w:szCs w:val="24"/>
        </w:rPr>
        <w:t xml:space="preserve">than </w:t>
      </w:r>
      <w:r w:rsidR="0053328A">
        <w:rPr>
          <w:rFonts w:ascii="Times New Roman" w:hAnsi="Times New Roman" w:cs="Times New Roman"/>
          <w:sz w:val="24"/>
          <w:szCs w:val="24"/>
        </w:rPr>
        <w:t xml:space="preserve">in </w:t>
      </w:r>
      <w:r w:rsidR="00D039E9">
        <w:rPr>
          <w:rFonts w:ascii="Times New Roman" w:hAnsi="Times New Roman" w:cs="Times New Roman"/>
          <w:sz w:val="24"/>
          <w:szCs w:val="24"/>
        </w:rPr>
        <w:t>the UK.</w:t>
      </w:r>
      <w:r w:rsidR="001A61CC">
        <w:rPr>
          <w:rFonts w:ascii="Times New Roman" w:hAnsi="Times New Roman" w:cs="Times New Roman"/>
          <w:sz w:val="24"/>
          <w:szCs w:val="24"/>
        </w:rPr>
        <w:t xml:space="preserve"> </w:t>
      </w:r>
      <w:r w:rsidR="002E19D7">
        <w:rPr>
          <w:rFonts w:ascii="Times New Roman" w:hAnsi="Times New Roman" w:cs="Times New Roman"/>
          <w:sz w:val="24"/>
          <w:szCs w:val="24"/>
        </w:rPr>
        <w:t>T</w:t>
      </w:r>
      <w:r w:rsidR="00166050" w:rsidRPr="006853EA">
        <w:rPr>
          <w:rFonts w:ascii="Times New Roman" w:hAnsi="Times New Roman" w:cs="Times New Roman"/>
          <w:sz w:val="24"/>
          <w:szCs w:val="24"/>
        </w:rPr>
        <w:t xml:space="preserve">he skewness values </w:t>
      </w:r>
      <w:r w:rsidR="00177C1F">
        <w:rPr>
          <w:rFonts w:ascii="Times New Roman" w:hAnsi="Times New Roman" w:cs="Times New Roman"/>
          <w:sz w:val="24"/>
          <w:szCs w:val="24"/>
        </w:rPr>
        <w:t>suggest</w:t>
      </w:r>
      <w:r w:rsidR="008D44A5">
        <w:rPr>
          <w:rFonts w:ascii="Times New Roman" w:hAnsi="Times New Roman" w:cs="Times New Roman"/>
          <w:sz w:val="24"/>
          <w:szCs w:val="24"/>
        </w:rPr>
        <w:t xml:space="preserve"> that negative shocks</w:t>
      </w:r>
      <w:r w:rsidR="00166050" w:rsidRPr="006853EA">
        <w:rPr>
          <w:rFonts w:ascii="Times New Roman" w:hAnsi="Times New Roman" w:cs="Times New Roman"/>
          <w:sz w:val="24"/>
          <w:szCs w:val="24"/>
        </w:rPr>
        <w:t xml:space="preserve"> are more prevalent than positive shocks</w:t>
      </w:r>
      <w:r w:rsidR="008D44A5">
        <w:rPr>
          <w:rFonts w:ascii="Times New Roman" w:hAnsi="Times New Roman" w:cs="Times New Roman"/>
          <w:sz w:val="24"/>
          <w:szCs w:val="24"/>
        </w:rPr>
        <w:t xml:space="preserve"> in all the subperiods.</w:t>
      </w:r>
      <w:r w:rsidR="001A61CC">
        <w:rPr>
          <w:rFonts w:ascii="Times New Roman" w:hAnsi="Times New Roman" w:cs="Times New Roman"/>
          <w:sz w:val="24"/>
          <w:szCs w:val="24"/>
        </w:rPr>
        <w:t xml:space="preserve"> </w:t>
      </w:r>
      <w:r w:rsidR="00177C1F" w:rsidRPr="006853EA">
        <w:rPr>
          <w:rFonts w:ascii="Times New Roman" w:hAnsi="Times New Roman" w:cs="Times New Roman"/>
          <w:sz w:val="24"/>
          <w:szCs w:val="24"/>
        </w:rPr>
        <w:t xml:space="preserve">The </w:t>
      </w:r>
      <w:r w:rsidR="00F3356C">
        <w:rPr>
          <w:rFonts w:ascii="Times New Roman" w:hAnsi="Times New Roman" w:cs="Times New Roman"/>
          <w:sz w:val="24"/>
          <w:szCs w:val="24"/>
        </w:rPr>
        <w:t xml:space="preserve">high </w:t>
      </w:r>
      <w:r w:rsidR="00177C1F" w:rsidRPr="006853EA">
        <w:rPr>
          <w:rFonts w:ascii="Times New Roman" w:hAnsi="Times New Roman" w:cs="Times New Roman"/>
          <w:sz w:val="24"/>
          <w:szCs w:val="24"/>
        </w:rPr>
        <w:t xml:space="preserve">kurtosis </w:t>
      </w:r>
      <w:r w:rsidR="00F3356C">
        <w:rPr>
          <w:rFonts w:ascii="Times New Roman" w:hAnsi="Times New Roman" w:cs="Times New Roman"/>
          <w:sz w:val="24"/>
          <w:szCs w:val="24"/>
        </w:rPr>
        <w:t>in the return series</w:t>
      </w:r>
      <w:r w:rsidR="00177C1F" w:rsidRPr="006853EA">
        <w:rPr>
          <w:rFonts w:ascii="Times New Roman" w:hAnsi="Times New Roman" w:cs="Times New Roman"/>
          <w:sz w:val="24"/>
          <w:szCs w:val="24"/>
        </w:rPr>
        <w:t xml:space="preserve"> i</w:t>
      </w:r>
      <w:r w:rsidR="00BE5A93">
        <w:rPr>
          <w:rFonts w:ascii="Times New Roman" w:hAnsi="Times New Roman" w:cs="Times New Roman"/>
          <w:sz w:val="24"/>
          <w:szCs w:val="24"/>
        </w:rPr>
        <w:t>ndicate</w:t>
      </w:r>
      <w:r w:rsidR="006645B0">
        <w:rPr>
          <w:rFonts w:ascii="Times New Roman" w:hAnsi="Times New Roman" w:cs="Times New Roman"/>
          <w:sz w:val="24"/>
          <w:szCs w:val="24"/>
        </w:rPr>
        <w:t>s</w:t>
      </w:r>
      <w:r w:rsidR="00177C1F" w:rsidRPr="006853EA">
        <w:rPr>
          <w:rFonts w:ascii="Times New Roman" w:hAnsi="Times New Roman" w:cs="Times New Roman"/>
          <w:sz w:val="24"/>
          <w:szCs w:val="24"/>
        </w:rPr>
        <w:t xml:space="preserve"> fat-tailed distributions,</w:t>
      </w:r>
      <w:r w:rsidR="00BE5A93">
        <w:rPr>
          <w:rFonts w:ascii="Times New Roman" w:hAnsi="Times New Roman" w:cs="Times New Roman"/>
          <w:sz w:val="24"/>
          <w:szCs w:val="24"/>
        </w:rPr>
        <w:t xml:space="preserve"> the presence of</w:t>
      </w:r>
      <w:r w:rsidR="00177C1F" w:rsidRPr="006853EA">
        <w:rPr>
          <w:rFonts w:ascii="Times New Roman" w:hAnsi="Times New Roman" w:cs="Times New Roman"/>
          <w:sz w:val="24"/>
          <w:szCs w:val="24"/>
        </w:rPr>
        <w:t xml:space="preserve"> extreme </w:t>
      </w:r>
      <w:r w:rsidR="00660C79">
        <w:rPr>
          <w:rFonts w:ascii="Times New Roman" w:hAnsi="Times New Roman" w:cs="Times New Roman"/>
          <w:sz w:val="24"/>
          <w:szCs w:val="24"/>
        </w:rPr>
        <w:t>values</w:t>
      </w:r>
      <w:r w:rsidR="0053328A">
        <w:rPr>
          <w:rFonts w:ascii="Times New Roman" w:hAnsi="Times New Roman" w:cs="Times New Roman"/>
          <w:sz w:val="24"/>
          <w:szCs w:val="24"/>
        </w:rPr>
        <w:t>,</w:t>
      </w:r>
      <w:r w:rsidR="00177C1F" w:rsidRPr="006853EA">
        <w:rPr>
          <w:rFonts w:ascii="Times New Roman" w:hAnsi="Times New Roman" w:cs="Times New Roman"/>
          <w:sz w:val="24"/>
          <w:szCs w:val="24"/>
        </w:rPr>
        <w:t xml:space="preserve"> and possibly </w:t>
      </w:r>
      <w:r w:rsidR="004911A7">
        <w:rPr>
          <w:rFonts w:ascii="Times New Roman" w:hAnsi="Times New Roman" w:cs="Times New Roman"/>
          <w:sz w:val="24"/>
          <w:szCs w:val="24"/>
        </w:rPr>
        <w:t>volatility clustering. Th</w:t>
      </w:r>
      <w:r w:rsidR="00F3356C">
        <w:rPr>
          <w:rFonts w:ascii="Times New Roman" w:hAnsi="Times New Roman" w:cs="Times New Roman"/>
          <w:sz w:val="24"/>
          <w:szCs w:val="24"/>
        </w:rPr>
        <w:t xml:space="preserve">is further suggests that </w:t>
      </w:r>
      <w:r w:rsidR="00177C1F" w:rsidRPr="006853EA">
        <w:rPr>
          <w:rFonts w:ascii="Times New Roman" w:hAnsi="Times New Roman" w:cs="Times New Roman"/>
          <w:sz w:val="24"/>
          <w:szCs w:val="24"/>
        </w:rPr>
        <w:t>large shocks are common</w:t>
      </w:r>
      <w:r w:rsidR="00A57AE8">
        <w:rPr>
          <w:rFonts w:ascii="Times New Roman" w:hAnsi="Times New Roman" w:cs="Times New Roman"/>
          <w:sz w:val="24"/>
          <w:szCs w:val="24"/>
        </w:rPr>
        <w:t xml:space="preserve"> features of the sample</w:t>
      </w:r>
      <w:r w:rsidR="00177C1F" w:rsidRPr="006853EA">
        <w:rPr>
          <w:rFonts w:ascii="Times New Roman" w:hAnsi="Times New Roman" w:cs="Times New Roman"/>
          <w:sz w:val="24"/>
          <w:szCs w:val="24"/>
        </w:rPr>
        <w:t>.</w:t>
      </w:r>
      <w:r w:rsidR="001A61CC">
        <w:rPr>
          <w:rFonts w:ascii="Times New Roman" w:hAnsi="Times New Roman" w:cs="Times New Roman"/>
          <w:sz w:val="24"/>
          <w:szCs w:val="24"/>
        </w:rPr>
        <w:t xml:space="preserve"> </w:t>
      </w:r>
      <w:r w:rsidR="00A57AE8">
        <w:rPr>
          <w:rFonts w:ascii="Times New Roman" w:hAnsi="Times New Roman" w:cs="Times New Roman"/>
          <w:sz w:val="24"/>
          <w:szCs w:val="24"/>
        </w:rPr>
        <w:t>Moreover, t</w:t>
      </w:r>
      <w:r w:rsidR="00FA4187" w:rsidRPr="006853EA">
        <w:rPr>
          <w:rFonts w:ascii="Times New Roman" w:hAnsi="Times New Roman" w:cs="Times New Roman"/>
          <w:sz w:val="24"/>
          <w:szCs w:val="24"/>
        </w:rPr>
        <w:t>he Jarque-Bera</w:t>
      </w:r>
      <w:r w:rsidR="00166050" w:rsidRPr="006853EA">
        <w:rPr>
          <w:rFonts w:ascii="Times New Roman" w:hAnsi="Times New Roman" w:cs="Times New Roman"/>
          <w:sz w:val="24"/>
          <w:szCs w:val="24"/>
        </w:rPr>
        <w:t xml:space="preserve"> test for</w:t>
      </w:r>
      <w:r w:rsidR="00313D00">
        <w:rPr>
          <w:rFonts w:ascii="Times New Roman" w:hAnsi="Times New Roman" w:cs="Times New Roman"/>
          <w:sz w:val="24"/>
          <w:szCs w:val="24"/>
        </w:rPr>
        <w:t xml:space="preserve"> the null of</w:t>
      </w:r>
      <w:r w:rsidR="00166050" w:rsidRPr="006853EA">
        <w:rPr>
          <w:rFonts w:ascii="Times New Roman" w:hAnsi="Times New Roman" w:cs="Times New Roman"/>
          <w:sz w:val="24"/>
          <w:szCs w:val="24"/>
        </w:rPr>
        <w:t xml:space="preserve"> normality </w:t>
      </w:r>
      <w:r w:rsidR="00FA3493">
        <w:rPr>
          <w:rFonts w:ascii="Times New Roman" w:hAnsi="Times New Roman" w:cs="Times New Roman"/>
          <w:sz w:val="24"/>
          <w:szCs w:val="24"/>
        </w:rPr>
        <w:t>indicate</w:t>
      </w:r>
      <w:r w:rsidR="00422FA9">
        <w:rPr>
          <w:rFonts w:ascii="Times New Roman" w:hAnsi="Times New Roman" w:cs="Times New Roman"/>
          <w:sz w:val="24"/>
          <w:szCs w:val="24"/>
        </w:rPr>
        <w:t xml:space="preserve">s </w:t>
      </w:r>
      <w:r w:rsidR="00166050" w:rsidRPr="006853EA">
        <w:rPr>
          <w:rFonts w:ascii="Times New Roman" w:hAnsi="Times New Roman" w:cs="Times New Roman"/>
          <w:sz w:val="24"/>
          <w:szCs w:val="24"/>
        </w:rPr>
        <w:t xml:space="preserve">that </w:t>
      </w:r>
      <w:r w:rsidR="00313D00">
        <w:rPr>
          <w:rFonts w:ascii="Times New Roman" w:hAnsi="Times New Roman" w:cs="Times New Roman"/>
          <w:sz w:val="24"/>
          <w:szCs w:val="24"/>
        </w:rPr>
        <w:t>the daily s</w:t>
      </w:r>
      <w:r w:rsidR="00166050" w:rsidRPr="006853EA">
        <w:rPr>
          <w:rFonts w:ascii="Times New Roman" w:hAnsi="Times New Roman" w:cs="Times New Roman"/>
          <w:sz w:val="24"/>
          <w:szCs w:val="24"/>
        </w:rPr>
        <w:t>tock returns are</w:t>
      </w:r>
      <w:r w:rsidR="00313D00">
        <w:rPr>
          <w:rFonts w:ascii="Times New Roman" w:hAnsi="Times New Roman" w:cs="Times New Roman"/>
          <w:sz w:val="24"/>
          <w:szCs w:val="24"/>
        </w:rPr>
        <w:t xml:space="preserve"> not</w:t>
      </w:r>
      <w:r w:rsidR="00166050" w:rsidRPr="006853EA">
        <w:rPr>
          <w:rFonts w:ascii="Times New Roman" w:hAnsi="Times New Roman" w:cs="Times New Roman"/>
          <w:sz w:val="24"/>
          <w:szCs w:val="24"/>
        </w:rPr>
        <w:t xml:space="preserve"> normally</w:t>
      </w:r>
      <w:r w:rsidR="00B82387">
        <w:rPr>
          <w:rFonts w:ascii="Times New Roman" w:hAnsi="Times New Roman" w:cs="Times New Roman"/>
          <w:sz w:val="24"/>
          <w:szCs w:val="24"/>
        </w:rPr>
        <w:t xml:space="preserve"> distributed, </w:t>
      </w:r>
      <w:r w:rsidR="00201711">
        <w:rPr>
          <w:rFonts w:ascii="Times New Roman" w:hAnsi="Times New Roman" w:cs="Times New Roman"/>
          <w:sz w:val="24"/>
          <w:szCs w:val="24"/>
        </w:rPr>
        <w:t xml:space="preserve">as is </w:t>
      </w:r>
      <w:r w:rsidR="00A5475D">
        <w:rPr>
          <w:rFonts w:ascii="Times New Roman" w:hAnsi="Times New Roman" w:cs="Times New Roman"/>
          <w:sz w:val="24"/>
          <w:szCs w:val="24"/>
        </w:rPr>
        <w:t xml:space="preserve">typical </w:t>
      </w:r>
      <w:r w:rsidR="0053328A">
        <w:rPr>
          <w:rFonts w:ascii="Times New Roman" w:hAnsi="Times New Roman" w:cs="Times New Roman"/>
          <w:sz w:val="24"/>
          <w:szCs w:val="24"/>
        </w:rPr>
        <w:t>for</w:t>
      </w:r>
      <w:r w:rsidR="0033254B">
        <w:rPr>
          <w:rFonts w:ascii="Times New Roman" w:hAnsi="Times New Roman" w:cs="Times New Roman"/>
          <w:sz w:val="24"/>
          <w:szCs w:val="24"/>
        </w:rPr>
        <w:t xml:space="preserve"> high-</w:t>
      </w:r>
      <w:r w:rsidR="00A57AE8">
        <w:rPr>
          <w:rFonts w:ascii="Times New Roman" w:hAnsi="Times New Roman" w:cs="Times New Roman"/>
          <w:sz w:val="24"/>
          <w:szCs w:val="24"/>
        </w:rPr>
        <w:t>frequency financial data</w:t>
      </w:r>
      <w:r w:rsidR="00166050" w:rsidRPr="006853EA">
        <w:rPr>
          <w:rFonts w:ascii="Times New Roman" w:hAnsi="Times New Roman" w:cs="Times New Roman"/>
          <w:sz w:val="24"/>
          <w:szCs w:val="24"/>
        </w:rPr>
        <w:t xml:space="preserve">. The Ljung-Box test statistics </w:t>
      </w:r>
      <w:r w:rsidR="0053328A">
        <w:rPr>
          <w:rFonts w:ascii="Times New Roman" w:hAnsi="Times New Roman" w:cs="Times New Roman"/>
          <w:sz w:val="24"/>
          <w:szCs w:val="24"/>
        </w:rPr>
        <w:t>show</w:t>
      </w:r>
      <w:r w:rsidR="00166050" w:rsidRPr="006853EA">
        <w:rPr>
          <w:rFonts w:ascii="Times New Roman" w:hAnsi="Times New Roman" w:cs="Times New Roman"/>
          <w:sz w:val="24"/>
          <w:szCs w:val="24"/>
        </w:rPr>
        <w:t xml:space="preserve"> significant serial correlation in the returns </w:t>
      </w:r>
      <w:r w:rsidR="00BA5FE6">
        <w:rPr>
          <w:rFonts w:ascii="Times New Roman" w:hAnsi="Times New Roman" w:cs="Times New Roman"/>
          <w:sz w:val="24"/>
          <w:szCs w:val="24"/>
        </w:rPr>
        <w:t>of both market</w:t>
      </w:r>
      <w:r w:rsidR="00BC3E62">
        <w:rPr>
          <w:rFonts w:ascii="Times New Roman" w:hAnsi="Times New Roman" w:cs="Times New Roman"/>
          <w:sz w:val="24"/>
          <w:szCs w:val="24"/>
        </w:rPr>
        <w:t>s</w:t>
      </w:r>
      <w:r w:rsidR="00166050" w:rsidRPr="006853EA">
        <w:rPr>
          <w:rFonts w:ascii="Times New Roman" w:hAnsi="Times New Roman" w:cs="Times New Roman"/>
          <w:sz w:val="24"/>
          <w:szCs w:val="24"/>
        </w:rPr>
        <w:t>.</w:t>
      </w:r>
      <w:r w:rsidR="0000155D">
        <w:rPr>
          <w:rFonts w:ascii="Times New Roman" w:hAnsi="Times New Roman" w:cs="Times New Roman"/>
          <w:sz w:val="24"/>
          <w:szCs w:val="24"/>
        </w:rPr>
        <w:t xml:space="preserve"> In addition, t</w:t>
      </w:r>
      <w:r w:rsidR="00166050" w:rsidRPr="006853EA">
        <w:rPr>
          <w:rFonts w:ascii="Times New Roman" w:hAnsi="Times New Roman" w:cs="Times New Roman"/>
          <w:sz w:val="24"/>
          <w:szCs w:val="24"/>
        </w:rPr>
        <w:t xml:space="preserve">he serial correlation </w:t>
      </w:r>
      <w:r w:rsidR="00BC3E62">
        <w:rPr>
          <w:rFonts w:ascii="Times New Roman" w:hAnsi="Times New Roman" w:cs="Times New Roman"/>
          <w:sz w:val="24"/>
          <w:szCs w:val="24"/>
        </w:rPr>
        <w:t>of</w:t>
      </w:r>
      <w:r w:rsidR="00C864B2">
        <w:rPr>
          <w:rFonts w:ascii="Times New Roman" w:hAnsi="Times New Roman" w:cs="Times New Roman"/>
          <w:sz w:val="24"/>
          <w:szCs w:val="24"/>
        </w:rPr>
        <w:t xml:space="preserve"> the squared returns </w:t>
      </w:r>
      <w:r w:rsidR="00166050" w:rsidRPr="006853EA">
        <w:rPr>
          <w:rFonts w:ascii="Times New Roman" w:hAnsi="Times New Roman" w:cs="Times New Roman"/>
          <w:sz w:val="24"/>
          <w:szCs w:val="24"/>
        </w:rPr>
        <w:lastRenderedPageBreak/>
        <w:t xml:space="preserve">suggests </w:t>
      </w:r>
      <w:r w:rsidR="00610A63">
        <w:rPr>
          <w:rFonts w:ascii="Times New Roman" w:hAnsi="Times New Roman" w:cs="Times New Roman"/>
          <w:sz w:val="24"/>
          <w:szCs w:val="24"/>
        </w:rPr>
        <w:t>high persistence and</w:t>
      </w:r>
      <w:r w:rsidR="00166050" w:rsidRPr="006853EA">
        <w:rPr>
          <w:rFonts w:ascii="Times New Roman" w:hAnsi="Times New Roman" w:cs="Times New Roman"/>
          <w:sz w:val="24"/>
          <w:szCs w:val="24"/>
        </w:rPr>
        <w:t xml:space="preserve"> time-varying volatility. </w:t>
      </w:r>
      <w:r w:rsidR="00660C79">
        <w:rPr>
          <w:rFonts w:ascii="Times New Roman" w:hAnsi="Times New Roman" w:cs="Times New Roman"/>
          <w:sz w:val="24"/>
          <w:szCs w:val="24"/>
        </w:rPr>
        <w:t>In fact, t</w:t>
      </w:r>
      <w:r w:rsidR="00D91BB1">
        <w:rPr>
          <w:rFonts w:ascii="Times New Roman" w:hAnsi="Times New Roman" w:cs="Times New Roman"/>
          <w:sz w:val="24"/>
          <w:szCs w:val="24"/>
        </w:rPr>
        <w:t xml:space="preserve">he </w:t>
      </w:r>
      <w:r w:rsidR="00166050" w:rsidRPr="006853EA">
        <w:rPr>
          <w:rFonts w:ascii="Times New Roman" w:hAnsi="Times New Roman" w:cs="Times New Roman"/>
          <w:sz w:val="24"/>
          <w:szCs w:val="24"/>
        </w:rPr>
        <w:t xml:space="preserve">McLeod-Li test indicates strong ARCH effects </w:t>
      </w:r>
      <w:r w:rsidR="00C864B2">
        <w:rPr>
          <w:rFonts w:ascii="Times New Roman" w:hAnsi="Times New Roman" w:cs="Times New Roman"/>
          <w:sz w:val="24"/>
          <w:szCs w:val="24"/>
        </w:rPr>
        <w:t>for both the series under scrutiny</w:t>
      </w:r>
      <w:r w:rsidR="00166050" w:rsidRPr="006853EA">
        <w:rPr>
          <w:rFonts w:ascii="Times New Roman" w:hAnsi="Times New Roman" w:cs="Times New Roman"/>
          <w:sz w:val="24"/>
          <w:szCs w:val="24"/>
        </w:rPr>
        <w:t>.</w:t>
      </w:r>
    </w:p>
    <w:p w:rsidR="008D44A5" w:rsidRDefault="00231DB0" w:rsidP="00AF6503">
      <w:pPr>
        <w:spacing w:after="0" w:line="480" w:lineRule="auto"/>
        <w:ind w:right="282" w:firstLine="720"/>
        <w:rPr>
          <w:rFonts w:ascii="Times New Roman" w:hAnsi="Times New Roman" w:cs="Times New Roman"/>
          <w:sz w:val="24"/>
          <w:szCs w:val="24"/>
        </w:rPr>
      </w:pPr>
      <w:r>
        <w:fldChar w:fldCharType="begin"/>
      </w:r>
      <w:r>
        <w:instrText xml:space="preserve"> REF _Ref479267569 \h  \* MERGEFORMAT </w:instrText>
      </w:r>
      <w:r>
        <w:fldChar w:fldCharType="separate"/>
      </w:r>
      <w:r w:rsidR="00074908" w:rsidRPr="00074908">
        <w:rPr>
          <w:rFonts w:ascii="Times New Roman" w:hAnsi="Times New Roman" w:cs="Times New Roman"/>
          <w:sz w:val="24"/>
          <w:szCs w:val="24"/>
        </w:rPr>
        <w:t>Table 2</w:t>
      </w:r>
      <w:r>
        <w:fldChar w:fldCharType="end"/>
      </w:r>
      <w:r w:rsidR="00AD6969">
        <w:rPr>
          <w:rFonts w:ascii="Times New Roman" w:hAnsi="Times New Roman" w:cs="Times New Roman"/>
          <w:sz w:val="24"/>
          <w:szCs w:val="24"/>
        </w:rPr>
        <w:t xml:space="preserve"> reports the test for equality </w:t>
      </w:r>
      <w:r w:rsidR="00DD1513">
        <w:rPr>
          <w:rFonts w:ascii="Times New Roman" w:hAnsi="Times New Roman" w:cs="Times New Roman"/>
          <w:sz w:val="24"/>
          <w:szCs w:val="24"/>
        </w:rPr>
        <w:t>of</w:t>
      </w:r>
      <w:r w:rsidR="00AD6969">
        <w:rPr>
          <w:rFonts w:ascii="Times New Roman" w:hAnsi="Times New Roman" w:cs="Times New Roman"/>
          <w:sz w:val="24"/>
          <w:szCs w:val="24"/>
        </w:rPr>
        <w:t xml:space="preserve"> mean</w:t>
      </w:r>
      <w:r w:rsidR="001D7EDC">
        <w:rPr>
          <w:rFonts w:ascii="Times New Roman" w:hAnsi="Times New Roman" w:cs="Times New Roman"/>
          <w:sz w:val="24"/>
          <w:szCs w:val="24"/>
        </w:rPr>
        <w:t>s</w:t>
      </w:r>
      <w:r w:rsidR="00AD6969">
        <w:rPr>
          <w:rFonts w:ascii="Times New Roman" w:hAnsi="Times New Roman" w:cs="Times New Roman"/>
          <w:sz w:val="24"/>
          <w:szCs w:val="24"/>
        </w:rPr>
        <w:t>, median</w:t>
      </w:r>
      <w:r w:rsidR="001D7EDC">
        <w:rPr>
          <w:rFonts w:ascii="Times New Roman" w:hAnsi="Times New Roman" w:cs="Times New Roman"/>
          <w:sz w:val="24"/>
          <w:szCs w:val="24"/>
        </w:rPr>
        <w:t>s</w:t>
      </w:r>
      <w:r w:rsidR="002B007D">
        <w:rPr>
          <w:rFonts w:ascii="Times New Roman" w:hAnsi="Times New Roman" w:cs="Times New Roman"/>
          <w:sz w:val="24"/>
          <w:szCs w:val="24"/>
        </w:rPr>
        <w:t>, variance</w:t>
      </w:r>
      <w:r w:rsidR="001D7EDC">
        <w:rPr>
          <w:rFonts w:ascii="Times New Roman" w:hAnsi="Times New Roman" w:cs="Times New Roman"/>
          <w:sz w:val="24"/>
          <w:szCs w:val="24"/>
        </w:rPr>
        <w:t>s</w:t>
      </w:r>
      <w:r w:rsidR="0053328A">
        <w:rPr>
          <w:rFonts w:ascii="Times New Roman" w:hAnsi="Times New Roman" w:cs="Times New Roman"/>
          <w:sz w:val="24"/>
          <w:szCs w:val="24"/>
        </w:rPr>
        <w:t>,</w:t>
      </w:r>
      <w:r w:rsidR="00AD6969">
        <w:rPr>
          <w:rFonts w:ascii="Times New Roman" w:hAnsi="Times New Roman" w:cs="Times New Roman"/>
          <w:sz w:val="24"/>
          <w:szCs w:val="24"/>
        </w:rPr>
        <w:t xml:space="preserve"> and distribution</w:t>
      </w:r>
      <w:r w:rsidR="001D7EDC">
        <w:rPr>
          <w:rFonts w:ascii="Times New Roman" w:hAnsi="Times New Roman" w:cs="Times New Roman"/>
          <w:sz w:val="24"/>
          <w:szCs w:val="24"/>
        </w:rPr>
        <w:t>s</w:t>
      </w:r>
      <w:r w:rsidR="00AD6969">
        <w:rPr>
          <w:rFonts w:ascii="Times New Roman" w:hAnsi="Times New Roman" w:cs="Times New Roman"/>
          <w:sz w:val="24"/>
          <w:szCs w:val="24"/>
        </w:rPr>
        <w:t xml:space="preserve"> between the </w:t>
      </w:r>
      <w:r w:rsidR="00A5475D">
        <w:rPr>
          <w:rFonts w:ascii="Times New Roman" w:hAnsi="Times New Roman" w:cs="Times New Roman"/>
          <w:sz w:val="24"/>
          <w:szCs w:val="24"/>
        </w:rPr>
        <w:t>subperiods</w:t>
      </w:r>
      <w:r w:rsidR="00E34442">
        <w:rPr>
          <w:rFonts w:ascii="Times New Roman" w:hAnsi="Times New Roman" w:cs="Times New Roman"/>
          <w:sz w:val="24"/>
          <w:szCs w:val="24"/>
        </w:rPr>
        <w:t>. Empirical results</w:t>
      </w:r>
      <w:r w:rsidR="00AD6969">
        <w:rPr>
          <w:rFonts w:ascii="Times New Roman" w:hAnsi="Times New Roman" w:cs="Times New Roman"/>
          <w:sz w:val="24"/>
          <w:szCs w:val="24"/>
        </w:rPr>
        <w:t xml:space="preserve"> show a strong difference in volatility</w:t>
      </w:r>
      <w:r w:rsidR="0053328A">
        <w:rPr>
          <w:rFonts w:ascii="Times New Roman" w:hAnsi="Times New Roman" w:cs="Times New Roman"/>
          <w:sz w:val="24"/>
          <w:szCs w:val="24"/>
        </w:rPr>
        <w:t xml:space="preserve"> and</w:t>
      </w:r>
      <w:r w:rsidR="001A61CC">
        <w:rPr>
          <w:rFonts w:ascii="Times New Roman" w:hAnsi="Times New Roman" w:cs="Times New Roman"/>
          <w:sz w:val="24"/>
          <w:szCs w:val="24"/>
        </w:rPr>
        <w:t xml:space="preserve"> </w:t>
      </w:r>
      <w:r w:rsidR="00D80A70">
        <w:rPr>
          <w:rFonts w:ascii="Times New Roman" w:hAnsi="Times New Roman" w:cs="Times New Roman"/>
          <w:sz w:val="24"/>
          <w:szCs w:val="24"/>
        </w:rPr>
        <w:t>median</w:t>
      </w:r>
      <w:r w:rsidR="00AD6969">
        <w:rPr>
          <w:rFonts w:ascii="Times New Roman" w:hAnsi="Times New Roman" w:cs="Times New Roman"/>
          <w:sz w:val="24"/>
          <w:szCs w:val="24"/>
        </w:rPr>
        <w:t xml:space="preserve"> as well as distribution, whereas no</w:t>
      </w:r>
      <w:r w:rsidR="00517F4B">
        <w:rPr>
          <w:rFonts w:ascii="Times New Roman" w:hAnsi="Times New Roman" w:cs="Times New Roman"/>
          <w:sz w:val="24"/>
          <w:szCs w:val="24"/>
        </w:rPr>
        <w:t xml:space="preserve"> significant</w:t>
      </w:r>
      <w:r w:rsidR="00AD6969">
        <w:rPr>
          <w:rFonts w:ascii="Times New Roman" w:hAnsi="Times New Roman" w:cs="Times New Roman"/>
          <w:sz w:val="24"/>
          <w:szCs w:val="24"/>
        </w:rPr>
        <w:t xml:space="preserve"> difference</w:t>
      </w:r>
      <w:r w:rsidR="002B007D">
        <w:rPr>
          <w:rFonts w:ascii="Times New Roman" w:hAnsi="Times New Roman" w:cs="Times New Roman"/>
          <w:sz w:val="24"/>
          <w:szCs w:val="24"/>
        </w:rPr>
        <w:t>s</w:t>
      </w:r>
      <w:r w:rsidR="00AD6969">
        <w:rPr>
          <w:rFonts w:ascii="Times New Roman" w:hAnsi="Times New Roman" w:cs="Times New Roman"/>
          <w:sz w:val="24"/>
          <w:szCs w:val="24"/>
        </w:rPr>
        <w:t xml:space="preserve"> in mean occur.</w:t>
      </w:r>
      <w:r w:rsidR="002B007D">
        <w:rPr>
          <w:rFonts w:ascii="Times New Roman" w:hAnsi="Times New Roman" w:cs="Times New Roman"/>
          <w:sz w:val="24"/>
          <w:szCs w:val="24"/>
        </w:rPr>
        <w:t xml:space="preserve"> Overall, the UK and US series </w:t>
      </w:r>
      <w:r w:rsidR="00970023">
        <w:rPr>
          <w:rFonts w:ascii="Times New Roman" w:hAnsi="Times New Roman" w:cs="Times New Roman"/>
          <w:sz w:val="24"/>
          <w:szCs w:val="24"/>
        </w:rPr>
        <w:t>behave</w:t>
      </w:r>
      <w:r w:rsidR="002B007D">
        <w:rPr>
          <w:rFonts w:ascii="Times New Roman" w:hAnsi="Times New Roman" w:cs="Times New Roman"/>
          <w:sz w:val="24"/>
          <w:szCs w:val="24"/>
        </w:rPr>
        <w:t xml:space="preserve"> differently over </w:t>
      </w:r>
      <w:r w:rsidR="00F3084E">
        <w:rPr>
          <w:rFonts w:ascii="Times New Roman" w:hAnsi="Times New Roman" w:cs="Times New Roman"/>
          <w:sz w:val="24"/>
          <w:szCs w:val="24"/>
        </w:rPr>
        <w:t>time</w:t>
      </w:r>
      <w:r w:rsidR="0053328A">
        <w:rPr>
          <w:rFonts w:ascii="Times New Roman" w:hAnsi="Times New Roman" w:cs="Times New Roman"/>
          <w:sz w:val="24"/>
          <w:szCs w:val="24"/>
        </w:rPr>
        <w:t>,</w:t>
      </w:r>
      <w:r w:rsidR="00F1073C">
        <w:rPr>
          <w:rFonts w:ascii="Times New Roman" w:hAnsi="Times New Roman" w:cs="Times New Roman"/>
          <w:sz w:val="24"/>
          <w:szCs w:val="24"/>
        </w:rPr>
        <w:t xml:space="preserve"> </w:t>
      </w:r>
      <w:r w:rsidR="0053328A">
        <w:rPr>
          <w:rFonts w:ascii="Times New Roman" w:hAnsi="Times New Roman" w:cs="Times New Roman"/>
          <w:sz w:val="24"/>
          <w:szCs w:val="24"/>
        </w:rPr>
        <w:t>so we must</w:t>
      </w:r>
      <w:r w:rsidR="002B007D">
        <w:rPr>
          <w:rFonts w:ascii="Times New Roman" w:hAnsi="Times New Roman" w:cs="Times New Roman"/>
          <w:sz w:val="24"/>
          <w:szCs w:val="24"/>
        </w:rPr>
        <w:t xml:space="preserve"> partition the empirical analysis.</w:t>
      </w:r>
    </w:p>
    <w:p w:rsidR="00107A37" w:rsidRDefault="00E34442"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We then</w:t>
      </w:r>
      <w:r w:rsidR="00B637A4">
        <w:rPr>
          <w:rFonts w:ascii="Times New Roman" w:hAnsi="Times New Roman" w:cs="Times New Roman"/>
          <w:sz w:val="24"/>
          <w:szCs w:val="24"/>
        </w:rPr>
        <w:t xml:space="preserve"> test</w:t>
      </w:r>
      <w:r w:rsidR="009E785A">
        <w:rPr>
          <w:rFonts w:ascii="Times New Roman" w:hAnsi="Times New Roman" w:cs="Times New Roman"/>
          <w:sz w:val="24"/>
          <w:szCs w:val="24"/>
        </w:rPr>
        <w:t xml:space="preserve"> for</w:t>
      </w:r>
      <w:r w:rsidR="00F1073C">
        <w:rPr>
          <w:rFonts w:ascii="Times New Roman" w:hAnsi="Times New Roman" w:cs="Times New Roman"/>
          <w:sz w:val="24"/>
          <w:szCs w:val="24"/>
        </w:rPr>
        <w:t xml:space="preserve"> </w:t>
      </w:r>
      <w:r w:rsidR="005D4608">
        <w:rPr>
          <w:rFonts w:ascii="Times New Roman" w:hAnsi="Times New Roman" w:cs="Times New Roman"/>
          <w:sz w:val="24"/>
          <w:szCs w:val="24"/>
        </w:rPr>
        <w:t xml:space="preserve">the presence of co-integration </w:t>
      </w:r>
      <w:r w:rsidR="00B637A4">
        <w:rPr>
          <w:rFonts w:ascii="Times New Roman" w:hAnsi="Times New Roman" w:cs="Times New Roman"/>
          <w:sz w:val="24"/>
          <w:szCs w:val="24"/>
        </w:rPr>
        <w:t>be</w:t>
      </w:r>
      <w:r w:rsidR="00107A37">
        <w:rPr>
          <w:rFonts w:ascii="Times New Roman" w:hAnsi="Times New Roman" w:cs="Times New Roman"/>
          <w:sz w:val="24"/>
          <w:szCs w:val="24"/>
        </w:rPr>
        <w:t xml:space="preserve">tween the </w:t>
      </w:r>
      <w:r w:rsidR="009E785A">
        <w:rPr>
          <w:rFonts w:ascii="Times New Roman" w:hAnsi="Times New Roman" w:cs="Times New Roman"/>
          <w:sz w:val="24"/>
          <w:szCs w:val="24"/>
        </w:rPr>
        <w:t>UK and US indices</w:t>
      </w:r>
      <w:r w:rsidR="00107A37">
        <w:rPr>
          <w:rFonts w:ascii="Times New Roman" w:hAnsi="Times New Roman" w:cs="Times New Roman"/>
          <w:sz w:val="24"/>
          <w:szCs w:val="24"/>
        </w:rPr>
        <w:t>.</w:t>
      </w:r>
      <w:r w:rsidR="00F1073C">
        <w:rPr>
          <w:rFonts w:ascii="Times New Roman" w:hAnsi="Times New Roman" w:cs="Times New Roman"/>
          <w:sz w:val="24"/>
          <w:szCs w:val="24"/>
        </w:rPr>
        <w:t xml:space="preserve"> </w:t>
      </w:r>
      <w:r w:rsidR="00231DB0">
        <w:fldChar w:fldCharType="begin"/>
      </w:r>
      <w:r w:rsidR="00231DB0">
        <w:instrText xml:space="preserve"> REF _Ref479765254 \h  \* MERGEFORMAT </w:instrText>
      </w:r>
      <w:r w:rsidR="00231DB0">
        <w:fldChar w:fldCharType="separate"/>
      </w:r>
      <w:r w:rsidR="00074908" w:rsidRPr="00074908">
        <w:rPr>
          <w:rFonts w:ascii="Times New Roman" w:hAnsi="Times New Roman" w:cs="Times New Roman"/>
          <w:sz w:val="24"/>
          <w:szCs w:val="24"/>
        </w:rPr>
        <w:t>Table 3</w:t>
      </w:r>
      <w:r w:rsidR="00231DB0">
        <w:fldChar w:fldCharType="end"/>
      </w:r>
      <w:r w:rsidR="00F1073C">
        <w:t xml:space="preserve"> </w:t>
      </w:r>
      <w:r w:rsidR="00B637A4" w:rsidRPr="008529E4">
        <w:rPr>
          <w:rFonts w:ascii="Times New Roman" w:hAnsi="Times New Roman" w:cs="Times New Roman"/>
          <w:sz w:val="24"/>
          <w:szCs w:val="24"/>
        </w:rPr>
        <w:t xml:space="preserve">sets out the results </w:t>
      </w:r>
      <w:r w:rsidR="00750EDB">
        <w:rPr>
          <w:rFonts w:ascii="Times New Roman" w:hAnsi="Times New Roman" w:cs="Times New Roman"/>
          <w:sz w:val="24"/>
          <w:szCs w:val="24"/>
        </w:rPr>
        <w:t>of</w:t>
      </w:r>
      <w:r w:rsidR="00F1073C">
        <w:rPr>
          <w:rFonts w:ascii="Times New Roman" w:hAnsi="Times New Roman" w:cs="Times New Roman"/>
          <w:sz w:val="24"/>
          <w:szCs w:val="24"/>
        </w:rPr>
        <w:t xml:space="preserve"> </w:t>
      </w:r>
      <w:r w:rsidR="0053328A">
        <w:rPr>
          <w:rFonts w:ascii="Times New Roman" w:hAnsi="Times New Roman" w:cs="Times New Roman"/>
          <w:sz w:val="24"/>
          <w:szCs w:val="24"/>
        </w:rPr>
        <w:t xml:space="preserve">this </w:t>
      </w:r>
      <w:r w:rsidR="00B637A4" w:rsidRPr="008529E4">
        <w:rPr>
          <w:rFonts w:ascii="Times New Roman" w:hAnsi="Times New Roman" w:cs="Times New Roman"/>
          <w:sz w:val="24"/>
          <w:szCs w:val="24"/>
        </w:rPr>
        <w:t>analysis using the log prices of UK and US stock indices.</w:t>
      </w:r>
      <w:r w:rsidR="00107A37">
        <w:rPr>
          <w:rStyle w:val="FootnoteReference"/>
          <w:rFonts w:ascii="Times New Roman" w:hAnsi="Times New Roman" w:cs="Times New Roman"/>
          <w:sz w:val="24"/>
          <w:szCs w:val="24"/>
        </w:rPr>
        <w:footnoteReference w:id="4"/>
      </w:r>
      <w:r w:rsidR="00F1073C">
        <w:rPr>
          <w:rFonts w:ascii="Times New Roman" w:hAnsi="Times New Roman" w:cs="Times New Roman"/>
          <w:sz w:val="24"/>
          <w:szCs w:val="24"/>
        </w:rPr>
        <w:t xml:space="preserve"> </w:t>
      </w:r>
      <w:r w:rsidR="00107A37">
        <w:rPr>
          <w:rFonts w:ascii="Times New Roman" w:hAnsi="Times New Roman" w:cs="Times New Roman"/>
          <w:sz w:val="24"/>
          <w:szCs w:val="24"/>
        </w:rPr>
        <w:t>The Engle-Granger</w:t>
      </w:r>
      <w:r w:rsidR="003526AB">
        <w:rPr>
          <w:rFonts w:ascii="Times New Roman" w:hAnsi="Times New Roman" w:cs="Times New Roman"/>
          <w:sz w:val="24"/>
          <w:szCs w:val="24"/>
        </w:rPr>
        <w:t xml:space="preserve"> (E-G)</w:t>
      </w:r>
      <w:r w:rsidR="00107A37">
        <w:rPr>
          <w:rFonts w:ascii="Times New Roman" w:hAnsi="Times New Roman" w:cs="Times New Roman"/>
          <w:sz w:val="24"/>
          <w:szCs w:val="24"/>
        </w:rPr>
        <w:t xml:space="preserve"> test indicates </w:t>
      </w:r>
      <w:r w:rsidR="00114990">
        <w:rPr>
          <w:rFonts w:ascii="Times New Roman" w:hAnsi="Times New Roman" w:cs="Times New Roman"/>
          <w:sz w:val="24"/>
          <w:szCs w:val="24"/>
        </w:rPr>
        <w:t xml:space="preserve">the presence of </w:t>
      </w:r>
      <w:r w:rsidR="0053328A">
        <w:rPr>
          <w:rFonts w:ascii="Times New Roman" w:hAnsi="Times New Roman" w:cs="Times New Roman"/>
          <w:sz w:val="24"/>
          <w:szCs w:val="24"/>
        </w:rPr>
        <w:t xml:space="preserve">a </w:t>
      </w:r>
      <w:r w:rsidR="00107A37">
        <w:rPr>
          <w:rFonts w:ascii="Times New Roman" w:hAnsi="Times New Roman" w:cs="Times New Roman"/>
          <w:sz w:val="24"/>
          <w:szCs w:val="24"/>
        </w:rPr>
        <w:t>co</w:t>
      </w:r>
      <w:r w:rsidR="00422FA9">
        <w:rPr>
          <w:rFonts w:ascii="Times New Roman" w:hAnsi="Times New Roman" w:cs="Times New Roman"/>
          <w:sz w:val="24"/>
          <w:szCs w:val="24"/>
        </w:rPr>
        <w:t>-</w:t>
      </w:r>
      <w:r w:rsidR="00107A37">
        <w:rPr>
          <w:rFonts w:ascii="Times New Roman" w:hAnsi="Times New Roman" w:cs="Times New Roman"/>
          <w:sz w:val="24"/>
          <w:szCs w:val="24"/>
        </w:rPr>
        <w:t xml:space="preserve">integrating relationship in the </w:t>
      </w:r>
      <w:r w:rsidR="00072880">
        <w:rPr>
          <w:rFonts w:ascii="Times New Roman" w:hAnsi="Times New Roman" w:cs="Times New Roman"/>
          <w:sz w:val="24"/>
          <w:szCs w:val="24"/>
        </w:rPr>
        <w:t>post-BW</w:t>
      </w:r>
      <w:r w:rsidR="00107A37">
        <w:rPr>
          <w:rFonts w:ascii="Times New Roman" w:hAnsi="Times New Roman" w:cs="Times New Roman"/>
          <w:sz w:val="24"/>
          <w:szCs w:val="24"/>
        </w:rPr>
        <w:t xml:space="preserve"> period. In addition, </w:t>
      </w:r>
      <w:r w:rsidR="0053328A">
        <w:rPr>
          <w:rFonts w:ascii="Times New Roman" w:hAnsi="Times New Roman" w:cs="Times New Roman"/>
          <w:sz w:val="24"/>
          <w:szCs w:val="24"/>
        </w:rPr>
        <w:t xml:space="preserve">both </w:t>
      </w:r>
      <w:r w:rsidR="00114990">
        <w:rPr>
          <w:rFonts w:ascii="Times New Roman" w:hAnsi="Times New Roman" w:cs="Times New Roman"/>
          <w:sz w:val="24"/>
          <w:szCs w:val="24"/>
        </w:rPr>
        <w:t>F</w:t>
      </w:r>
      <w:r w:rsidR="003526AB">
        <w:rPr>
          <w:rFonts w:ascii="Times New Roman" w:hAnsi="Times New Roman" w:cs="Times New Roman"/>
          <w:sz w:val="24"/>
          <w:szCs w:val="24"/>
        </w:rPr>
        <w:t xml:space="preserve">ully </w:t>
      </w:r>
      <w:r w:rsidR="00114990">
        <w:rPr>
          <w:rFonts w:ascii="Times New Roman" w:hAnsi="Times New Roman" w:cs="Times New Roman"/>
          <w:sz w:val="24"/>
          <w:szCs w:val="24"/>
        </w:rPr>
        <w:t>M</w:t>
      </w:r>
      <w:r w:rsidR="003526AB">
        <w:rPr>
          <w:rFonts w:ascii="Times New Roman" w:hAnsi="Times New Roman" w:cs="Times New Roman"/>
          <w:sz w:val="24"/>
          <w:szCs w:val="24"/>
        </w:rPr>
        <w:t xml:space="preserve">odified OLS (F-OLS) </w:t>
      </w:r>
      <w:r w:rsidR="003B26A5">
        <w:rPr>
          <w:rFonts w:ascii="Times New Roman" w:hAnsi="Times New Roman" w:cs="Times New Roman"/>
          <w:sz w:val="24"/>
          <w:szCs w:val="24"/>
        </w:rPr>
        <w:t xml:space="preserve">and </w:t>
      </w:r>
      <w:r w:rsidR="00114990">
        <w:rPr>
          <w:rFonts w:ascii="Times New Roman" w:hAnsi="Times New Roman" w:cs="Times New Roman"/>
          <w:sz w:val="24"/>
          <w:szCs w:val="24"/>
        </w:rPr>
        <w:t>C</w:t>
      </w:r>
      <w:r w:rsidR="003526AB">
        <w:rPr>
          <w:rFonts w:ascii="Times New Roman" w:hAnsi="Times New Roman" w:cs="Times New Roman"/>
          <w:sz w:val="24"/>
          <w:szCs w:val="24"/>
        </w:rPr>
        <w:t>anonical OLS (C-OLS)</w:t>
      </w:r>
      <w:r w:rsidR="00F1073C">
        <w:rPr>
          <w:rFonts w:ascii="Times New Roman" w:hAnsi="Times New Roman" w:cs="Times New Roman"/>
          <w:sz w:val="24"/>
          <w:szCs w:val="24"/>
        </w:rPr>
        <w:t xml:space="preserve"> </w:t>
      </w:r>
      <w:r w:rsidR="001B44E8">
        <w:rPr>
          <w:rFonts w:ascii="Times New Roman" w:hAnsi="Times New Roman" w:cs="Times New Roman"/>
          <w:sz w:val="24"/>
          <w:szCs w:val="24"/>
        </w:rPr>
        <w:t xml:space="preserve">methods </w:t>
      </w:r>
      <w:r w:rsidR="0053328A">
        <w:rPr>
          <w:rFonts w:ascii="Times New Roman" w:hAnsi="Times New Roman" w:cs="Times New Roman"/>
          <w:sz w:val="24"/>
          <w:szCs w:val="24"/>
        </w:rPr>
        <w:t>show one co</w:t>
      </w:r>
      <w:r w:rsidR="00422FA9">
        <w:rPr>
          <w:rFonts w:ascii="Times New Roman" w:hAnsi="Times New Roman" w:cs="Times New Roman"/>
          <w:sz w:val="24"/>
          <w:szCs w:val="24"/>
        </w:rPr>
        <w:t>-</w:t>
      </w:r>
      <w:r w:rsidR="0053328A">
        <w:rPr>
          <w:rFonts w:ascii="Times New Roman" w:hAnsi="Times New Roman" w:cs="Times New Roman"/>
          <w:sz w:val="24"/>
          <w:szCs w:val="24"/>
        </w:rPr>
        <w:t xml:space="preserve">integrating relationship </w:t>
      </w:r>
      <w:r w:rsidR="002F7BE6">
        <w:rPr>
          <w:rFonts w:ascii="Times New Roman" w:hAnsi="Times New Roman" w:cs="Times New Roman"/>
          <w:sz w:val="24"/>
          <w:szCs w:val="24"/>
        </w:rPr>
        <w:t>in the full and subperiods</w:t>
      </w:r>
      <w:r w:rsidR="003B26A5">
        <w:rPr>
          <w:rFonts w:ascii="Times New Roman" w:hAnsi="Times New Roman" w:cs="Times New Roman"/>
          <w:sz w:val="24"/>
          <w:szCs w:val="24"/>
        </w:rPr>
        <w:t xml:space="preserve">. </w:t>
      </w:r>
      <w:r w:rsidR="00107A37">
        <w:rPr>
          <w:rFonts w:ascii="Times New Roman" w:hAnsi="Times New Roman" w:cs="Times New Roman"/>
          <w:sz w:val="24"/>
          <w:szCs w:val="24"/>
        </w:rPr>
        <w:t>However, both</w:t>
      </w:r>
      <w:r w:rsidR="00107A37" w:rsidRPr="008529E4">
        <w:rPr>
          <w:rFonts w:ascii="Times New Roman" w:hAnsi="Times New Roman" w:cs="Times New Roman"/>
          <w:sz w:val="24"/>
          <w:szCs w:val="24"/>
        </w:rPr>
        <w:t xml:space="preserve"> the </w:t>
      </w:r>
      <w:r w:rsidR="00107A37">
        <w:rPr>
          <w:rFonts w:ascii="Times New Roman" w:hAnsi="Times New Roman" w:cs="Times New Roman"/>
          <w:sz w:val="24"/>
          <w:szCs w:val="24"/>
        </w:rPr>
        <w:t>Johansen and Gregory-Hansen</w:t>
      </w:r>
      <w:r w:rsidR="00664865">
        <w:rPr>
          <w:rFonts w:ascii="Times New Roman" w:hAnsi="Times New Roman" w:cs="Times New Roman"/>
          <w:sz w:val="24"/>
          <w:szCs w:val="24"/>
        </w:rPr>
        <w:t xml:space="preserve"> (G-</w:t>
      </w:r>
      <w:r w:rsidR="00990842">
        <w:rPr>
          <w:rFonts w:ascii="Times New Roman" w:hAnsi="Times New Roman" w:cs="Times New Roman"/>
          <w:sz w:val="24"/>
          <w:szCs w:val="24"/>
        </w:rPr>
        <w:t>H</w:t>
      </w:r>
      <w:r w:rsidR="00664865">
        <w:rPr>
          <w:rFonts w:ascii="Times New Roman" w:hAnsi="Times New Roman" w:cs="Times New Roman"/>
          <w:sz w:val="24"/>
          <w:szCs w:val="24"/>
        </w:rPr>
        <w:t>)</w:t>
      </w:r>
      <w:r w:rsidR="00F1073C">
        <w:rPr>
          <w:rFonts w:ascii="Times New Roman" w:hAnsi="Times New Roman" w:cs="Times New Roman"/>
          <w:sz w:val="24"/>
          <w:szCs w:val="24"/>
        </w:rPr>
        <w:t xml:space="preserve"> </w:t>
      </w:r>
      <w:r w:rsidR="00357F85">
        <w:rPr>
          <w:rFonts w:ascii="Times New Roman" w:hAnsi="Times New Roman" w:cs="Times New Roman"/>
          <w:sz w:val="24"/>
          <w:szCs w:val="24"/>
        </w:rPr>
        <w:t xml:space="preserve">statistics </w:t>
      </w:r>
      <w:r w:rsidR="00107A37" w:rsidRPr="008529E4">
        <w:rPr>
          <w:rFonts w:ascii="Times New Roman" w:hAnsi="Times New Roman" w:cs="Times New Roman"/>
          <w:sz w:val="24"/>
          <w:szCs w:val="24"/>
        </w:rPr>
        <w:t>indicate</w:t>
      </w:r>
      <w:r w:rsidR="00107A37">
        <w:rPr>
          <w:rFonts w:ascii="Times New Roman" w:hAnsi="Times New Roman" w:cs="Times New Roman"/>
          <w:sz w:val="24"/>
          <w:szCs w:val="24"/>
        </w:rPr>
        <w:t xml:space="preserve"> no co</w:t>
      </w:r>
      <w:r w:rsidR="00422FA9">
        <w:rPr>
          <w:rFonts w:ascii="Times New Roman" w:hAnsi="Times New Roman" w:cs="Times New Roman"/>
          <w:sz w:val="24"/>
          <w:szCs w:val="24"/>
        </w:rPr>
        <w:t>-</w:t>
      </w:r>
      <w:r w:rsidR="00107A37">
        <w:rPr>
          <w:rFonts w:ascii="Times New Roman" w:hAnsi="Times New Roman" w:cs="Times New Roman"/>
          <w:sz w:val="24"/>
          <w:szCs w:val="24"/>
        </w:rPr>
        <w:t xml:space="preserve">integrating relationships at conventional levels in </w:t>
      </w:r>
      <w:r w:rsidR="0053328A">
        <w:rPr>
          <w:rFonts w:ascii="Times New Roman" w:hAnsi="Times New Roman" w:cs="Times New Roman"/>
          <w:sz w:val="24"/>
          <w:szCs w:val="24"/>
        </w:rPr>
        <w:t>either</w:t>
      </w:r>
      <w:r>
        <w:rPr>
          <w:rFonts w:ascii="Times New Roman" w:hAnsi="Times New Roman" w:cs="Times New Roman"/>
          <w:sz w:val="24"/>
          <w:szCs w:val="24"/>
        </w:rPr>
        <w:t xml:space="preserve"> full sample </w:t>
      </w:r>
      <w:r w:rsidR="0053328A">
        <w:rPr>
          <w:rFonts w:ascii="Times New Roman" w:hAnsi="Times New Roman" w:cs="Times New Roman"/>
          <w:sz w:val="24"/>
          <w:szCs w:val="24"/>
        </w:rPr>
        <w:t xml:space="preserve">or any of the </w:t>
      </w:r>
      <w:r>
        <w:rPr>
          <w:rFonts w:ascii="Times New Roman" w:hAnsi="Times New Roman" w:cs="Times New Roman"/>
          <w:sz w:val="24"/>
          <w:szCs w:val="24"/>
        </w:rPr>
        <w:t xml:space="preserve">subperiods. </w:t>
      </w:r>
    </w:p>
    <w:p w:rsidR="00FF5F64" w:rsidRDefault="006648E5"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As expected, t</w:t>
      </w:r>
      <w:r w:rsidR="00FF5F64" w:rsidRPr="008529E4">
        <w:rPr>
          <w:rFonts w:ascii="Times New Roman" w:hAnsi="Times New Roman" w:cs="Times New Roman"/>
          <w:sz w:val="24"/>
          <w:szCs w:val="24"/>
        </w:rPr>
        <w:t xml:space="preserve">he </w:t>
      </w:r>
      <w:r w:rsidR="00BD0BB6">
        <w:rPr>
          <w:rFonts w:ascii="Times New Roman" w:hAnsi="Times New Roman" w:cs="Times New Roman"/>
          <w:sz w:val="24"/>
          <w:szCs w:val="24"/>
        </w:rPr>
        <w:t xml:space="preserve">estimates of the </w:t>
      </w:r>
      <w:r w:rsidR="00FF5F64" w:rsidRPr="008529E4">
        <w:rPr>
          <w:rFonts w:ascii="Times New Roman" w:hAnsi="Times New Roman" w:cs="Times New Roman"/>
          <w:sz w:val="24"/>
          <w:szCs w:val="24"/>
        </w:rPr>
        <w:t>two speed</w:t>
      </w:r>
      <w:r w:rsidR="00A5475D">
        <w:rPr>
          <w:rFonts w:ascii="Times New Roman" w:hAnsi="Times New Roman" w:cs="Times New Roman"/>
          <w:sz w:val="24"/>
          <w:szCs w:val="24"/>
        </w:rPr>
        <w:t>-</w:t>
      </w:r>
      <w:r w:rsidR="00FF5F64" w:rsidRPr="008529E4">
        <w:rPr>
          <w:rFonts w:ascii="Times New Roman" w:hAnsi="Times New Roman" w:cs="Times New Roman"/>
          <w:sz w:val="24"/>
          <w:szCs w:val="24"/>
        </w:rPr>
        <w:t>of</w:t>
      </w:r>
      <w:r w:rsidR="00A5475D">
        <w:rPr>
          <w:rFonts w:ascii="Times New Roman" w:hAnsi="Times New Roman" w:cs="Times New Roman"/>
          <w:sz w:val="24"/>
          <w:szCs w:val="24"/>
        </w:rPr>
        <w:t>-</w:t>
      </w:r>
      <w:r w:rsidR="00FF5F64" w:rsidRPr="008529E4">
        <w:rPr>
          <w:rFonts w:ascii="Times New Roman" w:hAnsi="Times New Roman" w:cs="Times New Roman"/>
          <w:sz w:val="24"/>
          <w:szCs w:val="24"/>
        </w:rPr>
        <w:t xml:space="preserve">adjustment indicate that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UK</m:t>
            </m:r>
          </m:sub>
        </m:sSub>
      </m:oMath>
      <w:r w:rsidR="00FF5F64" w:rsidRPr="008529E4">
        <w:rPr>
          <w:rFonts w:ascii="Times New Roman" w:hAnsi="Times New Roman" w:cs="Times New Roman"/>
          <w:sz w:val="24"/>
          <w:szCs w:val="24"/>
        </w:rPr>
        <w:t xml:space="preserve"> is</w:t>
      </w:r>
      <w:r>
        <w:rPr>
          <w:rFonts w:ascii="Times New Roman" w:hAnsi="Times New Roman" w:cs="Times New Roman"/>
          <w:sz w:val="24"/>
          <w:szCs w:val="24"/>
        </w:rPr>
        <w:t xml:space="preserve"> negative and significant</w:t>
      </w:r>
      <w:r w:rsidR="00FF5F64" w:rsidRPr="008529E4">
        <w:rPr>
          <w:rFonts w:ascii="Times New Roman" w:hAnsi="Times New Roman" w:cs="Times New Roman"/>
          <w:sz w:val="24"/>
          <w:szCs w:val="24"/>
        </w:rPr>
        <w:t xml:space="preserve"> while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US</m:t>
            </m:r>
          </m:sub>
        </m:sSub>
      </m:oMath>
      <w:r w:rsidR="00FF5F64" w:rsidRPr="008529E4">
        <w:rPr>
          <w:rFonts w:ascii="Times New Roman" w:hAnsi="Times New Roman" w:cs="Times New Roman"/>
          <w:sz w:val="24"/>
          <w:szCs w:val="24"/>
        </w:rPr>
        <w:t xml:space="preserve"> is positive and significant, suggesting a joint error correction to restore </w:t>
      </w:r>
      <w:r w:rsidR="00BD0BB6">
        <w:rPr>
          <w:rFonts w:ascii="Times New Roman" w:hAnsi="Times New Roman" w:cs="Times New Roman"/>
          <w:sz w:val="24"/>
          <w:szCs w:val="24"/>
        </w:rPr>
        <w:t xml:space="preserve">the </w:t>
      </w:r>
      <w:r w:rsidR="00FF5F64">
        <w:rPr>
          <w:rFonts w:ascii="Times New Roman" w:hAnsi="Times New Roman" w:cs="Times New Roman"/>
          <w:sz w:val="24"/>
          <w:szCs w:val="24"/>
        </w:rPr>
        <w:t xml:space="preserve">long-run </w:t>
      </w:r>
      <w:r w:rsidR="00FF5F64" w:rsidRPr="008529E4">
        <w:rPr>
          <w:rFonts w:ascii="Times New Roman" w:hAnsi="Times New Roman" w:cs="Times New Roman"/>
          <w:sz w:val="24"/>
          <w:szCs w:val="24"/>
        </w:rPr>
        <w:t>equilibrium. The coefficients of the speed of adjustment suggest that UK returns are on average lower than the level predicted by the long-run equilibrium</w:t>
      </w:r>
      <w:r w:rsidR="0053328A">
        <w:rPr>
          <w:rFonts w:ascii="Times New Roman" w:hAnsi="Times New Roman" w:cs="Times New Roman"/>
          <w:sz w:val="24"/>
          <w:szCs w:val="24"/>
        </w:rPr>
        <w:t>,</w:t>
      </w:r>
      <w:r w:rsidR="00FF5F64" w:rsidRPr="008529E4">
        <w:rPr>
          <w:rFonts w:ascii="Times New Roman" w:hAnsi="Times New Roman" w:cs="Times New Roman"/>
          <w:sz w:val="24"/>
          <w:szCs w:val="24"/>
        </w:rPr>
        <w:t xml:space="preserve"> and they adjust by rising toward US returns. By the same token, US returns tend to exceed UK returns, and the</w:t>
      </w:r>
      <w:r w:rsidR="009D148E">
        <w:rPr>
          <w:rFonts w:ascii="Times New Roman" w:hAnsi="Times New Roman" w:cs="Times New Roman"/>
          <w:sz w:val="24"/>
          <w:szCs w:val="24"/>
        </w:rPr>
        <w:t>refore decrease to restore long-</w:t>
      </w:r>
      <w:r w:rsidR="00FF5F64" w:rsidRPr="008529E4">
        <w:rPr>
          <w:rFonts w:ascii="Times New Roman" w:hAnsi="Times New Roman" w:cs="Times New Roman"/>
          <w:sz w:val="24"/>
          <w:szCs w:val="24"/>
        </w:rPr>
        <w:t xml:space="preserve">run equilibrium. </w:t>
      </w:r>
      <w:r w:rsidR="00FF5F64">
        <w:rPr>
          <w:rFonts w:ascii="Times New Roman" w:hAnsi="Times New Roman" w:cs="Times New Roman"/>
          <w:sz w:val="24"/>
          <w:szCs w:val="24"/>
        </w:rPr>
        <w:t xml:space="preserve">This further </w:t>
      </w:r>
      <w:r w:rsidR="004B7812">
        <w:rPr>
          <w:rFonts w:ascii="Times New Roman" w:hAnsi="Times New Roman" w:cs="Times New Roman"/>
          <w:sz w:val="24"/>
          <w:szCs w:val="24"/>
        </w:rPr>
        <w:t xml:space="preserve">demonstrates </w:t>
      </w:r>
      <w:r w:rsidR="00FF5F64">
        <w:rPr>
          <w:rFonts w:ascii="Times New Roman" w:hAnsi="Times New Roman" w:cs="Times New Roman"/>
          <w:sz w:val="24"/>
          <w:szCs w:val="24"/>
        </w:rPr>
        <w:t>the existence of a co</w:t>
      </w:r>
      <w:r w:rsidR="00E36C76">
        <w:rPr>
          <w:rFonts w:ascii="Times New Roman" w:hAnsi="Times New Roman" w:cs="Times New Roman"/>
          <w:sz w:val="24"/>
          <w:szCs w:val="24"/>
        </w:rPr>
        <w:t>-</w:t>
      </w:r>
      <w:r w:rsidR="00FF5F64">
        <w:rPr>
          <w:rFonts w:ascii="Times New Roman" w:hAnsi="Times New Roman" w:cs="Times New Roman"/>
          <w:sz w:val="24"/>
          <w:szCs w:val="24"/>
        </w:rPr>
        <w:t>integrating relationship between the two markets.</w:t>
      </w:r>
    </w:p>
    <w:p w:rsidR="007B15FD" w:rsidRDefault="003435F5"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In conclusion</w:t>
      </w:r>
      <w:r w:rsidR="003526AB" w:rsidRPr="0097743D">
        <w:rPr>
          <w:rFonts w:ascii="Times New Roman" w:hAnsi="Times New Roman" w:cs="Times New Roman"/>
          <w:sz w:val="24"/>
          <w:szCs w:val="24"/>
        </w:rPr>
        <w:t xml:space="preserve">, </w:t>
      </w:r>
      <w:r w:rsidR="004B7812">
        <w:rPr>
          <w:rFonts w:ascii="Times New Roman" w:hAnsi="Times New Roman" w:cs="Times New Roman"/>
          <w:sz w:val="24"/>
          <w:szCs w:val="24"/>
        </w:rPr>
        <w:t>the evidence largely confirms</w:t>
      </w:r>
      <w:r w:rsidR="003526AB" w:rsidRPr="0097743D">
        <w:rPr>
          <w:rFonts w:ascii="Times New Roman" w:hAnsi="Times New Roman" w:cs="Times New Roman"/>
          <w:sz w:val="24"/>
          <w:szCs w:val="24"/>
        </w:rPr>
        <w:t xml:space="preserve"> a co</w:t>
      </w:r>
      <w:r w:rsidR="00E36C76">
        <w:rPr>
          <w:rFonts w:ascii="Times New Roman" w:hAnsi="Times New Roman" w:cs="Times New Roman"/>
          <w:sz w:val="24"/>
          <w:szCs w:val="24"/>
        </w:rPr>
        <w:t>-</w:t>
      </w:r>
      <w:r w:rsidR="003526AB" w:rsidRPr="0097743D">
        <w:rPr>
          <w:rFonts w:ascii="Times New Roman" w:hAnsi="Times New Roman" w:cs="Times New Roman"/>
          <w:sz w:val="24"/>
          <w:szCs w:val="24"/>
        </w:rPr>
        <w:t>integrating relationship between</w:t>
      </w:r>
      <w:r w:rsidR="00A25633">
        <w:rPr>
          <w:rFonts w:ascii="Times New Roman" w:hAnsi="Times New Roman" w:cs="Times New Roman"/>
          <w:sz w:val="24"/>
          <w:szCs w:val="24"/>
        </w:rPr>
        <w:t xml:space="preserve"> the</w:t>
      </w:r>
      <w:r w:rsidR="003526AB" w:rsidRPr="0097743D">
        <w:rPr>
          <w:rFonts w:ascii="Times New Roman" w:hAnsi="Times New Roman" w:cs="Times New Roman"/>
          <w:sz w:val="24"/>
          <w:szCs w:val="24"/>
        </w:rPr>
        <w:t xml:space="preserve"> UK and US </w:t>
      </w:r>
      <w:r w:rsidR="00072880">
        <w:rPr>
          <w:rFonts w:ascii="Times New Roman" w:hAnsi="Times New Roman" w:cs="Times New Roman"/>
          <w:sz w:val="24"/>
          <w:szCs w:val="24"/>
        </w:rPr>
        <w:t>in the post-BW</w:t>
      </w:r>
      <w:r w:rsidR="00F1073C">
        <w:rPr>
          <w:rFonts w:ascii="Times New Roman" w:hAnsi="Times New Roman" w:cs="Times New Roman"/>
          <w:sz w:val="24"/>
          <w:szCs w:val="24"/>
        </w:rPr>
        <w:t xml:space="preserve"> </w:t>
      </w:r>
      <w:r w:rsidR="00A5475D">
        <w:rPr>
          <w:rFonts w:ascii="Times New Roman" w:hAnsi="Times New Roman" w:cs="Times New Roman"/>
          <w:sz w:val="24"/>
          <w:szCs w:val="24"/>
        </w:rPr>
        <w:t>subperiod</w:t>
      </w:r>
      <w:r w:rsidR="003526AB" w:rsidRPr="0097743D">
        <w:rPr>
          <w:rFonts w:ascii="Times New Roman" w:hAnsi="Times New Roman" w:cs="Times New Roman"/>
          <w:sz w:val="24"/>
          <w:szCs w:val="24"/>
        </w:rPr>
        <w:t>.</w:t>
      </w:r>
      <w:r w:rsidR="00F1073C">
        <w:rPr>
          <w:rFonts w:ascii="Times New Roman" w:hAnsi="Times New Roman" w:cs="Times New Roman"/>
          <w:sz w:val="24"/>
          <w:szCs w:val="24"/>
        </w:rPr>
        <w:t xml:space="preserve"> </w:t>
      </w:r>
      <w:r w:rsidR="009D148E" w:rsidRPr="008529E4">
        <w:rPr>
          <w:rFonts w:ascii="Times New Roman" w:hAnsi="Times New Roman" w:cs="Times New Roman"/>
          <w:sz w:val="24"/>
          <w:szCs w:val="24"/>
        </w:rPr>
        <w:t xml:space="preserve">The long-run relationship between </w:t>
      </w:r>
      <w:r w:rsidR="004B7812">
        <w:rPr>
          <w:rFonts w:ascii="Times New Roman" w:hAnsi="Times New Roman" w:cs="Times New Roman"/>
          <w:sz w:val="24"/>
          <w:szCs w:val="24"/>
        </w:rPr>
        <w:t xml:space="preserve">the </w:t>
      </w:r>
      <w:r w:rsidR="009D148E" w:rsidRPr="008529E4">
        <w:rPr>
          <w:rFonts w:ascii="Times New Roman" w:hAnsi="Times New Roman" w:cs="Times New Roman"/>
          <w:sz w:val="24"/>
          <w:szCs w:val="24"/>
        </w:rPr>
        <w:t>UK and US is further supported by the evidence of co</w:t>
      </w:r>
      <w:r w:rsidR="00E36C76">
        <w:rPr>
          <w:rFonts w:ascii="Times New Roman" w:hAnsi="Times New Roman" w:cs="Times New Roman"/>
          <w:sz w:val="24"/>
          <w:szCs w:val="24"/>
        </w:rPr>
        <w:t>-</w:t>
      </w:r>
      <w:r w:rsidR="009D148E" w:rsidRPr="008529E4">
        <w:rPr>
          <w:rFonts w:ascii="Times New Roman" w:hAnsi="Times New Roman" w:cs="Times New Roman"/>
          <w:sz w:val="24"/>
          <w:szCs w:val="24"/>
        </w:rPr>
        <w:t>integrated mature markets</w:t>
      </w:r>
      <w:r w:rsidR="009D148E">
        <w:rPr>
          <w:rFonts w:ascii="Times New Roman" w:hAnsi="Times New Roman" w:cs="Times New Roman"/>
          <w:sz w:val="24"/>
          <w:szCs w:val="24"/>
        </w:rPr>
        <w:t xml:space="preserve"> (</w:t>
      </w:r>
      <w:r w:rsidR="00E36C76">
        <w:rPr>
          <w:rFonts w:ascii="Times New Roman" w:hAnsi="Times New Roman" w:cs="Times New Roman"/>
          <w:sz w:val="24"/>
          <w:szCs w:val="24"/>
        </w:rPr>
        <w:t>i.e.</w:t>
      </w:r>
      <w:r w:rsidR="009D148E">
        <w:rPr>
          <w:rFonts w:ascii="Times New Roman" w:hAnsi="Times New Roman" w:cs="Times New Roman"/>
          <w:sz w:val="24"/>
          <w:szCs w:val="24"/>
        </w:rPr>
        <w:t xml:space="preserve"> US, UK, Japan)</w:t>
      </w:r>
      <w:r w:rsidR="009D148E" w:rsidRPr="008529E4">
        <w:rPr>
          <w:rFonts w:ascii="Times New Roman" w:hAnsi="Times New Roman" w:cs="Times New Roman"/>
          <w:sz w:val="24"/>
          <w:szCs w:val="24"/>
        </w:rPr>
        <w:t xml:space="preserve"> provided by F</w:t>
      </w:r>
      <w:r w:rsidR="009D148E">
        <w:rPr>
          <w:rFonts w:ascii="Times New Roman" w:hAnsi="Times New Roman" w:cs="Times New Roman"/>
          <w:sz w:val="24"/>
          <w:szCs w:val="24"/>
        </w:rPr>
        <w:t xml:space="preserve">loros </w:t>
      </w:r>
      <w:r w:rsidR="009D148E">
        <w:rPr>
          <w:rFonts w:ascii="Times New Roman" w:hAnsi="Times New Roman" w:cs="Times New Roman"/>
          <w:sz w:val="24"/>
          <w:szCs w:val="24"/>
        </w:rPr>
        <w:lastRenderedPageBreak/>
        <w:t>(2005) and Hatemi (2008).</w:t>
      </w:r>
      <w:r w:rsidR="00F1073C">
        <w:rPr>
          <w:rFonts w:ascii="Times New Roman" w:hAnsi="Times New Roman" w:cs="Times New Roman"/>
          <w:sz w:val="24"/>
          <w:szCs w:val="24"/>
        </w:rPr>
        <w:t xml:space="preserve"> </w:t>
      </w:r>
      <w:r w:rsidR="004B7812">
        <w:rPr>
          <w:rFonts w:ascii="Times New Roman" w:hAnsi="Times New Roman" w:cs="Times New Roman"/>
          <w:sz w:val="24"/>
          <w:szCs w:val="24"/>
        </w:rPr>
        <w:t xml:space="preserve">Given </w:t>
      </w:r>
      <w:r w:rsidR="00832537" w:rsidRPr="006853EA">
        <w:rPr>
          <w:rFonts w:ascii="Times New Roman" w:hAnsi="Times New Roman" w:cs="Times New Roman"/>
          <w:sz w:val="24"/>
          <w:szCs w:val="24"/>
        </w:rPr>
        <w:t xml:space="preserve">the </w:t>
      </w:r>
      <w:r w:rsidR="002B007D">
        <w:rPr>
          <w:rFonts w:ascii="Times New Roman" w:hAnsi="Times New Roman" w:cs="Times New Roman"/>
          <w:sz w:val="24"/>
          <w:szCs w:val="24"/>
        </w:rPr>
        <w:t>presence of conditional heteroscedasticity, seria</w:t>
      </w:r>
      <w:r w:rsidR="00AE330A">
        <w:rPr>
          <w:rFonts w:ascii="Times New Roman" w:hAnsi="Times New Roman" w:cs="Times New Roman"/>
          <w:sz w:val="24"/>
          <w:szCs w:val="24"/>
        </w:rPr>
        <w:t>l correlation</w:t>
      </w:r>
      <w:r w:rsidR="003F315B">
        <w:rPr>
          <w:rFonts w:ascii="Times New Roman" w:hAnsi="Times New Roman" w:cs="Times New Roman"/>
          <w:sz w:val="24"/>
          <w:szCs w:val="24"/>
        </w:rPr>
        <w:t>,</w:t>
      </w:r>
      <w:r w:rsidR="00AE330A">
        <w:rPr>
          <w:rFonts w:ascii="Times New Roman" w:hAnsi="Times New Roman" w:cs="Times New Roman"/>
          <w:sz w:val="24"/>
          <w:szCs w:val="24"/>
        </w:rPr>
        <w:t xml:space="preserve"> non</w:t>
      </w:r>
      <w:r w:rsidR="00A02E9D">
        <w:rPr>
          <w:rFonts w:ascii="Times New Roman" w:hAnsi="Times New Roman" w:cs="Times New Roman"/>
          <w:sz w:val="24"/>
          <w:szCs w:val="24"/>
        </w:rPr>
        <w:t>-</w:t>
      </w:r>
      <w:r w:rsidR="00AE330A">
        <w:rPr>
          <w:rFonts w:ascii="Times New Roman" w:hAnsi="Times New Roman" w:cs="Times New Roman"/>
          <w:sz w:val="24"/>
          <w:szCs w:val="24"/>
        </w:rPr>
        <w:t>normality</w:t>
      </w:r>
      <w:r w:rsidR="004B7812">
        <w:rPr>
          <w:rFonts w:ascii="Times New Roman" w:hAnsi="Times New Roman" w:cs="Times New Roman"/>
          <w:sz w:val="24"/>
          <w:szCs w:val="24"/>
        </w:rPr>
        <w:t>,</w:t>
      </w:r>
      <w:r w:rsidR="003F315B">
        <w:rPr>
          <w:rFonts w:ascii="Times New Roman" w:hAnsi="Times New Roman" w:cs="Times New Roman"/>
          <w:sz w:val="24"/>
          <w:szCs w:val="24"/>
        </w:rPr>
        <w:t xml:space="preserve"> and </w:t>
      </w:r>
      <w:r w:rsidR="00A5475D">
        <w:rPr>
          <w:rFonts w:ascii="Times New Roman" w:hAnsi="Times New Roman" w:cs="Times New Roman"/>
          <w:sz w:val="24"/>
          <w:szCs w:val="24"/>
        </w:rPr>
        <w:t xml:space="preserve">a </w:t>
      </w:r>
      <w:r w:rsidR="003F315B">
        <w:rPr>
          <w:rFonts w:ascii="Times New Roman" w:hAnsi="Times New Roman" w:cs="Times New Roman"/>
          <w:sz w:val="24"/>
          <w:szCs w:val="24"/>
        </w:rPr>
        <w:t>co</w:t>
      </w:r>
      <w:r w:rsidR="00E36C76">
        <w:rPr>
          <w:rFonts w:ascii="Times New Roman" w:hAnsi="Times New Roman" w:cs="Times New Roman"/>
          <w:sz w:val="24"/>
          <w:szCs w:val="24"/>
        </w:rPr>
        <w:t>-</w:t>
      </w:r>
      <w:r w:rsidR="003F315B">
        <w:rPr>
          <w:rFonts w:ascii="Times New Roman" w:hAnsi="Times New Roman" w:cs="Times New Roman"/>
          <w:sz w:val="24"/>
          <w:szCs w:val="24"/>
        </w:rPr>
        <w:t>integrating relationship</w:t>
      </w:r>
      <w:r w:rsidR="00197A7B">
        <w:rPr>
          <w:rFonts w:ascii="Times New Roman" w:hAnsi="Times New Roman" w:cs="Times New Roman"/>
          <w:sz w:val="24"/>
          <w:szCs w:val="24"/>
        </w:rPr>
        <w:t xml:space="preserve">, </w:t>
      </w:r>
      <w:r w:rsidR="00E34442">
        <w:rPr>
          <w:rFonts w:ascii="Times New Roman" w:hAnsi="Times New Roman" w:cs="Times New Roman"/>
          <w:sz w:val="24"/>
          <w:szCs w:val="24"/>
        </w:rPr>
        <w:t xml:space="preserve">we employ </w:t>
      </w:r>
      <w:r w:rsidR="00832537" w:rsidRPr="006853EA">
        <w:rPr>
          <w:rFonts w:ascii="Times New Roman" w:hAnsi="Times New Roman" w:cs="Times New Roman"/>
          <w:sz w:val="24"/>
          <w:szCs w:val="24"/>
        </w:rPr>
        <w:t>multivariate volatility</w:t>
      </w:r>
      <w:r w:rsidR="00AE330A">
        <w:rPr>
          <w:rFonts w:ascii="Times New Roman" w:hAnsi="Times New Roman" w:cs="Times New Roman"/>
          <w:sz w:val="24"/>
          <w:szCs w:val="24"/>
        </w:rPr>
        <w:t xml:space="preserve"> model</w:t>
      </w:r>
      <w:r w:rsidR="006645B0">
        <w:rPr>
          <w:rFonts w:ascii="Times New Roman" w:hAnsi="Times New Roman" w:cs="Times New Roman"/>
          <w:sz w:val="24"/>
          <w:szCs w:val="24"/>
        </w:rPr>
        <w:t>s</w:t>
      </w:r>
      <w:r w:rsidR="00F1073C">
        <w:rPr>
          <w:rFonts w:ascii="Times New Roman" w:hAnsi="Times New Roman" w:cs="Times New Roman"/>
          <w:sz w:val="24"/>
          <w:szCs w:val="24"/>
        </w:rPr>
        <w:t xml:space="preserve"> </w:t>
      </w:r>
      <w:r w:rsidR="00E34442">
        <w:rPr>
          <w:rFonts w:ascii="Times New Roman" w:hAnsi="Times New Roman" w:cs="Times New Roman"/>
          <w:sz w:val="24"/>
          <w:szCs w:val="24"/>
        </w:rPr>
        <w:t xml:space="preserve">to evaluate the nature </w:t>
      </w:r>
      <w:r w:rsidR="003F315B">
        <w:rPr>
          <w:rFonts w:ascii="Times New Roman" w:hAnsi="Times New Roman" w:cs="Times New Roman"/>
          <w:sz w:val="24"/>
          <w:szCs w:val="24"/>
        </w:rPr>
        <w:t xml:space="preserve">of stock market integration </w:t>
      </w:r>
      <w:r w:rsidR="004B7812">
        <w:rPr>
          <w:rFonts w:ascii="Times New Roman" w:hAnsi="Times New Roman" w:cs="Times New Roman"/>
          <w:sz w:val="24"/>
          <w:szCs w:val="24"/>
        </w:rPr>
        <w:t>across</w:t>
      </w:r>
      <w:r w:rsidR="00AE330A">
        <w:rPr>
          <w:rFonts w:ascii="Times New Roman" w:hAnsi="Times New Roman" w:cs="Times New Roman"/>
          <w:sz w:val="24"/>
          <w:szCs w:val="24"/>
        </w:rPr>
        <w:t xml:space="preserve"> multi</w:t>
      </w:r>
      <w:r w:rsidR="004B7812">
        <w:rPr>
          <w:rFonts w:ascii="Times New Roman" w:hAnsi="Times New Roman" w:cs="Times New Roman"/>
          <w:sz w:val="24"/>
          <w:szCs w:val="24"/>
        </w:rPr>
        <w:t xml:space="preserve">ple </w:t>
      </w:r>
      <w:r w:rsidR="00AE330A">
        <w:rPr>
          <w:rFonts w:ascii="Times New Roman" w:hAnsi="Times New Roman" w:cs="Times New Roman"/>
          <w:sz w:val="24"/>
          <w:szCs w:val="24"/>
        </w:rPr>
        <w:t>sample period</w:t>
      </w:r>
      <w:r w:rsidR="004B7812">
        <w:rPr>
          <w:rFonts w:ascii="Times New Roman" w:hAnsi="Times New Roman" w:cs="Times New Roman"/>
          <w:sz w:val="24"/>
          <w:szCs w:val="24"/>
        </w:rPr>
        <w:t>s</w:t>
      </w:r>
      <w:r w:rsidR="00832537" w:rsidRPr="006853EA">
        <w:rPr>
          <w:rFonts w:ascii="Times New Roman" w:hAnsi="Times New Roman" w:cs="Times New Roman"/>
          <w:sz w:val="24"/>
          <w:szCs w:val="24"/>
        </w:rPr>
        <w:t>.</w:t>
      </w:r>
    </w:p>
    <w:p w:rsidR="00970484" w:rsidRDefault="00970484" w:rsidP="00AF6503">
      <w:pPr>
        <w:keepNext/>
        <w:spacing w:after="0" w:line="360" w:lineRule="auto"/>
        <w:ind w:right="282"/>
      </w:pPr>
      <w:r w:rsidRPr="00970484">
        <w:rPr>
          <w:noProof/>
          <w:lang w:eastAsia="en-GB"/>
        </w:rPr>
        <w:drawing>
          <wp:inline distT="0" distB="0" distL="0" distR="0">
            <wp:extent cx="5119370" cy="3751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9370" cy="3751580"/>
                    </a:xfrm>
                    <a:prstGeom prst="rect">
                      <a:avLst/>
                    </a:prstGeom>
                    <a:noFill/>
                    <a:ln>
                      <a:noFill/>
                    </a:ln>
                  </pic:spPr>
                </pic:pic>
              </a:graphicData>
            </a:graphic>
          </wp:inline>
        </w:drawing>
      </w:r>
    </w:p>
    <w:p w:rsidR="00970484" w:rsidRPr="00970484" w:rsidRDefault="00970484" w:rsidP="00667604">
      <w:pPr>
        <w:pStyle w:val="Caption"/>
        <w:rPr>
          <w:rFonts w:ascii="Times New Roman" w:hAnsi="Times New Roman" w:cs="Times New Roman"/>
          <w:b w:val="0"/>
          <w:color w:val="auto"/>
          <w:sz w:val="24"/>
          <w:szCs w:val="24"/>
        </w:rPr>
        <w:sectPr w:rsidR="00970484" w:rsidRPr="00970484" w:rsidSect="004D3862">
          <w:footerReference w:type="default" r:id="rId9"/>
          <w:pgSz w:w="11906" w:h="16838"/>
          <w:pgMar w:top="1134" w:right="851" w:bottom="1701" w:left="1134" w:header="709" w:footer="709" w:gutter="0"/>
          <w:cols w:space="708"/>
          <w:titlePg/>
          <w:docGrid w:linePitch="360"/>
        </w:sectPr>
      </w:pPr>
      <w:bookmarkStart w:id="4" w:name="_Ref523570263"/>
      <w:r w:rsidRPr="00AF6503">
        <w:rPr>
          <w:rFonts w:ascii="Times New Roman" w:hAnsi="Times New Roman" w:cs="Times New Roman"/>
          <w:color w:val="auto"/>
          <w:sz w:val="24"/>
          <w:szCs w:val="24"/>
        </w:rPr>
        <w:t>Fig</w:t>
      </w:r>
      <w:r w:rsidR="0075422D">
        <w:rPr>
          <w:rFonts w:ascii="Times New Roman" w:hAnsi="Times New Roman" w:cs="Times New Roman"/>
          <w:color w:val="auto"/>
          <w:sz w:val="24"/>
          <w:szCs w:val="24"/>
        </w:rPr>
        <w:t>.</w:t>
      </w:r>
      <w:r w:rsidR="007E3809" w:rsidRPr="00AF6503">
        <w:rPr>
          <w:rFonts w:ascii="Times New Roman" w:hAnsi="Times New Roman" w:cs="Times New Roman"/>
          <w:color w:val="auto"/>
          <w:sz w:val="24"/>
          <w:szCs w:val="24"/>
        </w:rPr>
        <w:fldChar w:fldCharType="begin"/>
      </w:r>
      <w:r w:rsidRPr="00AF6503">
        <w:rPr>
          <w:rFonts w:ascii="Times New Roman" w:hAnsi="Times New Roman" w:cs="Times New Roman"/>
          <w:color w:val="auto"/>
          <w:sz w:val="24"/>
          <w:szCs w:val="24"/>
        </w:rPr>
        <w:instrText xml:space="preserve"> SEQ Figure \* ARABIC </w:instrText>
      </w:r>
      <w:r w:rsidR="007E3809" w:rsidRPr="00AF6503">
        <w:rPr>
          <w:rFonts w:ascii="Times New Roman" w:hAnsi="Times New Roman" w:cs="Times New Roman"/>
          <w:color w:val="auto"/>
          <w:sz w:val="24"/>
          <w:szCs w:val="24"/>
        </w:rPr>
        <w:fldChar w:fldCharType="separate"/>
      </w:r>
      <w:r w:rsidR="004F0DAA" w:rsidRPr="00AF6503">
        <w:rPr>
          <w:rFonts w:ascii="Times New Roman" w:hAnsi="Times New Roman" w:cs="Times New Roman"/>
          <w:noProof/>
          <w:color w:val="auto"/>
          <w:sz w:val="24"/>
          <w:szCs w:val="24"/>
        </w:rPr>
        <w:t>1</w:t>
      </w:r>
      <w:r w:rsidR="007E3809" w:rsidRPr="00AF6503">
        <w:rPr>
          <w:rFonts w:ascii="Times New Roman" w:hAnsi="Times New Roman" w:cs="Times New Roman"/>
          <w:color w:val="auto"/>
          <w:sz w:val="24"/>
          <w:szCs w:val="24"/>
        </w:rPr>
        <w:fldChar w:fldCharType="end"/>
      </w:r>
      <w:bookmarkEnd w:id="4"/>
      <w:r w:rsidR="0075422D">
        <w:rPr>
          <w:rFonts w:ascii="Times New Roman" w:hAnsi="Times New Roman" w:cs="Times New Roman"/>
          <w:color w:val="auto"/>
          <w:sz w:val="24"/>
          <w:szCs w:val="24"/>
        </w:rPr>
        <w:t>.</w:t>
      </w:r>
      <w:r w:rsidR="00A7188D">
        <w:rPr>
          <w:rFonts w:ascii="Times New Roman" w:hAnsi="Times New Roman" w:cs="Times New Roman"/>
          <w:color w:val="auto"/>
          <w:sz w:val="24"/>
          <w:szCs w:val="24"/>
        </w:rPr>
        <w:t xml:space="preserve"> </w:t>
      </w:r>
      <w:r>
        <w:rPr>
          <w:rFonts w:ascii="Times New Roman" w:hAnsi="Times New Roman" w:cs="Times New Roman"/>
          <w:b w:val="0"/>
          <w:color w:val="auto"/>
          <w:sz w:val="24"/>
          <w:szCs w:val="24"/>
        </w:rPr>
        <w:t xml:space="preserve">Natural </w:t>
      </w:r>
      <w:r w:rsidR="00A73D81">
        <w:rPr>
          <w:rFonts w:ascii="Times New Roman" w:hAnsi="Times New Roman" w:cs="Times New Roman"/>
          <w:b w:val="0"/>
          <w:color w:val="auto"/>
          <w:sz w:val="24"/>
          <w:szCs w:val="24"/>
        </w:rPr>
        <w:t>lo</w:t>
      </w:r>
      <w:r>
        <w:rPr>
          <w:rFonts w:ascii="Times New Roman" w:hAnsi="Times New Roman" w:cs="Times New Roman"/>
          <w:b w:val="0"/>
          <w:color w:val="auto"/>
          <w:sz w:val="24"/>
          <w:szCs w:val="24"/>
        </w:rPr>
        <w:t>g</w:t>
      </w:r>
      <w:r w:rsidR="00A73D81">
        <w:rPr>
          <w:rFonts w:ascii="Times New Roman" w:hAnsi="Times New Roman" w:cs="Times New Roman"/>
          <w:b w:val="0"/>
          <w:color w:val="auto"/>
          <w:sz w:val="24"/>
          <w:szCs w:val="24"/>
        </w:rPr>
        <w:t>arithm</w:t>
      </w:r>
      <w:r>
        <w:rPr>
          <w:rFonts w:ascii="Times New Roman" w:hAnsi="Times New Roman" w:cs="Times New Roman"/>
          <w:b w:val="0"/>
          <w:color w:val="auto"/>
          <w:sz w:val="24"/>
          <w:szCs w:val="24"/>
        </w:rPr>
        <w:t xml:space="preserve"> of </w:t>
      </w:r>
      <w:r w:rsidR="00A73D81">
        <w:rPr>
          <w:rFonts w:ascii="Times New Roman" w:hAnsi="Times New Roman" w:cs="Times New Roman"/>
          <w:b w:val="0"/>
          <w:color w:val="auto"/>
          <w:sz w:val="24"/>
          <w:szCs w:val="24"/>
        </w:rPr>
        <w:t>d</w:t>
      </w:r>
      <w:r w:rsidRPr="00970484">
        <w:rPr>
          <w:rFonts w:ascii="Times New Roman" w:hAnsi="Times New Roman" w:cs="Times New Roman"/>
          <w:b w:val="0"/>
          <w:color w:val="auto"/>
          <w:sz w:val="24"/>
          <w:szCs w:val="24"/>
        </w:rPr>
        <w:t xml:space="preserve">aily </w:t>
      </w:r>
      <w:r w:rsidR="00A73D81">
        <w:rPr>
          <w:rFonts w:ascii="Times New Roman" w:hAnsi="Times New Roman" w:cs="Times New Roman"/>
          <w:b w:val="0"/>
          <w:color w:val="auto"/>
          <w:sz w:val="24"/>
          <w:szCs w:val="24"/>
        </w:rPr>
        <w:t>o</w:t>
      </w:r>
      <w:r w:rsidRPr="00970484">
        <w:rPr>
          <w:rFonts w:ascii="Times New Roman" w:hAnsi="Times New Roman" w:cs="Times New Roman"/>
          <w:b w:val="0"/>
          <w:color w:val="auto"/>
          <w:sz w:val="24"/>
          <w:szCs w:val="24"/>
        </w:rPr>
        <w:t>bservations for the FT30 (d</w:t>
      </w:r>
      <w:r w:rsidR="00A73D81">
        <w:rPr>
          <w:rFonts w:ascii="Times New Roman" w:hAnsi="Times New Roman" w:cs="Times New Roman"/>
          <w:b w:val="0"/>
          <w:color w:val="auto"/>
          <w:sz w:val="24"/>
          <w:szCs w:val="24"/>
        </w:rPr>
        <w:t xml:space="preserve">otted </w:t>
      </w:r>
      <w:r w:rsidRPr="00970484">
        <w:rPr>
          <w:rFonts w:ascii="Times New Roman" w:hAnsi="Times New Roman" w:cs="Times New Roman"/>
          <w:b w:val="0"/>
          <w:color w:val="auto"/>
          <w:sz w:val="24"/>
          <w:szCs w:val="24"/>
        </w:rPr>
        <w:t>line) and Dow30 (solid line) for the period 1935</w:t>
      </w:r>
      <w:r w:rsidR="004B7812">
        <w:rPr>
          <w:rFonts w:ascii="Times New Roman" w:hAnsi="Times New Roman" w:cs="Times New Roman"/>
          <w:b w:val="0"/>
          <w:color w:val="auto"/>
          <w:sz w:val="24"/>
          <w:szCs w:val="24"/>
        </w:rPr>
        <w:t>–</w:t>
      </w:r>
      <w:r w:rsidRPr="00970484">
        <w:rPr>
          <w:rFonts w:ascii="Times New Roman" w:hAnsi="Times New Roman" w:cs="Times New Roman"/>
          <w:b w:val="0"/>
          <w:color w:val="auto"/>
          <w:sz w:val="24"/>
          <w:szCs w:val="24"/>
        </w:rPr>
        <w:t>2015</w:t>
      </w:r>
      <w:r w:rsidR="00A73D81">
        <w:rPr>
          <w:rFonts w:ascii="Times New Roman" w:hAnsi="Times New Roman" w:cs="Times New Roman"/>
          <w:b w:val="0"/>
          <w:color w:val="auto"/>
          <w:sz w:val="24"/>
          <w:szCs w:val="24"/>
        </w:rPr>
        <w:t>.</w:t>
      </w:r>
    </w:p>
    <w:p w:rsidR="0075422D" w:rsidRDefault="00166050" w:rsidP="00667604">
      <w:pPr>
        <w:pStyle w:val="Caption"/>
        <w:keepNext/>
        <w:spacing w:after="120"/>
        <w:ind w:right="282"/>
        <w:rPr>
          <w:rFonts w:ascii="Times New Roman" w:hAnsi="Times New Roman" w:cs="Times New Roman"/>
          <w:color w:val="auto"/>
          <w:sz w:val="24"/>
          <w:szCs w:val="24"/>
        </w:rPr>
      </w:pPr>
      <w:bookmarkStart w:id="5" w:name="_Ref464729553"/>
      <w:bookmarkEnd w:id="2"/>
      <w:bookmarkEnd w:id="3"/>
      <w:r w:rsidRPr="006853EA">
        <w:rPr>
          <w:rFonts w:ascii="Times New Roman" w:hAnsi="Times New Roman" w:cs="Times New Roman"/>
          <w:color w:val="auto"/>
          <w:sz w:val="24"/>
          <w:szCs w:val="24"/>
        </w:rPr>
        <w:lastRenderedPageBreak/>
        <w:t xml:space="preserve">Table </w:t>
      </w:r>
      <w:r w:rsidR="007E3809" w:rsidRPr="006853EA">
        <w:rPr>
          <w:rFonts w:ascii="Times New Roman" w:hAnsi="Times New Roman" w:cs="Times New Roman"/>
          <w:color w:val="auto"/>
          <w:sz w:val="24"/>
          <w:szCs w:val="24"/>
        </w:rPr>
        <w:fldChar w:fldCharType="begin"/>
      </w:r>
      <w:r w:rsidRPr="006853EA">
        <w:rPr>
          <w:rFonts w:ascii="Times New Roman" w:hAnsi="Times New Roman" w:cs="Times New Roman"/>
          <w:color w:val="auto"/>
          <w:sz w:val="24"/>
          <w:szCs w:val="24"/>
        </w:rPr>
        <w:instrText xml:space="preserve"> SEQ Table \* ARABIC </w:instrText>
      </w:r>
      <w:r w:rsidR="007E3809" w:rsidRPr="006853EA">
        <w:rPr>
          <w:rFonts w:ascii="Times New Roman" w:hAnsi="Times New Roman" w:cs="Times New Roman"/>
          <w:color w:val="auto"/>
          <w:sz w:val="24"/>
          <w:szCs w:val="24"/>
        </w:rPr>
        <w:fldChar w:fldCharType="separate"/>
      </w:r>
      <w:r w:rsidR="00325A37">
        <w:rPr>
          <w:rFonts w:ascii="Times New Roman" w:hAnsi="Times New Roman" w:cs="Times New Roman"/>
          <w:noProof/>
          <w:color w:val="auto"/>
          <w:sz w:val="24"/>
          <w:szCs w:val="24"/>
        </w:rPr>
        <w:t>1</w:t>
      </w:r>
      <w:r w:rsidR="007E3809" w:rsidRPr="006853EA">
        <w:rPr>
          <w:rFonts w:ascii="Times New Roman" w:hAnsi="Times New Roman" w:cs="Times New Roman"/>
          <w:color w:val="auto"/>
          <w:sz w:val="24"/>
          <w:szCs w:val="24"/>
        </w:rPr>
        <w:fldChar w:fldCharType="end"/>
      </w:r>
      <w:bookmarkEnd w:id="5"/>
    </w:p>
    <w:p w:rsidR="00166050" w:rsidRPr="00A7188D" w:rsidRDefault="00166050" w:rsidP="00667604">
      <w:pPr>
        <w:pStyle w:val="Caption"/>
        <w:keepNext/>
        <w:spacing w:after="120"/>
        <w:ind w:right="282"/>
        <w:rPr>
          <w:rFonts w:ascii="Times New Roman" w:hAnsi="Times New Roman" w:cs="Times New Roman"/>
          <w:b w:val="0"/>
          <w:color w:val="auto"/>
          <w:sz w:val="24"/>
          <w:szCs w:val="24"/>
        </w:rPr>
      </w:pPr>
      <w:r w:rsidRPr="00A7188D">
        <w:rPr>
          <w:rFonts w:ascii="Times New Roman" w:hAnsi="Times New Roman" w:cs="Times New Roman"/>
          <w:b w:val="0"/>
          <w:color w:val="auto"/>
          <w:sz w:val="24"/>
          <w:szCs w:val="24"/>
        </w:rPr>
        <w:t xml:space="preserve">Descriptive </w:t>
      </w:r>
      <w:r w:rsidR="00E129E9" w:rsidRPr="00A7188D">
        <w:rPr>
          <w:rFonts w:ascii="Times New Roman" w:hAnsi="Times New Roman" w:cs="Times New Roman"/>
          <w:b w:val="0"/>
          <w:color w:val="auto"/>
          <w:sz w:val="24"/>
          <w:szCs w:val="24"/>
        </w:rPr>
        <w:t>s</w:t>
      </w:r>
      <w:r w:rsidRPr="00A7188D">
        <w:rPr>
          <w:rFonts w:ascii="Times New Roman" w:hAnsi="Times New Roman" w:cs="Times New Roman"/>
          <w:b w:val="0"/>
          <w:color w:val="auto"/>
          <w:sz w:val="24"/>
          <w:szCs w:val="24"/>
        </w:rPr>
        <w:t xml:space="preserve">tatistics of </w:t>
      </w:r>
      <w:r w:rsidR="009B4A9B" w:rsidRPr="00A7188D">
        <w:rPr>
          <w:rFonts w:ascii="Times New Roman" w:hAnsi="Times New Roman" w:cs="Times New Roman"/>
          <w:b w:val="0"/>
          <w:color w:val="auto"/>
          <w:sz w:val="24"/>
          <w:szCs w:val="24"/>
        </w:rPr>
        <w:t xml:space="preserve">UK and US </w:t>
      </w:r>
      <w:r w:rsidR="00E129E9" w:rsidRPr="00A7188D">
        <w:rPr>
          <w:rFonts w:ascii="Times New Roman" w:hAnsi="Times New Roman" w:cs="Times New Roman"/>
          <w:b w:val="0"/>
          <w:color w:val="auto"/>
          <w:sz w:val="24"/>
          <w:szCs w:val="24"/>
        </w:rPr>
        <w:t>s</w:t>
      </w:r>
      <w:r w:rsidR="009B4A9B" w:rsidRPr="00A7188D">
        <w:rPr>
          <w:rFonts w:ascii="Times New Roman" w:hAnsi="Times New Roman" w:cs="Times New Roman"/>
          <w:b w:val="0"/>
          <w:color w:val="auto"/>
          <w:sz w:val="24"/>
          <w:szCs w:val="24"/>
        </w:rPr>
        <w:t xml:space="preserve">tock </w:t>
      </w:r>
      <w:r w:rsidR="00E129E9" w:rsidRPr="00A7188D">
        <w:rPr>
          <w:rFonts w:ascii="Times New Roman" w:hAnsi="Times New Roman" w:cs="Times New Roman"/>
          <w:b w:val="0"/>
          <w:color w:val="auto"/>
          <w:sz w:val="24"/>
          <w:szCs w:val="24"/>
        </w:rPr>
        <w:t>m</w:t>
      </w:r>
      <w:r w:rsidR="009B4A9B" w:rsidRPr="00A7188D">
        <w:rPr>
          <w:rFonts w:ascii="Times New Roman" w:hAnsi="Times New Roman" w:cs="Times New Roman"/>
          <w:b w:val="0"/>
          <w:color w:val="auto"/>
          <w:sz w:val="24"/>
          <w:szCs w:val="24"/>
        </w:rPr>
        <w:t>arket</w:t>
      </w:r>
      <w:r w:rsidR="00A7188D" w:rsidRPr="00A7188D">
        <w:rPr>
          <w:rFonts w:ascii="Times New Roman" w:hAnsi="Times New Roman" w:cs="Times New Roman"/>
          <w:b w:val="0"/>
          <w:color w:val="auto"/>
          <w:sz w:val="24"/>
          <w:szCs w:val="24"/>
        </w:rPr>
        <w:t xml:space="preserve"> </w:t>
      </w:r>
      <w:r w:rsidR="00E129E9" w:rsidRPr="00A7188D">
        <w:rPr>
          <w:rFonts w:ascii="Times New Roman" w:hAnsi="Times New Roman" w:cs="Times New Roman"/>
          <w:b w:val="0"/>
          <w:color w:val="auto"/>
          <w:sz w:val="24"/>
          <w:szCs w:val="24"/>
        </w:rPr>
        <w:t>r</w:t>
      </w:r>
      <w:r w:rsidRPr="00A7188D">
        <w:rPr>
          <w:rFonts w:ascii="Times New Roman" w:hAnsi="Times New Roman" w:cs="Times New Roman"/>
          <w:b w:val="0"/>
          <w:color w:val="auto"/>
          <w:sz w:val="24"/>
          <w:szCs w:val="24"/>
        </w:rPr>
        <w:t>eturns</w:t>
      </w:r>
      <w:r w:rsidR="00A7188D" w:rsidRPr="00A7188D">
        <w:rPr>
          <w:rFonts w:ascii="Times New Roman" w:hAnsi="Times New Roman" w:cs="Times New Roman"/>
          <w:b w:val="0"/>
          <w:color w:val="auto"/>
          <w:sz w:val="24"/>
          <w:szCs w:val="24"/>
        </w:rPr>
        <w:t xml:space="preserve"> </w:t>
      </w:r>
      <w:r w:rsidR="0046096F" w:rsidRPr="00A7188D">
        <w:rPr>
          <w:rFonts w:ascii="Times New Roman" w:hAnsi="Times New Roman" w:cs="Times New Roman"/>
          <w:b w:val="0"/>
          <w:color w:val="auto"/>
          <w:sz w:val="24"/>
          <w:szCs w:val="24"/>
        </w:rPr>
        <w:t xml:space="preserve">for the full sample (1935-2015), and </w:t>
      </w:r>
      <w:r w:rsidR="00A9376A" w:rsidRPr="00A7188D">
        <w:rPr>
          <w:rFonts w:ascii="Times New Roman" w:hAnsi="Times New Roman" w:cs="Times New Roman"/>
          <w:b w:val="0"/>
          <w:color w:val="auto"/>
          <w:sz w:val="24"/>
          <w:szCs w:val="24"/>
        </w:rPr>
        <w:t>across the subperiods1935-1945 (pre-BW), 1945-1971 (BW), and 1971-2015 (post-BW)</w:t>
      </w:r>
      <w:r w:rsidR="005B2B9A" w:rsidRPr="00A7188D">
        <w:rPr>
          <w:rFonts w:ascii="Times New Roman" w:hAnsi="Times New Roman" w:cs="Times New Roman"/>
          <w:b w:val="0"/>
          <w:color w:val="auto"/>
          <w:sz w:val="24"/>
          <w:szCs w:val="24"/>
        </w:rPr>
        <w:t>.</w:t>
      </w:r>
    </w:p>
    <w:tbl>
      <w:tblPr>
        <w:tblStyle w:val="LightShading1"/>
        <w:tblW w:w="13178" w:type="dxa"/>
        <w:tblLayout w:type="fixed"/>
        <w:tblLook w:val="04A0" w:firstRow="1" w:lastRow="0" w:firstColumn="1" w:lastColumn="0" w:noHBand="0" w:noVBand="1"/>
      </w:tblPr>
      <w:tblGrid>
        <w:gridCol w:w="2972"/>
        <w:gridCol w:w="1276"/>
        <w:gridCol w:w="992"/>
        <w:gridCol w:w="1276"/>
        <w:gridCol w:w="1276"/>
        <w:gridCol w:w="1275"/>
        <w:gridCol w:w="1418"/>
        <w:gridCol w:w="1276"/>
        <w:gridCol w:w="1417"/>
      </w:tblGrid>
      <w:tr w:rsidR="00166050" w:rsidRPr="00E129E9" w:rsidTr="00A02E9D">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972" w:type="dxa"/>
          </w:tcPr>
          <w:p w:rsidR="00515282" w:rsidRPr="00AF6503" w:rsidRDefault="00515282" w:rsidP="00505395">
            <w:pPr>
              <w:snapToGrid w:val="0"/>
              <w:spacing w:after="0" w:line="240" w:lineRule="auto"/>
              <w:rPr>
                <w:rFonts w:ascii="Times New Roman" w:hAnsi="Times New Roman" w:cs="Times New Roman"/>
                <w:sz w:val="18"/>
                <w:szCs w:val="18"/>
              </w:rPr>
            </w:pPr>
            <w:bookmarkStart w:id="6" w:name="OLE_LINK1"/>
          </w:p>
        </w:tc>
        <w:tc>
          <w:tcPr>
            <w:tcW w:w="1276" w:type="dxa"/>
          </w:tcPr>
          <w:p w:rsidR="00515282" w:rsidRPr="00AF6503" w:rsidRDefault="00166050"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Mean</w:t>
            </w:r>
          </w:p>
          <w:p w:rsidR="002B399B" w:rsidRPr="00AF6503" w:rsidRDefault="00E17EF6"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20"/>
                <w:szCs w:val="20"/>
              </w:rPr>
              <w:t>(x</w:t>
            </w:r>
            <w:r w:rsidR="002B399B" w:rsidRPr="00AF6503">
              <w:rPr>
                <w:rFonts w:ascii="Times New Roman" w:hAnsi="Times New Roman" w:cs="Times New Roman"/>
                <w:sz w:val="20"/>
                <w:szCs w:val="20"/>
              </w:rPr>
              <w:t>10</w:t>
            </w:r>
            <w:r w:rsidR="002B399B" w:rsidRPr="00AF6503">
              <w:rPr>
                <w:rFonts w:ascii="Times New Roman" w:hAnsi="Times New Roman" w:cs="Times New Roman"/>
                <w:sz w:val="20"/>
                <w:szCs w:val="20"/>
                <w:vertAlign w:val="superscript"/>
              </w:rPr>
              <w:t>-3</w:t>
            </w:r>
            <w:r w:rsidR="002B399B" w:rsidRPr="00AF6503">
              <w:rPr>
                <w:rFonts w:ascii="Times New Roman" w:hAnsi="Times New Roman" w:cs="Times New Roman"/>
                <w:sz w:val="20"/>
                <w:szCs w:val="20"/>
              </w:rPr>
              <w:t>)</w:t>
            </w:r>
          </w:p>
        </w:tc>
        <w:tc>
          <w:tcPr>
            <w:tcW w:w="992" w:type="dxa"/>
          </w:tcPr>
          <w:p w:rsidR="00515282" w:rsidRPr="00AF6503" w:rsidRDefault="00501F42"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Standard</w:t>
            </w:r>
          </w:p>
          <w:p w:rsidR="00515282" w:rsidRPr="00AF6503" w:rsidRDefault="004B7812"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d</w:t>
            </w:r>
            <w:r w:rsidR="00166050" w:rsidRPr="00AF6503">
              <w:rPr>
                <w:rFonts w:ascii="Times New Roman" w:hAnsi="Times New Roman" w:cs="Times New Roman"/>
                <w:sz w:val="18"/>
                <w:szCs w:val="18"/>
              </w:rPr>
              <w:t>ev</w:t>
            </w:r>
            <w:r w:rsidR="00501F42" w:rsidRPr="00AF6503">
              <w:rPr>
                <w:rFonts w:ascii="Times New Roman" w:hAnsi="Times New Roman" w:cs="Times New Roman"/>
                <w:sz w:val="18"/>
                <w:szCs w:val="18"/>
              </w:rPr>
              <w:t>iation</w:t>
            </w:r>
          </w:p>
        </w:tc>
        <w:tc>
          <w:tcPr>
            <w:tcW w:w="1276" w:type="dxa"/>
          </w:tcPr>
          <w:p w:rsidR="00515282" w:rsidRPr="00AF6503" w:rsidRDefault="00166050"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S</w:t>
            </w:r>
            <w:r w:rsidR="00501F42" w:rsidRPr="00AF6503">
              <w:rPr>
                <w:rFonts w:ascii="Times New Roman" w:hAnsi="Times New Roman" w:cs="Times New Roman"/>
                <w:sz w:val="18"/>
                <w:szCs w:val="18"/>
              </w:rPr>
              <w:t>kewness</w:t>
            </w:r>
          </w:p>
        </w:tc>
        <w:tc>
          <w:tcPr>
            <w:tcW w:w="1276" w:type="dxa"/>
          </w:tcPr>
          <w:p w:rsidR="00515282" w:rsidRPr="00AF6503" w:rsidRDefault="00501F42"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Kurtosis</w:t>
            </w:r>
          </w:p>
        </w:tc>
        <w:tc>
          <w:tcPr>
            <w:tcW w:w="1275" w:type="dxa"/>
          </w:tcPr>
          <w:p w:rsidR="00515282" w:rsidRPr="00AF6503" w:rsidRDefault="00501F42"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Jarque</w:t>
            </w:r>
            <w:r w:rsidR="0097300A">
              <w:rPr>
                <w:rFonts w:ascii="Times New Roman" w:hAnsi="Times New Roman" w:cs="Times New Roman"/>
                <w:sz w:val="18"/>
                <w:szCs w:val="18"/>
              </w:rPr>
              <w:t xml:space="preserve"> </w:t>
            </w:r>
            <w:r w:rsidRPr="00AF6503">
              <w:rPr>
                <w:rFonts w:ascii="Times New Roman" w:hAnsi="Times New Roman" w:cs="Times New Roman"/>
                <w:sz w:val="18"/>
                <w:szCs w:val="18"/>
              </w:rPr>
              <w:t>Bera</w:t>
            </w:r>
            <w:r w:rsidR="00166050" w:rsidRPr="00AF6503">
              <w:rPr>
                <w:rFonts w:ascii="Times New Roman" w:hAnsi="Times New Roman" w:cs="Times New Roman"/>
                <w:sz w:val="18"/>
                <w:szCs w:val="18"/>
              </w:rPr>
              <w:t xml:space="preserve"> test</w:t>
            </w:r>
          </w:p>
        </w:tc>
        <w:tc>
          <w:tcPr>
            <w:tcW w:w="1418" w:type="dxa"/>
          </w:tcPr>
          <w:p w:rsidR="00515282" w:rsidRPr="00AF6503" w:rsidRDefault="00166050"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Q (12)</w:t>
            </w:r>
          </w:p>
        </w:tc>
        <w:tc>
          <w:tcPr>
            <w:tcW w:w="1276" w:type="dxa"/>
          </w:tcPr>
          <w:p w:rsidR="00515282" w:rsidRPr="00AF6503" w:rsidRDefault="00166050" w:rsidP="00AF6503">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Q</w:t>
            </w:r>
            <w:r w:rsidRPr="00AF6503">
              <w:rPr>
                <w:rFonts w:ascii="Times New Roman" w:hAnsi="Times New Roman" w:cs="Times New Roman"/>
                <w:sz w:val="18"/>
                <w:szCs w:val="18"/>
                <w:vertAlign w:val="superscript"/>
              </w:rPr>
              <w:t>2</w:t>
            </w:r>
            <w:r w:rsidRPr="00AF6503">
              <w:rPr>
                <w:rFonts w:ascii="Times New Roman" w:hAnsi="Times New Roman" w:cs="Times New Roman"/>
                <w:sz w:val="18"/>
                <w:szCs w:val="18"/>
              </w:rPr>
              <w:t xml:space="preserve"> (12)</w:t>
            </w:r>
          </w:p>
        </w:tc>
        <w:tc>
          <w:tcPr>
            <w:tcW w:w="1417" w:type="dxa"/>
          </w:tcPr>
          <w:p w:rsidR="00166050" w:rsidRDefault="00166050" w:rsidP="0091386D">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AF6503">
              <w:rPr>
                <w:rFonts w:ascii="Times New Roman" w:hAnsi="Times New Roman" w:cs="Times New Roman"/>
                <w:sz w:val="18"/>
                <w:szCs w:val="18"/>
              </w:rPr>
              <w:t>ARCH effect</w:t>
            </w:r>
          </w:p>
          <w:p w:rsidR="0091386D" w:rsidRPr="00AF6503" w:rsidRDefault="0091386D" w:rsidP="0091386D">
            <w:pPr>
              <w:snapToGrid w:val="0"/>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 lags)</w:t>
            </w:r>
          </w:p>
        </w:tc>
      </w:tr>
      <w:tr w:rsidR="00166050" w:rsidRPr="006853EA" w:rsidTr="00A02E9D">
        <w:trPr>
          <w:cnfStyle w:val="000000100000" w:firstRow="0" w:lastRow="0" w:firstColumn="0" w:lastColumn="0" w:oddVBand="0" w:evenVBand="0" w:oddHBand="1"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66050" w:rsidRPr="00AF6503" w:rsidRDefault="00166050" w:rsidP="00AF6503">
            <w:pPr>
              <w:snapToGrid w:val="0"/>
              <w:spacing w:after="0" w:line="240" w:lineRule="auto"/>
              <w:rPr>
                <w:rFonts w:ascii="Times New Roman" w:hAnsi="Times New Roman" w:cs="Times New Roman"/>
                <w:sz w:val="18"/>
                <w:szCs w:val="18"/>
                <w:u w:val="single"/>
              </w:rPr>
            </w:pPr>
            <w:r w:rsidRPr="00AF6503">
              <w:rPr>
                <w:rFonts w:ascii="Times New Roman" w:hAnsi="Times New Roman" w:cs="Times New Roman"/>
                <w:sz w:val="18"/>
                <w:szCs w:val="18"/>
                <w:u w:val="single"/>
              </w:rPr>
              <w:t>Full</w:t>
            </w:r>
            <w:r w:rsidR="006F4783" w:rsidRPr="00AF6503">
              <w:rPr>
                <w:rFonts w:ascii="Times New Roman" w:hAnsi="Times New Roman" w:cs="Times New Roman"/>
                <w:sz w:val="18"/>
                <w:szCs w:val="18"/>
                <w:u w:val="single"/>
              </w:rPr>
              <w:t xml:space="preserve"> Period</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UK</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US</w:t>
            </w:r>
          </w:p>
        </w:tc>
        <w:tc>
          <w:tcPr>
            <w:tcW w:w="1276"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2B399B"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0.161</w:t>
            </w:r>
            <w:r w:rsidR="00166050" w:rsidRPr="006853EA">
              <w:rPr>
                <w:rFonts w:ascii="Times New Roman" w:hAnsi="Times New Roman" w:cs="Times New Roman"/>
                <w:sz w:val="18"/>
                <w:szCs w:val="18"/>
              </w:rPr>
              <w:t>**</w:t>
            </w:r>
          </w:p>
          <w:p w:rsidR="00166050" w:rsidRPr="006853EA" w:rsidRDefault="002B399B"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0.240</w:t>
            </w:r>
            <w:r w:rsidR="00166050" w:rsidRPr="006853EA">
              <w:rPr>
                <w:rFonts w:ascii="Times New Roman" w:hAnsi="Times New Roman" w:cs="Times New Roman"/>
                <w:sz w:val="18"/>
                <w:szCs w:val="18"/>
              </w:rPr>
              <w:t>***</w:t>
            </w:r>
          </w:p>
        </w:tc>
        <w:tc>
          <w:tcPr>
            <w:tcW w:w="992"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0.010</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0.009</w:t>
            </w:r>
          </w:p>
        </w:tc>
        <w:tc>
          <w:tcPr>
            <w:tcW w:w="1276"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-0.201***</w:t>
            </w:r>
          </w:p>
          <w:p w:rsidR="00166050" w:rsidRPr="006853EA" w:rsidRDefault="00166050" w:rsidP="00667604">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-1.112***</w:t>
            </w:r>
          </w:p>
        </w:tc>
        <w:tc>
          <w:tcPr>
            <w:tcW w:w="1276"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11.23***</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35.06***</w:t>
            </w:r>
          </w:p>
        </w:tc>
        <w:tc>
          <w:tcPr>
            <w:tcW w:w="1275"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3363***</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8911***</w:t>
            </w:r>
          </w:p>
        </w:tc>
        <w:tc>
          <w:tcPr>
            <w:tcW w:w="1418"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235.7***</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60.34***</w:t>
            </w:r>
          </w:p>
        </w:tc>
        <w:tc>
          <w:tcPr>
            <w:tcW w:w="1276"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13276***</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2230***</w:t>
            </w:r>
          </w:p>
        </w:tc>
        <w:tc>
          <w:tcPr>
            <w:tcW w:w="1417"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E80022"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2618</w:t>
            </w:r>
            <w:r w:rsidR="00166050" w:rsidRPr="006853EA">
              <w:rPr>
                <w:rFonts w:ascii="Times New Roman" w:hAnsi="Times New Roman" w:cs="Times New Roman"/>
                <w:sz w:val="18"/>
                <w:szCs w:val="18"/>
              </w:rPr>
              <w:t>***</w:t>
            </w:r>
          </w:p>
          <w:p w:rsidR="00166050" w:rsidRPr="006853EA" w:rsidRDefault="00E80022"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837.7</w:t>
            </w:r>
            <w:r w:rsidR="00166050" w:rsidRPr="006853EA">
              <w:rPr>
                <w:rFonts w:ascii="Times New Roman" w:hAnsi="Times New Roman" w:cs="Times New Roman"/>
                <w:sz w:val="18"/>
                <w:szCs w:val="18"/>
              </w:rPr>
              <w:t>***</w:t>
            </w:r>
          </w:p>
        </w:tc>
      </w:tr>
      <w:tr w:rsidR="00166050" w:rsidRPr="006853EA" w:rsidTr="00A02E9D">
        <w:trPr>
          <w:trHeight w:val="555"/>
        </w:trPr>
        <w:tc>
          <w:tcPr>
            <w:cnfStyle w:val="001000000000" w:firstRow="0" w:lastRow="0" w:firstColumn="1" w:lastColumn="0" w:oddVBand="0" w:evenVBand="0" w:oddHBand="0" w:evenHBand="0" w:firstRowFirstColumn="0" w:firstRowLastColumn="0" w:lastRowFirstColumn="0" w:lastRowLastColumn="0"/>
            <w:tcW w:w="2972" w:type="dxa"/>
          </w:tcPr>
          <w:p w:rsidR="00166050" w:rsidRPr="00AF6503" w:rsidRDefault="00374C0D" w:rsidP="00AF6503">
            <w:pPr>
              <w:snapToGrid w:val="0"/>
              <w:spacing w:after="0" w:line="240" w:lineRule="auto"/>
              <w:rPr>
                <w:rFonts w:ascii="Times New Roman" w:hAnsi="Times New Roman" w:cs="Times New Roman"/>
                <w:sz w:val="18"/>
                <w:szCs w:val="18"/>
                <w:u w:val="single"/>
              </w:rPr>
            </w:pPr>
            <w:r w:rsidRPr="00AF6503">
              <w:rPr>
                <w:rFonts w:ascii="Times New Roman" w:hAnsi="Times New Roman" w:cs="Times New Roman"/>
                <w:sz w:val="18"/>
                <w:szCs w:val="18"/>
                <w:u w:val="single"/>
              </w:rPr>
              <w:t>Pre-BW</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UK</w:t>
            </w:r>
          </w:p>
          <w:p w:rsidR="007B15FD"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US</w:t>
            </w:r>
          </w:p>
        </w:tc>
        <w:tc>
          <w:tcPr>
            <w:tcW w:w="1276"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2B399B"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0.047</w:t>
            </w:r>
          </w:p>
          <w:p w:rsidR="007B15FD" w:rsidRPr="006853EA" w:rsidRDefault="002B399B"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0.145</w:t>
            </w:r>
          </w:p>
        </w:tc>
        <w:tc>
          <w:tcPr>
            <w:tcW w:w="992"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0.007</w:t>
            </w:r>
          </w:p>
          <w:p w:rsidR="007B15FD"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0.011</w:t>
            </w:r>
          </w:p>
        </w:tc>
        <w:tc>
          <w:tcPr>
            <w:tcW w:w="1276"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-0.322***</w:t>
            </w:r>
          </w:p>
          <w:p w:rsidR="007B15FD"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-0.493***</w:t>
            </w:r>
          </w:p>
        </w:tc>
        <w:tc>
          <w:tcPr>
            <w:tcW w:w="1276"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21.49***</w:t>
            </w:r>
          </w:p>
          <w:p w:rsidR="007B15FD"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10.37***</w:t>
            </w:r>
          </w:p>
        </w:tc>
        <w:tc>
          <w:tcPr>
            <w:tcW w:w="1275"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680.7***</w:t>
            </w:r>
          </w:p>
          <w:p w:rsidR="007B15FD"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487.4***</w:t>
            </w:r>
          </w:p>
        </w:tc>
        <w:tc>
          <w:tcPr>
            <w:tcW w:w="1418"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305.2***</w:t>
            </w:r>
          </w:p>
          <w:p w:rsidR="007B15FD"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36.17***</w:t>
            </w:r>
          </w:p>
        </w:tc>
        <w:tc>
          <w:tcPr>
            <w:tcW w:w="1276"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897.6***</w:t>
            </w:r>
          </w:p>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725.9***</w:t>
            </w:r>
          </w:p>
        </w:tc>
        <w:tc>
          <w:tcPr>
            <w:tcW w:w="1417"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E80022"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258.7</w:t>
            </w:r>
            <w:r w:rsidR="00166050" w:rsidRPr="006853EA">
              <w:rPr>
                <w:rFonts w:ascii="Times New Roman" w:hAnsi="Times New Roman" w:cs="Times New Roman"/>
                <w:sz w:val="18"/>
                <w:szCs w:val="18"/>
              </w:rPr>
              <w:t>***</w:t>
            </w:r>
          </w:p>
          <w:p w:rsidR="00166050" w:rsidRPr="006853EA" w:rsidRDefault="00E80022"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120.5</w:t>
            </w:r>
            <w:r w:rsidR="00166050" w:rsidRPr="006853EA">
              <w:rPr>
                <w:rFonts w:ascii="Times New Roman" w:hAnsi="Times New Roman" w:cs="Times New Roman"/>
                <w:sz w:val="18"/>
                <w:szCs w:val="18"/>
              </w:rPr>
              <w:t>***</w:t>
            </w:r>
          </w:p>
        </w:tc>
      </w:tr>
      <w:tr w:rsidR="00166050" w:rsidRPr="006853EA" w:rsidTr="00A02E9D">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rsidR="00166050" w:rsidRPr="00AF6503" w:rsidRDefault="00374C0D" w:rsidP="00AF6503">
            <w:pPr>
              <w:snapToGrid w:val="0"/>
              <w:spacing w:after="0" w:line="240" w:lineRule="auto"/>
              <w:rPr>
                <w:rFonts w:ascii="Times New Roman" w:hAnsi="Times New Roman" w:cs="Times New Roman"/>
                <w:sz w:val="18"/>
                <w:szCs w:val="18"/>
                <w:u w:val="single"/>
              </w:rPr>
            </w:pPr>
            <w:r w:rsidRPr="00AF6503">
              <w:rPr>
                <w:rFonts w:ascii="Times New Roman" w:hAnsi="Times New Roman" w:cs="Times New Roman"/>
                <w:sz w:val="18"/>
                <w:szCs w:val="18"/>
                <w:u w:val="single"/>
              </w:rPr>
              <w:t>BW</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UK</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US</w:t>
            </w:r>
          </w:p>
        </w:tc>
        <w:tc>
          <w:tcPr>
            <w:tcW w:w="1276" w:type="dxa"/>
            <w:shd w:val="clear" w:color="auto" w:fill="auto"/>
          </w:tcPr>
          <w:p w:rsidR="00D97880" w:rsidRDefault="00D9788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2B399B"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0.192</w:t>
            </w:r>
            <w:r w:rsidR="00166050" w:rsidRPr="006853EA">
              <w:rPr>
                <w:rFonts w:ascii="Times New Roman" w:hAnsi="Times New Roman" w:cs="Times New Roman"/>
                <w:sz w:val="18"/>
                <w:szCs w:val="18"/>
              </w:rPr>
              <w:t>**</w:t>
            </w:r>
          </w:p>
          <w:p w:rsidR="00166050" w:rsidRPr="006853EA" w:rsidRDefault="002B399B"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0.236</w:t>
            </w:r>
            <w:r w:rsidR="00166050" w:rsidRPr="006853EA">
              <w:rPr>
                <w:rFonts w:ascii="Times New Roman" w:hAnsi="Times New Roman" w:cs="Times New Roman"/>
                <w:sz w:val="18"/>
                <w:szCs w:val="18"/>
              </w:rPr>
              <w:t>***</w:t>
            </w:r>
          </w:p>
        </w:tc>
        <w:tc>
          <w:tcPr>
            <w:tcW w:w="992" w:type="dxa"/>
            <w:shd w:val="clear" w:color="auto" w:fill="auto"/>
          </w:tcPr>
          <w:p w:rsidR="00D97880" w:rsidRDefault="00D9788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0.008</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0.007</w:t>
            </w:r>
          </w:p>
        </w:tc>
        <w:tc>
          <w:tcPr>
            <w:tcW w:w="1276" w:type="dxa"/>
            <w:shd w:val="clear" w:color="auto" w:fill="auto"/>
          </w:tcPr>
          <w:p w:rsidR="00D97880" w:rsidRDefault="00D9788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-0.135***</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-0.523***</w:t>
            </w:r>
          </w:p>
        </w:tc>
        <w:tc>
          <w:tcPr>
            <w:tcW w:w="1276"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10.82***</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9.093***</w:t>
            </w:r>
          </w:p>
        </w:tc>
        <w:tc>
          <w:tcPr>
            <w:tcW w:w="1275"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1034***</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1135***</w:t>
            </w:r>
          </w:p>
        </w:tc>
        <w:tc>
          <w:tcPr>
            <w:tcW w:w="1418"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314.7***</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135.0***</w:t>
            </w:r>
          </w:p>
        </w:tc>
        <w:tc>
          <w:tcPr>
            <w:tcW w:w="1276"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581.4***</w:t>
            </w:r>
          </w:p>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6853EA">
              <w:rPr>
                <w:rFonts w:ascii="Times New Roman" w:hAnsi="Times New Roman" w:cs="Times New Roman"/>
                <w:sz w:val="18"/>
                <w:szCs w:val="18"/>
              </w:rPr>
              <w:t>1105***</w:t>
            </w:r>
          </w:p>
        </w:tc>
        <w:tc>
          <w:tcPr>
            <w:tcW w:w="1417" w:type="dxa"/>
            <w:shd w:val="clear" w:color="auto" w:fill="auto"/>
          </w:tcPr>
          <w:p w:rsidR="00166050" w:rsidRPr="006853EA" w:rsidRDefault="00166050"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p w:rsidR="00166050" w:rsidRPr="006853EA" w:rsidRDefault="00E80022"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188.6</w:t>
            </w:r>
            <w:r w:rsidR="00166050" w:rsidRPr="006853EA">
              <w:rPr>
                <w:rFonts w:ascii="Times New Roman" w:hAnsi="Times New Roman" w:cs="Times New Roman"/>
                <w:sz w:val="18"/>
                <w:szCs w:val="18"/>
              </w:rPr>
              <w:t>***</w:t>
            </w:r>
          </w:p>
          <w:p w:rsidR="00166050" w:rsidRPr="006853EA" w:rsidRDefault="00E80022" w:rsidP="00AF6503">
            <w:pPr>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319.6</w:t>
            </w:r>
            <w:r w:rsidR="00166050" w:rsidRPr="006853EA">
              <w:rPr>
                <w:rFonts w:ascii="Times New Roman" w:hAnsi="Times New Roman" w:cs="Times New Roman"/>
                <w:sz w:val="18"/>
                <w:szCs w:val="18"/>
              </w:rPr>
              <w:t>***</w:t>
            </w:r>
          </w:p>
        </w:tc>
      </w:tr>
      <w:tr w:rsidR="00166050" w:rsidRPr="006853EA" w:rsidTr="00A02E9D">
        <w:trPr>
          <w:trHeight w:val="697"/>
        </w:trPr>
        <w:tc>
          <w:tcPr>
            <w:cnfStyle w:val="001000000000" w:firstRow="0" w:lastRow="0" w:firstColumn="1" w:lastColumn="0" w:oddVBand="0" w:evenVBand="0" w:oddHBand="0" w:evenHBand="0" w:firstRowFirstColumn="0" w:firstRowLastColumn="0" w:lastRowFirstColumn="0" w:lastRowLastColumn="0"/>
            <w:tcW w:w="2972" w:type="dxa"/>
          </w:tcPr>
          <w:p w:rsidR="00166050" w:rsidRPr="00AF6503" w:rsidRDefault="00374C0D" w:rsidP="00AF6503">
            <w:pPr>
              <w:snapToGrid w:val="0"/>
              <w:spacing w:after="0" w:line="240" w:lineRule="auto"/>
              <w:rPr>
                <w:rFonts w:ascii="Times New Roman" w:hAnsi="Times New Roman" w:cs="Times New Roman"/>
                <w:sz w:val="18"/>
                <w:szCs w:val="18"/>
                <w:u w:val="single"/>
              </w:rPr>
            </w:pPr>
            <w:r w:rsidRPr="00AF6503">
              <w:rPr>
                <w:rFonts w:ascii="Times New Roman" w:hAnsi="Times New Roman" w:cs="Times New Roman"/>
                <w:sz w:val="18"/>
                <w:szCs w:val="18"/>
                <w:u w:val="single"/>
              </w:rPr>
              <w:t>Post-BW</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UK</w:t>
            </w:r>
          </w:p>
          <w:p w:rsidR="00166050" w:rsidRPr="004B7812" w:rsidRDefault="00166050" w:rsidP="00AF6503">
            <w:pPr>
              <w:snapToGrid w:val="0"/>
              <w:spacing w:after="0" w:line="240" w:lineRule="auto"/>
              <w:rPr>
                <w:rFonts w:ascii="Times New Roman" w:hAnsi="Times New Roman" w:cs="Times New Roman"/>
                <w:sz w:val="18"/>
                <w:szCs w:val="18"/>
              </w:rPr>
            </w:pPr>
            <w:r w:rsidRPr="004B7812">
              <w:rPr>
                <w:rFonts w:ascii="Times New Roman" w:hAnsi="Times New Roman" w:cs="Times New Roman"/>
                <w:sz w:val="18"/>
                <w:szCs w:val="18"/>
              </w:rPr>
              <w:t>US</w:t>
            </w:r>
          </w:p>
        </w:tc>
        <w:tc>
          <w:tcPr>
            <w:tcW w:w="1276"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0.169</w:t>
            </w: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0.265</w:t>
            </w:r>
          </w:p>
        </w:tc>
        <w:tc>
          <w:tcPr>
            <w:tcW w:w="992"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0.012</w:t>
            </w: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0.011</w:t>
            </w:r>
          </w:p>
        </w:tc>
        <w:tc>
          <w:tcPr>
            <w:tcW w:w="1276"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-0.189</w:t>
            </w:r>
            <w:r w:rsidR="00166050" w:rsidRPr="006853EA">
              <w:rPr>
                <w:rFonts w:ascii="Times New Roman" w:hAnsi="Times New Roman" w:cs="Times New Roman"/>
                <w:sz w:val="18"/>
                <w:szCs w:val="18"/>
              </w:rPr>
              <w:t>***</w:t>
            </w: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-1.311</w:t>
            </w:r>
            <w:r w:rsidR="00166050" w:rsidRPr="006853EA">
              <w:rPr>
                <w:rFonts w:ascii="Times New Roman" w:hAnsi="Times New Roman" w:cs="Times New Roman"/>
                <w:sz w:val="18"/>
                <w:szCs w:val="18"/>
              </w:rPr>
              <w:t>***</w:t>
            </w:r>
          </w:p>
        </w:tc>
        <w:tc>
          <w:tcPr>
            <w:tcW w:w="1276"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8.949</w:t>
            </w:r>
            <w:r w:rsidR="00166050" w:rsidRPr="006853EA">
              <w:rPr>
                <w:rFonts w:ascii="Times New Roman" w:hAnsi="Times New Roman" w:cs="Times New Roman"/>
                <w:sz w:val="18"/>
                <w:szCs w:val="18"/>
              </w:rPr>
              <w:t>***</w:t>
            </w:r>
          </w:p>
          <w:p w:rsidR="00166050" w:rsidRPr="006853EA" w:rsidRDefault="00E74906"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40.12</w:t>
            </w:r>
            <w:r w:rsidR="00166050" w:rsidRPr="006853EA">
              <w:rPr>
                <w:rFonts w:ascii="Times New Roman" w:hAnsi="Times New Roman" w:cs="Times New Roman"/>
                <w:sz w:val="18"/>
                <w:szCs w:val="18"/>
              </w:rPr>
              <w:t>***</w:t>
            </w:r>
          </w:p>
        </w:tc>
        <w:tc>
          <w:tcPr>
            <w:tcW w:w="1275" w:type="dxa"/>
          </w:tcPr>
          <w:p w:rsidR="00D97880" w:rsidRDefault="00D9788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1468</w:t>
            </w:r>
            <w:r w:rsidR="00166050" w:rsidRPr="006853EA">
              <w:rPr>
                <w:rFonts w:ascii="Times New Roman" w:hAnsi="Times New Roman" w:cs="Times New Roman"/>
                <w:sz w:val="18"/>
                <w:szCs w:val="18"/>
              </w:rPr>
              <w:t>***</w:t>
            </w: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5314</w:t>
            </w:r>
            <w:r w:rsidR="00166050" w:rsidRPr="006853EA">
              <w:rPr>
                <w:rFonts w:ascii="Times New Roman" w:hAnsi="Times New Roman" w:cs="Times New Roman"/>
                <w:sz w:val="18"/>
                <w:szCs w:val="18"/>
              </w:rPr>
              <w:t>***</w:t>
            </w:r>
          </w:p>
        </w:tc>
        <w:tc>
          <w:tcPr>
            <w:tcW w:w="1418"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92.19</w:t>
            </w:r>
            <w:r w:rsidR="00166050" w:rsidRPr="006853EA">
              <w:rPr>
                <w:rFonts w:ascii="Times New Roman" w:hAnsi="Times New Roman" w:cs="Times New Roman"/>
                <w:sz w:val="18"/>
                <w:szCs w:val="18"/>
              </w:rPr>
              <w:t>***</w:t>
            </w: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30.79</w:t>
            </w:r>
            <w:r w:rsidR="00166050" w:rsidRPr="006853EA">
              <w:rPr>
                <w:rFonts w:ascii="Times New Roman" w:hAnsi="Times New Roman" w:cs="Times New Roman"/>
                <w:sz w:val="18"/>
                <w:szCs w:val="18"/>
              </w:rPr>
              <w:t>***</w:t>
            </w:r>
          </w:p>
        </w:tc>
        <w:tc>
          <w:tcPr>
            <w:tcW w:w="1276"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7529</w:t>
            </w:r>
            <w:r w:rsidR="00166050" w:rsidRPr="006853EA">
              <w:rPr>
                <w:rFonts w:ascii="Times New Roman" w:hAnsi="Times New Roman" w:cs="Times New Roman"/>
                <w:sz w:val="18"/>
                <w:szCs w:val="18"/>
              </w:rPr>
              <w:t>***</w:t>
            </w: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1074</w:t>
            </w:r>
            <w:r w:rsidR="00166050" w:rsidRPr="006853EA">
              <w:rPr>
                <w:rFonts w:ascii="Times New Roman" w:hAnsi="Times New Roman" w:cs="Times New Roman"/>
                <w:sz w:val="18"/>
                <w:szCs w:val="18"/>
              </w:rPr>
              <w:t>***</w:t>
            </w:r>
          </w:p>
        </w:tc>
        <w:tc>
          <w:tcPr>
            <w:tcW w:w="1417" w:type="dxa"/>
          </w:tcPr>
          <w:p w:rsidR="00166050" w:rsidRPr="006853EA" w:rsidRDefault="00166050"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rsidR="00166050" w:rsidRPr="006853EA" w:rsidRDefault="006B0168"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w:t>
            </w:r>
            <w:r w:rsidR="00E80022">
              <w:rPr>
                <w:rFonts w:ascii="Times New Roman" w:hAnsi="Times New Roman" w:cs="Times New Roman"/>
                <w:sz w:val="18"/>
                <w:szCs w:val="18"/>
              </w:rPr>
              <w:t>466</w:t>
            </w:r>
            <w:r w:rsidR="00166050" w:rsidRPr="006853EA">
              <w:rPr>
                <w:rFonts w:ascii="Times New Roman" w:hAnsi="Times New Roman" w:cs="Times New Roman"/>
                <w:sz w:val="18"/>
                <w:szCs w:val="18"/>
              </w:rPr>
              <w:t>***</w:t>
            </w:r>
          </w:p>
          <w:p w:rsidR="00166050" w:rsidRPr="006853EA" w:rsidRDefault="00E80022" w:rsidP="00AF6503">
            <w:pPr>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440.5</w:t>
            </w:r>
            <w:r w:rsidR="00166050" w:rsidRPr="006853EA">
              <w:rPr>
                <w:rFonts w:ascii="Times New Roman" w:hAnsi="Times New Roman" w:cs="Times New Roman"/>
                <w:sz w:val="18"/>
                <w:szCs w:val="18"/>
              </w:rPr>
              <w:t>***</w:t>
            </w:r>
          </w:p>
        </w:tc>
      </w:tr>
    </w:tbl>
    <w:bookmarkEnd w:id="6"/>
    <w:p w:rsidR="001D4EFC" w:rsidRDefault="00B12241" w:rsidP="00AF6503">
      <w:pPr>
        <w:spacing w:after="0" w:line="240" w:lineRule="auto"/>
        <w:ind w:right="282"/>
        <w:rPr>
          <w:rFonts w:ascii="Times New Roman" w:hAnsi="Times New Roman" w:cs="Times New Roman"/>
          <w:sz w:val="20"/>
          <w:szCs w:val="20"/>
        </w:rPr>
      </w:pPr>
      <w:r w:rsidRPr="00AF6503">
        <w:rPr>
          <w:rFonts w:ascii="Times New Roman" w:hAnsi="Times New Roman" w:cs="Times New Roman"/>
          <w:sz w:val="20"/>
          <w:szCs w:val="20"/>
        </w:rPr>
        <w:t>Notes:</w:t>
      </w:r>
      <w:r w:rsidR="0091386D">
        <w:rPr>
          <w:rFonts w:ascii="Times New Roman" w:hAnsi="Times New Roman" w:cs="Times New Roman"/>
          <w:sz w:val="20"/>
          <w:szCs w:val="20"/>
        </w:rPr>
        <w:t xml:space="preserve"> </w:t>
      </w:r>
      <w:r w:rsidR="004959B7">
        <w:rPr>
          <w:rFonts w:ascii="Times New Roman" w:hAnsi="Times New Roman" w:cs="Times New Roman"/>
          <w:sz w:val="20"/>
          <w:szCs w:val="20"/>
        </w:rPr>
        <w:t>D</w:t>
      </w:r>
      <w:r w:rsidR="00097AED" w:rsidRPr="00EC0196">
        <w:rPr>
          <w:rFonts w:ascii="Times New Roman" w:hAnsi="Times New Roman" w:cs="Times New Roman"/>
          <w:sz w:val="20"/>
          <w:szCs w:val="20"/>
        </w:rPr>
        <w:t xml:space="preserve">aily </w:t>
      </w:r>
      <w:r w:rsidR="0063131B">
        <w:rPr>
          <w:rFonts w:ascii="Times New Roman" w:hAnsi="Times New Roman" w:cs="Times New Roman"/>
          <w:sz w:val="20"/>
          <w:szCs w:val="20"/>
        </w:rPr>
        <w:t xml:space="preserve">stock </w:t>
      </w:r>
      <w:r w:rsidR="00097AED" w:rsidRPr="00EC0196">
        <w:rPr>
          <w:rFonts w:ascii="Times New Roman" w:hAnsi="Times New Roman" w:cs="Times New Roman"/>
          <w:sz w:val="20"/>
          <w:szCs w:val="20"/>
        </w:rPr>
        <w:t>return</w:t>
      </w:r>
      <w:r w:rsidR="00BD635A">
        <w:rPr>
          <w:rFonts w:ascii="Times New Roman" w:hAnsi="Times New Roman" w:cs="Times New Roman"/>
          <w:sz w:val="20"/>
          <w:szCs w:val="20"/>
        </w:rPr>
        <w:t>s</w:t>
      </w:r>
      <w:r w:rsidR="00097AED" w:rsidRPr="00EC0196">
        <w:rPr>
          <w:rFonts w:ascii="Times New Roman" w:hAnsi="Times New Roman" w:cs="Times New Roman"/>
          <w:sz w:val="20"/>
          <w:szCs w:val="20"/>
        </w:rPr>
        <w:t xml:space="preserve"> calculated as </w:t>
      </w:r>
      <m:oMath>
        <m:sSub>
          <m:sSubPr>
            <m:ctrlPr>
              <w:rPr>
                <w:rFonts w:ascii="Cambria Math" w:hAnsi="Cambria Math" w:cs="Times New Roman"/>
                <w:i/>
                <w:iCs/>
                <w:sz w:val="20"/>
                <w:szCs w:val="20"/>
              </w:rPr>
            </m:ctrlPr>
          </m:sSubPr>
          <m:e>
            <m:r>
              <w:rPr>
                <w:rFonts w:ascii="Cambria Math" w:hAnsi="Cambria Math" w:cs="Times New Roman"/>
                <w:sz w:val="20"/>
                <w:szCs w:val="20"/>
              </w:rPr>
              <m:t>R</m:t>
            </m:r>
          </m:e>
          <m:sub>
            <m:r>
              <w:rPr>
                <w:rFonts w:ascii="Cambria Math" w:hAnsi="Cambria Math" w:cs="Times New Roman"/>
                <w:sz w:val="20"/>
                <w:szCs w:val="20"/>
              </w:rPr>
              <m:t>t</m:t>
            </m:r>
          </m:sub>
        </m:sSub>
      </m:oMath>
      <w:r w:rsidR="00097AED" w:rsidRPr="00EC0196">
        <w:rPr>
          <w:rFonts w:ascii="Times New Roman" w:hAnsi="Times New Roman" w:cs="Times New Roman"/>
          <w:i/>
          <w:sz w:val="20"/>
          <w:szCs w:val="20"/>
        </w:rPr>
        <w:t xml:space="preserve"> = ln(</w:t>
      </w:r>
      <m:oMath>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t</m:t>
            </m:r>
          </m:sub>
        </m:sSub>
        <m:r>
          <w:rPr>
            <w:rFonts w:ascii="Cambria Math" w:hAnsi="Cambria Math" w:cs="Times New Roman"/>
            <w:sz w:val="20"/>
            <w:szCs w:val="20"/>
          </w:rPr>
          <m:t>)-ln(</m:t>
        </m:r>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t-1</m:t>
            </m:r>
          </m:sub>
        </m:sSub>
        <m:r>
          <w:rPr>
            <w:rFonts w:ascii="Cambria Math" w:hAnsi="Cambria Math" w:cs="Times New Roman"/>
            <w:sz w:val="20"/>
            <w:szCs w:val="20"/>
          </w:rPr>
          <m:t>)</m:t>
        </m:r>
      </m:oMath>
      <w:r w:rsidR="00097AED" w:rsidRPr="00EC0196">
        <w:rPr>
          <w:rFonts w:ascii="Times New Roman" w:hAnsi="Times New Roman" w:cs="Times New Roman"/>
          <w:iCs/>
          <w:sz w:val="20"/>
          <w:szCs w:val="20"/>
        </w:rPr>
        <w:t>.</w:t>
      </w:r>
      <w:r w:rsidR="000B58C0">
        <w:rPr>
          <w:rFonts w:ascii="Times New Roman" w:hAnsi="Times New Roman" w:cs="Times New Roman"/>
          <w:iCs/>
          <w:sz w:val="20"/>
          <w:szCs w:val="20"/>
        </w:rPr>
        <w:t xml:space="preserve"> </w:t>
      </w:r>
      <w:r w:rsidR="00166050" w:rsidRPr="006853EA">
        <w:rPr>
          <w:rFonts w:ascii="Times New Roman" w:eastAsiaTheme="minorEastAsia" w:hAnsi="Times New Roman" w:cs="Times New Roman"/>
          <w:sz w:val="20"/>
          <w:szCs w:val="20"/>
        </w:rPr>
        <w:t>*, **</w:t>
      </w:r>
      <w:r w:rsidR="004B7812">
        <w:rPr>
          <w:rFonts w:ascii="Times New Roman" w:eastAsiaTheme="minorEastAsia" w:hAnsi="Times New Roman" w:cs="Times New Roman"/>
          <w:sz w:val="20"/>
          <w:szCs w:val="20"/>
        </w:rPr>
        <w:t>,</w:t>
      </w:r>
      <w:r w:rsidR="00166050" w:rsidRPr="006853EA">
        <w:rPr>
          <w:rFonts w:ascii="Times New Roman" w:eastAsiaTheme="minorEastAsia" w:hAnsi="Times New Roman" w:cs="Times New Roman"/>
          <w:sz w:val="20"/>
          <w:szCs w:val="20"/>
        </w:rPr>
        <w:t xml:space="preserve"> and *** denote significan</w:t>
      </w:r>
      <w:r w:rsidR="004959B7">
        <w:rPr>
          <w:rFonts w:ascii="Times New Roman" w:eastAsiaTheme="minorEastAsia" w:hAnsi="Times New Roman" w:cs="Times New Roman"/>
          <w:sz w:val="20"/>
          <w:szCs w:val="20"/>
        </w:rPr>
        <w:t>ce</w:t>
      </w:r>
      <w:r w:rsidR="0091386D">
        <w:rPr>
          <w:rFonts w:ascii="Times New Roman" w:eastAsiaTheme="minorEastAsia" w:hAnsi="Times New Roman" w:cs="Times New Roman"/>
          <w:sz w:val="20"/>
          <w:szCs w:val="20"/>
        </w:rPr>
        <w:t xml:space="preserve"> </w:t>
      </w:r>
      <w:r w:rsidR="00166050" w:rsidRPr="006853EA">
        <w:rPr>
          <w:rFonts w:ascii="Times New Roman" w:eastAsiaTheme="minorEastAsia" w:hAnsi="Times New Roman" w:cs="Times New Roman"/>
          <w:sz w:val="20"/>
          <w:szCs w:val="20"/>
        </w:rPr>
        <w:t xml:space="preserve">at </w:t>
      </w:r>
      <w:r w:rsidR="004959B7">
        <w:rPr>
          <w:rFonts w:ascii="Times New Roman" w:eastAsiaTheme="minorEastAsia" w:hAnsi="Times New Roman" w:cs="Times New Roman"/>
          <w:sz w:val="20"/>
          <w:szCs w:val="20"/>
        </w:rPr>
        <w:t xml:space="preserve">the </w:t>
      </w:r>
      <w:r w:rsidR="00166050" w:rsidRPr="006853EA">
        <w:rPr>
          <w:rFonts w:ascii="Times New Roman" w:eastAsiaTheme="minorEastAsia" w:hAnsi="Times New Roman" w:cs="Times New Roman"/>
          <w:sz w:val="20"/>
          <w:szCs w:val="20"/>
        </w:rPr>
        <w:t>10%, 5%</w:t>
      </w:r>
      <w:r w:rsidR="004B7812">
        <w:rPr>
          <w:rFonts w:ascii="Times New Roman" w:eastAsiaTheme="minorEastAsia" w:hAnsi="Times New Roman" w:cs="Times New Roman"/>
          <w:sz w:val="20"/>
          <w:szCs w:val="20"/>
        </w:rPr>
        <w:t>,</w:t>
      </w:r>
      <w:r w:rsidR="00166050" w:rsidRPr="006853EA">
        <w:rPr>
          <w:rFonts w:ascii="Times New Roman" w:eastAsiaTheme="minorEastAsia" w:hAnsi="Times New Roman" w:cs="Times New Roman"/>
          <w:sz w:val="20"/>
          <w:szCs w:val="20"/>
        </w:rPr>
        <w:t xml:space="preserve"> and 1%</w:t>
      </w:r>
      <w:r w:rsidR="0091386D">
        <w:rPr>
          <w:rFonts w:ascii="Times New Roman" w:eastAsiaTheme="minorEastAsia" w:hAnsi="Times New Roman" w:cs="Times New Roman"/>
          <w:sz w:val="20"/>
          <w:szCs w:val="20"/>
        </w:rPr>
        <w:t xml:space="preserve"> </w:t>
      </w:r>
      <w:r w:rsidR="004959B7" w:rsidRPr="006853EA">
        <w:rPr>
          <w:rFonts w:ascii="Times New Roman" w:eastAsiaTheme="minorEastAsia" w:hAnsi="Times New Roman" w:cs="Times New Roman"/>
          <w:sz w:val="20"/>
          <w:szCs w:val="20"/>
        </w:rPr>
        <w:t>levels</w:t>
      </w:r>
      <w:r w:rsidR="004959B7">
        <w:rPr>
          <w:rFonts w:ascii="Times New Roman" w:eastAsiaTheme="minorEastAsia" w:hAnsi="Times New Roman" w:cs="Times New Roman"/>
          <w:sz w:val="20"/>
          <w:szCs w:val="20"/>
        </w:rPr>
        <w:t>, respectively</w:t>
      </w:r>
      <w:r w:rsidR="00166050" w:rsidRPr="006853EA">
        <w:rPr>
          <w:rFonts w:ascii="Times New Roman" w:eastAsiaTheme="minorEastAsia" w:hAnsi="Times New Roman" w:cs="Times New Roman"/>
          <w:sz w:val="20"/>
          <w:szCs w:val="20"/>
        </w:rPr>
        <w:t xml:space="preserve">. </w:t>
      </w:r>
      <w:r w:rsidR="0072579C" w:rsidRPr="006853EA">
        <w:rPr>
          <w:rFonts w:ascii="Times New Roman" w:eastAsiaTheme="minorEastAsia" w:hAnsi="Times New Roman" w:cs="Times New Roman"/>
          <w:sz w:val="20"/>
          <w:szCs w:val="20"/>
        </w:rPr>
        <w:t>Jarque-Bera</w:t>
      </w:r>
      <w:r w:rsidR="0091386D">
        <w:rPr>
          <w:rFonts w:ascii="Times New Roman" w:eastAsiaTheme="minorEastAsia" w:hAnsi="Times New Roman" w:cs="Times New Roman"/>
          <w:sz w:val="20"/>
          <w:szCs w:val="20"/>
        </w:rPr>
        <w:t xml:space="preserve"> </w:t>
      </w:r>
      <w:r w:rsidR="0072579C" w:rsidRPr="006853EA">
        <w:rPr>
          <w:rFonts w:ascii="Times New Roman" w:eastAsiaTheme="minorEastAsia" w:hAnsi="Times New Roman" w:cs="Times New Roman"/>
          <w:sz w:val="20"/>
          <w:szCs w:val="20"/>
        </w:rPr>
        <w:t xml:space="preserve">test used to test for normality in distribution. </w:t>
      </w:r>
      <w:r w:rsidR="00166050" w:rsidRPr="006853EA">
        <w:rPr>
          <w:rFonts w:ascii="Times New Roman" w:eastAsiaTheme="minorEastAsia" w:hAnsi="Times New Roman" w:cs="Times New Roman"/>
          <w:sz w:val="20"/>
          <w:szCs w:val="20"/>
        </w:rPr>
        <w:t xml:space="preserve">Ljung-Box </w:t>
      </w:r>
      <w:r w:rsidR="004959B7">
        <w:rPr>
          <w:rFonts w:ascii="Times New Roman" w:eastAsiaTheme="minorEastAsia" w:hAnsi="Times New Roman" w:cs="Times New Roman"/>
          <w:sz w:val="20"/>
          <w:szCs w:val="20"/>
        </w:rPr>
        <w:t xml:space="preserve">test </w:t>
      </w:r>
      <w:r w:rsidR="00166050" w:rsidRPr="006853EA">
        <w:rPr>
          <w:rFonts w:ascii="Times New Roman" w:eastAsiaTheme="minorEastAsia" w:hAnsi="Times New Roman" w:cs="Times New Roman"/>
          <w:sz w:val="20"/>
          <w:szCs w:val="20"/>
        </w:rPr>
        <w:t xml:space="preserve">(Q) applied to raw and squared returns to test for serial correlation using </w:t>
      </w:r>
      <w:r w:rsidRPr="00B12241">
        <w:rPr>
          <w:rFonts w:ascii="Times New Roman" w:eastAsiaTheme="minorEastAsia" w:hAnsi="Times New Roman" w:cs="Times New Roman"/>
          <w:sz w:val="20"/>
          <w:szCs w:val="20"/>
        </w:rPr>
        <w:t>12</w:t>
      </w:r>
      <w:r w:rsidR="0091386D">
        <w:rPr>
          <w:rFonts w:ascii="Times New Roman" w:eastAsiaTheme="minorEastAsia" w:hAnsi="Times New Roman" w:cs="Times New Roman"/>
          <w:sz w:val="20"/>
          <w:szCs w:val="20"/>
        </w:rPr>
        <w:t xml:space="preserve"> </w:t>
      </w:r>
      <w:r w:rsidR="00166050" w:rsidRPr="006853EA">
        <w:rPr>
          <w:rFonts w:ascii="Times New Roman" w:eastAsiaTheme="minorEastAsia" w:hAnsi="Times New Roman" w:cs="Times New Roman"/>
          <w:sz w:val="20"/>
          <w:szCs w:val="20"/>
        </w:rPr>
        <w:t xml:space="preserve">lags. </w:t>
      </w:r>
      <w:r w:rsidR="00166050" w:rsidRPr="006853EA">
        <w:rPr>
          <w:rFonts w:ascii="Times New Roman" w:hAnsi="Times New Roman" w:cs="Times New Roman"/>
          <w:sz w:val="20"/>
          <w:szCs w:val="20"/>
        </w:rPr>
        <w:t>McLeod and Li</w:t>
      </w:r>
      <w:r w:rsidR="004B7812">
        <w:rPr>
          <w:rFonts w:ascii="Times New Roman" w:hAnsi="Times New Roman" w:cs="Times New Roman"/>
          <w:sz w:val="20"/>
          <w:szCs w:val="20"/>
        </w:rPr>
        <w:t>’s</w:t>
      </w:r>
      <w:r w:rsidR="00166050" w:rsidRPr="006853EA">
        <w:rPr>
          <w:rFonts w:ascii="Times New Roman" w:hAnsi="Times New Roman" w:cs="Times New Roman"/>
          <w:sz w:val="20"/>
          <w:szCs w:val="20"/>
        </w:rPr>
        <w:t xml:space="preserve"> test used to test for ARCH effects. </w:t>
      </w:r>
    </w:p>
    <w:p w:rsidR="001D0814" w:rsidRPr="006853EA" w:rsidRDefault="001D0814" w:rsidP="00AF6503">
      <w:pPr>
        <w:spacing w:after="0" w:line="240" w:lineRule="auto"/>
        <w:ind w:right="282"/>
        <w:rPr>
          <w:rFonts w:ascii="Times New Roman" w:hAnsi="Times New Roman" w:cs="Times New Roman"/>
          <w:sz w:val="20"/>
          <w:szCs w:val="20"/>
        </w:rPr>
      </w:pPr>
    </w:p>
    <w:p w:rsidR="00E129E9" w:rsidRDefault="00C2200C" w:rsidP="00667604">
      <w:pPr>
        <w:pStyle w:val="Caption"/>
        <w:keepNext/>
        <w:spacing w:after="120"/>
        <w:ind w:right="282"/>
        <w:rPr>
          <w:rFonts w:ascii="Times New Roman" w:hAnsi="Times New Roman" w:cs="Times New Roman"/>
          <w:color w:val="auto"/>
          <w:sz w:val="24"/>
          <w:szCs w:val="24"/>
        </w:rPr>
      </w:pPr>
      <w:bookmarkStart w:id="7" w:name="_Ref479267569"/>
      <w:r w:rsidRPr="00FE687E">
        <w:rPr>
          <w:rFonts w:ascii="Times New Roman" w:hAnsi="Times New Roman" w:cs="Times New Roman"/>
          <w:color w:val="auto"/>
          <w:sz w:val="24"/>
          <w:szCs w:val="24"/>
        </w:rPr>
        <w:t xml:space="preserve">Table </w:t>
      </w:r>
      <w:r w:rsidR="007E3809" w:rsidRPr="00FE687E">
        <w:rPr>
          <w:rFonts w:ascii="Times New Roman" w:hAnsi="Times New Roman" w:cs="Times New Roman"/>
          <w:color w:val="auto"/>
          <w:sz w:val="24"/>
          <w:szCs w:val="24"/>
        </w:rPr>
        <w:fldChar w:fldCharType="begin"/>
      </w:r>
      <w:r w:rsidRPr="00FE687E">
        <w:rPr>
          <w:rFonts w:ascii="Times New Roman" w:hAnsi="Times New Roman" w:cs="Times New Roman"/>
          <w:color w:val="auto"/>
          <w:sz w:val="24"/>
          <w:szCs w:val="24"/>
        </w:rPr>
        <w:instrText xml:space="preserve"> SEQ Table \* ARABIC </w:instrText>
      </w:r>
      <w:r w:rsidR="007E3809" w:rsidRPr="00FE687E">
        <w:rPr>
          <w:rFonts w:ascii="Times New Roman" w:hAnsi="Times New Roman" w:cs="Times New Roman"/>
          <w:color w:val="auto"/>
          <w:sz w:val="24"/>
          <w:szCs w:val="24"/>
        </w:rPr>
        <w:fldChar w:fldCharType="separate"/>
      </w:r>
      <w:r w:rsidR="00325A37">
        <w:rPr>
          <w:rFonts w:ascii="Times New Roman" w:hAnsi="Times New Roman" w:cs="Times New Roman"/>
          <w:noProof/>
          <w:color w:val="auto"/>
          <w:sz w:val="24"/>
          <w:szCs w:val="24"/>
        </w:rPr>
        <w:t>2</w:t>
      </w:r>
      <w:r w:rsidR="007E3809" w:rsidRPr="00FE687E">
        <w:rPr>
          <w:rFonts w:ascii="Times New Roman" w:hAnsi="Times New Roman" w:cs="Times New Roman"/>
          <w:color w:val="auto"/>
          <w:sz w:val="24"/>
          <w:szCs w:val="24"/>
        </w:rPr>
        <w:fldChar w:fldCharType="end"/>
      </w:r>
      <w:bookmarkEnd w:id="7"/>
    </w:p>
    <w:p w:rsidR="00C2200C" w:rsidRPr="00BA63BA" w:rsidRDefault="00C2200C" w:rsidP="00667604">
      <w:pPr>
        <w:pStyle w:val="Caption"/>
        <w:keepNext/>
        <w:spacing w:after="120"/>
        <w:ind w:right="282"/>
        <w:rPr>
          <w:rFonts w:ascii="Times New Roman" w:hAnsi="Times New Roman" w:cs="Times New Roman"/>
          <w:b w:val="0"/>
          <w:color w:val="auto"/>
          <w:sz w:val="24"/>
          <w:szCs w:val="24"/>
        </w:rPr>
      </w:pPr>
      <w:r w:rsidRPr="00BA63BA">
        <w:rPr>
          <w:rFonts w:ascii="Times New Roman" w:hAnsi="Times New Roman" w:cs="Times New Roman"/>
          <w:b w:val="0"/>
          <w:color w:val="auto"/>
          <w:sz w:val="24"/>
          <w:szCs w:val="24"/>
        </w:rPr>
        <w:t xml:space="preserve">Test for </w:t>
      </w:r>
      <w:r w:rsidR="00E129E9" w:rsidRPr="00BA63BA">
        <w:rPr>
          <w:rFonts w:ascii="Times New Roman" w:hAnsi="Times New Roman" w:cs="Times New Roman"/>
          <w:b w:val="0"/>
          <w:color w:val="auto"/>
          <w:sz w:val="24"/>
          <w:szCs w:val="24"/>
        </w:rPr>
        <w:t>e</w:t>
      </w:r>
      <w:r w:rsidR="00DD1513" w:rsidRPr="00BA63BA">
        <w:rPr>
          <w:rFonts w:ascii="Times New Roman" w:hAnsi="Times New Roman" w:cs="Times New Roman"/>
          <w:b w:val="0"/>
          <w:color w:val="auto"/>
          <w:sz w:val="24"/>
          <w:szCs w:val="24"/>
        </w:rPr>
        <w:t>quality of</w:t>
      </w:r>
      <w:r w:rsidR="00BA63BA" w:rsidRPr="00BA63BA">
        <w:rPr>
          <w:rFonts w:ascii="Times New Roman" w:hAnsi="Times New Roman" w:cs="Times New Roman"/>
          <w:b w:val="0"/>
          <w:color w:val="auto"/>
          <w:sz w:val="24"/>
          <w:szCs w:val="24"/>
        </w:rPr>
        <w:t xml:space="preserve"> </w:t>
      </w:r>
      <w:r w:rsidR="00E129E9" w:rsidRPr="00BA63BA">
        <w:rPr>
          <w:rFonts w:ascii="Times New Roman" w:hAnsi="Times New Roman" w:cs="Times New Roman"/>
          <w:b w:val="0"/>
          <w:color w:val="auto"/>
          <w:sz w:val="24"/>
          <w:szCs w:val="24"/>
        </w:rPr>
        <w:t>m</w:t>
      </w:r>
      <w:r w:rsidRPr="00BA63BA">
        <w:rPr>
          <w:rFonts w:ascii="Times New Roman" w:hAnsi="Times New Roman" w:cs="Times New Roman"/>
          <w:b w:val="0"/>
          <w:color w:val="auto"/>
          <w:sz w:val="24"/>
          <w:szCs w:val="24"/>
        </w:rPr>
        <w:t>ean</w:t>
      </w:r>
      <w:r w:rsidR="00134E63">
        <w:rPr>
          <w:rFonts w:ascii="Times New Roman" w:hAnsi="Times New Roman" w:cs="Times New Roman"/>
          <w:b w:val="0"/>
          <w:color w:val="auto"/>
          <w:sz w:val="24"/>
          <w:szCs w:val="24"/>
        </w:rPr>
        <w:t>s</w:t>
      </w:r>
      <w:r w:rsidRPr="00BA63BA">
        <w:rPr>
          <w:rFonts w:ascii="Times New Roman" w:hAnsi="Times New Roman" w:cs="Times New Roman"/>
          <w:b w:val="0"/>
          <w:color w:val="auto"/>
          <w:sz w:val="24"/>
          <w:szCs w:val="24"/>
        </w:rPr>
        <w:t xml:space="preserve">, </w:t>
      </w:r>
      <w:r w:rsidR="00E129E9" w:rsidRPr="00BA63BA">
        <w:rPr>
          <w:rFonts w:ascii="Times New Roman" w:hAnsi="Times New Roman" w:cs="Times New Roman"/>
          <w:b w:val="0"/>
          <w:color w:val="auto"/>
          <w:sz w:val="24"/>
          <w:szCs w:val="24"/>
        </w:rPr>
        <w:t>m</w:t>
      </w:r>
      <w:r w:rsidRPr="00BA63BA">
        <w:rPr>
          <w:rFonts w:ascii="Times New Roman" w:hAnsi="Times New Roman" w:cs="Times New Roman"/>
          <w:b w:val="0"/>
          <w:color w:val="auto"/>
          <w:sz w:val="24"/>
          <w:szCs w:val="24"/>
        </w:rPr>
        <w:t>edian</w:t>
      </w:r>
      <w:r w:rsidR="00134E63">
        <w:rPr>
          <w:rFonts w:ascii="Times New Roman" w:hAnsi="Times New Roman" w:cs="Times New Roman"/>
          <w:b w:val="0"/>
          <w:color w:val="auto"/>
          <w:sz w:val="24"/>
          <w:szCs w:val="24"/>
        </w:rPr>
        <w:t>s</w:t>
      </w:r>
      <w:r w:rsidR="00E6715A" w:rsidRPr="00BA63BA">
        <w:rPr>
          <w:rFonts w:ascii="Times New Roman" w:hAnsi="Times New Roman" w:cs="Times New Roman"/>
          <w:b w:val="0"/>
          <w:color w:val="auto"/>
          <w:sz w:val="24"/>
          <w:szCs w:val="24"/>
        </w:rPr>
        <w:t xml:space="preserve">, </w:t>
      </w:r>
      <w:r w:rsidR="00E129E9" w:rsidRPr="00BA63BA">
        <w:rPr>
          <w:rFonts w:ascii="Times New Roman" w:hAnsi="Times New Roman" w:cs="Times New Roman"/>
          <w:b w:val="0"/>
          <w:color w:val="auto"/>
          <w:sz w:val="24"/>
          <w:szCs w:val="24"/>
        </w:rPr>
        <w:t>v</w:t>
      </w:r>
      <w:r w:rsidR="00E6715A" w:rsidRPr="00BA63BA">
        <w:rPr>
          <w:rFonts w:ascii="Times New Roman" w:hAnsi="Times New Roman" w:cs="Times New Roman"/>
          <w:b w:val="0"/>
          <w:color w:val="auto"/>
          <w:sz w:val="24"/>
          <w:szCs w:val="24"/>
        </w:rPr>
        <w:t>ariance</w:t>
      </w:r>
      <w:r w:rsidR="00134E63">
        <w:rPr>
          <w:rFonts w:ascii="Times New Roman" w:hAnsi="Times New Roman" w:cs="Times New Roman"/>
          <w:b w:val="0"/>
          <w:color w:val="auto"/>
          <w:sz w:val="24"/>
          <w:szCs w:val="24"/>
        </w:rPr>
        <w:t>s</w:t>
      </w:r>
      <w:r w:rsidR="00BA63BA" w:rsidRPr="00BA63BA">
        <w:rPr>
          <w:rFonts w:ascii="Times New Roman" w:hAnsi="Times New Roman" w:cs="Times New Roman"/>
          <w:b w:val="0"/>
          <w:color w:val="auto"/>
          <w:sz w:val="24"/>
          <w:szCs w:val="24"/>
        </w:rPr>
        <w:t xml:space="preserve">, </w:t>
      </w:r>
      <w:r w:rsidRPr="00BA63BA">
        <w:rPr>
          <w:rFonts w:ascii="Times New Roman" w:hAnsi="Times New Roman" w:cs="Times New Roman"/>
          <w:b w:val="0"/>
          <w:color w:val="auto"/>
          <w:sz w:val="24"/>
          <w:szCs w:val="24"/>
        </w:rPr>
        <w:t xml:space="preserve">and </w:t>
      </w:r>
      <w:r w:rsidR="00E129E9" w:rsidRPr="00BA63BA">
        <w:rPr>
          <w:rFonts w:ascii="Times New Roman" w:hAnsi="Times New Roman" w:cs="Times New Roman"/>
          <w:b w:val="0"/>
          <w:color w:val="auto"/>
          <w:sz w:val="24"/>
          <w:szCs w:val="24"/>
        </w:rPr>
        <w:t>d</w:t>
      </w:r>
      <w:r w:rsidRPr="00BA63BA">
        <w:rPr>
          <w:rFonts w:ascii="Times New Roman" w:hAnsi="Times New Roman" w:cs="Times New Roman"/>
          <w:b w:val="0"/>
          <w:color w:val="auto"/>
          <w:sz w:val="24"/>
          <w:szCs w:val="24"/>
        </w:rPr>
        <w:t>istribution</w:t>
      </w:r>
      <w:r w:rsidR="00134E63">
        <w:rPr>
          <w:rFonts w:ascii="Times New Roman" w:hAnsi="Times New Roman" w:cs="Times New Roman"/>
          <w:b w:val="0"/>
          <w:color w:val="auto"/>
          <w:sz w:val="24"/>
          <w:szCs w:val="24"/>
        </w:rPr>
        <w:t>s</w:t>
      </w:r>
      <w:r w:rsidR="005B2B9A" w:rsidRPr="00BA63BA">
        <w:rPr>
          <w:rFonts w:ascii="Times New Roman" w:hAnsi="Times New Roman" w:cs="Times New Roman"/>
          <w:b w:val="0"/>
          <w:color w:val="auto"/>
          <w:sz w:val="24"/>
          <w:szCs w:val="24"/>
        </w:rPr>
        <w:t xml:space="preserve"> of </w:t>
      </w:r>
      <w:r w:rsidR="00E129E9" w:rsidRPr="00BA63BA">
        <w:rPr>
          <w:rFonts w:ascii="Times New Roman" w:hAnsi="Times New Roman" w:cs="Times New Roman"/>
          <w:b w:val="0"/>
          <w:color w:val="auto"/>
          <w:sz w:val="24"/>
          <w:szCs w:val="24"/>
        </w:rPr>
        <w:t>s</w:t>
      </w:r>
      <w:r w:rsidR="005B2B9A" w:rsidRPr="00BA63BA">
        <w:rPr>
          <w:rFonts w:ascii="Times New Roman" w:hAnsi="Times New Roman" w:cs="Times New Roman"/>
          <w:b w:val="0"/>
          <w:color w:val="auto"/>
          <w:sz w:val="24"/>
          <w:szCs w:val="24"/>
        </w:rPr>
        <w:t xml:space="preserve">tock </w:t>
      </w:r>
      <w:r w:rsidR="00E129E9" w:rsidRPr="00BA63BA">
        <w:rPr>
          <w:rFonts w:ascii="Times New Roman" w:hAnsi="Times New Roman" w:cs="Times New Roman"/>
          <w:b w:val="0"/>
          <w:color w:val="auto"/>
          <w:sz w:val="24"/>
          <w:szCs w:val="24"/>
        </w:rPr>
        <w:t>m</w:t>
      </w:r>
      <w:r w:rsidR="005B2B9A" w:rsidRPr="00BA63BA">
        <w:rPr>
          <w:rFonts w:ascii="Times New Roman" w:hAnsi="Times New Roman" w:cs="Times New Roman"/>
          <w:b w:val="0"/>
          <w:color w:val="auto"/>
          <w:sz w:val="24"/>
          <w:szCs w:val="24"/>
        </w:rPr>
        <w:t xml:space="preserve">arket </w:t>
      </w:r>
      <w:r w:rsidR="00E129E9" w:rsidRPr="00BA63BA">
        <w:rPr>
          <w:rFonts w:ascii="Times New Roman" w:hAnsi="Times New Roman" w:cs="Times New Roman"/>
          <w:b w:val="0"/>
          <w:color w:val="auto"/>
          <w:sz w:val="24"/>
          <w:szCs w:val="24"/>
        </w:rPr>
        <w:t>r</w:t>
      </w:r>
      <w:r w:rsidR="005B2B9A" w:rsidRPr="00BA63BA">
        <w:rPr>
          <w:rFonts w:ascii="Times New Roman" w:hAnsi="Times New Roman" w:cs="Times New Roman"/>
          <w:b w:val="0"/>
          <w:color w:val="auto"/>
          <w:sz w:val="24"/>
          <w:szCs w:val="24"/>
        </w:rPr>
        <w:t>eturns</w:t>
      </w:r>
      <w:r w:rsidR="00A9376A" w:rsidRPr="00BA63BA">
        <w:rPr>
          <w:rFonts w:ascii="Times New Roman" w:hAnsi="Times New Roman" w:cs="Times New Roman"/>
          <w:b w:val="0"/>
          <w:color w:val="auto"/>
          <w:sz w:val="24"/>
          <w:szCs w:val="24"/>
        </w:rPr>
        <w:t xml:space="preserve"> across the subperiods</w:t>
      </w:r>
      <w:r w:rsidR="000B58C0">
        <w:rPr>
          <w:rFonts w:ascii="Times New Roman" w:hAnsi="Times New Roman" w:cs="Times New Roman"/>
          <w:b w:val="0"/>
          <w:color w:val="auto"/>
          <w:sz w:val="24"/>
          <w:szCs w:val="24"/>
        </w:rPr>
        <w:t xml:space="preserve"> </w:t>
      </w:r>
      <w:r w:rsidR="00DB2CD8" w:rsidRPr="00BA63BA">
        <w:rPr>
          <w:rFonts w:ascii="Times New Roman" w:hAnsi="Times New Roman" w:cs="Times New Roman"/>
          <w:b w:val="0"/>
          <w:color w:val="auto"/>
          <w:sz w:val="24"/>
          <w:szCs w:val="24"/>
        </w:rPr>
        <w:t>1935-1945 (pre-BW), 1945-1971 (BW), and 1971-2015 (post-BW)</w:t>
      </w:r>
      <w:r w:rsidR="005B2B9A" w:rsidRPr="00BA63BA">
        <w:rPr>
          <w:rFonts w:ascii="Times New Roman" w:hAnsi="Times New Roman" w:cs="Times New Roman"/>
          <w:b w:val="0"/>
          <w:color w:val="auto"/>
          <w:sz w:val="24"/>
          <w:szCs w:val="24"/>
        </w:rPr>
        <w:t>.</w:t>
      </w:r>
    </w:p>
    <w:tbl>
      <w:tblPr>
        <w:tblStyle w:val="LightShading1"/>
        <w:tblW w:w="13433" w:type="dxa"/>
        <w:tblLayout w:type="fixed"/>
        <w:tblLook w:val="04A0" w:firstRow="1" w:lastRow="0" w:firstColumn="1" w:lastColumn="0" w:noHBand="0" w:noVBand="1"/>
      </w:tblPr>
      <w:tblGrid>
        <w:gridCol w:w="3397"/>
        <w:gridCol w:w="2665"/>
        <w:gridCol w:w="2268"/>
        <w:gridCol w:w="2551"/>
        <w:gridCol w:w="2552"/>
      </w:tblGrid>
      <w:tr w:rsidR="00B04FED" w:rsidRPr="00E129E9" w:rsidTr="0091386D">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3397" w:type="dxa"/>
          </w:tcPr>
          <w:p w:rsidR="00B04FED" w:rsidRPr="00E129E9" w:rsidRDefault="00B04FED" w:rsidP="00505395">
            <w:pPr>
              <w:spacing w:after="0" w:line="240" w:lineRule="auto"/>
              <w:ind w:right="282"/>
              <w:contextualSpacing/>
              <w:rPr>
                <w:rFonts w:ascii="Times New Roman" w:hAnsi="Times New Roman" w:cs="Times New Roman"/>
              </w:rPr>
            </w:pPr>
          </w:p>
        </w:tc>
        <w:tc>
          <w:tcPr>
            <w:tcW w:w="2665" w:type="dxa"/>
          </w:tcPr>
          <w:p w:rsidR="006E2ED2" w:rsidRPr="00AF6503" w:rsidRDefault="00DD1513" w:rsidP="00505395">
            <w:pPr>
              <w:spacing w:after="0" w:line="240" w:lineRule="auto"/>
              <w:ind w:right="33"/>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Equality o</w:t>
            </w:r>
            <w:r w:rsidR="001D4EFC" w:rsidRPr="00AF6503">
              <w:rPr>
                <w:rFonts w:ascii="Times New Roman" w:hAnsi="Times New Roman" w:cs="Times New Roman"/>
              </w:rPr>
              <w:t>f mean</w:t>
            </w:r>
            <w:r w:rsidR="0091386D">
              <w:rPr>
                <w:rFonts w:ascii="Times New Roman" w:hAnsi="Times New Roman" w:cs="Times New Roman"/>
              </w:rPr>
              <w:t>s</w:t>
            </w:r>
            <w:r w:rsidR="00E17EF6">
              <w:rPr>
                <w:rFonts w:ascii="Times New Roman" w:hAnsi="Times New Roman" w:cs="Times New Roman"/>
              </w:rPr>
              <w:t xml:space="preserve"> (x</w:t>
            </w:r>
            <w:r w:rsidR="00B04FED" w:rsidRPr="00AF6503">
              <w:rPr>
                <w:rFonts w:ascii="Times New Roman" w:hAnsi="Times New Roman" w:cs="Times New Roman"/>
              </w:rPr>
              <w:t>10</w:t>
            </w:r>
            <w:r w:rsidR="00B04FED" w:rsidRPr="00AF6503">
              <w:rPr>
                <w:rFonts w:ascii="Times New Roman" w:hAnsi="Times New Roman" w:cs="Times New Roman"/>
                <w:vertAlign w:val="superscript"/>
              </w:rPr>
              <w:t>-3</w:t>
            </w:r>
            <w:r w:rsidR="00B04FED" w:rsidRPr="00AF6503">
              <w:rPr>
                <w:rFonts w:ascii="Times New Roman" w:hAnsi="Times New Roman" w:cs="Times New Roman"/>
              </w:rPr>
              <w:t>)</w:t>
            </w:r>
          </w:p>
        </w:tc>
        <w:tc>
          <w:tcPr>
            <w:tcW w:w="2268" w:type="dxa"/>
          </w:tcPr>
          <w:p w:rsidR="00B04FED" w:rsidRPr="00AF6503" w:rsidRDefault="00B04FED" w:rsidP="00AF6503">
            <w:pPr>
              <w:spacing w:after="0" w:line="240" w:lineRule="auto"/>
              <w:ind w:right="34"/>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Equality of median</w:t>
            </w:r>
            <w:r w:rsidR="00BA63BA">
              <w:rPr>
                <w:rFonts w:ascii="Times New Roman" w:hAnsi="Times New Roman" w:cs="Times New Roman"/>
              </w:rPr>
              <w:t>s</w:t>
            </w:r>
          </w:p>
        </w:tc>
        <w:tc>
          <w:tcPr>
            <w:tcW w:w="2551" w:type="dxa"/>
          </w:tcPr>
          <w:p w:rsidR="00B04FED" w:rsidRPr="00AF6503" w:rsidRDefault="00B04FED" w:rsidP="00AF6503">
            <w:pPr>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 xml:space="preserve">Equality of </w:t>
            </w:r>
            <w:r w:rsidR="004B7812">
              <w:rPr>
                <w:rFonts w:ascii="Times New Roman" w:hAnsi="Times New Roman" w:cs="Times New Roman"/>
              </w:rPr>
              <w:t>v</w:t>
            </w:r>
            <w:r w:rsidR="006F7FD9" w:rsidRPr="00AF6503">
              <w:rPr>
                <w:rFonts w:ascii="Times New Roman" w:hAnsi="Times New Roman" w:cs="Times New Roman"/>
              </w:rPr>
              <w:t>ariance</w:t>
            </w:r>
            <w:r w:rsidR="0091386D">
              <w:rPr>
                <w:rFonts w:ascii="Times New Roman" w:hAnsi="Times New Roman" w:cs="Times New Roman"/>
              </w:rPr>
              <w:t>s</w:t>
            </w:r>
          </w:p>
        </w:tc>
        <w:tc>
          <w:tcPr>
            <w:tcW w:w="2552" w:type="dxa"/>
          </w:tcPr>
          <w:p w:rsidR="00B04FED" w:rsidRPr="00AF6503" w:rsidRDefault="00FE32C6" w:rsidP="00AF6503">
            <w:pPr>
              <w:spacing w:after="0" w:line="240" w:lineRule="auto"/>
              <w:ind w:right="34"/>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Equality of distribution</w:t>
            </w:r>
            <w:r w:rsidR="0091386D">
              <w:rPr>
                <w:rFonts w:ascii="Times New Roman" w:hAnsi="Times New Roman" w:cs="Times New Roman"/>
              </w:rPr>
              <w:t>s</w:t>
            </w:r>
          </w:p>
        </w:tc>
      </w:tr>
      <w:tr w:rsidR="00B04FED" w:rsidRPr="00501F42" w:rsidTr="0091386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rsidR="00B04FED" w:rsidRPr="00501F42" w:rsidRDefault="00B04FED" w:rsidP="00667604">
            <w:pPr>
              <w:spacing w:after="0" w:line="240" w:lineRule="auto"/>
              <w:ind w:right="282"/>
              <w:contextualSpacing/>
              <w:rPr>
                <w:rFonts w:ascii="Times New Roman" w:eastAsia="Times New Roman" w:hAnsi="Times New Roman" w:cs="Times New Roman"/>
                <w:color w:val="000000"/>
                <w:lang w:eastAsia="en-GB"/>
              </w:rPr>
            </w:pPr>
            <w:r w:rsidRPr="00501F42">
              <w:rPr>
                <w:rFonts w:ascii="Times New Roman" w:eastAsia="Times New Roman" w:hAnsi="Times New Roman" w:cs="Times New Roman"/>
                <w:color w:val="000000"/>
                <w:lang w:eastAsia="en-GB"/>
              </w:rPr>
              <w:t xml:space="preserve">UK: </w:t>
            </w:r>
            <w:r w:rsidR="00374C0D">
              <w:rPr>
                <w:rFonts w:ascii="Times New Roman" w:eastAsia="Times New Roman" w:hAnsi="Times New Roman" w:cs="Times New Roman"/>
                <w:color w:val="000000"/>
                <w:lang w:eastAsia="en-GB"/>
              </w:rPr>
              <w:t>BW</w:t>
            </w:r>
            <w:r w:rsidR="0089438A" w:rsidRPr="00501F42">
              <w:rPr>
                <w:rFonts w:ascii="Times New Roman" w:eastAsia="Times New Roman" w:hAnsi="Times New Roman" w:cs="Times New Roman"/>
                <w:color w:val="000000"/>
                <w:lang w:eastAsia="en-GB"/>
              </w:rPr>
              <w:t xml:space="preserve"> =</w:t>
            </w:r>
            <w:r w:rsidR="006F7FD9">
              <w:rPr>
                <w:rFonts w:ascii="Times New Roman" w:eastAsia="Times New Roman" w:hAnsi="Times New Roman" w:cs="Times New Roman"/>
                <w:color w:val="000000"/>
                <w:lang w:eastAsia="en-GB"/>
              </w:rPr>
              <w:t>Pre-</w:t>
            </w:r>
            <w:r w:rsidR="00374C0D">
              <w:rPr>
                <w:rFonts w:ascii="Times New Roman" w:eastAsia="Times New Roman" w:hAnsi="Times New Roman" w:cs="Times New Roman"/>
                <w:color w:val="000000"/>
                <w:lang w:eastAsia="en-GB"/>
              </w:rPr>
              <w:t>BW</w:t>
            </w:r>
          </w:p>
          <w:p w:rsidR="00B04FED" w:rsidRPr="00501F42" w:rsidRDefault="00B04FED" w:rsidP="00505395">
            <w:pPr>
              <w:spacing w:after="0" w:line="240" w:lineRule="auto"/>
              <w:ind w:right="282"/>
              <w:contextualSpacing/>
              <w:rPr>
                <w:rFonts w:ascii="Times New Roman" w:eastAsia="Times New Roman" w:hAnsi="Times New Roman" w:cs="Times New Roman"/>
                <w:color w:val="000000"/>
                <w:lang w:eastAsia="en-GB"/>
              </w:rPr>
            </w:pPr>
            <w:r w:rsidRPr="00501F42">
              <w:rPr>
                <w:rFonts w:ascii="Times New Roman" w:eastAsia="Times New Roman" w:hAnsi="Times New Roman" w:cs="Times New Roman"/>
                <w:color w:val="000000"/>
                <w:lang w:eastAsia="en-GB"/>
              </w:rPr>
              <w:t xml:space="preserve">US: </w:t>
            </w:r>
            <w:r w:rsidR="00374C0D">
              <w:rPr>
                <w:rFonts w:ascii="Times New Roman" w:eastAsia="Times New Roman" w:hAnsi="Times New Roman" w:cs="Times New Roman"/>
                <w:color w:val="000000"/>
                <w:lang w:eastAsia="en-GB"/>
              </w:rPr>
              <w:t xml:space="preserve">BW </w:t>
            </w:r>
            <w:r w:rsidR="0089438A" w:rsidRPr="00501F42">
              <w:rPr>
                <w:rFonts w:ascii="Times New Roman" w:eastAsia="Times New Roman" w:hAnsi="Times New Roman" w:cs="Times New Roman"/>
                <w:color w:val="000000"/>
                <w:lang w:eastAsia="en-GB"/>
              </w:rPr>
              <w:t xml:space="preserve">= </w:t>
            </w:r>
            <w:r w:rsidR="006F7FD9">
              <w:rPr>
                <w:rFonts w:ascii="Times New Roman" w:eastAsia="Times New Roman" w:hAnsi="Times New Roman" w:cs="Times New Roman"/>
                <w:color w:val="000000"/>
                <w:lang w:eastAsia="en-GB"/>
              </w:rPr>
              <w:t>Pre-</w:t>
            </w:r>
            <w:r w:rsidR="00E6715A" w:rsidRPr="00501F42">
              <w:rPr>
                <w:rFonts w:ascii="Times New Roman" w:eastAsia="Times New Roman" w:hAnsi="Times New Roman" w:cs="Times New Roman"/>
                <w:color w:val="000000"/>
                <w:lang w:eastAsia="en-GB"/>
              </w:rPr>
              <w:t>BW</w:t>
            </w:r>
          </w:p>
        </w:tc>
        <w:tc>
          <w:tcPr>
            <w:tcW w:w="2665" w:type="dxa"/>
            <w:shd w:val="clear" w:color="auto" w:fill="auto"/>
          </w:tcPr>
          <w:p w:rsidR="00B04FED" w:rsidRPr="00501F42" w:rsidRDefault="006F7FD9" w:rsidP="00505395">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w:t>
            </w:r>
            <w:r w:rsidR="00B04FED" w:rsidRPr="00501F42">
              <w:rPr>
                <w:rFonts w:ascii="Times New Roman" w:hAnsi="Times New Roman" w:cs="Times New Roman"/>
              </w:rPr>
              <w:t>5</w:t>
            </w:r>
            <w:r>
              <w:rPr>
                <w:rFonts w:ascii="Times New Roman" w:hAnsi="Times New Roman" w:cs="Times New Roman"/>
              </w:rPr>
              <w:t>1</w:t>
            </w:r>
          </w:p>
          <w:p w:rsidR="00B04FED" w:rsidRPr="00501F42" w:rsidRDefault="00B04FED" w:rsidP="00505395">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42">
              <w:rPr>
                <w:rFonts w:ascii="Times New Roman" w:hAnsi="Times New Roman" w:cs="Times New Roman"/>
              </w:rPr>
              <w:t xml:space="preserve">0.231 </w:t>
            </w:r>
          </w:p>
        </w:tc>
        <w:tc>
          <w:tcPr>
            <w:tcW w:w="2268" w:type="dxa"/>
            <w:shd w:val="clear" w:color="auto" w:fill="auto"/>
          </w:tcPr>
          <w:p w:rsidR="00B04FED" w:rsidRPr="00501F42" w:rsidRDefault="00B04FED">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42">
              <w:rPr>
                <w:rFonts w:ascii="Times New Roman" w:hAnsi="Times New Roman" w:cs="Times New Roman"/>
              </w:rPr>
              <w:t>8.601***</w:t>
            </w:r>
          </w:p>
          <w:p w:rsidR="00B04FED" w:rsidRPr="00501F42" w:rsidRDefault="00B04FED">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42">
              <w:rPr>
                <w:rFonts w:ascii="Times New Roman" w:hAnsi="Times New Roman" w:cs="Times New Roman"/>
              </w:rPr>
              <w:t>0.064</w:t>
            </w:r>
          </w:p>
        </w:tc>
        <w:tc>
          <w:tcPr>
            <w:tcW w:w="2551" w:type="dxa"/>
            <w:shd w:val="clear" w:color="auto" w:fill="auto"/>
          </w:tcPr>
          <w:p w:rsidR="00B04FED" w:rsidRPr="00501F42" w:rsidRDefault="009B65E2">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0.007</w:t>
            </w:r>
            <w:r w:rsidR="00967D52">
              <w:rPr>
                <w:rFonts w:ascii="Times New Roman" w:hAnsi="Times New Roman" w:cs="Times New Roman"/>
              </w:rPr>
              <w:t>***</w:t>
            </w:r>
          </w:p>
          <w:p w:rsidR="00B04FED" w:rsidRPr="00501F42" w:rsidRDefault="00B04FED">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42">
              <w:rPr>
                <w:rFonts w:ascii="Times New Roman" w:hAnsi="Times New Roman" w:cs="Times New Roman"/>
              </w:rPr>
              <w:t>0.008</w:t>
            </w:r>
            <w:r w:rsidR="00F16AC4">
              <w:rPr>
                <w:rFonts w:ascii="Times New Roman" w:hAnsi="Times New Roman" w:cs="Times New Roman"/>
              </w:rPr>
              <w:t>***</w:t>
            </w:r>
          </w:p>
        </w:tc>
        <w:tc>
          <w:tcPr>
            <w:tcW w:w="2552" w:type="dxa"/>
            <w:shd w:val="clear" w:color="auto" w:fill="auto"/>
          </w:tcPr>
          <w:p w:rsidR="00B04FED" w:rsidRPr="00501F42" w:rsidRDefault="00B04FED">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42">
              <w:rPr>
                <w:rFonts w:ascii="Times New Roman" w:hAnsi="Times New Roman" w:cs="Times New Roman"/>
              </w:rPr>
              <w:t>0.071***</w:t>
            </w:r>
          </w:p>
          <w:p w:rsidR="00B04FED" w:rsidRPr="00501F42" w:rsidRDefault="00B04FED">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F42">
              <w:rPr>
                <w:rFonts w:ascii="Times New Roman" w:hAnsi="Times New Roman" w:cs="Times New Roman"/>
              </w:rPr>
              <w:t>0.066***</w:t>
            </w:r>
          </w:p>
        </w:tc>
      </w:tr>
      <w:tr w:rsidR="00B04FED" w:rsidRPr="00501F42" w:rsidTr="0091386D">
        <w:trPr>
          <w:trHeight w:val="227"/>
        </w:trPr>
        <w:tc>
          <w:tcPr>
            <w:cnfStyle w:val="001000000000" w:firstRow="0" w:lastRow="0" w:firstColumn="1" w:lastColumn="0" w:oddVBand="0" w:evenVBand="0" w:oddHBand="0" w:evenHBand="0" w:firstRowFirstColumn="0" w:firstRowLastColumn="0" w:lastRowFirstColumn="0" w:lastRowLastColumn="0"/>
            <w:tcW w:w="3397" w:type="dxa"/>
          </w:tcPr>
          <w:p w:rsidR="00B04FED" w:rsidRPr="00501F42" w:rsidRDefault="00B04FED" w:rsidP="00667604">
            <w:pPr>
              <w:spacing w:after="0" w:line="240" w:lineRule="auto"/>
              <w:ind w:right="282"/>
              <w:contextualSpacing/>
              <w:rPr>
                <w:rFonts w:ascii="Times New Roman" w:eastAsia="Times New Roman" w:hAnsi="Times New Roman" w:cs="Times New Roman"/>
                <w:color w:val="000000"/>
                <w:lang w:eastAsia="en-GB"/>
              </w:rPr>
            </w:pPr>
            <w:r w:rsidRPr="00501F42">
              <w:rPr>
                <w:rFonts w:ascii="Times New Roman" w:eastAsia="Times New Roman" w:hAnsi="Times New Roman" w:cs="Times New Roman"/>
                <w:color w:val="000000"/>
                <w:lang w:eastAsia="en-GB"/>
              </w:rPr>
              <w:t xml:space="preserve">UK: </w:t>
            </w:r>
            <w:r w:rsidR="006F7FD9">
              <w:rPr>
                <w:rFonts w:ascii="Times New Roman" w:eastAsia="Times New Roman" w:hAnsi="Times New Roman" w:cs="Times New Roman"/>
                <w:color w:val="000000"/>
                <w:lang w:eastAsia="en-GB"/>
              </w:rPr>
              <w:t>Post-</w:t>
            </w:r>
            <w:r w:rsidR="00374C0D">
              <w:rPr>
                <w:rFonts w:ascii="Times New Roman" w:eastAsia="Times New Roman" w:hAnsi="Times New Roman" w:cs="Times New Roman"/>
                <w:color w:val="000000"/>
                <w:lang w:eastAsia="en-GB"/>
              </w:rPr>
              <w:t>BW</w:t>
            </w:r>
            <w:r w:rsidR="0089438A" w:rsidRPr="00501F42">
              <w:rPr>
                <w:rFonts w:ascii="Times New Roman" w:eastAsia="Times New Roman" w:hAnsi="Times New Roman" w:cs="Times New Roman"/>
                <w:color w:val="000000"/>
                <w:lang w:eastAsia="en-GB"/>
              </w:rPr>
              <w:t xml:space="preserve"> =</w:t>
            </w:r>
            <w:r w:rsidR="00374C0D">
              <w:rPr>
                <w:rFonts w:ascii="Times New Roman" w:eastAsia="Times New Roman" w:hAnsi="Times New Roman" w:cs="Times New Roman"/>
                <w:color w:val="000000"/>
                <w:lang w:eastAsia="en-GB"/>
              </w:rPr>
              <w:t xml:space="preserve"> BW</w:t>
            </w:r>
          </w:p>
          <w:p w:rsidR="00B04FED" w:rsidRPr="00501F42" w:rsidRDefault="00B04FED" w:rsidP="00505395">
            <w:pPr>
              <w:spacing w:after="0" w:line="240" w:lineRule="auto"/>
              <w:ind w:right="282"/>
              <w:contextualSpacing/>
              <w:rPr>
                <w:rFonts w:ascii="Times New Roman" w:eastAsia="Times New Roman" w:hAnsi="Times New Roman" w:cs="Times New Roman"/>
                <w:color w:val="000000"/>
                <w:lang w:eastAsia="en-GB"/>
              </w:rPr>
            </w:pPr>
            <w:r w:rsidRPr="00501F42">
              <w:rPr>
                <w:rFonts w:ascii="Times New Roman" w:eastAsia="Times New Roman" w:hAnsi="Times New Roman" w:cs="Times New Roman"/>
                <w:color w:val="000000"/>
                <w:lang w:eastAsia="en-GB"/>
              </w:rPr>
              <w:t xml:space="preserve">US: </w:t>
            </w:r>
            <w:r w:rsidR="006F7FD9">
              <w:rPr>
                <w:rFonts w:ascii="Times New Roman" w:eastAsia="Times New Roman" w:hAnsi="Times New Roman" w:cs="Times New Roman"/>
                <w:color w:val="000000"/>
                <w:lang w:eastAsia="en-GB"/>
              </w:rPr>
              <w:t>Post-</w:t>
            </w:r>
            <w:r w:rsidR="00374C0D">
              <w:rPr>
                <w:rFonts w:ascii="Times New Roman" w:eastAsia="Times New Roman" w:hAnsi="Times New Roman" w:cs="Times New Roman"/>
                <w:color w:val="000000"/>
                <w:lang w:eastAsia="en-GB"/>
              </w:rPr>
              <w:t>BW</w:t>
            </w:r>
            <w:r w:rsidR="006F7FD9" w:rsidRPr="00501F42">
              <w:rPr>
                <w:rFonts w:ascii="Times New Roman" w:eastAsia="Times New Roman" w:hAnsi="Times New Roman" w:cs="Times New Roman"/>
                <w:color w:val="000000"/>
                <w:lang w:eastAsia="en-GB"/>
              </w:rPr>
              <w:t xml:space="preserve"> =</w:t>
            </w:r>
            <w:r w:rsidR="006F7FD9">
              <w:rPr>
                <w:rFonts w:ascii="Times New Roman" w:eastAsia="Times New Roman" w:hAnsi="Times New Roman" w:cs="Times New Roman"/>
                <w:color w:val="000000"/>
                <w:lang w:eastAsia="en-GB"/>
              </w:rPr>
              <w:t xml:space="preserve"> BW</w:t>
            </w:r>
          </w:p>
        </w:tc>
        <w:tc>
          <w:tcPr>
            <w:tcW w:w="2665" w:type="dxa"/>
          </w:tcPr>
          <w:p w:rsidR="00B04FED" w:rsidRPr="00501F42" w:rsidRDefault="006F7FD9" w:rsidP="00505395">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0.010</w:t>
            </w:r>
          </w:p>
          <w:p w:rsidR="00B04FED" w:rsidRPr="00501F42" w:rsidRDefault="006F7FD9" w:rsidP="00505395">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0.080 </w:t>
            </w:r>
          </w:p>
        </w:tc>
        <w:tc>
          <w:tcPr>
            <w:tcW w:w="2268" w:type="dxa"/>
          </w:tcPr>
          <w:p w:rsidR="00B04FED" w:rsidRPr="00501F42" w:rsidRDefault="00A85B20">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57.82**</w:t>
            </w:r>
            <w:r w:rsidR="00B04FED" w:rsidRPr="00501F42">
              <w:rPr>
                <w:rFonts w:ascii="Times New Roman" w:hAnsi="Times New Roman" w:cs="Times New Roman"/>
              </w:rPr>
              <w:t>*</w:t>
            </w:r>
          </w:p>
          <w:p w:rsidR="00B04FED" w:rsidRPr="00501F42" w:rsidRDefault="00BB198A">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1.257</w:t>
            </w:r>
          </w:p>
        </w:tc>
        <w:tc>
          <w:tcPr>
            <w:tcW w:w="2551" w:type="dxa"/>
          </w:tcPr>
          <w:p w:rsidR="00B04FED" w:rsidRPr="00501F42" w:rsidRDefault="009B65E2">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0.008</w:t>
            </w:r>
            <w:r w:rsidR="00F16AC4">
              <w:rPr>
                <w:rFonts w:ascii="Times New Roman" w:hAnsi="Times New Roman" w:cs="Times New Roman"/>
              </w:rPr>
              <w:t xml:space="preserve">*** </w:t>
            </w:r>
          </w:p>
          <w:p w:rsidR="00B04FED" w:rsidRPr="00501F42" w:rsidRDefault="009B65E2">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0.010</w:t>
            </w:r>
            <w:r w:rsidR="00F16AC4">
              <w:rPr>
                <w:rFonts w:ascii="Times New Roman" w:hAnsi="Times New Roman" w:cs="Times New Roman"/>
              </w:rPr>
              <w:t>***</w:t>
            </w:r>
          </w:p>
        </w:tc>
        <w:tc>
          <w:tcPr>
            <w:tcW w:w="2552" w:type="dxa"/>
          </w:tcPr>
          <w:p w:rsidR="00B04FED" w:rsidRPr="00501F42" w:rsidRDefault="00A85B20">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0.129</w:t>
            </w:r>
            <w:r w:rsidR="00B04FED" w:rsidRPr="00501F42">
              <w:rPr>
                <w:rFonts w:ascii="Times New Roman" w:hAnsi="Times New Roman" w:cs="Times New Roman"/>
              </w:rPr>
              <w:t>***</w:t>
            </w:r>
          </w:p>
          <w:p w:rsidR="00B04FED" w:rsidRPr="00501F42" w:rsidRDefault="00A85B20">
            <w:pPr>
              <w:spacing w:after="0" w:line="240" w:lineRule="auto"/>
              <w:ind w:right="282"/>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0.072</w:t>
            </w:r>
            <w:r w:rsidR="00B04FED" w:rsidRPr="00501F42">
              <w:rPr>
                <w:rFonts w:ascii="Times New Roman" w:hAnsi="Times New Roman" w:cs="Times New Roman"/>
              </w:rPr>
              <w:t>***</w:t>
            </w:r>
          </w:p>
        </w:tc>
      </w:tr>
      <w:tr w:rsidR="000D32B9" w:rsidRPr="00501F42" w:rsidTr="0091386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97" w:type="dxa"/>
            <w:shd w:val="clear" w:color="auto" w:fill="auto"/>
          </w:tcPr>
          <w:p w:rsidR="000D32B9" w:rsidRPr="00501F42" w:rsidRDefault="000D32B9" w:rsidP="00667604">
            <w:pPr>
              <w:spacing w:after="0" w:line="240" w:lineRule="auto"/>
              <w:ind w:right="282"/>
              <w:contextualSpacing/>
              <w:rPr>
                <w:rFonts w:ascii="Times New Roman" w:eastAsia="Times New Roman" w:hAnsi="Times New Roman" w:cs="Times New Roman"/>
                <w:color w:val="000000"/>
                <w:lang w:eastAsia="en-GB"/>
              </w:rPr>
            </w:pPr>
            <w:r w:rsidRPr="00501F42">
              <w:rPr>
                <w:rFonts w:ascii="Times New Roman" w:eastAsia="Times New Roman" w:hAnsi="Times New Roman" w:cs="Times New Roman"/>
                <w:color w:val="000000"/>
                <w:lang w:eastAsia="en-GB"/>
              </w:rPr>
              <w:t xml:space="preserve">UK: </w:t>
            </w:r>
            <w:r w:rsidR="006F7FD9">
              <w:rPr>
                <w:rFonts w:ascii="Times New Roman" w:eastAsia="Times New Roman" w:hAnsi="Times New Roman" w:cs="Times New Roman"/>
                <w:color w:val="000000"/>
                <w:lang w:eastAsia="en-GB"/>
              </w:rPr>
              <w:t>Post</w:t>
            </w:r>
            <w:r>
              <w:rPr>
                <w:rFonts w:ascii="Times New Roman" w:eastAsia="Times New Roman" w:hAnsi="Times New Roman" w:cs="Times New Roman"/>
                <w:color w:val="000000"/>
                <w:lang w:eastAsia="en-GB"/>
              </w:rPr>
              <w:t>-</w:t>
            </w:r>
            <w:r w:rsidRPr="00501F42">
              <w:rPr>
                <w:rFonts w:ascii="Times New Roman" w:eastAsia="Times New Roman" w:hAnsi="Times New Roman" w:cs="Times New Roman"/>
                <w:color w:val="000000"/>
                <w:lang w:eastAsia="en-GB"/>
              </w:rPr>
              <w:t>BW =</w:t>
            </w:r>
            <w:r w:rsidR="006F7FD9">
              <w:rPr>
                <w:rFonts w:ascii="Times New Roman" w:eastAsia="Times New Roman" w:hAnsi="Times New Roman" w:cs="Times New Roman"/>
                <w:color w:val="000000"/>
                <w:lang w:eastAsia="en-GB"/>
              </w:rPr>
              <w:t xml:space="preserve"> Pre</w:t>
            </w:r>
            <w:r>
              <w:rPr>
                <w:rFonts w:ascii="Times New Roman" w:eastAsia="Times New Roman" w:hAnsi="Times New Roman" w:cs="Times New Roman"/>
                <w:color w:val="000000"/>
                <w:lang w:eastAsia="en-GB"/>
              </w:rPr>
              <w:t>-BW</w:t>
            </w:r>
          </w:p>
          <w:p w:rsidR="000D32B9" w:rsidRPr="00501F42" w:rsidRDefault="000D32B9" w:rsidP="00505395">
            <w:pPr>
              <w:spacing w:after="0" w:line="240" w:lineRule="auto"/>
              <w:ind w:right="282"/>
              <w:contextualSpacing/>
              <w:rPr>
                <w:rFonts w:ascii="Times New Roman" w:eastAsia="Times New Roman" w:hAnsi="Times New Roman" w:cs="Times New Roman"/>
                <w:color w:val="000000"/>
                <w:lang w:eastAsia="en-GB"/>
              </w:rPr>
            </w:pPr>
            <w:r w:rsidRPr="00501F42">
              <w:rPr>
                <w:rFonts w:ascii="Times New Roman" w:eastAsia="Times New Roman" w:hAnsi="Times New Roman" w:cs="Times New Roman"/>
                <w:color w:val="000000"/>
                <w:lang w:eastAsia="en-GB"/>
              </w:rPr>
              <w:t xml:space="preserve">US: </w:t>
            </w:r>
            <w:r w:rsidR="006F7FD9">
              <w:rPr>
                <w:rFonts w:ascii="Times New Roman" w:eastAsia="Times New Roman" w:hAnsi="Times New Roman" w:cs="Times New Roman"/>
                <w:color w:val="000000"/>
                <w:lang w:eastAsia="en-GB"/>
              </w:rPr>
              <w:t>Post-</w:t>
            </w:r>
            <w:r w:rsidR="006F7FD9" w:rsidRPr="00501F42">
              <w:rPr>
                <w:rFonts w:ascii="Times New Roman" w:eastAsia="Times New Roman" w:hAnsi="Times New Roman" w:cs="Times New Roman"/>
                <w:color w:val="000000"/>
                <w:lang w:eastAsia="en-GB"/>
              </w:rPr>
              <w:t>BW =</w:t>
            </w:r>
            <w:r w:rsidR="006F7FD9">
              <w:rPr>
                <w:rFonts w:ascii="Times New Roman" w:eastAsia="Times New Roman" w:hAnsi="Times New Roman" w:cs="Times New Roman"/>
                <w:color w:val="000000"/>
                <w:lang w:eastAsia="en-GB"/>
              </w:rPr>
              <w:t xml:space="preserve"> Pre-BW</w:t>
            </w:r>
          </w:p>
        </w:tc>
        <w:tc>
          <w:tcPr>
            <w:tcW w:w="2665" w:type="dxa"/>
            <w:shd w:val="clear" w:color="auto" w:fill="auto"/>
          </w:tcPr>
          <w:p w:rsidR="006F7FD9" w:rsidRPr="00501F42" w:rsidRDefault="006F7FD9" w:rsidP="00F16AC4">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0.037 </w:t>
            </w:r>
            <w:r>
              <w:rPr>
                <w:rFonts w:ascii="Times New Roman" w:hAnsi="Times New Roman" w:cs="Times New Roman"/>
              </w:rPr>
              <w:br/>
              <w:t xml:space="preserve">-0.150 </w:t>
            </w:r>
          </w:p>
        </w:tc>
        <w:tc>
          <w:tcPr>
            <w:tcW w:w="2268" w:type="dxa"/>
            <w:shd w:val="clear" w:color="auto" w:fill="auto"/>
          </w:tcPr>
          <w:p w:rsidR="000D32B9" w:rsidRDefault="00A85B20" w:rsidP="00505395">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5.361**</w:t>
            </w:r>
          </w:p>
          <w:p w:rsidR="00BB198A" w:rsidRPr="00501F42" w:rsidRDefault="00BB198A">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0.065</w:t>
            </w:r>
          </w:p>
        </w:tc>
        <w:tc>
          <w:tcPr>
            <w:tcW w:w="2551" w:type="dxa"/>
            <w:shd w:val="clear" w:color="auto" w:fill="auto"/>
          </w:tcPr>
          <w:p w:rsidR="000D32B9" w:rsidRDefault="009B65E2">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0.009</w:t>
            </w:r>
            <w:r w:rsidR="00F16AC4">
              <w:rPr>
                <w:rFonts w:ascii="Times New Roman" w:hAnsi="Times New Roman" w:cs="Times New Roman"/>
              </w:rPr>
              <w:t>***</w:t>
            </w:r>
          </w:p>
          <w:p w:rsidR="009B65E2" w:rsidRPr="00501F42" w:rsidRDefault="009B65E2">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0.011</w:t>
            </w:r>
            <w:r w:rsidR="00F16AC4">
              <w:rPr>
                <w:rFonts w:ascii="Times New Roman" w:hAnsi="Times New Roman" w:cs="Times New Roman"/>
              </w:rPr>
              <w:t>***</w:t>
            </w:r>
          </w:p>
        </w:tc>
        <w:tc>
          <w:tcPr>
            <w:tcW w:w="2552" w:type="dxa"/>
            <w:shd w:val="clear" w:color="auto" w:fill="auto"/>
          </w:tcPr>
          <w:p w:rsidR="000D32B9" w:rsidRDefault="00A85B20">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0.181***</w:t>
            </w:r>
          </w:p>
          <w:p w:rsidR="00A85B20" w:rsidRPr="00501F42" w:rsidRDefault="00A85B20">
            <w:pPr>
              <w:spacing w:after="0" w:line="240" w:lineRule="auto"/>
              <w:ind w:right="282"/>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0.024</w:t>
            </w:r>
          </w:p>
        </w:tc>
      </w:tr>
    </w:tbl>
    <w:p w:rsidR="00976849" w:rsidRDefault="00B12241" w:rsidP="00AF6503">
      <w:pPr>
        <w:spacing w:after="0" w:line="240" w:lineRule="auto"/>
        <w:ind w:right="282"/>
        <w:rPr>
          <w:rFonts w:ascii="Times New Roman" w:hAnsi="Times New Roman" w:cs="Times New Roman"/>
          <w:sz w:val="20"/>
          <w:szCs w:val="20"/>
        </w:rPr>
      </w:pPr>
      <w:r w:rsidRPr="00AF6503">
        <w:rPr>
          <w:rFonts w:ascii="Times New Roman" w:hAnsi="Times New Roman" w:cs="Times New Roman"/>
          <w:sz w:val="20"/>
          <w:szCs w:val="20"/>
        </w:rPr>
        <w:t>Notes:</w:t>
      </w:r>
      <w:r w:rsidR="00134E63">
        <w:rPr>
          <w:rFonts w:ascii="Times New Roman" w:hAnsi="Times New Roman" w:cs="Times New Roman"/>
          <w:sz w:val="20"/>
          <w:szCs w:val="20"/>
        </w:rPr>
        <w:t xml:space="preserve"> </w:t>
      </w:r>
      <w:r w:rsidR="001D0814" w:rsidRPr="006853EA">
        <w:rPr>
          <w:rFonts w:ascii="Times New Roman" w:eastAsiaTheme="minorEastAsia" w:hAnsi="Times New Roman" w:cs="Times New Roman"/>
          <w:sz w:val="20"/>
          <w:szCs w:val="20"/>
        </w:rPr>
        <w:t>*, **</w:t>
      </w:r>
      <w:r w:rsidR="004B7812">
        <w:rPr>
          <w:rFonts w:ascii="Times New Roman" w:eastAsiaTheme="minorEastAsia" w:hAnsi="Times New Roman" w:cs="Times New Roman"/>
          <w:sz w:val="20"/>
          <w:szCs w:val="20"/>
        </w:rPr>
        <w:t>,</w:t>
      </w:r>
      <w:r w:rsidR="001D0814" w:rsidRPr="006853EA">
        <w:rPr>
          <w:rFonts w:ascii="Times New Roman" w:eastAsiaTheme="minorEastAsia" w:hAnsi="Times New Roman" w:cs="Times New Roman"/>
          <w:sz w:val="20"/>
          <w:szCs w:val="20"/>
        </w:rPr>
        <w:t xml:space="preserve"> and *** </w:t>
      </w:r>
      <w:r w:rsidR="00976849">
        <w:rPr>
          <w:rFonts w:ascii="New serif" w:hAnsi="New serif"/>
          <w:color w:val="26282A"/>
          <w:sz w:val="20"/>
          <w:szCs w:val="20"/>
          <w:shd w:val="clear" w:color="auto" w:fill="FFFFFF"/>
          <w:lang w:val="en-US"/>
        </w:rPr>
        <w:t>denote significance at the 10%, 5%, and 1% levels, respectively. 2-sample </w:t>
      </w:r>
      <w:r w:rsidR="00976849">
        <w:rPr>
          <w:rFonts w:ascii="New serif" w:hAnsi="New serif"/>
          <w:i/>
          <w:iCs/>
          <w:color w:val="26282A"/>
          <w:sz w:val="20"/>
          <w:szCs w:val="20"/>
          <w:shd w:val="clear" w:color="auto" w:fill="FFFFFF"/>
          <w:lang w:val="en-US"/>
        </w:rPr>
        <w:t>t </w:t>
      </w:r>
      <w:r w:rsidR="00976849">
        <w:rPr>
          <w:rFonts w:ascii="New serif" w:hAnsi="New serif"/>
          <w:color w:val="26282A"/>
          <w:sz w:val="20"/>
          <w:szCs w:val="20"/>
          <w:shd w:val="clear" w:color="auto" w:fill="FFFFFF"/>
          <w:lang w:val="en-US"/>
        </w:rPr>
        <w:t>and Levine tests assess the null of equality of mean</w:t>
      </w:r>
      <w:r w:rsidR="000B58C0">
        <w:rPr>
          <w:rFonts w:ascii="New serif" w:hAnsi="New serif"/>
          <w:color w:val="26282A"/>
          <w:sz w:val="20"/>
          <w:szCs w:val="20"/>
          <w:shd w:val="clear" w:color="auto" w:fill="FFFFFF"/>
          <w:lang w:val="en-US"/>
        </w:rPr>
        <w:t>s</w:t>
      </w:r>
      <w:r w:rsidR="00976849">
        <w:rPr>
          <w:rFonts w:ascii="New serif" w:hAnsi="New serif"/>
          <w:color w:val="26282A"/>
          <w:sz w:val="20"/>
          <w:szCs w:val="20"/>
          <w:shd w:val="clear" w:color="auto" w:fill="FFFFFF"/>
          <w:lang w:val="en-US"/>
        </w:rPr>
        <w:t>, and equality of variance</w:t>
      </w:r>
      <w:r w:rsidR="000B58C0">
        <w:rPr>
          <w:rFonts w:ascii="New serif" w:hAnsi="New serif"/>
          <w:color w:val="26282A"/>
          <w:sz w:val="20"/>
          <w:szCs w:val="20"/>
          <w:shd w:val="clear" w:color="auto" w:fill="FFFFFF"/>
          <w:lang w:val="en-US"/>
        </w:rPr>
        <w:t>s</w:t>
      </w:r>
      <w:r w:rsidR="00976849">
        <w:rPr>
          <w:rFonts w:ascii="New serif" w:hAnsi="New serif"/>
          <w:color w:val="26282A"/>
          <w:sz w:val="20"/>
          <w:szCs w:val="20"/>
          <w:shd w:val="clear" w:color="auto" w:fill="FFFFFF"/>
          <w:lang w:val="en-US"/>
        </w:rPr>
        <w:t>. For such tests the figures reported are the differences between means, and between variances. </w:t>
      </w:r>
      <w:r w:rsidR="00976849">
        <w:rPr>
          <w:rFonts w:ascii="New serif" w:hAnsi="New serif"/>
          <w:i/>
          <w:iCs/>
          <w:color w:val="26282A"/>
          <w:sz w:val="20"/>
          <w:szCs w:val="20"/>
          <w:shd w:val="clear" w:color="auto" w:fill="FFFFFF"/>
          <w:lang w:val="en-US"/>
        </w:rPr>
        <w:t>k</w:t>
      </w:r>
      <w:r w:rsidR="00976849">
        <w:rPr>
          <w:rFonts w:ascii="New serif" w:hAnsi="New serif"/>
          <w:color w:val="26282A"/>
          <w:sz w:val="20"/>
          <w:szCs w:val="20"/>
          <w:shd w:val="clear" w:color="auto" w:fill="FFFFFF"/>
          <w:lang w:val="en-US"/>
        </w:rPr>
        <w:t>-sample and Kolmogorov-Smirnov tests assess the null of equality of median</w:t>
      </w:r>
      <w:r w:rsidR="000B58C0">
        <w:rPr>
          <w:rFonts w:ascii="New serif" w:hAnsi="New serif"/>
          <w:color w:val="26282A"/>
          <w:sz w:val="20"/>
          <w:szCs w:val="20"/>
          <w:shd w:val="clear" w:color="auto" w:fill="FFFFFF"/>
          <w:lang w:val="en-US"/>
        </w:rPr>
        <w:t>s</w:t>
      </w:r>
      <w:r w:rsidR="00976849">
        <w:rPr>
          <w:rFonts w:ascii="New serif" w:hAnsi="New serif"/>
          <w:color w:val="26282A"/>
          <w:sz w:val="20"/>
          <w:szCs w:val="20"/>
          <w:shd w:val="clear" w:color="auto" w:fill="FFFFFF"/>
          <w:lang w:val="en-US"/>
        </w:rPr>
        <w:t>, and equality of distribution</w:t>
      </w:r>
      <w:r w:rsidR="000B58C0">
        <w:rPr>
          <w:rFonts w:ascii="New serif" w:hAnsi="New serif"/>
          <w:color w:val="26282A"/>
          <w:sz w:val="20"/>
          <w:szCs w:val="20"/>
          <w:shd w:val="clear" w:color="auto" w:fill="FFFFFF"/>
          <w:lang w:val="en-US"/>
        </w:rPr>
        <w:t>s</w:t>
      </w:r>
      <w:r w:rsidR="00976849">
        <w:rPr>
          <w:rFonts w:ascii="New serif" w:hAnsi="New serif"/>
          <w:color w:val="26282A"/>
          <w:sz w:val="20"/>
          <w:szCs w:val="20"/>
          <w:shd w:val="clear" w:color="auto" w:fill="FFFFFF"/>
          <w:lang w:val="en-US"/>
        </w:rPr>
        <w:t>.</w:t>
      </w:r>
    </w:p>
    <w:p w:rsidR="000B44CD" w:rsidRDefault="000B44CD" w:rsidP="00667604">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1D4EFC" w:rsidRPr="006853EA" w:rsidRDefault="001D4EFC" w:rsidP="00AF6503">
      <w:pPr>
        <w:spacing w:after="0" w:line="240" w:lineRule="auto"/>
        <w:ind w:right="282"/>
        <w:rPr>
          <w:rFonts w:ascii="Times New Roman" w:hAnsi="Times New Roman" w:cs="Times New Roman"/>
          <w:sz w:val="20"/>
          <w:szCs w:val="20"/>
        </w:rPr>
      </w:pPr>
    </w:p>
    <w:p w:rsidR="00E129E9" w:rsidRDefault="001D4EFC" w:rsidP="00667604">
      <w:pPr>
        <w:pStyle w:val="Caption"/>
        <w:keepNext/>
        <w:spacing w:after="0" w:line="360" w:lineRule="auto"/>
        <w:rPr>
          <w:rFonts w:ascii="Times New Roman" w:hAnsi="Times New Roman" w:cs="Times New Roman"/>
          <w:color w:val="auto"/>
          <w:sz w:val="24"/>
          <w:szCs w:val="24"/>
        </w:rPr>
      </w:pPr>
      <w:bookmarkStart w:id="8" w:name="_Ref479765254"/>
      <w:r w:rsidRPr="0078789C">
        <w:rPr>
          <w:rFonts w:ascii="Times New Roman" w:hAnsi="Times New Roman" w:cs="Times New Roman"/>
          <w:color w:val="auto"/>
          <w:sz w:val="24"/>
          <w:szCs w:val="24"/>
        </w:rPr>
        <w:t xml:space="preserve">Table </w:t>
      </w:r>
      <w:r w:rsidR="007E3809" w:rsidRPr="0078789C">
        <w:rPr>
          <w:rFonts w:ascii="Times New Roman" w:hAnsi="Times New Roman" w:cs="Times New Roman"/>
          <w:color w:val="auto"/>
          <w:sz w:val="24"/>
          <w:szCs w:val="24"/>
        </w:rPr>
        <w:fldChar w:fldCharType="begin"/>
      </w:r>
      <w:r w:rsidRPr="0078789C">
        <w:rPr>
          <w:rFonts w:ascii="Times New Roman" w:hAnsi="Times New Roman" w:cs="Times New Roman"/>
          <w:color w:val="auto"/>
          <w:sz w:val="24"/>
          <w:szCs w:val="24"/>
        </w:rPr>
        <w:instrText xml:space="preserve"> SEQ Table \* ARABIC </w:instrText>
      </w:r>
      <w:r w:rsidR="007E3809" w:rsidRPr="0078789C">
        <w:rPr>
          <w:rFonts w:ascii="Times New Roman" w:hAnsi="Times New Roman" w:cs="Times New Roman"/>
          <w:color w:val="auto"/>
          <w:sz w:val="24"/>
          <w:szCs w:val="24"/>
        </w:rPr>
        <w:fldChar w:fldCharType="separate"/>
      </w:r>
      <w:r w:rsidR="00325A37">
        <w:rPr>
          <w:rFonts w:ascii="Times New Roman" w:hAnsi="Times New Roman" w:cs="Times New Roman"/>
          <w:noProof/>
          <w:color w:val="auto"/>
          <w:sz w:val="24"/>
          <w:szCs w:val="24"/>
        </w:rPr>
        <w:t>3</w:t>
      </w:r>
      <w:r w:rsidR="007E3809" w:rsidRPr="0078789C">
        <w:rPr>
          <w:rFonts w:ascii="Times New Roman" w:hAnsi="Times New Roman" w:cs="Times New Roman"/>
          <w:color w:val="auto"/>
          <w:sz w:val="24"/>
          <w:szCs w:val="24"/>
        </w:rPr>
        <w:fldChar w:fldCharType="end"/>
      </w:r>
      <w:bookmarkEnd w:id="8"/>
    </w:p>
    <w:p w:rsidR="001D4EFC" w:rsidRPr="0097300A" w:rsidRDefault="001D4EFC" w:rsidP="00CA7851">
      <w:pPr>
        <w:pStyle w:val="Caption"/>
        <w:keepNext/>
        <w:spacing w:after="0"/>
        <w:rPr>
          <w:rFonts w:ascii="Times New Roman" w:hAnsi="Times New Roman" w:cs="Times New Roman"/>
          <w:b w:val="0"/>
          <w:color w:val="auto"/>
          <w:sz w:val="24"/>
          <w:szCs w:val="24"/>
        </w:rPr>
      </w:pPr>
      <w:r w:rsidRPr="0097300A">
        <w:rPr>
          <w:rFonts w:ascii="Times New Roman" w:hAnsi="Times New Roman" w:cs="Times New Roman"/>
          <w:b w:val="0"/>
          <w:color w:val="auto"/>
          <w:sz w:val="24"/>
          <w:szCs w:val="24"/>
        </w:rPr>
        <w:t>Co</w:t>
      </w:r>
      <w:r w:rsidR="00422FA9" w:rsidRPr="0097300A">
        <w:rPr>
          <w:rFonts w:ascii="Times New Roman" w:hAnsi="Times New Roman" w:cs="Times New Roman"/>
          <w:b w:val="0"/>
          <w:color w:val="auto"/>
          <w:sz w:val="24"/>
          <w:szCs w:val="24"/>
        </w:rPr>
        <w:t>-</w:t>
      </w:r>
      <w:r w:rsidRPr="0097300A">
        <w:rPr>
          <w:rFonts w:ascii="Times New Roman" w:hAnsi="Times New Roman" w:cs="Times New Roman"/>
          <w:b w:val="0"/>
          <w:color w:val="auto"/>
          <w:sz w:val="24"/>
          <w:szCs w:val="24"/>
        </w:rPr>
        <w:t>integration tests between</w:t>
      </w:r>
      <w:r w:rsidR="001A0F07" w:rsidRPr="0097300A">
        <w:rPr>
          <w:rFonts w:ascii="Times New Roman" w:hAnsi="Times New Roman" w:cs="Times New Roman"/>
          <w:b w:val="0"/>
          <w:color w:val="auto"/>
          <w:sz w:val="24"/>
          <w:szCs w:val="24"/>
        </w:rPr>
        <w:t xml:space="preserve"> the</w:t>
      </w:r>
      <w:r w:rsidRPr="0097300A">
        <w:rPr>
          <w:rFonts w:ascii="Times New Roman" w:hAnsi="Times New Roman" w:cs="Times New Roman"/>
          <w:b w:val="0"/>
          <w:color w:val="auto"/>
          <w:sz w:val="24"/>
          <w:szCs w:val="24"/>
        </w:rPr>
        <w:t xml:space="preserve"> UK and US </w:t>
      </w:r>
      <w:r w:rsidR="00E129E9" w:rsidRPr="0097300A">
        <w:rPr>
          <w:rFonts w:ascii="Times New Roman" w:hAnsi="Times New Roman" w:cs="Times New Roman"/>
          <w:b w:val="0"/>
          <w:color w:val="auto"/>
          <w:sz w:val="24"/>
          <w:szCs w:val="24"/>
        </w:rPr>
        <w:t>s</w:t>
      </w:r>
      <w:r w:rsidRPr="0097300A">
        <w:rPr>
          <w:rFonts w:ascii="Times New Roman" w:hAnsi="Times New Roman" w:cs="Times New Roman"/>
          <w:b w:val="0"/>
          <w:color w:val="auto"/>
          <w:sz w:val="24"/>
          <w:szCs w:val="24"/>
        </w:rPr>
        <w:t xml:space="preserve">tock </w:t>
      </w:r>
      <w:r w:rsidR="00E129E9" w:rsidRPr="0097300A">
        <w:rPr>
          <w:rFonts w:ascii="Times New Roman" w:hAnsi="Times New Roman" w:cs="Times New Roman"/>
          <w:b w:val="0"/>
          <w:color w:val="auto"/>
          <w:sz w:val="24"/>
          <w:szCs w:val="24"/>
        </w:rPr>
        <w:t>i</w:t>
      </w:r>
      <w:r w:rsidR="00DE6E6E" w:rsidRPr="0097300A">
        <w:rPr>
          <w:rFonts w:ascii="Times New Roman" w:hAnsi="Times New Roman" w:cs="Times New Roman"/>
          <w:b w:val="0"/>
          <w:color w:val="auto"/>
          <w:sz w:val="24"/>
          <w:szCs w:val="24"/>
        </w:rPr>
        <w:t>ndice</w:t>
      </w:r>
      <w:r w:rsidRPr="0097300A">
        <w:rPr>
          <w:rFonts w:ascii="Times New Roman" w:hAnsi="Times New Roman" w:cs="Times New Roman"/>
          <w:b w:val="0"/>
          <w:color w:val="auto"/>
          <w:sz w:val="24"/>
          <w:szCs w:val="24"/>
        </w:rPr>
        <w:t>s</w:t>
      </w:r>
      <w:r w:rsidR="00DE6E6E" w:rsidRPr="0097300A">
        <w:rPr>
          <w:rFonts w:ascii="Times New Roman" w:hAnsi="Times New Roman" w:cs="Times New Roman"/>
          <w:b w:val="0"/>
          <w:color w:val="auto"/>
          <w:sz w:val="24"/>
          <w:szCs w:val="24"/>
        </w:rPr>
        <w:t xml:space="preserve"> and </w:t>
      </w:r>
      <w:r w:rsidR="00E129E9" w:rsidRPr="0097300A">
        <w:rPr>
          <w:rFonts w:ascii="Times New Roman" w:hAnsi="Times New Roman" w:cs="Times New Roman"/>
          <w:b w:val="0"/>
          <w:color w:val="auto"/>
          <w:sz w:val="24"/>
          <w:szCs w:val="24"/>
        </w:rPr>
        <w:t>r</w:t>
      </w:r>
      <w:r w:rsidR="00DE6E6E" w:rsidRPr="0097300A">
        <w:rPr>
          <w:rFonts w:ascii="Times New Roman" w:hAnsi="Times New Roman" w:cs="Times New Roman"/>
          <w:b w:val="0"/>
          <w:color w:val="auto"/>
          <w:sz w:val="24"/>
          <w:szCs w:val="24"/>
        </w:rPr>
        <w:t xml:space="preserve">elated </w:t>
      </w:r>
      <w:r w:rsidR="00E129E9" w:rsidRPr="0097300A">
        <w:rPr>
          <w:rFonts w:ascii="Times New Roman" w:hAnsi="Times New Roman" w:cs="Times New Roman"/>
          <w:b w:val="0"/>
          <w:color w:val="auto"/>
          <w:sz w:val="24"/>
          <w:szCs w:val="24"/>
        </w:rPr>
        <w:t>s</w:t>
      </w:r>
      <w:r w:rsidR="00DE6E6E" w:rsidRPr="0097300A">
        <w:rPr>
          <w:rFonts w:ascii="Times New Roman" w:hAnsi="Times New Roman" w:cs="Times New Roman"/>
          <w:b w:val="0"/>
          <w:color w:val="auto"/>
          <w:sz w:val="24"/>
          <w:szCs w:val="24"/>
        </w:rPr>
        <w:t xml:space="preserve">peed of </w:t>
      </w:r>
      <w:r w:rsidR="00E129E9" w:rsidRPr="0097300A">
        <w:rPr>
          <w:rFonts w:ascii="Times New Roman" w:hAnsi="Times New Roman" w:cs="Times New Roman"/>
          <w:b w:val="0"/>
          <w:color w:val="auto"/>
          <w:sz w:val="24"/>
          <w:szCs w:val="24"/>
        </w:rPr>
        <w:t>a</w:t>
      </w:r>
      <w:r w:rsidR="00DE6E6E" w:rsidRPr="0097300A">
        <w:rPr>
          <w:rFonts w:ascii="Times New Roman" w:hAnsi="Times New Roman" w:cs="Times New Roman"/>
          <w:b w:val="0"/>
          <w:color w:val="auto"/>
          <w:sz w:val="24"/>
          <w:szCs w:val="24"/>
        </w:rPr>
        <w:t xml:space="preserve">djustments to </w:t>
      </w:r>
      <w:r w:rsidR="00E129E9" w:rsidRPr="0097300A">
        <w:rPr>
          <w:rFonts w:ascii="Times New Roman" w:hAnsi="Times New Roman" w:cs="Times New Roman"/>
          <w:b w:val="0"/>
          <w:color w:val="auto"/>
          <w:sz w:val="24"/>
          <w:szCs w:val="24"/>
        </w:rPr>
        <w:t>l</w:t>
      </w:r>
      <w:r w:rsidR="00DE6E6E" w:rsidRPr="0097300A">
        <w:rPr>
          <w:rFonts w:ascii="Times New Roman" w:hAnsi="Times New Roman" w:cs="Times New Roman"/>
          <w:b w:val="0"/>
          <w:color w:val="auto"/>
          <w:sz w:val="24"/>
          <w:szCs w:val="24"/>
        </w:rPr>
        <w:t>ong-</w:t>
      </w:r>
      <w:r w:rsidR="00E129E9" w:rsidRPr="0097300A">
        <w:rPr>
          <w:rFonts w:ascii="Times New Roman" w:hAnsi="Times New Roman" w:cs="Times New Roman"/>
          <w:b w:val="0"/>
          <w:color w:val="auto"/>
          <w:sz w:val="24"/>
          <w:szCs w:val="24"/>
        </w:rPr>
        <w:t>r</w:t>
      </w:r>
      <w:r w:rsidR="00DE6E6E" w:rsidRPr="0097300A">
        <w:rPr>
          <w:rFonts w:ascii="Times New Roman" w:hAnsi="Times New Roman" w:cs="Times New Roman"/>
          <w:b w:val="0"/>
          <w:color w:val="auto"/>
          <w:sz w:val="24"/>
          <w:szCs w:val="24"/>
        </w:rPr>
        <w:t xml:space="preserve">un </w:t>
      </w:r>
      <w:r w:rsidR="00E129E9" w:rsidRPr="0097300A">
        <w:rPr>
          <w:rFonts w:ascii="Times New Roman" w:hAnsi="Times New Roman" w:cs="Times New Roman"/>
          <w:b w:val="0"/>
          <w:color w:val="auto"/>
          <w:sz w:val="24"/>
          <w:szCs w:val="24"/>
        </w:rPr>
        <w:t>e</w:t>
      </w:r>
      <w:r w:rsidR="00DE6E6E" w:rsidRPr="0097300A">
        <w:rPr>
          <w:rFonts w:ascii="Times New Roman" w:hAnsi="Times New Roman" w:cs="Times New Roman"/>
          <w:b w:val="0"/>
          <w:color w:val="auto"/>
          <w:sz w:val="24"/>
          <w:szCs w:val="24"/>
        </w:rPr>
        <w:t>quilibrium</w:t>
      </w:r>
      <w:r w:rsidR="0097300A" w:rsidRPr="0097300A">
        <w:rPr>
          <w:rFonts w:ascii="Times New Roman" w:hAnsi="Times New Roman" w:cs="Times New Roman"/>
          <w:b w:val="0"/>
          <w:color w:val="auto"/>
          <w:sz w:val="24"/>
          <w:szCs w:val="24"/>
        </w:rPr>
        <w:t xml:space="preserve"> </w:t>
      </w:r>
      <w:r w:rsidR="0046096F" w:rsidRPr="0097300A">
        <w:rPr>
          <w:rFonts w:ascii="Times New Roman" w:hAnsi="Times New Roman" w:cs="Times New Roman"/>
          <w:b w:val="0"/>
          <w:color w:val="auto"/>
          <w:sz w:val="24"/>
          <w:szCs w:val="24"/>
        </w:rPr>
        <w:t xml:space="preserve">for the full sample (1935-2015), and </w:t>
      </w:r>
      <w:r w:rsidR="00A9376A" w:rsidRPr="0097300A">
        <w:rPr>
          <w:rFonts w:ascii="Times New Roman" w:hAnsi="Times New Roman" w:cs="Times New Roman"/>
          <w:b w:val="0"/>
          <w:color w:val="auto"/>
          <w:sz w:val="24"/>
          <w:szCs w:val="24"/>
        </w:rPr>
        <w:t>the subperiods</w:t>
      </w:r>
      <w:r w:rsidR="00CA7851">
        <w:rPr>
          <w:rFonts w:ascii="Times New Roman" w:hAnsi="Times New Roman" w:cs="Times New Roman"/>
          <w:b w:val="0"/>
          <w:color w:val="auto"/>
          <w:sz w:val="24"/>
          <w:szCs w:val="24"/>
        </w:rPr>
        <w:t xml:space="preserve"> </w:t>
      </w:r>
      <w:r w:rsidR="00A9376A" w:rsidRPr="0097300A">
        <w:rPr>
          <w:rFonts w:ascii="Times New Roman" w:hAnsi="Times New Roman" w:cs="Times New Roman"/>
          <w:b w:val="0"/>
          <w:color w:val="auto"/>
          <w:sz w:val="24"/>
          <w:szCs w:val="24"/>
        </w:rPr>
        <w:t>1935-1945 (pre-BW), 1945-1971 (BW), and 1971-2015 (post-BW)</w:t>
      </w:r>
      <w:r w:rsidR="005B2B9A" w:rsidRPr="0097300A">
        <w:rPr>
          <w:rFonts w:ascii="Times New Roman" w:hAnsi="Times New Roman" w:cs="Times New Roman"/>
          <w:b w:val="0"/>
          <w:color w:val="auto"/>
          <w:sz w:val="24"/>
          <w:szCs w:val="24"/>
        </w:rPr>
        <w:t>.</w:t>
      </w:r>
    </w:p>
    <w:tbl>
      <w:tblPr>
        <w:tblStyle w:val="LightShading1"/>
        <w:tblW w:w="13619" w:type="dxa"/>
        <w:tblLayout w:type="fixed"/>
        <w:tblLook w:val="04A0" w:firstRow="1" w:lastRow="0" w:firstColumn="1" w:lastColumn="0" w:noHBand="0" w:noVBand="1"/>
      </w:tblPr>
      <w:tblGrid>
        <w:gridCol w:w="2421"/>
        <w:gridCol w:w="1559"/>
        <w:gridCol w:w="2127"/>
        <w:gridCol w:w="1701"/>
        <w:gridCol w:w="1701"/>
        <w:gridCol w:w="1559"/>
        <w:gridCol w:w="1267"/>
        <w:gridCol w:w="9"/>
        <w:gridCol w:w="1275"/>
      </w:tblGrid>
      <w:tr w:rsidR="00DE6E6E" w:rsidRPr="00E129E9" w:rsidTr="00DD1513">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21" w:type="dxa"/>
            <w:vMerge w:val="restart"/>
            <w:shd w:val="clear" w:color="auto" w:fill="auto"/>
          </w:tcPr>
          <w:p w:rsidR="00DE6E6E" w:rsidRPr="00AF6503" w:rsidRDefault="00DE6E6E" w:rsidP="00AF6503">
            <w:pPr>
              <w:spacing w:after="0" w:line="240" w:lineRule="auto"/>
              <w:rPr>
                <w:rFonts w:ascii="Times New Roman" w:hAnsi="Times New Roman" w:cs="Times New Roman"/>
              </w:rPr>
            </w:pPr>
            <w:r w:rsidRPr="00AF6503">
              <w:rPr>
                <w:rFonts w:ascii="Times New Roman" w:hAnsi="Times New Roman" w:cs="Times New Roman"/>
              </w:rPr>
              <w:t>Co</w:t>
            </w:r>
            <w:r w:rsidR="00422FA9">
              <w:rPr>
                <w:rFonts w:ascii="Times New Roman" w:hAnsi="Times New Roman" w:cs="Times New Roman"/>
              </w:rPr>
              <w:t>-</w:t>
            </w:r>
            <w:r w:rsidRPr="00AF6503">
              <w:rPr>
                <w:rFonts w:ascii="Times New Roman" w:hAnsi="Times New Roman" w:cs="Times New Roman"/>
              </w:rPr>
              <w:t>integration tests</w:t>
            </w:r>
          </w:p>
        </w:tc>
        <w:tc>
          <w:tcPr>
            <w:tcW w:w="1559" w:type="dxa"/>
            <w:vMerge w:val="restart"/>
            <w:shd w:val="clear" w:color="auto" w:fill="auto"/>
          </w:tcPr>
          <w:p w:rsidR="00DE6E6E" w:rsidRPr="00AF6503" w:rsidRDefault="00DE6E6E"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 xml:space="preserve">Engle-Granger </w:t>
            </w:r>
          </w:p>
        </w:tc>
        <w:tc>
          <w:tcPr>
            <w:tcW w:w="2127" w:type="dxa"/>
            <w:vMerge w:val="restart"/>
            <w:shd w:val="clear" w:color="auto" w:fill="auto"/>
          </w:tcPr>
          <w:p w:rsidR="00DE6E6E" w:rsidRPr="00AF6503" w:rsidRDefault="00DE6E6E"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AF6503">
              <w:rPr>
                <w:rFonts w:ascii="Times New Roman" w:hAnsi="Times New Roman" w:cs="Times New Roman"/>
              </w:rPr>
              <w:t xml:space="preserve">Fully </w:t>
            </w:r>
            <w:r w:rsidR="004B7812">
              <w:rPr>
                <w:rFonts w:ascii="Times New Roman" w:hAnsi="Times New Roman" w:cs="Times New Roman"/>
              </w:rPr>
              <w:t>m</w:t>
            </w:r>
            <w:r w:rsidRPr="00AF6503">
              <w:rPr>
                <w:rFonts w:ascii="Times New Roman" w:hAnsi="Times New Roman" w:cs="Times New Roman"/>
              </w:rPr>
              <w:t>odified OLS</w:t>
            </w:r>
          </w:p>
        </w:tc>
        <w:tc>
          <w:tcPr>
            <w:tcW w:w="1701" w:type="dxa"/>
            <w:vMerge w:val="restart"/>
            <w:shd w:val="clear" w:color="auto" w:fill="auto"/>
          </w:tcPr>
          <w:p w:rsidR="00DE6E6E" w:rsidRPr="00AF6503" w:rsidRDefault="00DE6E6E"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Canonical OLS</w:t>
            </w:r>
          </w:p>
        </w:tc>
        <w:tc>
          <w:tcPr>
            <w:tcW w:w="1701" w:type="dxa"/>
            <w:vMerge w:val="restart"/>
            <w:shd w:val="clear" w:color="auto" w:fill="auto"/>
          </w:tcPr>
          <w:p w:rsidR="00DE6E6E" w:rsidRPr="00AF6503" w:rsidRDefault="00DE6E6E"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 xml:space="preserve">Johansen </w:t>
            </w:r>
          </w:p>
          <w:p w:rsidR="00DE6E6E" w:rsidRPr="00AF6503" w:rsidRDefault="0022506A"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m:oMath>
              <m:sSub>
                <m:sSubPr>
                  <m:ctrlPr>
                    <w:rPr>
                      <w:rFonts w:ascii="Cambria Math" w:hAnsi="Cambria Math" w:cs="Times New Roman"/>
                    </w:rPr>
                  </m:ctrlPr>
                </m:sSubPr>
                <m:e>
                  <m:r>
                    <m:rPr>
                      <m:sty m:val="bi"/>
                    </m:rPr>
                    <w:rPr>
                      <w:rFonts w:ascii="Cambria Math" w:hAnsi="Cambria Math" w:cs="Times New Roman"/>
                    </w:rPr>
                    <m:t>λ</m:t>
                  </m:r>
                </m:e>
                <m:sub>
                  <m:r>
                    <m:rPr>
                      <m:sty m:val="bi"/>
                    </m:rPr>
                    <w:rPr>
                      <w:rFonts w:ascii="Cambria Math" w:hAnsi="Cambria Math" w:cs="Times New Roman"/>
                    </w:rPr>
                    <m:t>TR</m:t>
                  </m:r>
                </m:sub>
              </m:sSub>
            </m:oMath>
            <w:r w:rsidR="00DE6E6E" w:rsidRPr="00AF6503">
              <w:rPr>
                <w:rFonts w:ascii="Times New Roman" w:eastAsiaTheme="minorEastAsia" w:hAnsi="Times New Roman" w:cs="Times New Roman"/>
              </w:rPr>
              <w:t>/</w:t>
            </w:r>
            <m:oMath>
              <m:sSub>
                <m:sSubPr>
                  <m:ctrlPr>
                    <w:rPr>
                      <w:rFonts w:ascii="Cambria Math" w:hAnsi="Cambria Math" w:cs="Times New Roman"/>
                    </w:rPr>
                  </m:ctrlPr>
                </m:sSubPr>
                <m:e>
                  <m:r>
                    <m:rPr>
                      <m:sty m:val="bi"/>
                    </m:rPr>
                    <w:rPr>
                      <w:rFonts w:ascii="Cambria Math" w:hAnsi="Cambria Math" w:cs="Times New Roman"/>
                    </w:rPr>
                    <m:t>λ</m:t>
                  </m:r>
                </m:e>
                <m:sub>
                  <m:r>
                    <m:rPr>
                      <m:sty m:val="bi"/>
                    </m:rPr>
                    <w:rPr>
                      <w:rFonts w:ascii="Cambria Math" w:hAnsi="Cambria Math" w:cs="Times New Roman"/>
                    </w:rPr>
                    <m:t>MAX</m:t>
                  </m:r>
                </m:sub>
              </m:sSub>
            </m:oMath>
          </w:p>
        </w:tc>
        <w:tc>
          <w:tcPr>
            <w:tcW w:w="1559" w:type="dxa"/>
            <w:vMerge w:val="restart"/>
            <w:shd w:val="clear" w:color="auto" w:fill="auto"/>
          </w:tcPr>
          <w:p w:rsidR="00DE6E6E" w:rsidRPr="00AF6503" w:rsidRDefault="00DE6E6E"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Gregory-Hansen Test</w:t>
            </w:r>
          </w:p>
        </w:tc>
        <w:tc>
          <w:tcPr>
            <w:tcW w:w="2551" w:type="dxa"/>
            <w:gridSpan w:val="3"/>
            <w:shd w:val="clear" w:color="auto" w:fill="auto"/>
          </w:tcPr>
          <w:p w:rsidR="00DE6E6E" w:rsidRPr="00AF6503" w:rsidRDefault="00F56AE4" w:rsidP="00AF6503">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F6503">
              <w:rPr>
                <w:rFonts w:ascii="Times New Roman" w:hAnsi="Times New Roman" w:cs="Times New Roman"/>
              </w:rPr>
              <w:t xml:space="preserve">Speed of </w:t>
            </w:r>
            <w:r w:rsidR="004B7812">
              <w:rPr>
                <w:rFonts w:ascii="Times New Roman" w:hAnsi="Times New Roman" w:cs="Times New Roman"/>
              </w:rPr>
              <w:t>a</w:t>
            </w:r>
            <w:r w:rsidR="00DE6E6E" w:rsidRPr="00AF6503">
              <w:rPr>
                <w:rFonts w:ascii="Times New Roman" w:hAnsi="Times New Roman" w:cs="Times New Roman"/>
              </w:rPr>
              <w:t>djustments</w:t>
            </w:r>
          </w:p>
        </w:tc>
      </w:tr>
      <w:tr w:rsidR="00DE6E6E" w:rsidRPr="00E129E9" w:rsidTr="00DD151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421" w:type="dxa"/>
            <w:vMerge/>
            <w:shd w:val="clear" w:color="auto" w:fill="auto"/>
          </w:tcPr>
          <w:p w:rsidR="00DE6E6E" w:rsidRPr="00AF6503" w:rsidRDefault="00DE6E6E" w:rsidP="00AF6503">
            <w:pPr>
              <w:spacing w:after="0" w:line="240" w:lineRule="auto"/>
              <w:rPr>
                <w:rFonts w:ascii="Times New Roman" w:hAnsi="Times New Roman" w:cs="Times New Roman"/>
              </w:rPr>
            </w:pPr>
          </w:p>
        </w:tc>
        <w:tc>
          <w:tcPr>
            <w:tcW w:w="1559" w:type="dxa"/>
            <w:vMerge/>
            <w:shd w:val="clear" w:color="auto" w:fill="auto"/>
          </w:tcPr>
          <w:p w:rsidR="00DE6E6E" w:rsidRPr="00E129E9" w:rsidRDefault="00DE6E6E"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27" w:type="dxa"/>
            <w:vMerge/>
            <w:shd w:val="clear" w:color="auto" w:fill="auto"/>
          </w:tcPr>
          <w:p w:rsidR="00DE6E6E" w:rsidRPr="00E129E9" w:rsidRDefault="00DE6E6E"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vMerge/>
            <w:shd w:val="clear" w:color="auto" w:fill="auto"/>
          </w:tcPr>
          <w:p w:rsidR="00DE6E6E" w:rsidRPr="00E129E9" w:rsidRDefault="00DE6E6E"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vMerge/>
            <w:shd w:val="clear" w:color="auto" w:fill="auto"/>
          </w:tcPr>
          <w:p w:rsidR="00DE6E6E" w:rsidRPr="00E129E9" w:rsidRDefault="00DE6E6E"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9" w:type="dxa"/>
            <w:vMerge/>
            <w:shd w:val="clear" w:color="auto" w:fill="auto"/>
          </w:tcPr>
          <w:p w:rsidR="00DE6E6E" w:rsidRPr="00E129E9" w:rsidRDefault="00DE6E6E"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67" w:type="dxa"/>
            <w:shd w:val="clear" w:color="auto" w:fill="auto"/>
          </w:tcPr>
          <w:p w:rsidR="00826A0E" w:rsidRPr="00AF6503" w:rsidRDefault="0022506A"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UK</m:t>
                    </m:r>
                  </m:sub>
                </m:sSub>
              </m:oMath>
            </m:oMathPara>
          </w:p>
        </w:tc>
        <w:tc>
          <w:tcPr>
            <w:tcW w:w="1284" w:type="dxa"/>
            <w:gridSpan w:val="2"/>
            <w:shd w:val="clear" w:color="auto" w:fill="auto"/>
          </w:tcPr>
          <w:p w:rsidR="00826A0E" w:rsidRPr="00AF6503" w:rsidRDefault="0022506A"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m:oMathPara>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US</m:t>
                    </m:r>
                  </m:sub>
                </m:sSub>
              </m:oMath>
            </m:oMathPara>
          </w:p>
        </w:tc>
      </w:tr>
      <w:tr w:rsidR="006B4EBD" w:rsidRPr="001A0F07" w:rsidTr="00DD1513">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rsidR="006B4EBD" w:rsidRPr="001A0F07" w:rsidRDefault="006B4EBD" w:rsidP="00AF6503">
            <w:pPr>
              <w:spacing w:after="0" w:line="240" w:lineRule="auto"/>
              <w:rPr>
                <w:rFonts w:ascii="Times New Roman" w:eastAsia="Calibri" w:hAnsi="Times New Roman" w:cs="Times New Roman"/>
              </w:rPr>
            </w:pPr>
            <w:r w:rsidRPr="001A0F07">
              <w:rPr>
                <w:rFonts w:ascii="Times New Roman" w:eastAsia="Calibri" w:hAnsi="Times New Roman" w:cs="Times New Roman"/>
              </w:rPr>
              <w:t xml:space="preserve">Full </w:t>
            </w:r>
            <w:r w:rsidR="004B7812">
              <w:rPr>
                <w:rFonts w:ascii="Times New Roman" w:eastAsia="Calibri" w:hAnsi="Times New Roman" w:cs="Times New Roman"/>
              </w:rPr>
              <w:t>p</w:t>
            </w:r>
            <w:r w:rsidRPr="001A0F07">
              <w:rPr>
                <w:rFonts w:ascii="Times New Roman" w:eastAsia="Calibri" w:hAnsi="Times New Roman" w:cs="Times New Roman"/>
              </w:rPr>
              <w:t>eriod</w:t>
            </w:r>
          </w:p>
          <w:p w:rsidR="006B4EBD" w:rsidRPr="001A0F07" w:rsidRDefault="006B4EBD" w:rsidP="00AF6503">
            <w:pPr>
              <w:spacing w:after="0" w:line="240" w:lineRule="auto"/>
              <w:rPr>
                <w:rFonts w:ascii="Times New Roman" w:hAnsi="Times New Roman" w:cs="Times New Roman"/>
              </w:rPr>
            </w:pPr>
          </w:p>
        </w:tc>
        <w:tc>
          <w:tcPr>
            <w:tcW w:w="1559"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-2.011</w:t>
            </w:r>
          </w:p>
        </w:tc>
        <w:tc>
          <w:tcPr>
            <w:tcW w:w="2127"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0.635*</w:t>
            </w:r>
          </w:p>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(0.351)</w:t>
            </w:r>
          </w:p>
        </w:tc>
        <w:tc>
          <w:tcPr>
            <w:tcW w:w="1701" w:type="dxa"/>
            <w:shd w:val="clear" w:color="auto" w:fill="auto"/>
          </w:tcPr>
          <w:p w:rsidR="006B4EBD"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0.774***</w:t>
            </w:r>
          </w:p>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(0.085)</w:t>
            </w:r>
          </w:p>
        </w:tc>
        <w:tc>
          <w:tcPr>
            <w:tcW w:w="1701" w:type="dxa"/>
            <w:shd w:val="clear" w:color="auto" w:fill="auto"/>
          </w:tcPr>
          <w:p w:rsidR="006B4EBD" w:rsidRPr="001A0F07" w:rsidRDefault="006B4EBD"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6.772</w:t>
            </w:r>
            <w:r>
              <w:rPr>
                <w:rFonts w:ascii="Times New Roman" w:hAnsi="Times New Roman" w:cs="Times New Roman"/>
              </w:rPr>
              <w:t>/</w:t>
            </w:r>
            <w:r w:rsidRPr="001A0F07">
              <w:rPr>
                <w:rFonts w:ascii="Times New Roman" w:hAnsi="Times New Roman" w:cs="Times New Roman"/>
              </w:rPr>
              <w:t>6.638</w:t>
            </w:r>
          </w:p>
        </w:tc>
        <w:tc>
          <w:tcPr>
            <w:tcW w:w="1559"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-47.22</w:t>
            </w:r>
          </w:p>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gridSpan w:val="2"/>
            <w:shd w:val="clear" w:color="auto" w:fill="auto"/>
          </w:tcPr>
          <w:p w:rsidR="006B4EBD" w:rsidRPr="001A0F07" w:rsidRDefault="006B4EBD"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-0.224</w:t>
            </w:r>
            <w:r w:rsidRPr="001A0F07">
              <w:rPr>
                <w:rFonts w:ascii="Times New Roman" w:hAnsi="Times New Roman" w:cs="Times New Roman"/>
              </w:rPr>
              <w:t>***</w:t>
            </w:r>
          </w:p>
          <w:p w:rsidR="006B4EBD" w:rsidRPr="001A0F07" w:rsidRDefault="006B4EBD"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(0.007</w:t>
            </w:r>
            <w:r w:rsidRPr="001A0F07">
              <w:rPr>
                <w:rFonts w:ascii="Times New Roman" w:hAnsi="Times New Roman" w:cs="Times New Roman"/>
              </w:rPr>
              <w:t>)</w:t>
            </w:r>
          </w:p>
        </w:tc>
        <w:tc>
          <w:tcPr>
            <w:tcW w:w="1275" w:type="dxa"/>
            <w:shd w:val="clear" w:color="auto" w:fill="auto"/>
          </w:tcPr>
          <w:p w:rsidR="006B4EBD" w:rsidRPr="001A0F07" w:rsidRDefault="006B4EBD" w:rsidP="00505395">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w:t>
            </w:r>
            <w:r>
              <w:rPr>
                <w:rFonts w:ascii="Times New Roman" w:hAnsi="Times New Roman" w:cs="Times New Roman"/>
              </w:rPr>
              <w:t>.464</w:t>
            </w:r>
            <w:r w:rsidRPr="001A0F07">
              <w:rPr>
                <w:rFonts w:ascii="Times New Roman" w:hAnsi="Times New Roman" w:cs="Times New Roman"/>
              </w:rPr>
              <w:t>***</w:t>
            </w:r>
          </w:p>
          <w:p w:rsidR="006B4EBD" w:rsidRPr="001A0F07" w:rsidRDefault="006B4EBD"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(0.006</w:t>
            </w:r>
            <w:r w:rsidRPr="001A0F07">
              <w:rPr>
                <w:rFonts w:ascii="Times New Roman" w:hAnsi="Times New Roman" w:cs="Times New Roman"/>
              </w:rPr>
              <w:t>)</w:t>
            </w:r>
          </w:p>
        </w:tc>
      </w:tr>
      <w:tr w:rsidR="006B4EBD" w:rsidRPr="001A0F07" w:rsidTr="00DD1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rsidR="006B4EBD" w:rsidRPr="001A0F07" w:rsidRDefault="00631FF4" w:rsidP="00AF6503">
            <w:pPr>
              <w:spacing w:after="0" w:line="240" w:lineRule="auto"/>
              <w:rPr>
                <w:rFonts w:ascii="Times New Roman" w:eastAsia="Calibri" w:hAnsi="Times New Roman" w:cs="Times New Roman"/>
              </w:rPr>
            </w:pPr>
            <w:r>
              <w:rPr>
                <w:rFonts w:ascii="Times New Roman" w:eastAsia="Calibri" w:hAnsi="Times New Roman" w:cs="Times New Roman"/>
              </w:rPr>
              <w:t>Pre-BW</w:t>
            </w:r>
          </w:p>
          <w:p w:rsidR="006B4EBD" w:rsidRPr="001A0F07" w:rsidRDefault="006B4EBD" w:rsidP="00AF6503">
            <w:pPr>
              <w:spacing w:after="0" w:line="240" w:lineRule="auto"/>
              <w:rPr>
                <w:rFonts w:ascii="Times New Roman" w:hAnsi="Times New Roman" w:cs="Times New Roman"/>
              </w:rPr>
            </w:pPr>
          </w:p>
        </w:tc>
        <w:tc>
          <w:tcPr>
            <w:tcW w:w="1559"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-1.746</w:t>
            </w:r>
          </w:p>
        </w:tc>
        <w:tc>
          <w:tcPr>
            <w:tcW w:w="2127"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1.464***</w:t>
            </w:r>
          </w:p>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(0.443)</w:t>
            </w:r>
          </w:p>
        </w:tc>
        <w:tc>
          <w:tcPr>
            <w:tcW w:w="1701"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0.508**</w:t>
            </w:r>
          </w:p>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(0.235)</w:t>
            </w:r>
          </w:p>
        </w:tc>
        <w:tc>
          <w:tcPr>
            <w:tcW w:w="1701" w:type="dxa"/>
            <w:shd w:val="clear" w:color="auto" w:fill="auto"/>
          </w:tcPr>
          <w:p w:rsidR="006B4EBD" w:rsidRPr="001A0F07" w:rsidRDefault="006B4EBD" w:rsidP="006676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9.684</w:t>
            </w:r>
            <w:r>
              <w:rPr>
                <w:rFonts w:ascii="Times New Roman" w:hAnsi="Times New Roman" w:cs="Times New Roman"/>
              </w:rPr>
              <w:t>/</w:t>
            </w:r>
            <w:r w:rsidRPr="001A0F07">
              <w:rPr>
                <w:rFonts w:ascii="Times New Roman" w:hAnsi="Times New Roman" w:cs="Times New Roman"/>
              </w:rPr>
              <w:t>7.185</w:t>
            </w:r>
          </w:p>
        </w:tc>
        <w:tc>
          <w:tcPr>
            <w:tcW w:w="1559"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-32.81</w:t>
            </w:r>
          </w:p>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276" w:type="dxa"/>
            <w:gridSpan w:val="2"/>
            <w:shd w:val="clear" w:color="auto" w:fill="auto"/>
          </w:tcPr>
          <w:p w:rsidR="006B4EBD" w:rsidRPr="001A0F07" w:rsidRDefault="006B4EBD" w:rsidP="00667604">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-0.051</w:t>
            </w:r>
            <w:r w:rsidRPr="001A0F07">
              <w:rPr>
                <w:rFonts w:ascii="Times New Roman" w:eastAsia="Calibri" w:hAnsi="Times New Roman" w:cs="Times New Roman"/>
              </w:rPr>
              <w:t>***</w:t>
            </w:r>
          </w:p>
          <w:p w:rsidR="006B4EBD" w:rsidRPr="001A0F07" w:rsidRDefault="006B4EBD"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eastAsia="Calibri" w:hAnsi="Times New Roman" w:cs="Times New Roman"/>
              </w:rPr>
              <w:t>(0.009</w:t>
            </w:r>
            <w:r w:rsidRPr="001A0F07">
              <w:rPr>
                <w:rFonts w:ascii="Times New Roman" w:eastAsia="Calibri" w:hAnsi="Times New Roman" w:cs="Times New Roman"/>
              </w:rPr>
              <w:t>)</w:t>
            </w:r>
          </w:p>
        </w:tc>
        <w:tc>
          <w:tcPr>
            <w:tcW w:w="1275" w:type="dxa"/>
            <w:shd w:val="clear" w:color="auto" w:fill="auto"/>
          </w:tcPr>
          <w:p w:rsidR="006B4EBD" w:rsidRPr="001A0F07" w:rsidRDefault="006B4EBD" w:rsidP="00505395">
            <w:p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0.487</w:t>
            </w:r>
            <w:r w:rsidRPr="001A0F07">
              <w:rPr>
                <w:rFonts w:ascii="Times New Roman" w:hAnsi="Times New Roman" w:cs="Times New Roman"/>
              </w:rPr>
              <w:t>***</w:t>
            </w:r>
          </w:p>
          <w:p w:rsidR="006B4EBD" w:rsidRPr="001A0F07" w:rsidRDefault="006B4EBD"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(0.015</w:t>
            </w:r>
            <w:r w:rsidRPr="001A0F07">
              <w:rPr>
                <w:rFonts w:ascii="Times New Roman" w:hAnsi="Times New Roman" w:cs="Times New Roman"/>
              </w:rPr>
              <w:t>)</w:t>
            </w:r>
          </w:p>
        </w:tc>
      </w:tr>
      <w:tr w:rsidR="006B4EBD" w:rsidRPr="001A0F07" w:rsidTr="00DD1513">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rsidR="006B4EBD" w:rsidRPr="001A0F07" w:rsidRDefault="00631FF4" w:rsidP="00AF6503">
            <w:pPr>
              <w:spacing w:after="0" w:line="240" w:lineRule="auto"/>
              <w:rPr>
                <w:rFonts w:ascii="Times New Roman" w:hAnsi="Times New Roman" w:cs="Times New Roman"/>
              </w:rPr>
            </w:pPr>
            <w:r>
              <w:rPr>
                <w:rFonts w:ascii="Times New Roman" w:hAnsi="Times New Roman" w:cs="Times New Roman"/>
              </w:rPr>
              <w:t>BW</w:t>
            </w:r>
          </w:p>
          <w:p w:rsidR="006B4EBD" w:rsidRPr="001A0F07" w:rsidRDefault="006B4EBD" w:rsidP="00AF6503">
            <w:pPr>
              <w:spacing w:after="0" w:line="240" w:lineRule="auto"/>
              <w:rPr>
                <w:rFonts w:ascii="Times New Roman" w:hAnsi="Times New Roman" w:cs="Times New Roman"/>
              </w:rPr>
            </w:pPr>
          </w:p>
        </w:tc>
        <w:tc>
          <w:tcPr>
            <w:tcW w:w="1559"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-2.014</w:t>
            </w:r>
          </w:p>
        </w:tc>
        <w:tc>
          <w:tcPr>
            <w:tcW w:w="2127"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0.508**</w:t>
            </w:r>
          </w:p>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(0.235)</w:t>
            </w:r>
          </w:p>
        </w:tc>
        <w:tc>
          <w:tcPr>
            <w:tcW w:w="1701"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0.748***</w:t>
            </w:r>
          </w:p>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(0.075)</w:t>
            </w:r>
          </w:p>
        </w:tc>
        <w:tc>
          <w:tcPr>
            <w:tcW w:w="1701" w:type="dxa"/>
            <w:shd w:val="clear" w:color="auto" w:fill="auto"/>
          </w:tcPr>
          <w:p w:rsidR="006B4EBD" w:rsidRPr="001A0F07" w:rsidRDefault="006B4EBD"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12.86</w:t>
            </w:r>
            <w:r>
              <w:rPr>
                <w:rFonts w:ascii="Times New Roman" w:hAnsi="Times New Roman" w:cs="Times New Roman"/>
              </w:rPr>
              <w:t>/</w:t>
            </w:r>
            <w:r w:rsidRPr="001A0F07">
              <w:rPr>
                <w:rFonts w:ascii="Times New Roman" w:hAnsi="Times New Roman" w:cs="Times New Roman"/>
              </w:rPr>
              <w:t>10.83</w:t>
            </w:r>
          </w:p>
        </w:tc>
        <w:tc>
          <w:tcPr>
            <w:tcW w:w="1559" w:type="dxa"/>
            <w:shd w:val="clear" w:color="auto" w:fill="auto"/>
          </w:tcPr>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-36.70</w:t>
            </w:r>
          </w:p>
          <w:p w:rsidR="006B4EBD" w:rsidRPr="001A0F07" w:rsidRDefault="006B4EBD"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76" w:type="dxa"/>
            <w:gridSpan w:val="2"/>
            <w:shd w:val="clear" w:color="auto" w:fill="auto"/>
          </w:tcPr>
          <w:p w:rsidR="006B4EBD" w:rsidRPr="001A0F07" w:rsidRDefault="006B4EBD" w:rsidP="00667604">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w:t>
            </w:r>
            <w:r>
              <w:rPr>
                <w:rFonts w:ascii="Times New Roman" w:hAnsi="Times New Roman" w:cs="Times New Roman"/>
              </w:rPr>
              <w:t>.052</w:t>
            </w:r>
            <w:r w:rsidRPr="001A0F07">
              <w:rPr>
                <w:rFonts w:ascii="Times New Roman" w:hAnsi="Times New Roman" w:cs="Times New Roman"/>
              </w:rPr>
              <w:t>***</w:t>
            </w:r>
          </w:p>
          <w:p w:rsidR="006B4EBD" w:rsidRPr="001A0F07" w:rsidRDefault="006B4EBD"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(0.005</w:t>
            </w:r>
            <w:r w:rsidRPr="001A0F07">
              <w:rPr>
                <w:rFonts w:ascii="Times New Roman" w:hAnsi="Times New Roman" w:cs="Times New Roman"/>
              </w:rPr>
              <w:t>)</w:t>
            </w:r>
          </w:p>
        </w:tc>
        <w:tc>
          <w:tcPr>
            <w:tcW w:w="1275" w:type="dxa"/>
            <w:shd w:val="clear" w:color="auto" w:fill="auto"/>
          </w:tcPr>
          <w:p w:rsidR="006B4EBD" w:rsidRPr="001A0F07" w:rsidRDefault="006B4EBD" w:rsidP="00505395">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w:t>
            </w:r>
            <w:r>
              <w:rPr>
                <w:rFonts w:ascii="Times New Roman" w:hAnsi="Times New Roman" w:cs="Times New Roman"/>
              </w:rPr>
              <w:t>.218</w:t>
            </w:r>
            <w:r w:rsidRPr="001A0F07">
              <w:rPr>
                <w:rFonts w:ascii="Times New Roman" w:hAnsi="Times New Roman" w:cs="Times New Roman"/>
              </w:rPr>
              <w:t>***</w:t>
            </w:r>
          </w:p>
          <w:p w:rsidR="006B4EBD" w:rsidRPr="001A0F07" w:rsidRDefault="006B4EBD" w:rsidP="00505395">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(0.004</w:t>
            </w:r>
            <w:r w:rsidRPr="001A0F07">
              <w:rPr>
                <w:rFonts w:ascii="Times New Roman" w:hAnsi="Times New Roman" w:cs="Times New Roman"/>
              </w:rPr>
              <w:t>)</w:t>
            </w:r>
          </w:p>
        </w:tc>
      </w:tr>
      <w:tr w:rsidR="006B4EBD" w:rsidRPr="001A0F07" w:rsidTr="00DD1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1" w:type="dxa"/>
            <w:shd w:val="clear" w:color="auto" w:fill="auto"/>
          </w:tcPr>
          <w:p w:rsidR="006B4EBD" w:rsidRPr="001A0F07" w:rsidRDefault="006B4EBD" w:rsidP="00AF6503">
            <w:pPr>
              <w:spacing w:after="0" w:line="240" w:lineRule="auto"/>
              <w:rPr>
                <w:rFonts w:ascii="Times New Roman" w:hAnsi="Times New Roman" w:cs="Times New Roman"/>
              </w:rPr>
            </w:pPr>
            <w:r w:rsidRPr="001A0F07">
              <w:rPr>
                <w:rFonts w:ascii="Times New Roman" w:hAnsi="Times New Roman" w:cs="Times New Roman"/>
              </w:rPr>
              <w:t>Post-BW</w:t>
            </w:r>
          </w:p>
          <w:p w:rsidR="006B4EBD" w:rsidRPr="001A0F07" w:rsidRDefault="006B4EBD" w:rsidP="00AF6503">
            <w:pPr>
              <w:spacing w:after="0" w:line="240" w:lineRule="auto"/>
              <w:rPr>
                <w:rFonts w:ascii="Times New Roman" w:hAnsi="Times New Roman" w:cs="Times New Roman"/>
              </w:rPr>
            </w:pPr>
          </w:p>
        </w:tc>
        <w:tc>
          <w:tcPr>
            <w:tcW w:w="1559"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-4.057***</w:t>
            </w:r>
          </w:p>
        </w:tc>
        <w:tc>
          <w:tcPr>
            <w:tcW w:w="2127"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1.244***</w:t>
            </w:r>
          </w:p>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(0.475)</w:t>
            </w:r>
          </w:p>
        </w:tc>
        <w:tc>
          <w:tcPr>
            <w:tcW w:w="1701" w:type="dxa"/>
            <w:shd w:val="clear" w:color="auto" w:fill="auto"/>
          </w:tcPr>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0.601***</w:t>
            </w:r>
          </w:p>
          <w:p w:rsidR="006B4EBD" w:rsidRPr="001A0F07" w:rsidRDefault="006B4EBD"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hAnsi="Times New Roman" w:cs="Times New Roman"/>
              </w:rPr>
              <w:t>(0.142)</w:t>
            </w:r>
          </w:p>
        </w:tc>
        <w:tc>
          <w:tcPr>
            <w:tcW w:w="1701" w:type="dxa"/>
            <w:shd w:val="clear" w:color="auto" w:fill="auto"/>
          </w:tcPr>
          <w:p w:rsidR="006B4EBD" w:rsidRPr="001A0F07" w:rsidRDefault="006B4EBD" w:rsidP="006676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A0F07">
              <w:rPr>
                <w:rFonts w:ascii="Times New Roman" w:eastAsiaTheme="minorEastAsia" w:hAnsi="Times New Roman" w:cs="Times New Roman"/>
              </w:rPr>
              <w:t>6.731</w:t>
            </w:r>
            <w:r>
              <w:rPr>
                <w:rFonts w:ascii="Times New Roman" w:eastAsiaTheme="minorEastAsia" w:hAnsi="Times New Roman" w:cs="Times New Roman"/>
              </w:rPr>
              <w:t>/</w:t>
            </w:r>
            <w:r w:rsidRPr="001A0F07">
              <w:rPr>
                <w:rFonts w:ascii="Times New Roman" w:hAnsi="Times New Roman" w:cs="Times New Roman"/>
              </w:rPr>
              <w:t>5.731</w:t>
            </w:r>
          </w:p>
        </w:tc>
        <w:tc>
          <w:tcPr>
            <w:tcW w:w="1559" w:type="dxa"/>
            <w:shd w:val="clear" w:color="auto" w:fill="auto"/>
          </w:tcPr>
          <w:p w:rsidR="006B4EBD" w:rsidRPr="001A0F07" w:rsidRDefault="006B4EBD"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-46.54</w:t>
            </w:r>
          </w:p>
        </w:tc>
        <w:tc>
          <w:tcPr>
            <w:tcW w:w="1276" w:type="dxa"/>
            <w:gridSpan w:val="2"/>
            <w:shd w:val="clear" w:color="auto" w:fill="auto"/>
          </w:tcPr>
          <w:p w:rsidR="006B4EBD" w:rsidRDefault="006B4EBD"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-0.368***</w:t>
            </w:r>
          </w:p>
          <w:p w:rsidR="006B4EBD" w:rsidRPr="001A0F07" w:rsidRDefault="006B4EBD"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(0.012)</w:t>
            </w:r>
          </w:p>
        </w:tc>
        <w:tc>
          <w:tcPr>
            <w:tcW w:w="1275" w:type="dxa"/>
            <w:shd w:val="clear" w:color="auto" w:fill="auto"/>
          </w:tcPr>
          <w:p w:rsidR="006B4EBD" w:rsidRDefault="006B4E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0.496***</w:t>
            </w:r>
          </w:p>
          <w:p w:rsidR="006B4EBD" w:rsidRPr="001A0F07" w:rsidRDefault="006B4EB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(0.010)</w:t>
            </w:r>
          </w:p>
        </w:tc>
      </w:tr>
    </w:tbl>
    <w:p w:rsidR="007B15FD" w:rsidRDefault="007B15FD" w:rsidP="00AF6503">
      <w:pPr>
        <w:spacing w:after="0" w:line="240" w:lineRule="auto"/>
        <w:ind w:right="282"/>
        <w:rPr>
          <w:rFonts w:ascii="Times New Roman" w:hAnsi="Times New Roman" w:cs="Times New Roman"/>
          <w:sz w:val="20"/>
          <w:szCs w:val="20"/>
        </w:rPr>
      </w:pPr>
      <w:r w:rsidRPr="00AF6503">
        <w:rPr>
          <w:rFonts w:ascii="Times New Roman" w:hAnsi="Times New Roman" w:cs="Times New Roman"/>
          <w:sz w:val="20"/>
          <w:szCs w:val="20"/>
        </w:rPr>
        <w:t>Notes:</w:t>
      </w:r>
      <w:r w:rsidRPr="00291C49">
        <w:rPr>
          <w:rFonts w:ascii="Times New Roman" w:hAnsi="Times New Roman" w:cs="Times New Roman"/>
          <w:sz w:val="20"/>
          <w:szCs w:val="20"/>
        </w:rPr>
        <w:t xml:space="preserve"> *, **</w:t>
      </w:r>
      <w:r w:rsidR="004B7812">
        <w:rPr>
          <w:rFonts w:ascii="Times New Roman" w:hAnsi="Times New Roman" w:cs="Times New Roman"/>
          <w:sz w:val="20"/>
          <w:szCs w:val="20"/>
        </w:rPr>
        <w:t>,</w:t>
      </w:r>
      <w:r w:rsidRPr="00291C49">
        <w:rPr>
          <w:rFonts w:ascii="Times New Roman" w:hAnsi="Times New Roman" w:cs="Times New Roman"/>
          <w:sz w:val="20"/>
          <w:szCs w:val="20"/>
        </w:rPr>
        <w:t xml:space="preserve"> and *** denote significan</w:t>
      </w:r>
      <w:r w:rsidR="007D0730">
        <w:rPr>
          <w:rFonts w:ascii="Times New Roman" w:hAnsi="Times New Roman" w:cs="Times New Roman"/>
          <w:sz w:val="20"/>
          <w:szCs w:val="20"/>
        </w:rPr>
        <w:t>ce</w:t>
      </w:r>
      <w:r w:rsidR="0097300A">
        <w:rPr>
          <w:rFonts w:ascii="Times New Roman" w:hAnsi="Times New Roman" w:cs="Times New Roman"/>
          <w:sz w:val="20"/>
          <w:szCs w:val="20"/>
        </w:rPr>
        <w:t xml:space="preserve"> </w:t>
      </w:r>
      <w:r>
        <w:rPr>
          <w:rFonts w:ascii="Times New Roman" w:hAnsi="Times New Roman" w:cs="Times New Roman"/>
          <w:sz w:val="20"/>
          <w:szCs w:val="20"/>
        </w:rPr>
        <w:t>at 10%, 5%</w:t>
      </w:r>
      <w:r w:rsidR="004B7812">
        <w:rPr>
          <w:rFonts w:ascii="Times New Roman" w:hAnsi="Times New Roman" w:cs="Times New Roman"/>
          <w:sz w:val="20"/>
          <w:szCs w:val="20"/>
        </w:rPr>
        <w:t>,</w:t>
      </w:r>
      <w:r>
        <w:rPr>
          <w:rFonts w:ascii="Times New Roman" w:hAnsi="Times New Roman" w:cs="Times New Roman"/>
          <w:sz w:val="20"/>
          <w:szCs w:val="20"/>
        </w:rPr>
        <w:t xml:space="preserve"> and 1%</w:t>
      </w:r>
      <w:r w:rsidR="007D0730">
        <w:rPr>
          <w:rFonts w:ascii="Times New Roman" w:hAnsi="Times New Roman" w:cs="Times New Roman"/>
          <w:sz w:val="20"/>
          <w:szCs w:val="20"/>
        </w:rPr>
        <w:t xml:space="preserve"> levels</w:t>
      </w:r>
      <w:r w:rsidR="00BD635A">
        <w:rPr>
          <w:rFonts w:ascii="Times New Roman" w:hAnsi="Times New Roman" w:cs="Times New Roman"/>
          <w:sz w:val="20"/>
          <w:szCs w:val="20"/>
        </w:rPr>
        <w:t>,</w:t>
      </w:r>
      <w:r w:rsidR="007D0730">
        <w:rPr>
          <w:rFonts w:ascii="Times New Roman" w:hAnsi="Times New Roman" w:cs="Times New Roman"/>
          <w:sz w:val="20"/>
          <w:szCs w:val="20"/>
        </w:rPr>
        <w:t xml:space="preserve"> respectively</w:t>
      </w:r>
      <w:r>
        <w:rPr>
          <w:rFonts w:ascii="Times New Roman" w:hAnsi="Times New Roman" w:cs="Times New Roman"/>
          <w:sz w:val="20"/>
          <w:szCs w:val="20"/>
        </w:rPr>
        <w:t xml:space="preserve">. </w:t>
      </w:r>
      <w:r w:rsidR="00E34CCA">
        <w:rPr>
          <w:rFonts w:ascii="Times New Roman" w:hAnsi="Times New Roman" w:cs="Times New Roman"/>
          <w:sz w:val="20"/>
          <w:szCs w:val="20"/>
        </w:rPr>
        <w:t>We specify the type of co</w:t>
      </w:r>
      <w:r w:rsidR="00422FA9">
        <w:rPr>
          <w:rFonts w:ascii="Times New Roman" w:hAnsi="Times New Roman" w:cs="Times New Roman"/>
          <w:sz w:val="20"/>
          <w:szCs w:val="20"/>
        </w:rPr>
        <w:t>-</w:t>
      </w:r>
      <w:r w:rsidR="00E34CCA">
        <w:rPr>
          <w:rFonts w:ascii="Times New Roman" w:hAnsi="Times New Roman" w:cs="Times New Roman"/>
          <w:sz w:val="20"/>
          <w:szCs w:val="20"/>
        </w:rPr>
        <w:t xml:space="preserve">integration relationship that incorporates a </w:t>
      </w:r>
      <w:r w:rsidR="009A3F78">
        <w:rPr>
          <w:rFonts w:ascii="Times New Roman" w:hAnsi="Times New Roman" w:cs="Times New Roman"/>
          <w:sz w:val="20"/>
          <w:szCs w:val="20"/>
        </w:rPr>
        <w:t>constant</w:t>
      </w:r>
      <w:r w:rsidR="00E34CCA">
        <w:rPr>
          <w:rFonts w:ascii="Times New Roman" w:hAnsi="Times New Roman" w:cs="Times New Roman"/>
          <w:sz w:val="20"/>
          <w:szCs w:val="20"/>
        </w:rPr>
        <w:t xml:space="preserve"> trend</w:t>
      </w:r>
      <w:r w:rsidR="009A3F78">
        <w:rPr>
          <w:rFonts w:ascii="Times New Roman" w:hAnsi="Times New Roman" w:cs="Times New Roman"/>
          <w:sz w:val="20"/>
          <w:szCs w:val="20"/>
        </w:rPr>
        <w:t xml:space="preserve"> with two lags based on </w:t>
      </w:r>
      <w:r w:rsidR="00E34CCA">
        <w:rPr>
          <w:rFonts w:ascii="Times New Roman" w:hAnsi="Times New Roman" w:cs="Times New Roman"/>
          <w:sz w:val="20"/>
          <w:szCs w:val="20"/>
        </w:rPr>
        <w:t>SBIC.</w:t>
      </w:r>
      <w:r w:rsidRPr="00291C49">
        <w:rPr>
          <w:rFonts w:ascii="Times New Roman" w:hAnsi="Times New Roman" w:cs="Times New Roman"/>
          <w:sz w:val="20"/>
          <w:szCs w:val="20"/>
        </w:rPr>
        <w:t xml:space="preserve"> The critical values for the maximum</w:t>
      </w:r>
      <w:r w:rsidR="0097300A">
        <w:rPr>
          <w:rFonts w:ascii="Times New Roman" w:hAnsi="Times New Roman" w:cs="Times New Roman"/>
          <w:sz w:val="20"/>
          <w:szCs w:val="20"/>
        </w:rPr>
        <w:t xml:space="preserve"> Eigenvalue</w:t>
      </w:r>
      <w:r w:rsidRPr="00291C49">
        <w:rPr>
          <w:rFonts w:ascii="Times New Roman" w:hAnsi="Times New Roman" w:cs="Times New Roman"/>
          <w:sz w:val="20"/>
          <w:szCs w:val="20"/>
        </w:rPr>
        <w:t xml:space="preserve"> statistics (</w:t>
      </w:r>
      <m:oMath>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max</m:t>
            </m:r>
          </m:sub>
        </m:sSub>
      </m:oMath>
      <w:r w:rsidRPr="00291C49">
        <w:rPr>
          <w:rFonts w:ascii="Times New Roman" w:hAnsi="Times New Roman" w:cs="Times New Roman"/>
          <w:sz w:val="20"/>
          <w:szCs w:val="20"/>
        </w:rPr>
        <w:t>) for 1% and 5% are 15.41 and 20.04</w:t>
      </w:r>
      <w:r w:rsidR="00494168">
        <w:rPr>
          <w:rFonts w:ascii="Times New Roman" w:hAnsi="Times New Roman" w:cs="Times New Roman"/>
          <w:sz w:val="20"/>
          <w:szCs w:val="20"/>
        </w:rPr>
        <w:t>,</w:t>
      </w:r>
      <w:r w:rsidRPr="00291C49">
        <w:rPr>
          <w:rFonts w:ascii="Times New Roman" w:hAnsi="Times New Roman" w:cs="Times New Roman"/>
          <w:sz w:val="20"/>
          <w:szCs w:val="20"/>
        </w:rPr>
        <w:t xml:space="preserve"> and </w:t>
      </w:r>
      <w:r w:rsidR="00494168">
        <w:rPr>
          <w:rFonts w:ascii="Times New Roman" w:hAnsi="Times New Roman" w:cs="Times New Roman"/>
          <w:sz w:val="20"/>
          <w:szCs w:val="20"/>
        </w:rPr>
        <w:t xml:space="preserve">those of </w:t>
      </w:r>
      <w:r w:rsidR="00416933">
        <w:rPr>
          <w:rFonts w:ascii="Times New Roman" w:hAnsi="Times New Roman" w:cs="Times New Roman"/>
          <w:sz w:val="20"/>
          <w:szCs w:val="20"/>
        </w:rPr>
        <w:t>T</w:t>
      </w:r>
      <w:r w:rsidRPr="00291C49">
        <w:rPr>
          <w:rFonts w:ascii="Times New Roman" w:hAnsi="Times New Roman" w:cs="Times New Roman"/>
          <w:sz w:val="20"/>
          <w:szCs w:val="20"/>
        </w:rPr>
        <w:t>race statistics (</w:t>
      </w:r>
      <m:oMath>
        <m:sSub>
          <m:sSubPr>
            <m:ctrlPr>
              <w:rPr>
                <w:rFonts w:ascii="Cambria Math" w:hAnsi="Cambria Math" w:cs="Times New Roman"/>
                <w:sz w:val="20"/>
                <w:szCs w:val="20"/>
              </w:rPr>
            </m:ctrlPr>
          </m:sSubPr>
          <m:e>
            <m:r>
              <w:rPr>
                <w:rFonts w:ascii="Cambria Math" w:hAnsi="Cambria Math" w:cs="Times New Roman"/>
                <w:sz w:val="20"/>
                <w:szCs w:val="20"/>
              </w:rPr>
              <m:t>λ</m:t>
            </m:r>
          </m:e>
          <m:sub>
            <m:r>
              <w:rPr>
                <w:rFonts w:ascii="Cambria Math" w:hAnsi="Cambria Math" w:cs="Times New Roman"/>
                <w:sz w:val="20"/>
                <w:szCs w:val="20"/>
              </w:rPr>
              <m:t>trace</m:t>
            </m:r>
          </m:sub>
        </m:sSub>
      </m:oMath>
      <w:r w:rsidRPr="00291C49">
        <w:rPr>
          <w:rFonts w:ascii="Times New Roman" w:hAnsi="Times New Roman" w:cs="Times New Roman"/>
          <w:sz w:val="20"/>
          <w:szCs w:val="20"/>
        </w:rPr>
        <w:t>) are 14.07 and 18.63 based on zero co</w:t>
      </w:r>
      <w:r w:rsidR="0097300A">
        <w:rPr>
          <w:rFonts w:ascii="Times New Roman" w:hAnsi="Times New Roman" w:cs="Times New Roman"/>
          <w:sz w:val="20"/>
          <w:szCs w:val="20"/>
        </w:rPr>
        <w:t>-</w:t>
      </w:r>
      <w:r w:rsidRPr="00291C49">
        <w:rPr>
          <w:rFonts w:ascii="Times New Roman" w:hAnsi="Times New Roman" w:cs="Times New Roman"/>
          <w:sz w:val="20"/>
          <w:szCs w:val="20"/>
        </w:rPr>
        <w:t>integrating relationship. For one co</w:t>
      </w:r>
      <w:r w:rsidR="00134E63">
        <w:rPr>
          <w:rFonts w:ascii="Times New Roman" w:hAnsi="Times New Roman" w:cs="Times New Roman"/>
          <w:sz w:val="20"/>
          <w:szCs w:val="20"/>
        </w:rPr>
        <w:t>-</w:t>
      </w:r>
      <w:r w:rsidRPr="00291C49">
        <w:rPr>
          <w:rFonts w:ascii="Times New Roman" w:hAnsi="Times New Roman" w:cs="Times New Roman"/>
          <w:sz w:val="20"/>
          <w:szCs w:val="20"/>
        </w:rPr>
        <w:t>integrating relationship, their critical values are 3.76 and 6.65. The Engle-Granger residuals-based test for the null of no co</w:t>
      </w:r>
      <w:r w:rsidR="00DD1513">
        <w:rPr>
          <w:rFonts w:ascii="Times New Roman" w:hAnsi="Times New Roman" w:cs="Times New Roman"/>
          <w:sz w:val="20"/>
          <w:szCs w:val="20"/>
        </w:rPr>
        <w:t>-</w:t>
      </w:r>
      <w:r w:rsidRPr="00291C49">
        <w:rPr>
          <w:rFonts w:ascii="Times New Roman" w:hAnsi="Times New Roman" w:cs="Times New Roman"/>
          <w:sz w:val="20"/>
          <w:szCs w:val="20"/>
        </w:rPr>
        <w:t>integration with critical values at 1%, 5%</w:t>
      </w:r>
      <w:r w:rsidR="00494168">
        <w:rPr>
          <w:rFonts w:ascii="Times New Roman" w:hAnsi="Times New Roman" w:cs="Times New Roman"/>
          <w:sz w:val="20"/>
          <w:szCs w:val="20"/>
        </w:rPr>
        <w:t>,</w:t>
      </w:r>
      <w:r w:rsidRPr="00291C49">
        <w:rPr>
          <w:rFonts w:ascii="Times New Roman" w:hAnsi="Times New Roman" w:cs="Times New Roman"/>
          <w:sz w:val="20"/>
          <w:szCs w:val="20"/>
        </w:rPr>
        <w:t xml:space="preserve"> and 10% </w:t>
      </w:r>
      <w:r w:rsidR="00A02E9D">
        <w:rPr>
          <w:rFonts w:ascii="Times New Roman" w:hAnsi="Times New Roman" w:cs="Times New Roman"/>
          <w:sz w:val="20"/>
          <w:szCs w:val="20"/>
        </w:rPr>
        <w:t>are</w:t>
      </w:r>
      <w:r w:rsidRPr="00291C49">
        <w:rPr>
          <w:rFonts w:ascii="Times New Roman" w:hAnsi="Times New Roman" w:cs="Times New Roman"/>
          <w:sz w:val="20"/>
          <w:szCs w:val="20"/>
        </w:rPr>
        <w:t xml:space="preserve"> -3.96, -3.41</w:t>
      </w:r>
      <w:r w:rsidR="00494168">
        <w:rPr>
          <w:rFonts w:ascii="Times New Roman" w:hAnsi="Times New Roman" w:cs="Times New Roman"/>
          <w:sz w:val="20"/>
          <w:szCs w:val="20"/>
        </w:rPr>
        <w:t>,</w:t>
      </w:r>
      <w:r w:rsidRPr="00291C49">
        <w:rPr>
          <w:rFonts w:ascii="Times New Roman" w:hAnsi="Times New Roman" w:cs="Times New Roman"/>
          <w:sz w:val="20"/>
          <w:szCs w:val="20"/>
        </w:rPr>
        <w:t xml:space="preserve"> and -3.12, respectively. The critic</w:t>
      </w:r>
      <w:r w:rsidR="00F05ABC">
        <w:rPr>
          <w:rFonts w:ascii="Times New Roman" w:hAnsi="Times New Roman" w:cs="Times New Roman"/>
          <w:sz w:val="20"/>
          <w:szCs w:val="20"/>
        </w:rPr>
        <w:t xml:space="preserve">al values for </w:t>
      </w:r>
      <w:r w:rsidR="007D0730">
        <w:rPr>
          <w:rFonts w:ascii="Times New Roman" w:hAnsi="Times New Roman" w:cs="Times New Roman"/>
          <w:sz w:val="20"/>
          <w:szCs w:val="20"/>
        </w:rPr>
        <w:t xml:space="preserve">the </w:t>
      </w:r>
      <w:r w:rsidR="00F05ABC">
        <w:rPr>
          <w:rFonts w:ascii="Times New Roman" w:hAnsi="Times New Roman" w:cs="Times New Roman"/>
          <w:sz w:val="20"/>
          <w:szCs w:val="20"/>
        </w:rPr>
        <w:t>Gregory-Hansen (1996</w:t>
      </w:r>
      <w:r w:rsidRPr="00291C49">
        <w:rPr>
          <w:rFonts w:ascii="Times New Roman" w:hAnsi="Times New Roman" w:cs="Times New Roman"/>
          <w:sz w:val="20"/>
          <w:szCs w:val="20"/>
        </w:rPr>
        <w:t>)</w:t>
      </w:r>
      <w:r w:rsidR="00F05ABC">
        <w:rPr>
          <w:rFonts w:ascii="Times New Roman" w:hAnsi="Times New Roman" w:cs="Times New Roman"/>
          <w:sz w:val="20"/>
          <w:szCs w:val="20"/>
        </w:rPr>
        <w:t xml:space="preserve"> test</w:t>
      </w:r>
      <w:r w:rsidRPr="00291C49">
        <w:rPr>
          <w:rFonts w:ascii="Times New Roman" w:hAnsi="Times New Roman" w:cs="Times New Roman"/>
          <w:sz w:val="20"/>
          <w:szCs w:val="20"/>
        </w:rPr>
        <w:t xml:space="preserve"> are -69.37 for 1%, -58.58% for 5%</w:t>
      </w:r>
      <w:r w:rsidR="00494168">
        <w:rPr>
          <w:rFonts w:ascii="Times New Roman" w:hAnsi="Times New Roman" w:cs="Times New Roman"/>
          <w:sz w:val="20"/>
          <w:szCs w:val="20"/>
        </w:rPr>
        <w:t>,</w:t>
      </w:r>
      <w:r w:rsidRPr="00291C49">
        <w:rPr>
          <w:rFonts w:ascii="Times New Roman" w:hAnsi="Times New Roman" w:cs="Times New Roman"/>
          <w:sz w:val="20"/>
          <w:szCs w:val="20"/>
        </w:rPr>
        <w:t xml:space="preserve"> and -53.31 </w:t>
      </w:r>
      <w:r w:rsidR="00494168">
        <w:rPr>
          <w:rFonts w:ascii="Times New Roman" w:hAnsi="Times New Roman" w:cs="Times New Roman"/>
          <w:sz w:val="20"/>
          <w:szCs w:val="20"/>
        </w:rPr>
        <w:t>f</w:t>
      </w:r>
      <w:r w:rsidRPr="00291C49">
        <w:rPr>
          <w:rFonts w:ascii="Times New Roman" w:hAnsi="Times New Roman" w:cs="Times New Roman"/>
          <w:sz w:val="20"/>
          <w:szCs w:val="20"/>
        </w:rPr>
        <w:t xml:space="preserve">or 10%. </w:t>
      </w:r>
      <w:r w:rsidR="00717E2C">
        <w:rPr>
          <w:rFonts w:ascii="Times New Roman" w:hAnsi="Times New Roman" w:cs="Times New Roman"/>
          <w:sz w:val="20"/>
          <w:szCs w:val="20"/>
        </w:rPr>
        <w:t xml:space="preserve">The standard errors for Phillips and Hansen’s (1990) </w:t>
      </w:r>
      <w:r w:rsidR="00416933">
        <w:rPr>
          <w:rFonts w:ascii="Times New Roman" w:hAnsi="Times New Roman" w:cs="Times New Roman"/>
          <w:sz w:val="20"/>
          <w:szCs w:val="20"/>
        </w:rPr>
        <w:t>F</w:t>
      </w:r>
      <w:r w:rsidR="00717E2C">
        <w:rPr>
          <w:rFonts w:ascii="Times New Roman" w:hAnsi="Times New Roman" w:cs="Times New Roman"/>
          <w:sz w:val="20"/>
          <w:szCs w:val="20"/>
        </w:rPr>
        <w:t xml:space="preserve">ully </w:t>
      </w:r>
      <w:r w:rsidR="00416933">
        <w:rPr>
          <w:rFonts w:ascii="Times New Roman" w:hAnsi="Times New Roman" w:cs="Times New Roman"/>
          <w:sz w:val="20"/>
          <w:szCs w:val="20"/>
        </w:rPr>
        <w:t>M</w:t>
      </w:r>
      <w:r w:rsidR="00717E2C">
        <w:rPr>
          <w:rFonts w:ascii="Times New Roman" w:hAnsi="Times New Roman" w:cs="Times New Roman"/>
          <w:sz w:val="20"/>
          <w:szCs w:val="20"/>
        </w:rPr>
        <w:t xml:space="preserve">odified OLS and Park’s (1992) </w:t>
      </w:r>
      <w:r w:rsidR="00416933">
        <w:rPr>
          <w:rFonts w:ascii="Times New Roman" w:hAnsi="Times New Roman" w:cs="Times New Roman"/>
          <w:sz w:val="20"/>
          <w:szCs w:val="20"/>
        </w:rPr>
        <w:t>C</w:t>
      </w:r>
      <w:r w:rsidR="00717E2C">
        <w:rPr>
          <w:rFonts w:ascii="Times New Roman" w:hAnsi="Times New Roman" w:cs="Times New Roman"/>
          <w:sz w:val="20"/>
          <w:szCs w:val="20"/>
        </w:rPr>
        <w:t>anonical OLS are reported in parenthes</w:t>
      </w:r>
      <w:r w:rsidR="004B47B3">
        <w:rPr>
          <w:rFonts w:ascii="Times New Roman" w:hAnsi="Times New Roman" w:cs="Times New Roman"/>
          <w:sz w:val="20"/>
          <w:szCs w:val="20"/>
        </w:rPr>
        <w:t>e</w:t>
      </w:r>
      <w:r w:rsidR="00717E2C">
        <w:rPr>
          <w:rFonts w:ascii="Times New Roman" w:hAnsi="Times New Roman" w:cs="Times New Roman"/>
          <w:sz w:val="20"/>
          <w:szCs w:val="20"/>
        </w:rPr>
        <w:t>s.</w:t>
      </w:r>
      <w:r w:rsidR="00203E75">
        <w:rPr>
          <w:rFonts w:ascii="Times New Roman" w:eastAsiaTheme="minorEastAsia" w:hAnsi="Times New Roman" w:cs="Times New Roman"/>
          <w:sz w:val="20"/>
          <w:szCs w:val="20"/>
        </w:rPr>
        <w:t xml:space="preserve"> The</w:t>
      </w:r>
      <w:r w:rsidR="0097300A">
        <w:rPr>
          <w:rFonts w:ascii="Times New Roman" w:eastAsiaTheme="minorEastAsia" w:hAnsi="Times New Roman" w:cs="Times New Roman"/>
          <w:sz w:val="20"/>
          <w:szCs w:val="20"/>
        </w:rPr>
        <w:t xml:space="preserve"> </w:t>
      </w:r>
      <w:r w:rsidR="0078789C" w:rsidRPr="00291C49">
        <w:rPr>
          <w:rFonts w:ascii="Times New Roman" w:hAnsi="Times New Roman" w:cs="Times New Roman"/>
          <w:sz w:val="20"/>
          <w:szCs w:val="20"/>
        </w:rPr>
        <w:t>speed</w:t>
      </w:r>
      <w:r w:rsidR="00696DEF">
        <w:rPr>
          <w:rFonts w:ascii="Times New Roman" w:hAnsi="Times New Roman" w:cs="Times New Roman"/>
          <w:sz w:val="20"/>
          <w:szCs w:val="20"/>
        </w:rPr>
        <w:t>s</w:t>
      </w:r>
      <w:r w:rsidR="0078789C" w:rsidRPr="00291C49">
        <w:rPr>
          <w:rFonts w:ascii="Times New Roman" w:hAnsi="Times New Roman" w:cs="Times New Roman"/>
          <w:sz w:val="20"/>
          <w:szCs w:val="20"/>
        </w:rPr>
        <w:t xml:space="preserve"> of adjust</w:t>
      </w:r>
      <w:r w:rsidR="00A4071C">
        <w:rPr>
          <w:rFonts w:ascii="Times New Roman" w:hAnsi="Times New Roman" w:cs="Times New Roman"/>
          <w:sz w:val="20"/>
          <w:szCs w:val="20"/>
        </w:rPr>
        <w:t xml:space="preserve">ment of </w:t>
      </w:r>
      <w:r w:rsidR="00696DEF">
        <w:rPr>
          <w:rFonts w:ascii="Times New Roman" w:hAnsi="Times New Roman" w:cs="Times New Roman"/>
          <w:sz w:val="20"/>
          <w:szCs w:val="20"/>
        </w:rPr>
        <w:t xml:space="preserve">the </w:t>
      </w:r>
      <w:r w:rsidR="00A4071C">
        <w:rPr>
          <w:rFonts w:ascii="Times New Roman" w:hAnsi="Times New Roman" w:cs="Times New Roman"/>
          <w:sz w:val="20"/>
          <w:szCs w:val="20"/>
        </w:rPr>
        <w:t xml:space="preserve">UK and US </w:t>
      </w:r>
      <w:r w:rsidR="00416933">
        <w:rPr>
          <w:rFonts w:ascii="Times New Roman" w:hAnsi="Times New Roman" w:cs="Times New Roman"/>
          <w:sz w:val="20"/>
          <w:szCs w:val="20"/>
        </w:rPr>
        <w:t xml:space="preserve">indices </w:t>
      </w:r>
      <w:r w:rsidR="00A4071C">
        <w:rPr>
          <w:rFonts w:ascii="Times New Roman" w:hAnsi="Times New Roman" w:cs="Times New Roman"/>
          <w:sz w:val="20"/>
          <w:szCs w:val="20"/>
        </w:rPr>
        <w:t>are</w:t>
      </w:r>
      <w:r w:rsidR="0078789C">
        <w:rPr>
          <w:rFonts w:ascii="Times New Roman" w:hAnsi="Times New Roman" w:cs="Times New Roman"/>
          <w:sz w:val="20"/>
          <w:szCs w:val="20"/>
        </w:rPr>
        <w:t xml:space="preserve"> represented by</w:t>
      </w:r>
      <w:r w:rsidR="0097300A">
        <w:rPr>
          <w:rFonts w:ascii="Times New Roman" w:hAnsi="Times New Roman" w:cs="Times New Roman"/>
          <w:sz w:val="20"/>
          <w:szCs w:val="20"/>
        </w:rPr>
        <w:t xml:space="preserve">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UK</m:t>
            </m:r>
          </m:sub>
        </m:sSub>
      </m:oMath>
      <w:r w:rsidR="0097300A">
        <w:rPr>
          <w:rFonts w:ascii="Times New Roman" w:eastAsiaTheme="minorEastAsia" w:hAnsi="Times New Roman" w:cs="Times New Roman"/>
          <w:sz w:val="20"/>
          <w:szCs w:val="20"/>
        </w:rPr>
        <w:t xml:space="preserve"> </w:t>
      </w:r>
      <w:r w:rsidR="00543F3B" w:rsidRPr="00291C49">
        <w:rPr>
          <w:rFonts w:ascii="Times New Roman" w:hAnsi="Times New Roman" w:cs="Times New Roman"/>
          <w:sz w:val="20"/>
          <w:szCs w:val="20"/>
        </w:rPr>
        <w:t xml:space="preserve">and </w:t>
      </w:r>
      <m:oMath>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US</m:t>
            </m:r>
          </m:sub>
        </m:sSub>
      </m:oMath>
      <w:r w:rsidR="0078789C">
        <w:rPr>
          <w:rFonts w:ascii="Times New Roman" w:eastAsiaTheme="minorEastAsia" w:hAnsi="Times New Roman" w:cs="Times New Roman"/>
          <w:sz w:val="20"/>
          <w:szCs w:val="20"/>
        </w:rPr>
        <w:t xml:space="preserve">, </w:t>
      </w:r>
      <w:r w:rsidR="00543F3B">
        <w:rPr>
          <w:rFonts w:ascii="Times New Roman" w:hAnsi="Times New Roman" w:cs="Times New Roman"/>
          <w:sz w:val="20"/>
          <w:szCs w:val="20"/>
        </w:rPr>
        <w:t>respectively.</w:t>
      </w:r>
    </w:p>
    <w:p w:rsidR="000E49DD" w:rsidRDefault="000E49DD" w:rsidP="00AF6503">
      <w:pPr>
        <w:spacing w:after="0" w:line="240" w:lineRule="auto"/>
        <w:ind w:right="282"/>
        <w:rPr>
          <w:rFonts w:ascii="Times New Roman" w:hAnsi="Times New Roman" w:cs="Times New Roman"/>
          <w:sz w:val="20"/>
          <w:szCs w:val="20"/>
        </w:rPr>
        <w:sectPr w:rsidR="000E49DD" w:rsidSect="00AF6503">
          <w:type w:val="continuous"/>
          <w:pgSz w:w="16838" w:h="11906" w:orient="landscape"/>
          <w:pgMar w:top="1440" w:right="1440" w:bottom="1440" w:left="1440" w:header="709" w:footer="709" w:gutter="0"/>
          <w:cols w:space="708"/>
          <w:titlePg/>
          <w:docGrid w:linePitch="360"/>
        </w:sectPr>
      </w:pPr>
    </w:p>
    <w:p w:rsidR="00166050" w:rsidRPr="006853EA" w:rsidRDefault="003F35D8" w:rsidP="0075422D">
      <w:pPr>
        <w:pStyle w:val="Heading1"/>
        <w:numPr>
          <w:ilvl w:val="0"/>
          <w:numId w:val="42"/>
        </w:numPr>
        <w:spacing w:before="120" w:after="120" w:line="360" w:lineRule="auto"/>
        <w:ind w:left="0" w:right="282" w:firstLine="0"/>
        <w:rPr>
          <w:rFonts w:ascii="Times New Roman" w:hAnsi="Times New Roman" w:cs="Times New Roman"/>
          <w:color w:val="auto"/>
          <w:sz w:val="24"/>
          <w:szCs w:val="24"/>
        </w:rPr>
      </w:pPr>
      <w:bookmarkStart w:id="9" w:name="_Toc303069387"/>
      <w:bookmarkEnd w:id="1"/>
      <w:r w:rsidRPr="006853EA">
        <w:rPr>
          <w:rFonts w:ascii="Times New Roman" w:hAnsi="Times New Roman" w:cs="Times New Roman"/>
          <w:color w:val="auto"/>
          <w:sz w:val="24"/>
          <w:szCs w:val="24"/>
        </w:rPr>
        <w:lastRenderedPageBreak/>
        <w:t xml:space="preserve">Empirical </w:t>
      </w:r>
      <w:r w:rsidR="0075422D">
        <w:rPr>
          <w:rFonts w:ascii="Times New Roman" w:hAnsi="Times New Roman" w:cs="Times New Roman"/>
          <w:color w:val="auto"/>
          <w:sz w:val="24"/>
          <w:szCs w:val="24"/>
        </w:rPr>
        <w:t>r</w:t>
      </w:r>
      <w:r w:rsidRPr="006853EA">
        <w:rPr>
          <w:rFonts w:ascii="Times New Roman" w:hAnsi="Times New Roman" w:cs="Times New Roman"/>
          <w:color w:val="auto"/>
          <w:sz w:val="24"/>
          <w:szCs w:val="24"/>
        </w:rPr>
        <w:t xml:space="preserve">esults </w:t>
      </w:r>
    </w:p>
    <w:p w:rsidR="00C411AE" w:rsidRPr="00AF6503" w:rsidRDefault="00CA49A5" w:rsidP="0075422D">
      <w:pPr>
        <w:pStyle w:val="Heading2"/>
        <w:spacing w:before="120" w:after="120" w:line="360" w:lineRule="auto"/>
        <w:rPr>
          <w:rFonts w:ascii="Times New Roman" w:hAnsi="Times New Roman" w:cs="Times New Roman"/>
          <w:b w:val="0"/>
          <w:i/>
          <w:color w:val="auto"/>
          <w:sz w:val="24"/>
          <w:szCs w:val="24"/>
        </w:rPr>
      </w:pPr>
      <w:bookmarkStart w:id="10" w:name="_Ref452980093"/>
      <w:bookmarkEnd w:id="9"/>
      <w:r w:rsidRPr="00AF6503">
        <w:rPr>
          <w:rFonts w:ascii="Times New Roman" w:hAnsi="Times New Roman" w:cs="Times New Roman"/>
          <w:b w:val="0"/>
          <w:i/>
          <w:color w:val="auto"/>
          <w:sz w:val="24"/>
          <w:szCs w:val="24"/>
        </w:rPr>
        <w:t>6.1</w:t>
      </w:r>
      <w:r w:rsidR="007F2EF3">
        <w:rPr>
          <w:rFonts w:ascii="Times New Roman" w:hAnsi="Times New Roman" w:cs="Times New Roman"/>
          <w:b w:val="0"/>
          <w:i/>
          <w:color w:val="auto"/>
          <w:sz w:val="24"/>
          <w:szCs w:val="24"/>
        </w:rPr>
        <w:t>.</w:t>
      </w:r>
      <w:r w:rsidRPr="00AF6503">
        <w:rPr>
          <w:rFonts w:ascii="Times New Roman" w:hAnsi="Times New Roman" w:cs="Times New Roman"/>
          <w:b w:val="0"/>
          <w:i/>
          <w:color w:val="auto"/>
          <w:sz w:val="24"/>
          <w:szCs w:val="24"/>
        </w:rPr>
        <w:tab/>
      </w:r>
      <w:r w:rsidR="00C411AE" w:rsidRPr="00AF6503">
        <w:rPr>
          <w:rFonts w:ascii="Times New Roman" w:hAnsi="Times New Roman" w:cs="Times New Roman"/>
          <w:b w:val="0"/>
          <w:i/>
          <w:color w:val="auto"/>
          <w:sz w:val="24"/>
          <w:szCs w:val="24"/>
        </w:rPr>
        <w:t xml:space="preserve">Stock </w:t>
      </w:r>
      <w:r w:rsidR="0075422D">
        <w:rPr>
          <w:rFonts w:ascii="Times New Roman" w:hAnsi="Times New Roman" w:cs="Times New Roman"/>
          <w:b w:val="0"/>
          <w:i/>
          <w:color w:val="auto"/>
          <w:sz w:val="24"/>
          <w:szCs w:val="24"/>
        </w:rPr>
        <w:t>m</w:t>
      </w:r>
      <w:r w:rsidR="00C411AE" w:rsidRPr="00AF6503">
        <w:rPr>
          <w:rFonts w:ascii="Times New Roman" w:hAnsi="Times New Roman" w:cs="Times New Roman"/>
          <w:b w:val="0"/>
          <w:i/>
          <w:color w:val="auto"/>
          <w:sz w:val="24"/>
          <w:szCs w:val="24"/>
        </w:rPr>
        <w:t xml:space="preserve">arket </w:t>
      </w:r>
      <w:r w:rsidR="0075422D">
        <w:rPr>
          <w:rFonts w:ascii="Times New Roman" w:hAnsi="Times New Roman" w:cs="Times New Roman"/>
          <w:b w:val="0"/>
          <w:i/>
          <w:color w:val="auto"/>
          <w:sz w:val="24"/>
          <w:szCs w:val="24"/>
        </w:rPr>
        <w:t>i</w:t>
      </w:r>
      <w:r w:rsidR="00C411AE" w:rsidRPr="00AF6503">
        <w:rPr>
          <w:rFonts w:ascii="Times New Roman" w:hAnsi="Times New Roman" w:cs="Times New Roman"/>
          <w:b w:val="0"/>
          <w:i/>
          <w:color w:val="auto"/>
          <w:sz w:val="24"/>
          <w:szCs w:val="24"/>
        </w:rPr>
        <w:t>ntegration between UK and US</w:t>
      </w:r>
    </w:p>
    <w:p w:rsidR="00166050" w:rsidRDefault="00231DB0" w:rsidP="00AF6503">
      <w:pPr>
        <w:spacing w:after="0" w:line="480" w:lineRule="auto"/>
        <w:ind w:right="288" w:firstLine="720"/>
        <w:rPr>
          <w:rFonts w:ascii="Times New Roman" w:hAnsi="Times New Roman" w:cs="Times New Roman"/>
          <w:sz w:val="24"/>
          <w:szCs w:val="24"/>
        </w:rPr>
      </w:pPr>
      <w:r>
        <w:fldChar w:fldCharType="begin"/>
      </w:r>
      <w:r>
        <w:instrText xml:space="preserve"> REF _Ref523597249 \h  \* MERGEFORMAT </w:instrText>
      </w:r>
      <w:r>
        <w:fldChar w:fldCharType="separate"/>
      </w:r>
      <w:r w:rsidR="004F0DAA" w:rsidRPr="004F0DAA">
        <w:rPr>
          <w:rFonts w:ascii="Times New Roman" w:hAnsi="Times New Roman" w:cs="Times New Roman"/>
          <w:sz w:val="24"/>
          <w:szCs w:val="24"/>
        </w:rPr>
        <w:t>Figure 2</w:t>
      </w:r>
      <w:r>
        <w:fldChar w:fldCharType="end"/>
      </w:r>
      <w:r w:rsidR="007A4FB8">
        <w:t xml:space="preserve"> </w:t>
      </w:r>
      <w:r w:rsidR="00501F42">
        <w:rPr>
          <w:rFonts w:ascii="Times New Roman" w:hAnsi="Times New Roman" w:cs="Times New Roman"/>
          <w:sz w:val="24"/>
          <w:szCs w:val="24"/>
        </w:rPr>
        <w:t>display</w:t>
      </w:r>
      <w:r w:rsidR="00D27910">
        <w:rPr>
          <w:rFonts w:ascii="Times New Roman" w:hAnsi="Times New Roman" w:cs="Times New Roman"/>
          <w:sz w:val="24"/>
          <w:szCs w:val="24"/>
        </w:rPr>
        <w:t>s</w:t>
      </w:r>
      <w:r w:rsidR="00501F42">
        <w:rPr>
          <w:rFonts w:ascii="Times New Roman" w:hAnsi="Times New Roman" w:cs="Times New Roman"/>
          <w:sz w:val="24"/>
          <w:szCs w:val="24"/>
        </w:rPr>
        <w:t xml:space="preserve"> the</w:t>
      </w:r>
      <w:r w:rsidR="00C87A6C">
        <w:rPr>
          <w:rFonts w:ascii="Times New Roman" w:hAnsi="Times New Roman" w:cs="Times New Roman"/>
          <w:sz w:val="24"/>
          <w:szCs w:val="24"/>
        </w:rPr>
        <w:t xml:space="preserve"> evolution of </w:t>
      </w:r>
      <w:r w:rsidR="00F856BB">
        <w:rPr>
          <w:rFonts w:ascii="Times New Roman" w:hAnsi="Times New Roman" w:cs="Times New Roman"/>
          <w:sz w:val="24"/>
          <w:szCs w:val="24"/>
        </w:rPr>
        <w:t xml:space="preserve">stock market integration and policy uncertainty convergence between </w:t>
      </w:r>
      <w:r w:rsidR="00501F42">
        <w:rPr>
          <w:rFonts w:ascii="Times New Roman" w:hAnsi="Times New Roman" w:cs="Times New Roman"/>
          <w:sz w:val="24"/>
          <w:szCs w:val="24"/>
        </w:rPr>
        <w:t>the UK and US stock markets</w:t>
      </w:r>
      <w:r w:rsidR="006E3A18">
        <w:rPr>
          <w:rFonts w:ascii="Times New Roman" w:hAnsi="Times New Roman" w:cs="Times New Roman"/>
          <w:sz w:val="24"/>
          <w:szCs w:val="24"/>
        </w:rPr>
        <w:t xml:space="preserve"> during the </w:t>
      </w:r>
      <w:r w:rsidR="00093CD8">
        <w:rPr>
          <w:rFonts w:ascii="Times New Roman" w:hAnsi="Times New Roman" w:cs="Times New Roman"/>
          <w:sz w:val="24"/>
          <w:szCs w:val="24"/>
        </w:rPr>
        <w:t>BW</w:t>
      </w:r>
      <w:r w:rsidR="00A5475D">
        <w:rPr>
          <w:rFonts w:ascii="Times New Roman" w:hAnsi="Times New Roman" w:cs="Times New Roman"/>
          <w:sz w:val="24"/>
          <w:szCs w:val="24"/>
        </w:rPr>
        <w:t xml:space="preserve"> period</w:t>
      </w:r>
      <w:r w:rsidR="000F07ED">
        <w:rPr>
          <w:rFonts w:ascii="Times New Roman" w:hAnsi="Times New Roman" w:cs="Times New Roman"/>
          <w:sz w:val="24"/>
          <w:szCs w:val="24"/>
        </w:rPr>
        <w:t>, compared to</w:t>
      </w:r>
      <w:r w:rsidR="00494168">
        <w:rPr>
          <w:rFonts w:ascii="Times New Roman" w:hAnsi="Times New Roman" w:cs="Times New Roman"/>
          <w:sz w:val="24"/>
          <w:szCs w:val="24"/>
        </w:rPr>
        <w:t xml:space="preserve"> the preceding and following periods</w:t>
      </w:r>
      <w:r w:rsidR="009467D3">
        <w:rPr>
          <w:rFonts w:ascii="Times New Roman" w:hAnsi="Times New Roman" w:cs="Times New Roman"/>
          <w:sz w:val="24"/>
          <w:szCs w:val="24"/>
        </w:rPr>
        <w:t>. T</w:t>
      </w:r>
      <w:r w:rsidR="00166050" w:rsidRPr="006853EA">
        <w:rPr>
          <w:rFonts w:ascii="Times New Roman" w:hAnsi="Times New Roman" w:cs="Times New Roman"/>
          <w:sz w:val="24"/>
          <w:szCs w:val="24"/>
        </w:rPr>
        <w:t>he estimated conditional correlations</w:t>
      </w:r>
      <w:r w:rsidR="00D27910">
        <w:rPr>
          <w:rFonts w:ascii="Times New Roman" w:hAnsi="Times New Roman" w:cs="Times New Roman"/>
          <w:sz w:val="24"/>
          <w:szCs w:val="24"/>
        </w:rPr>
        <w:t xml:space="preserve"> of stock</w:t>
      </w:r>
      <w:r w:rsidR="00335766">
        <w:rPr>
          <w:rFonts w:ascii="Times New Roman" w:hAnsi="Times New Roman" w:cs="Times New Roman"/>
          <w:sz w:val="24"/>
          <w:szCs w:val="24"/>
        </w:rPr>
        <w:t xml:space="preserve"> returns</w:t>
      </w:r>
      <w:r w:rsidR="00D27910">
        <w:rPr>
          <w:rFonts w:ascii="Times New Roman" w:hAnsi="Times New Roman" w:cs="Times New Roman"/>
          <w:sz w:val="24"/>
          <w:szCs w:val="24"/>
        </w:rPr>
        <w:t xml:space="preserve"> and policy uncertainty exhibit</w:t>
      </w:r>
      <w:r w:rsidR="00166050" w:rsidRPr="006853EA">
        <w:rPr>
          <w:rFonts w:ascii="Times New Roman" w:hAnsi="Times New Roman" w:cs="Times New Roman"/>
          <w:sz w:val="24"/>
          <w:szCs w:val="24"/>
        </w:rPr>
        <w:t xml:space="preserve"> subs</w:t>
      </w:r>
      <w:r w:rsidR="00BE7CDC">
        <w:rPr>
          <w:rFonts w:ascii="Times New Roman" w:hAnsi="Times New Roman" w:cs="Times New Roman"/>
          <w:sz w:val="24"/>
          <w:szCs w:val="24"/>
        </w:rPr>
        <w:t>tantial variation throughout the periods</w:t>
      </w:r>
      <w:r w:rsidR="00A5475D">
        <w:rPr>
          <w:rFonts w:ascii="Times New Roman" w:hAnsi="Times New Roman" w:cs="Times New Roman"/>
          <w:sz w:val="24"/>
          <w:szCs w:val="24"/>
        </w:rPr>
        <w:t>,</w:t>
      </w:r>
      <w:r w:rsidR="00BE7CDC">
        <w:rPr>
          <w:rFonts w:ascii="Times New Roman" w:hAnsi="Times New Roman" w:cs="Times New Roman"/>
          <w:sz w:val="24"/>
          <w:szCs w:val="24"/>
        </w:rPr>
        <w:t xml:space="preserve"> with varying degree of intensity</w:t>
      </w:r>
      <w:r w:rsidR="00166050" w:rsidRPr="006853EA">
        <w:rPr>
          <w:rFonts w:ascii="Times New Roman" w:hAnsi="Times New Roman" w:cs="Times New Roman"/>
          <w:sz w:val="24"/>
          <w:szCs w:val="24"/>
        </w:rPr>
        <w:t xml:space="preserve">. </w:t>
      </w:r>
      <w:r w:rsidR="00D27910">
        <w:rPr>
          <w:rFonts w:ascii="Times New Roman" w:hAnsi="Times New Roman" w:cs="Times New Roman"/>
          <w:sz w:val="24"/>
          <w:szCs w:val="24"/>
        </w:rPr>
        <w:t>T</w:t>
      </w:r>
      <w:r w:rsidR="00166050" w:rsidRPr="006853EA">
        <w:rPr>
          <w:rFonts w:ascii="Times New Roman" w:hAnsi="Times New Roman" w:cs="Times New Roman"/>
          <w:sz w:val="24"/>
          <w:szCs w:val="24"/>
        </w:rPr>
        <w:t xml:space="preserve">he </w:t>
      </w:r>
      <w:r w:rsidR="00093CD8">
        <w:rPr>
          <w:rFonts w:ascii="Times New Roman" w:hAnsi="Times New Roman" w:cs="Times New Roman"/>
          <w:sz w:val="24"/>
          <w:szCs w:val="24"/>
        </w:rPr>
        <w:t>pre-BW</w:t>
      </w:r>
      <w:r w:rsidR="00971466">
        <w:rPr>
          <w:rFonts w:ascii="Times New Roman" w:hAnsi="Times New Roman" w:cs="Times New Roman"/>
          <w:sz w:val="24"/>
          <w:szCs w:val="24"/>
        </w:rPr>
        <w:t xml:space="preserve"> period</w:t>
      </w:r>
      <w:r w:rsidR="009467D3">
        <w:rPr>
          <w:rFonts w:ascii="Times New Roman" w:hAnsi="Times New Roman" w:cs="Times New Roman"/>
          <w:sz w:val="24"/>
          <w:szCs w:val="24"/>
        </w:rPr>
        <w:t xml:space="preserve"> (1935–1945)</w:t>
      </w:r>
      <w:r w:rsidR="00093CD8">
        <w:rPr>
          <w:rFonts w:ascii="Times New Roman" w:hAnsi="Times New Roman" w:cs="Times New Roman"/>
          <w:sz w:val="24"/>
          <w:szCs w:val="24"/>
        </w:rPr>
        <w:t xml:space="preserve"> witnesse</w:t>
      </w:r>
      <w:r w:rsidR="00A5475D">
        <w:rPr>
          <w:rFonts w:ascii="Times New Roman" w:hAnsi="Times New Roman" w:cs="Times New Roman"/>
          <w:sz w:val="24"/>
          <w:szCs w:val="24"/>
        </w:rPr>
        <w:t>d</w:t>
      </w:r>
      <w:r w:rsidR="00093CD8">
        <w:rPr>
          <w:rFonts w:ascii="Times New Roman" w:hAnsi="Times New Roman" w:cs="Times New Roman"/>
          <w:sz w:val="24"/>
          <w:szCs w:val="24"/>
        </w:rPr>
        <w:t xml:space="preserve"> s</w:t>
      </w:r>
      <w:r w:rsidR="00264FD8">
        <w:rPr>
          <w:rFonts w:ascii="Times New Roman" w:hAnsi="Times New Roman" w:cs="Times New Roman"/>
          <w:sz w:val="24"/>
          <w:szCs w:val="24"/>
        </w:rPr>
        <w:t>evere</w:t>
      </w:r>
      <w:r w:rsidR="0094003E">
        <w:rPr>
          <w:rFonts w:ascii="Times New Roman" w:hAnsi="Times New Roman" w:cs="Times New Roman"/>
          <w:sz w:val="24"/>
          <w:szCs w:val="24"/>
        </w:rPr>
        <w:t xml:space="preserve"> variability between negative and</w:t>
      </w:r>
      <w:r w:rsidR="00166050" w:rsidRPr="006853EA">
        <w:rPr>
          <w:rFonts w:ascii="Times New Roman" w:hAnsi="Times New Roman" w:cs="Times New Roman"/>
          <w:sz w:val="24"/>
          <w:szCs w:val="24"/>
        </w:rPr>
        <w:t xml:space="preserve"> positive values</w:t>
      </w:r>
      <w:r w:rsidR="00494168">
        <w:rPr>
          <w:rFonts w:ascii="Times New Roman" w:hAnsi="Times New Roman" w:cs="Times New Roman"/>
          <w:sz w:val="24"/>
          <w:szCs w:val="24"/>
        </w:rPr>
        <w:t>,</w:t>
      </w:r>
      <w:r w:rsidR="00166050" w:rsidRPr="006853EA">
        <w:rPr>
          <w:rFonts w:ascii="Times New Roman" w:hAnsi="Times New Roman" w:cs="Times New Roman"/>
          <w:sz w:val="24"/>
          <w:szCs w:val="24"/>
        </w:rPr>
        <w:t xml:space="preserve"> with an estimated </w:t>
      </w:r>
      <w:r w:rsidR="00734390">
        <w:rPr>
          <w:rFonts w:ascii="Times New Roman" w:hAnsi="Times New Roman" w:cs="Times New Roman"/>
          <w:sz w:val="24"/>
          <w:szCs w:val="24"/>
        </w:rPr>
        <w:t xml:space="preserve">average </w:t>
      </w:r>
      <w:r w:rsidR="00DF21D0">
        <w:rPr>
          <w:rFonts w:ascii="Times New Roman" w:hAnsi="Times New Roman" w:cs="Times New Roman"/>
          <w:sz w:val="24"/>
          <w:szCs w:val="24"/>
        </w:rPr>
        <w:t xml:space="preserve">stock </w:t>
      </w:r>
      <w:r w:rsidR="00734390">
        <w:rPr>
          <w:rFonts w:ascii="Times New Roman" w:hAnsi="Times New Roman" w:cs="Times New Roman"/>
          <w:sz w:val="24"/>
          <w:szCs w:val="24"/>
        </w:rPr>
        <w:t>correlation</w:t>
      </w:r>
      <w:r w:rsidR="00166050" w:rsidRPr="006853EA">
        <w:rPr>
          <w:rFonts w:ascii="Times New Roman" w:hAnsi="Times New Roman" w:cs="Times New Roman"/>
          <w:sz w:val="24"/>
          <w:szCs w:val="24"/>
        </w:rPr>
        <w:t xml:space="preserve"> of </w:t>
      </w:r>
      <w:r w:rsidR="002B53CB" w:rsidRPr="006853EA">
        <w:rPr>
          <w:rFonts w:ascii="Times New Roman" w:hAnsi="Times New Roman" w:cs="Times New Roman"/>
          <w:sz w:val="24"/>
          <w:szCs w:val="24"/>
        </w:rPr>
        <w:t>0.</w:t>
      </w:r>
      <w:r w:rsidR="00734390">
        <w:rPr>
          <w:rFonts w:ascii="Times New Roman" w:hAnsi="Times New Roman" w:cs="Times New Roman"/>
          <w:sz w:val="24"/>
          <w:szCs w:val="24"/>
        </w:rPr>
        <w:t>205</w:t>
      </w:r>
      <w:r w:rsidR="00DF21D0">
        <w:rPr>
          <w:rFonts w:ascii="Times New Roman" w:hAnsi="Times New Roman" w:cs="Times New Roman"/>
          <w:sz w:val="24"/>
          <w:szCs w:val="24"/>
        </w:rPr>
        <w:t xml:space="preserve"> and EPU correlation of 0.234</w:t>
      </w:r>
      <w:r w:rsidR="00166050" w:rsidRPr="006853EA">
        <w:rPr>
          <w:rFonts w:ascii="Times New Roman" w:hAnsi="Times New Roman" w:cs="Times New Roman"/>
          <w:sz w:val="24"/>
          <w:szCs w:val="24"/>
        </w:rPr>
        <w:t xml:space="preserve">. </w:t>
      </w:r>
      <w:r w:rsidR="003B5F2A">
        <w:rPr>
          <w:rFonts w:ascii="Times New Roman" w:hAnsi="Times New Roman" w:cs="Times New Roman"/>
          <w:sz w:val="24"/>
          <w:szCs w:val="24"/>
        </w:rPr>
        <w:t>This suggests that</w:t>
      </w:r>
      <w:r w:rsidR="00B52D06">
        <w:rPr>
          <w:rFonts w:ascii="Times New Roman" w:hAnsi="Times New Roman" w:cs="Times New Roman"/>
          <w:sz w:val="24"/>
          <w:szCs w:val="24"/>
        </w:rPr>
        <w:t>,</w:t>
      </w:r>
      <w:r w:rsidR="003B5F2A">
        <w:rPr>
          <w:rFonts w:ascii="Times New Roman" w:hAnsi="Times New Roman" w:cs="Times New Roman"/>
          <w:sz w:val="24"/>
          <w:szCs w:val="24"/>
        </w:rPr>
        <w:t xml:space="preserve"> as </w:t>
      </w:r>
      <w:r w:rsidR="006F07E6">
        <w:rPr>
          <w:rFonts w:ascii="Times New Roman" w:hAnsi="Times New Roman" w:cs="Times New Roman"/>
          <w:sz w:val="24"/>
          <w:szCs w:val="24"/>
        </w:rPr>
        <w:t xml:space="preserve">economic </w:t>
      </w:r>
      <w:r w:rsidR="003B5F2A">
        <w:rPr>
          <w:rFonts w:ascii="Times New Roman" w:hAnsi="Times New Roman" w:cs="Times New Roman"/>
          <w:sz w:val="24"/>
          <w:szCs w:val="24"/>
        </w:rPr>
        <w:t xml:space="preserve">policy changes </w:t>
      </w:r>
      <w:r w:rsidR="003643C2">
        <w:rPr>
          <w:rFonts w:ascii="Times New Roman" w:hAnsi="Times New Roman" w:cs="Times New Roman"/>
          <w:sz w:val="24"/>
          <w:szCs w:val="24"/>
        </w:rPr>
        <w:t>in the</w:t>
      </w:r>
      <w:r w:rsidR="003B5F2A">
        <w:rPr>
          <w:rFonts w:ascii="Times New Roman" w:hAnsi="Times New Roman" w:cs="Times New Roman"/>
          <w:sz w:val="24"/>
          <w:szCs w:val="24"/>
        </w:rPr>
        <w:t xml:space="preserve"> UK and US bec</w:t>
      </w:r>
      <w:r w:rsidR="001A66E5">
        <w:rPr>
          <w:rFonts w:ascii="Times New Roman" w:hAnsi="Times New Roman" w:cs="Times New Roman"/>
          <w:sz w:val="24"/>
          <w:szCs w:val="24"/>
        </w:rPr>
        <w:t>a</w:t>
      </w:r>
      <w:r w:rsidR="003B5F2A">
        <w:rPr>
          <w:rFonts w:ascii="Times New Roman" w:hAnsi="Times New Roman" w:cs="Times New Roman"/>
          <w:sz w:val="24"/>
          <w:szCs w:val="24"/>
        </w:rPr>
        <w:t>me</w:t>
      </w:r>
      <w:r w:rsidR="006F07E6">
        <w:rPr>
          <w:rFonts w:ascii="Times New Roman" w:hAnsi="Times New Roman" w:cs="Times New Roman"/>
          <w:sz w:val="24"/>
          <w:szCs w:val="24"/>
        </w:rPr>
        <w:t xml:space="preserve"> extremely</w:t>
      </w:r>
      <w:r w:rsidR="003B5F2A">
        <w:rPr>
          <w:rFonts w:ascii="Times New Roman" w:hAnsi="Times New Roman" w:cs="Times New Roman"/>
          <w:sz w:val="24"/>
          <w:szCs w:val="24"/>
        </w:rPr>
        <w:t xml:space="preserve"> uncertain</w:t>
      </w:r>
      <w:r w:rsidR="007A4FB8">
        <w:rPr>
          <w:rFonts w:ascii="Times New Roman" w:hAnsi="Times New Roman" w:cs="Times New Roman"/>
          <w:sz w:val="24"/>
          <w:szCs w:val="24"/>
        </w:rPr>
        <w:t xml:space="preserve"> </w:t>
      </w:r>
      <w:r w:rsidR="00494168">
        <w:rPr>
          <w:rFonts w:ascii="Times New Roman" w:hAnsi="Times New Roman" w:cs="Times New Roman"/>
          <w:sz w:val="24"/>
          <w:szCs w:val="24"/>
        </w:rPr>
        <w:t xml:space="preserve">because of </w:t>
      </w:r>
      <w:r w:rsidR="00F536CC">
        <w:rPr>
          <w:rFonts w:ascii="Times New Roman" w:hAnsi="Times New Roman" w:cs="Times New Roman"/>
          <w:sz w:val="24"/>
          <w:szCs w:val="24"/>
        </w:rPr>
        <w:t>WWII</w:t>
      </w:r>
      <w:r w:rsidR="000508A2" w:rsidRPr="006853EA">
        <w:rPr>
          <w:rFonts w:ascii="Times New Roman" w:hAnsi="Times New Roman" w:cs="Times New Roman"/>
          <w:sz w:val="24"/>
          <w:szCs w:val="24"/>
        </w:rPr>
        <w:t>, isolationist economic policies</w:t>
      </w:r>
      <w:r w:rsidR="00494168">
        <w:rPr>
          <w:rFonts w:ascii="Times New Roman" w:hAnsi="Times New Roman" w:cs="Times New Roman"/>
          <w:sz w:val="24"/>
          <w:szCs w:val="24"/>
        </w:rPr>
        <w:t>,</w:t>
      </w:r>
      <w:r w:rsidR="000508A2" w:rsidRPr="006853EA">
        <w:rPr>
          <w:rFonts w:ascii="Times New Roman" w:hAnsi="Times New Roman" w:cs="Times New Roman"/>
          <w:sz w:val="24"/>
          <w:szCs w:val="24"/>
        </w:rPr>
        <w:t xml:space="preserve"> and financial market instability</w:t>
      </w:r>
      <w:r w:rsidR="003B5F2A">
        <w:rPr>
          <w:rFonts w:ascii="Times New Roman" w:hAnsi="Times New Roman" w:cs="Times New Roman"/>
          <w:sz w:val="24"/>
          <w:szCs w:val="24"/>
        </w:rPr>
        <w:t>, their stock returns bec</w:t>
      </w:r>
      <w:r w:rsidR="00B52D06">
        <w:rPr>
          <w:rFonts w:ascii="Times New Roman" w:hAnsi="Times New Roman" w:cs="Times New Roman"/>
          <w:sz w:val="24"/>
          <w:szCs w:val="24"/>
        </w:rPr>
        <w:t>a</w:t>
      </w:r>
      <w:r w:rsidR="003B5F2A">
        <w:rPr>
          <w:rFonts w:ascii="Times New Roman" w:hAnsi="Times New Roman" w:cs="Times New Roman"/>
          <w:sz w:val="24"/>
          <w:szCs w:val="24"/>
        </w:rPr>
        <w:t xml:space="preserve">me </w:t>
      </w:r>
      <w:r w:rsidR="006F07E6">
        <w:rPr>
          <w:rFonts w:ascii="Times New Roman" w:hAnsi="Times New Roman" w:cs="Times New Roman"/>
          <w:sz w:val="24"/>
          <w:szCs w:val="24"/>
        </w:rPr>
        <w:t xml:space="preserve">more </w:t>
      </w:r>
      <w:r w:rsidR="003B5F2A">
        <w:rPr>
          <w:rFonts w:ascii="Times New Roman" w:hAnsi="Times New Roman" w:cs="Times New Roman"/>
          <w:sz w:val="24"/>
          <w:szCs w:val="24"/>
        </w:rPr>
        <w:t xml:space="preserve">volatile </w:t>
      </w:r>
      <w:r w:rsidR="00997CB0">
        <w:rPr>
          <w:rFonts w:ascii="Times New Roman" w:hAnsi="Times New Roman" w:cs="Times New Roman"/>
          <w:sz w:val="24"/>
          <w:szCs w:val="24"/>
        </w:rPr>
        <w:t>because</w:t>
      </w:r>
      <w:r w:rsidR="003B5F2A">
        <w:rPr>
          <w:rFonts w:ascii="Times New Roman" w:hAnsi="Times New Roman" w:cs="Times New Roman"/>
          <w:sz w:val="24"/>
          <w:szCs w:val="24"/>
        </w:rPr>
        <w:t xml:space="preserve"> of high</w:t>
      </w:r>
      <w:r w:rsidR="005270DF">
        <w:rPr>
          <w:rFonts w:ascii="Times New Roman" w:hAnsi="Times New Roman" w:cs="Times New Roman"/>
          <w:sz w:val="24"/>
          <w:szCs w:val="24"/>
        </w:rPr>
        <w:t xml:space="preserve"> </w:t>
      </w:r>
      <w:r w:rsidR="003B5F2A">
        <w:rPr>
          <w:rFonts w:ascii="Times New Roman" w:hAnsi="Times New Roman" w:cs="Times New Roman"/>
          <w:sz w:val="24"/>
          <w:szCs w:val="24"/>
        </w:rPr>
        <w:t>risk</w:t>
      </w:r>
      <w:r w:rsidR="005270DF">
        <w:rPr>
          <w:rFonts w:ascii="Times New Roman" w:hAnsi="Times New Roman" w:cs="Times New Roman"/>
          <w:sz w:val="24"/>
          <w:szCs w:val="24"/>
        </w:rPr>
        <w:t xml:space="preserve"> </w:t>
      </w:r>
      <w:r w:rsidR="003B5F2A">
        <w:rPr>
          <w:rFonts w:ascii="Times New Roman" w:hAnsi="Times New Roman" w:cs="Times New Roman"/>
          <w:sz w:val="24"/>
          <w:szCs w:val="24"/>
        </w:rPr>
        <w:t xml:space="preserve">premia, </w:t>
      </w:r>
      <w:r w:rsidR="00B52D06">
        <w:rPr>
          <w:rFonts w:ascii="Times New Roman" w:hAnsi="Times New Roman" w:cs="Times New Roman"/>
          <w:sz w:val="24"/>
          <w:szCs w:val="24"/>
        </w:rPr>
        <w:t xml:space="preserve">and </w:t>
      </w:r>
      <w:r w:rsidR="003B5F2A">
        <w:rPr>
          <w:rFonts w:ascii="Times New Roman" w:hAnsi="Times New Roman" w:cs="Times New Roman"/>
          <w:sz w:val="24"/>
          <w:szCs w:val="24"/>
        </w:rPr>
        <w:t>hence</w:t>
      </w:r>
      <w:r w:rsidR="00B52D06">
        <w:rPr>
          <w:rFonts w:ascii="Times New Roman" w:hAnsi="Times New Roman" w:cs="Times New Roman"/>
          <w:sz w:val="24"/>
          <w:szCs w:val="24"/>
        </w:rPr>
        <w:t xml:space="preserve"> that</w:t>
      </w:r>
      <w:r w:rsidR="005270DF">
        <w:rPr>
          <w:rFonts w:ascii="Times New Roman" w:hAnsi="Times New Roman" w:cs="Times New Roman"/>
          <w:sz w:val="24"/>
          <w:szCs w:val="24"/>
        </w:rPr>
        <w:t xml:space="preserve"> </w:t>
      </w:r>
      <w:r w:rsidR="00093CD8">
        <w:rPr>
          <w:rFonts w:ascii="Times New Roman" w:hAnsi="Times New Roman" w:cs="Times New Roman"/>
          <w:sz w:val="24"/>
          <w:szCs w:val="24"/>
        </w:rPr>
        <w:t>integration</w:t>
      </w:r>
      <w:r w:rsidR="003B5F2A">
        <w:rPr>
          <w:rFonts w:ascii="Times New Roman" w:hAnsi="Times New Roman" w:cs="Times New Roman"/>
          <w:sz w:val="24"/>
          <w:szCs w:val="24"/>
        </w:rPr>
        <w:t xml:space="preserve"> between the markets </w:t>
      </w:r>
      <w:r w:rsidR="00B52D06">
        <w:rPr>
          <w:rFonts w:ascii="Times New Roman" w:hAnsi="Times New Roman" w:cs="Times New Roman"/>
          <w:sz w:val="24"/>
          <w:szCs w:val="24"/>
        </w:rPr>
        <w:t>was</w:t>
      </w:r>
      <w:r w:rsidR="007A4FB8">
        <w:rPr>
          <w:rFonts w:ascii="Times New Roman" w:hAnsi="Times New Roman" w:cs="Times New Roman"/>
          <w:sz w:val="24"/>
          <w:szCs w:val="24"/>
        </w:rPr>
        <w:t xml:space="preserve"> </w:t>
      </w:r>
      <w:r w:rsidR="00093CD8">
        <w:rPr>
          <w:rFonts w:ascii="Times New Roman" w:hAnsi="Times New Roman" w:cs="Times New Roman"/>
          <w:sz w:val="24"/>
          <w:szCs w:val="24"/>
        </w:rPr>
        <w:t>limited</w:t>
      </w:r>
      <w:r w:rsidR="003B5F2A">
        <w:rPr>
          <w:rFonts w:ascii="Times New Roman" w:hAnsi="Times New Roman" w:cs="Times New Roman"/>
          <w:sz w:val="24"/>
          <w:szCs w:val="24"/>
        </w:rPr>
        <w:t>.</w:t>
      </w:r>
      <w:r w:rsidR="005270DF">
        <w:rPr>
          <w:rFonts w:ascii="Times New Roman" w:hAnsi="Times New Roman" w:cs="Times New Roman"/>
          <w:sz w:val="24"/>
          <w:szCs w:val="24"/>
        </w:rPr>
        <w:t xml:space="preserve"> </w:t>
      </w:r>
      <w:r w:rsidR="00F35EF7">
        <w:rPr>
          <w:rFonts w:ascii="Times New Roman" w:hAnsi="Times New Roman" w:cs="Times New Roman"/>
          <w:sz w:val="24"/>
          <w:szCs w:val="24"/>
        </w:rPr>
        <w:t>Accordingly</w:t>
      </w:r>
      <w:r w:rsidR="00324C14">
        <w:rPr>
          <w:rFonts w:ascii="Times New Roman" w:hAnsi="Times New Roman" w:cs="Times New Roman"/>
          <w:sz w:val="24"/>
          <w:szCs w:val="24"/>
        </w:rPr>
        <w:t xml:space="preserve">, the evidence seems supportive of </w:t>
      </w:r>
      <w:r w:rsidR="00494168">
        <w:rPr>
          <w:rFonts w:ascii="Times New Roman" w:hAnsi="Times New Roman" w:cs="Times New Roman"/>
          <w:sz w:val="24"/>
          <w:szCs w:val="24"/>
        </w:rPr>
        <w:t>our</w:t>
      </w:r>
      <w:r w:rsidR="00324C14">
        <w:rPr>
          <w:rFonts w:ascii="Times New Roman" w:hAnsi="Times New Roman" w:cs="Times New Roman"/>
          <w:sz w:val="24"/>
          <w:szCs w:val="24"/>
        </w:rPr>
        <w:t xml:space="preserve"> hypothesis</w:t>
      </w:r>
      <w:r w:rsidR="00F01F28">
        <w:rPr>
          <w:rFonts w:ascii="Times New Roman" w:hAnsi="Times New Roman" w:cs="Times New Roman"/>
          <w:sz w:val="24"/>
          <w:szCs w:val="24"/>
        </w:rPr>
        <w:t xml:space="preserve"> and corroborates Goetzmann’s (2005) finding</w:t>
      </w:r>
      <w:r w:rsidR="00324C14">
        <w:rPr>
          <w:rFonts w:ascii="Times New Roman" w:hAnsi="Times New Roman" w:cs="Times New Roman"/>
          <w:sz w:val="24"/>
          <w:szCs w:val="24"/>
        </w:rPr>
        <w:t xml:space="preserve"> that period</w:t>
      </w:r>
      <w:r w:rsidR="00B52D06">
        <w:rPr>
          <w:rFonts w:ascii="Times New Roman" w:hAnsi="Times New Roman" w:cs="Times New Roman"/>
          <w:sz w:val="24"/>
          <w:szCs w:val="24"/>
        </w:rPr>
        <w:t>s</w:t>
      </w:r>
      <w:r w:rsidR="00324C14">
        <w:rPr>
          <w:rFonts w:ascii="Times New Roman" w:hAnsi="Times New Roman" w:cs="Times New Roman"/>
          <w:sz w:val="24"/>
          <w:szCs w:val="24"/>
        </w:rPr>
        <w:t xml:space="preserve"> of war and significant tension lead to </w:t>
      </w:r>
      <w:r w:rsidR="00FA3493">
        <w:rPr>
          <w:rFonts w:ascii="Times New Roman" w:hAnsi="Times New Roman" w:cs="Times New Roman"/>
          <w:sz w:val="24"/>
          <w:szCs w:val="24"/>
        </w:rPr>
        <w:t>weak stock market integration</w:t>
      </w:r>
      <w:r w:rsidR="000E5941">
        <w:rPr>
          <w:rFonts w:ascii="Times New Roman" w:hAnsi="Times New Roman" w:cs="Times New Roman"/>
          <w:sz w:val="24"/>
          <w:szCs w:val="24"/>
        </w:rPr>
        <w:t>.</w:t>
      </w:r>
    </w:p>
    <w:p w:rsidR="00166050" w:rsidRPr="006853EA" w:rsidRDefault="00166050" w:rsidP="00AF6503">
      <w:pPr>
        <w:spacing w:after="0" w:line="480" w:lineRule="auto"/>
        <w:ind w:right="288" w:firstLine="720"/>
        <w:rPr>
          <w:rFonts w:ascii="Times New Roman" w:hAnsi="Times New Roman" w:cs="Times New Roman"/>
          <w:sz w:val="24"/>
          <w:szCs w:val="24"/>
        </w:rPr>
      </w:pPr>
      <w:r w:rsidRPr="006853EA">
        <w:rPr>
          <w:rFonts w:ascii="Times New Roman" w:hAnsi="Times New Roman" w:cs="Times New Roman"/>
          <w:sz w:val="24"/>
          <w:szCs w:val="24"/>
        </w:rPr>
        <w:t xml:space="preserve">Furthermore, </w:t>
      </w:r>
      <w:r w:rsidR="002073E3">
        <w:rPr>
          <w:rFonts w:ascii="Times New Roman" w:hAnsi="Times New Roman" w:cs="Times New Roman"/>
          <w:sz w:val="24"/>
          <w:szCs w:val="24"/>
        </w:rPr>
        <w:t xml:space="preserve">a </w:t>
      </w:r>
      <w:r w:rsidRPr="006853EA">
        <w:rPr>
          <w:rFonts w:ascii="Times New Roman" w:hAnsi="Times New Roman" w:cs="Times New Roman"/>
          <w:sz w:val="24"/>
          <w:szCs w:val="24"/>
        </w:rPr>
        <w:t xml:space="preserve">wide positive variation in stock correlations prevailed during the </w:t>
      </w:r>
      <w:r w:rsidR="00630ED4">
        <w:rPr>
          <w:rFonts w:ascii="Times New Roman" w:hAnsi="Times New Roman" w:cs="Times New Roman"/>
          <w:sz w:val="24"/>
          <w:szCs w:val="24"/>
        </w:rPr>
        <w:t>BW</w:t>
      </w:r>
      <w:r w:rsidR="00971466">
        <w:rPr>
          <w:rFonts w:ascii="Times New Roman" w:hAnsi="Times New Roman" w:cs="Times New Roman"/>
          <w:sz w:val="24"/>
          <w:szCs w:val="24"/>
        </w:rPr>
        <w:t xml:space="preserve"> period</w:t>
      </w:r>
      <w:r w:rsidRPr="006853EA">
        <w:rPr>
          <w:rFonts w:ascii="Times New Roman" w:hAnsi="Times New Roman" w:cs="Times New Roman"/>
          <w:sz w:val="24"/>
          <w:szCs w:val="24"/>
        </w:rPr>
        <w:t xml:space="preserve"> (1945–1971)</w:t>
      </w:r>
      <w:r w:rsidR="00B52D06">
        <w:rPr>
          <w:rFonts w:ascii="Times New Roman" w:hAnsi="Times New Roman" w:cs="Times New Roman"/>
          <w:sz w:val="24"/>
          <w:szCs w:val="24"/>
        </w:rPr>
        <w:t>,</w:t>
      </w:r>
      <w:r w:rsidR="007A4FB8">
        <w:rPr>
          <w:rFonts w:ascii="Times New Roman" w:hAnsi="Times New Roman" w:cs="Times New Roman"/>
          <w:sz w:val="24"/>
          <w:szCs w:val="24"/>
        </w:rPr>
        <w:t xml:space="preserve"> </w:t>
      </w:r>
      <w:r w:rsidRPr="006853EA">
        <w:rPr>
          <w:rFonts w:ascii="Times New Roman" w:hAnsi="Times New Roman" w:cs="Times New Roman"/>
          <w:sz w:val="24"/>
          <w:szCs w:val="24"/>
        </w:rPr>
        <w:t xml:space="preserve">though the estimated </w:t>
      </w:r>
      <w:r w:rsidR="00D923B9">
        <w:rPr>
          <w:rFonts w:ascii="Times New Roman" w:hAnsi="Times New Roman" w:cs="Times New Roman"/>
          <w:sz w:val="24"/>
          <w:szCs w:val="24"/>
        </w:rPr>
        <w:t>average</w:t>
      </w:r>
      <w:r w:rsidR="00337122">
        <w:rPr>
          <w:rFonts w:ascii="Times New Roman" w:hAnsi="Times New Roman" w:cs="Times New Roman"/>
          <w:sz w:val="24"/>
          <w:szCs w:val="24"/>
        </w:rPr>
        <w:t xml:space="preserve"> stock correlation</w:t>
      </w:r>
      <w:r w:rsidRPr="006853EA">
        <w:rPr>
          <w:rFonts w:ascii="Times New Roman" w:hAnsi="Times New Roman" w:cs="Times New Roman"/>
          <w:sz w:val="24"/>
          <w:szCs w:val="24"/>
        </w:rPr>
        <w:t xml:space="preserve"> decline</w:t>
      </w:r>
      <w:r w:rsidR="00B52D06">
        <w:rPr>
          <w:rFonts w:ascii="Times New Roman" w:hAnsi="Times New Roman" w:cs="Times New Roman"/>
          <w:sz w:val="24"/>
          <w:szCs w:val="24"/>
        </w:rPr>
        <w:t>d</w:t>
      </w:r>
      <w:r w:rsidR="007A4FB8">
        <w:rPr>
          <w:rFonts w:ascii="Times New Roman" w:hAnsi="Times New Roman" w:cs="Times New Roman"/>
          <w:sz w:val="24"/>
          <w:szCs w:val="24"/>
        </w:rPr>
        <w:t xml:space="preserve"> </w:t>
      </w:r>
      <w:r w:rsidR="00D923B9">
        <w:rPr>
          <w:rFonts w:ascii="Times New Roman" w:hAnsi="Times New Roman" w:cs="Times New Roman"/>
          <w:sz w:val="24"/>
          <w:szCs w:val="24"/>
        </w:rPr>
        <w:t>slightly to 0.192</w:t>
      </w:r>
      <w:r w:rsidRPr="006853EA">
        <w:rPr>
          <w:rFonts w:ascii="Times New Roman" w:hAnsi="Times New Roman" w:cs="Times New Roman"/>
          <w:sz w:val="24"/>
          <w:szCs w:val="24"/>
        </w:rPr>
        <w:t>.</w:t>
      </w:r>
      <w:r w:rsidR="007A4FB8">
        <w:rPr>
          <w:rFonts w:ascii="Times New Roman" w:hAnsi="Times New Roman" w:cs="Times New Roman"/>
          <w:sz w:val="24"/>
          <w:szCs w:val="24"/>
        </w:rPr>
        <w:t xml:space="preserve"> </w:t>
      </w:r>
      <w:r w:rsidR="001D55E8">
        <w:rPr>
          <w:rFonts w:ascii="Times New Roman" w:hAnsi="Times New Roman" w:cs="Times New Roman"/>
          <w:sz w:val="24"/>
          <w:szCs w:val="24"/>
        </w:rPr>
        <w:t>S</w:t>
      </w:r>
      <w:r w:rsidR="00DF21D0">
        <w:rPr>
          <w:rFonts w:ascii="Times New Roman" w:hAnsi="Times New Roman" w:cs="Times New Roman"/>
          <w:sz w:val="24"/>
          <w:szCs w:val="24"/>
        </w:rPr>
        <w:t>imilar</w:t>
      </w:r>
      <w:r w:rsidR="001D55E8">
        <w:rPr>
          <w:rFonts w:ascii="Times New Roman" w:hAnsi="Times New Roman" w:cs="Times New Roman"/>
          <w:sz w:val="24"/>
          <w:szCs w:val="24"/>
        </w:rPr>
        <w:t>ly</w:t>
      </w:r>
      <w:r w:rsidR="00DF21D0">
        <w:rPr>
          <w:rFonts w:ascii="Times New Roman" w:hAnsi="Times New Roman" w:cs="Times New Roman"/>
          <w:sz w:val="24"/>
          <w:szCs w:val="24"/>
        </w:rPr>
        <w:t xml:space="preserve">, </w:t>
      </w:r>
      <w:r w:rsidR="00AF245C">
        <w:rPr>
          <w:rFonts w:ascii="Times New Roman" w:hAnsi="Times New Roman" w:cs="Times New Roman"/>
          <w:sz w:val="24"/>
          <w:szCs w:val="24"/>
        </w:rPr>
        <w:t xml:space="preserve">the EPU correlation </w:t>
      </w:r>
      <w:r w:rsidR="00494168">
        <w:rPr>
          <w:rFonts w:ascii="Times New Roman" w:hAnsi="Times New Roman" w:cs="Times New Roman"/>
          <w:sz w:val="24"/>
          <w:szCs w:val="24"/>
        </w:rPr>
        <w:t xml:space="preserve">dropped </w:t>
      </w:r>
      <w:r w:rsidR="00DF21D0">
        <w:rPr>
          <w:rFonts w:ascii="Times New Roman" w:hAnsi="Times New Roman" w:cs="Times New Roman"/>
          <w:sz w:val="24"/>
          <w:szCs w:val="24"/>
        </w:rPr>
        <w:t>to an average of 0.215.</w:t>
      </w:r>
      <w:r w:rsidR="007A4FB8">
        <w:rPr>
          <w:rFonts w:ascii="Times New Roman" w:hAnsi="Times New Roman" w:cs="Times New Roman"/>
          <w:sz w:val="24"/>
          <w:szCs w:val="24"/>
        </w:rPr>
        <w:t xml:space="preserve"> </w:t>
      </w:r>
      <w:r w:rsidR="00494168">
        <w:rPr>
          <w:rFonts w:ascii="Times New Roman" w:hAnsi="Times New Roman" w:cs="Times New Roman"/>
          <w:sz w:val="24"/>
          <w:szCs w:val="24"/>
        </w:rPr>
        <w:t>T</w:t>
      </w:r>
      <w:r w:rsidR="00337122">
        <w:rPr>
          <w:rFonts w:ascii="Times New Roman" w:hAnsi="Times New Roman" w:cs="Times New Roman"/>
          <w:sz w:val="24"/>
          <w:szCs w:val="24"/>
        </w:rPr>
        <w:t>he</w:t>
      </w:r>
      <w:r w:rsidR="00494168">
        <w:rPr>
          <w:rFonts w:ascii="Times New Roman" w:hAnsi="Times New Roman" w:cs="Times New Roman"/>
          <w:sz w:val="24"/>
          <w:szCs w:val="24"/>
        </w:rPr>
        <w:t>se</w:t>
      </w:r>
      <w:r w:rsidRPr="006853EA">
        <w:rPr>
          <w:rFonts w:ascii="Times New Roman" w:hAnsi="Times New Roman" w:cs="Times New Roman"/>
          <w:sz w:val="24"/>
          <w:szCs w:val="24"/>
        </w:rPr>
        <w:t xml:space="preserve"> decrease</w:t>
      </w:r>
      <w:r w:rsidR="00494168">
        <w:rPr>
          <w:rFonts w:ascii="Times New Roman" w:hAnsi="Times New Roman" w:cs="Times New Roman"/>
          <w:sz w:val="24"/>
          <w:szCs w:val="24"/>
        </w:rPr>
        <w:t>s</w:t>
      </w:r>
      <w:r w:rsidR="007A4FB8">
        <w:rPr>
          <w:rFonts w:ascii="Times New Roman" w:hAnsi="Times New Roman" w:cs="Times New Roman"/>
          <w:sz w:val="24"/>
          <w:szCs w:val="24"/>
        </w:rPr>
        <w:t xml:space="preserve"> </w:t>
      </w:r>
      <w:r w:rsidR="00DF21D0">
        <w:rPr>
          <w:rFonts w:ascii="Times New Roman" w:hAnsi="Times New Roman" w:cs="Times New Roman"/>
          <w:sz w:val="24"/>
          <w:szCs w:val="24"/>
        </w:rPr>
        <w:t xml:space="preserve">may </w:t>
      </w:r>
      <w:r w:rsidRPr="006853EA">
        <w:rPr>
          <w:rFonts w:ascii="Times New Roman" w:hAnsi="Times New Roman" w:cs="Times New Roman"/>
          <w:sz w:val="24"/>
          <w:szCs w:val="24"/>
        </w:rPr>
        <w:t>be attributed to exchange rate constraints, excessive capital controls</w:t>
      </w:r>
      <w:r w:rsidR="00494168">
        <w:rPr>
          <w:rFonts w:ascii="Times New Roman" w:hAnsi="Times New Roman" w:cs="Times New Roman"/>
          <w:sz w:val="24"/>
          <w:szCs w:val="24"/>
        </w:rPr>
        <w:t>,</w:t>
      </w:r>
      <w:r w:rsidRPr="006853EA">
        <w:rPr>
          <w:rFonts w:ascii="Times New Roman" w:hAnsi="Times New Roman" w:cs="Times New Roman"/>
          <w:sz w:val="24"/>
          <w:szCs w:val="24"/>
        </w:rPr>
        <w:t xml:space="preserve"> and divergent macroeconomic policies</w:t>
      </w:r>
      <w:r w:rsidR="000C1AA6">
        <w:rPr>
          <w:rFonts w:ascii="Times New Roman" w:hAnsi="Times New Roman" w:cs="Times New Roman"/>
          <w:sz w:val="24"/>
          <w:szCs w:val="24"/>
        </w:rPr>
        <w:t xml:space="preserve"> prevalent under the BW fixed exchange rate regime</w:t>
      </w:r>
      <w:r w:rsidRPr="006853EA">
        <w:rPr>
          <w:rFonts w:ascii="Times New Roman" w:hAnsi="Times New Roman" w:cs="Times New Roman"/>
          <w:sz w:val="24"/>
          <w:szCs w:val="24"/>
        </w:rPr>
        <w:t xml:space="preserve">. We </w:t>
      </w:r>
      <w:r w:rsidR="00FA3493">
        <w:rPr>
          <w:rFonts w:ascii="Times New Roman" w:hAnsi="Times New Roman" w:cs="Times New Roman"/>
          <w:sz w:val="24"/>
          <w:szCs w:val="24"/>
        </w:rPr>
        <w:t>attribute the further weakening of stock</w:t>
      </w:r>
      <w:r w:rsidR="002073E3">
        <w:rPr>
          <w:rFonts w:ascii="Times New Roman" w:hAnsi="Times New Roman" w:cs="Times New Roman"/>
          <w:sz w:val="24"/>
          <w:szCs w:val="24"/>
        </w:rPr>
        <w:t xml:space="preserve"> market integration</w:t>
      </w:r>
      <w:r w:rsidRPr="006853EA">
        <w:rPr>
          <w:rFonts w:ascii="Times New Roman" w:hAnsi="Times New Roman" w:cs="Times New Roman"/>
          <w:sz w:val="24"/>
          <w:szCs w:val="24"/>
        </w:rPr>
        <w:t xml:space="preserve"> to the escalation of the Vietnam War and the simultaneous establishment of the Great Society </w:t>
      </w:r>
      <w:r w:rsidR="004A576E">
        <w:rPr>
          <w:rFonts w:ascii="Times New Roman" w:hAnsi="Times New Roman" w:cs="Times New Roman"/>
          <w:sz w:val="24"/>
          <w:szCs w:val="24"/>
        </w:rPr>
        <w:t>p</w:t>
      </w:r>
      <w:r w:rsidRPr="006853EA">
        <w:rPr>
          <w:rFonts w:ascii="Times New Roman" w:hAnsi="Times New Roman" w:cs="Times New Roman"/>
          <w:sz w:val="24"/>
          <w:szCs w:val="24"/>
        </w:rPr>
        <w:t>rogram</w:t>
      </w:r>
      <w:r w:rsidR="00494168">
        <w:rPr>
          <w:rFonts w:ascii="Times New Roman" w:hAnsi="Times New Roman" w:cs="Times New Roman"/>
          <w:sz w:val="24"/>
          <w:szCs w:val="24"/>
        </w:rPr>
        <w:t>,</w:t>
      </w:r>
      <w:r w:rsidRPr="006853EA">
        <w:rPr>
          <w:rFonts w:ascii="Times New Roman" w:hAnsi="Times New Roman" w:cs="Times New Roman"/>
          <w:sz w:val="24"/>
          <w:szCs w:val="24"/>
        </w:rPr>
        <w:t xml:space="preserve"> which led to </w:t>
      </w:r>
      <w:r w:rsidR="00494168">
        <w:rPr>
          <w:rFonts w:ascii="Times New Roman" w:hAnsi="Times New Roman" w:cs="Times New Roman"/>
          <w:sz w:val="24"/>
          <w:szCs w:val="24"/>
        </w:rPr>
        <w:t xml:space="preserve">faster </w:t>
      </w:r>
      <w:r w:rsidRPr="006853EA">
        <w:rPr>
          <w:rFonts w:ascii="Times New Roman" w:hAnsi="Times New Roman" w:cs="Times New Roman"/>
          <w:sz w:val="24"/>
          <w:szCs w:val="24"/>
        </w:rPr>
        <w:t>global inflation and rising balance</w:t>
      </w:r>
      <w:r w:rsidR="00494168">
        <w:rPr>
          <w:rFonts w:ascii="Times New Roman" w:hAnsi="Times New Roman" w:cs="Times New Roman"/>
          <w:sz w:val="24"/>
          <w:szCs w:val="24"/>
        </w:rPr>
        <w:t>-</w:t>
      </w:r>
      <w:r w:rsidRPr="006853EA">
        <w:rPr>
          <w:rFonts w:ascii="Times New Roman" w:hAnsi="Times New Roman" w:cs="Times New Roman"/>
          <w:sz w:val="24"/>
          <w:szCs w:val="24"/>
        </w:rPr>
        <w:t>of</w:t>
      </w:r>
      <w:r w:rsidR="00494168">
        <w:rPr>
          <w:rFonts w:ascii="Times New Roman" w:hAnsi="Times New Roman" w:cs="Times New Roman"/>
          <w:sz w:val="24"/>
          <w:szCs w:val="24"/>
        </w:rPr>
        <w:t>-</w:t>
      </w:r>
      <w:r w:rsidRPr="006853EA">
        <w:rPr>
          <w:rFonts w:ascii="Times New Roman" w:hAnsi="Times New Roman" w:cs="Times New Roman"/>
          <w:sz w:val="24"/>
          <w:szCs w:val="24"/>
        </w:rPr>
        <w:t>payment deficit</w:t>
      </w:r>
      <w:r w:rsidR="00264FD8">
        <w:rPr>
          <w:rFonts w:ascii="Times New Roman" w:hAnsi="Times New Roman" w:cs="Times New Roman"/>
          <w:sz w:val="24"/>
          <w:szCs w:val="24"/>
        </w:rPr>
        <w:t>s</w:t>
      </w:r>
      <w:r w:rsidR="00056E82">
        <w:rPr>
          <w:rFonts w:ascii="Times New Roman" w:hAnsi="Times New Roman" w:cs="Times New Roman"/>
          <w:sz w:val="24"/>
          <w:szCs w:val="24"/>
        </w:rPr>
        <w:t xml:space="preserve"> (</w:t>
      </w:r>
      <w:r w:rsidR="00056E82" w:rsidRPr="008529E4">
        <w:rPr>
          <w:rFonts w:ascii="Times New Roman" w:hAnsi="Times New Roman" w:cs="Times New Roman"/>
          <w:sz w:val="24"/>
          <w:szCs w:val="24"/>
        </w:rPr>
        <w:t>Eichengreen</w:t>
      </w:r>
      <w:r w:rsidR="005270DF">
        <w:rPr>
          <w:rFonts w:ascii="Times New Roman" w:hAnsi="Times New Roman" w:cs="Times New Roman"/>
          <w:sz w:val="24"/>
          <w:szCs w:val="24"/>
        </w:rPr>
        <w:t xml:space="preserve"> </w:t>
      </w:r>
      <w:r w:rsidR="00F220C4">
        <w:rPr>
          <w:rFonts w:ascii="Times New Roman" w:hAnsi="Times New Roman" w:cs="Times New Roman"/>
          <w:sz w:val="24"/>
          <w:szCs w:val="24"/>
        </w:rPr>
        <w:t>&amp;</w:t>
      </w:r>
      <w:r w:rsidR="005270DF">
        <w:rPr>
          <w:rFonts w:ascii="Times New Roman" w:hAnsi="Times New Roman" w:cs="Times New Roman"/>
          <w:sz w:val="24"/>
          <w:szCs w:val="24"/>
        </w:rPr>
        <w:t xml:space="preserve"> </w:t>
      </w:r>
      <w:r w:rsidR="00056E82" w:rsidRPr="008529E4">
        <w:rPr>
          <w:rFonts w:ascii="Times New Roman" w:hAnsi="Times New Roman" w:cs="Times New Roman"/>
          <w:sz w:val="24"/>
          <w:szCs w:val="24"/>
        </w:rPr>
        <w:t>Sussman, 2000</w:t>
      </w:r>
      <w:r w:rsidR="00056E82">
        <w:rPr>
          <w:rFonts w:ascii="Times New Roman" w:hAnsi="Times New Roman" w:cs="Times New Roman"/>
          <w:sz w:val="24"/>
          <w:szCs w:val="24"/>
        </w:rPr>
        <w:t>)</w:t>
      </w:r>
      <w:r w:rsidRPr="006853EA">
        <w:rPr>
          <w:rFonts w:ascii="Times New Roman" w:hAnsi="Times New Roman" w:cs="Times New Roman"/>
          <w:sz w:val="24"/>
          <w:szCs w:val="24"/>
        </w:rPr>
        <w:t>.</w:t>
      </w:r>
      <w:r w:rsidR="005270DF">
        <w:rPr>
          <w:rFonts w:ascii="Times New Roman" w:hAnsi="Times New Roman" w:cs="Times New Roman"/>
          <w:sz w:val="24"/>
          <w:szCs w:val="24"/>
        </w:rPr>
        <w:t xml:space="preserve"> </w:t>
      </w:r>
      <w:r w:rsidR="00F35EF7">
        <w:rPr>
          <w:rFonts w:ascii="Times New Roman" w:hAnsi="Times New Roman" w:cs="Times New Roman"/>
          <w:sz w:val="24"/>
          <w:szCs w:val="24"/>
        </w:rPr>
        <w:t xml:space="preserve">Thus, the evidence </w:t>
      </w:r>
      <w:r w:rsidR="00494168">
        <w:rPr>
          <w:rFonts w:ascii="Times New Roman" w:hAnsi="Times New Roman" w:cs="Times New Roman"/>
          <w:sz w:val="24"/>
          <w:szCs w:val="24"/>
        </w:rPr>
        <w:t xml:space="preserve">does not </w:t>
      </w:r>
      <w:r w:rsidR="00F35EF7">
        <w:rPr>
          <w:rFonts w:ascii="Times New Roman" w:hAnsi="Times New Roman" w:cs="Times New Roman"/>
          <w:sz w:val="24"/>
          <w:szCs w:val="24"/>
        </w:rPr>
        <w:t xml:space="preserve">support the hypothesis that </w:t>
      </w:r>
      <w:r w:rsidR="00B52D06">
        <w:rPr>
          <w:rFonts w:ascii="Times New Roman" w:hAnsi="Times New Roman" w:cs="Times New Roman"/>
          <w:sz w:val="24"/>
          <w:szCs w:val="24"/>
        </w:rPr>
        <w:t xml:space="preserve">a </w:t>
      </w:r>
      <w:r w:rsidR="00F35EF7">
        <w:rPr>
          <w:rFonts w:ascii="Times New Roman" w:hAnsi="Times New Roman" w:cs="Times New Roman"/>
          <w:sz w:val="24"/>
          <w:szCs w:val="24"/>
        </w:rPr>
        <w:t>fixed exchange rate regime, macroeconomic stability</w:t>
      </w:r>
      <w:r w:rsidR="00494168">
        <w:rPr>
          <w:rFonts w:ascii="Times New Roman" w:hAnsi="Times New Roman" w:cs="Times New Roman"/>
          <w:sz w:val="24"/>
          <w:szCs w:val="24"/>
        </w:rPr>
        <w:t>,</w:t>
      </w:r>
      <w:r w:rsidR="00F35EF7">
        <w:rPr>
          <w:rFonts w:ascii="Times New Roman" w:hAnsi="Times New Roman" w:cs="Times New Roman"/>
          <w:sz w:val="24"/>
          <w:szCs w:val="24"/>
        </w:rPr>
        <w:t xml:space="preserve"> and low financial volatility lead to higher stock market integration</w:t>
      </w:r>
      <w:r w:rsidR="000E5941">
        <w:rPr>
          <w:rFonts w:ascii="Times New Roman" w:hAnsi="Times New Roman" w:cs="Times New Roman"/>
          <w:sz w:val="24"/>
          <w:szCs w:val="24"/>
        </w:rPr>
        <w:t>.</w:t>
      </w:r>
    </w:p>
    <w:p w:rsidR="00BE7CDC" w:rsidRDefault="00494168" w:rsidP="00AF6503">
      <w:pPr>
        <w:tabs>
          <w:tab w:val="left" w:pos="3686"/>
        </w:tabs>
        <w:spacing w:after="0" w:line="480" w:lineRule="auto"/>
        <w:ind w:right="288" w:firstLine="720"/>
        <w:rPr>
          <w:rFonts w:ascii="Times New Roman" w:hAnsi="Times New Roman" w:cs="Times New Roman"/>
          <w:sz w:val="24"/>
          <w:szCs w:val="24"/>
        </w:rPr>
      </w:pPr>
      <w:r>
        <w:rPr>
          <w:rFonts w:ascii="Times New Roman" w:hAnsi="Times New Roman" w:cs="Times New Roman"/>
          <w:sz w:val="24"/>
          <w:szCs w:val="24"/>
        </w:rPr>
        <w:lastRenderedPageBreak/>
        <w:t>T</w:t>
      </w:r>
      <w:r w:rsidR="00166050" w:rsidRPr="006853EA">
        <w:rPr>
          <w:rFonts w:ascii="Times New Roman" w:hAnsi="Times New Roman" w:cs="Times New Roman"/>
          <w:sz w:val="24"/>
          <w:szCs w:val="24"/>
        </w:rPr>
        <w:t>he collapse of the fixed exchan</w:t>
      </w:r>
      <w:r w:rsidR="004C3A67">
        <w:rPr>
          <w:rFonts w:ascii="Times New Roman" w:hAnsi="Times New Roman" w:cs="Times New Roman"/>
          <w:sz w:val="24"/>
          <w:szCs w:val="24"/>
        </w:rPr>
        <w:t xml:space="preserve">ge rate regime in 1971 triggered </w:t>
      </w:r>
      <w:r w:rsidR="00DD4954">
        <w:rPr>
          <w:rFonts w:ascii="Times New Roman" w:hAnsi="Times New Roman" w:cs="Times New Roman"/>
          <w:sz w:val="24"/>
          <w:szCs w:val="24"/>
        </w:rPr>
        <w:t>more</w:t>
      </w:r>
      <w:r w:rsidR="00BA5D19">
        <w:rPr>
          <w:rFonts w:ascii="Times New Roman" w:hAnsi="Times New Roman" w:cs="Times New Roman"/>
          <w:sz w:val="24"/>
          <w:szCs w:val="24"/>
        </w:rPr>
        <w:t xml:space="preserve"> volatility</w:t>
      </w:r>
      <w:r>
        <w:rPr>
          <w:rFonts w:ascii="Times New Roman" w:hAnsi="Times New Roman" w:cs="Times New Roman"/>
          <w:sz w:val="24"/>
          <w:szCs w:val="24"/>
        </w:rPr>
        <w:t>,</w:t>
      </w:r>
      <w:r w:rsidR="00166050" w:rsidRPr="006853EA">
        <w:rPr>
          <w:rFonts w:ascii="Times New Roman" w:hAnsi="Times New Roman" w:cs="Times New Roman"/>
          <w:sz w:val="24"/>
          <w:szCs w:val="24"/>
        </w:rPr>
        <w:t xml:space="preserve"> with </w:t>
      </w:r>
      <w:r w:rsidR="00E5299B">
        <w:rPr>
          <w:rFonts w:ascii="Times New Roman" w:hAnsi="Times New Roman" w:cs="Times New Roman"/>
          <w:sz w:val="24"/>
          <w:szCs w:val="24"/>
        </w:rPr>
        <w:t>average</w:t>
      </w:r>
      <w:r w:rsidR="00166050" w:rsidRPr="006853EA">
        <w:rPr>
          <w:rFonts w:ascii="Times New Roman" w:hAnsi="Times New Roman" w:cs="Times New Roman"/>
          <w:sz w:val="24"/>
          <w:szCs w:val="24"/>
        </w:rPr>
        <w:t xml:space="preserve"> stock correlation increasing </w:t>
      </w:r>
      <w:r w:rsidR="00E5299B">
        <w:rPr>
          <w:rFonts w:ascii="Times New Roman" w:hAnsi="Times New Roman" w:cs="Times New Roman"/>
          <w:sz w:val="24"/>
          <w:szCs w:val="24"/>
        </w:rPr>
        <w:t>significantly</w:t>
      </w:r>
      <w:r w:rsidR="00143290">
        <w:rPr>
          <w:rFonts w:ascii="Times New Roman" w:hAnsi="Times New Roman" w:cs="Times New Roman"/>
          <w:sz w:val="24"/>
          <w:szCs w:val="24"/>
        </w:rPr>
        <w:t xml:space="preserve"> </w:t>
      </w:r>
      <w:r w:rsidR="008E2245">
        <w:rPr>
          <w:rFonts w:ascii="Times New Roman" w:hAnsi="Times New Roman" w:cs="Times New Roman"/>
          <w:sz w:val="24"/>
          <w:szCs w:val="24"/>
        </w:rPr>
        <w:t>to 0.381</w:t>
      </w:r>
      <w:r w:rsidR="00166050" w:rsidRPr="006853EA">
        <w:rPr>
          <w:rFonts w:ascii="Times New Roman" w:hAnsi="Times New Roman" w:cs="Times New Roman"/>
          <w:sz w:val="24"/>
          <w:szCs w:val="24"/>
        </w:rPr>
        <w:t>.</w:t>
      </w:r>
      <w:r w:rsidR="00143290">
        <w:rPr>
          <w:rFonts w:ascii="Times New Roman" w:hAnsi="Times New Roman" w:cs="Times New Roman"/>
          <w:sz w:val="24"/>
          <w:szCs w:val="24"/>
        </w:rPr>
        <w:t xml:space="preserve"> </w:t>
      </w:r>
      <w:r>
        <w:rPr>
          <w:rFonts w:ascii="Times New Roman" w:hAnsi="Times New Roman" w:cs="Times New Roman"/>
          <w:sz w:val="24"/>
          <w:szCs w:val="24"/>
        </w:rPr>
        <w:t>In contrast</w:t>
      </w:r>
      <w:r w:rsidR="008E2245">
        <w:rPr>
          <w:rFonts w:ascii="Times New Roman" w:hAnsi="Times New Roman" w:cs="Times New Roman"/>
          <w:sz w:val="24"/>
          <w:szCs w:val="24"/>
        </w:rPr>
        <w:t>, the EPU correlation decline</w:t>
      </w:r>
      <w:r w:rsidR="00B52D06">
        <w:rPr>
          <w:rFonts w:ascii="Times New Roman" w:hAnsi="Times New Roman" w:cs="Times New Roman"/>
          <w:sz w:val="24"/>
          <w:szCs w:val="24"/>
        </w:rPr>
        <w:t>d</w:t>
      </w:r>
      <w:r w:rsidR="008E2245">
        <w:rPr>
          <w:rFonts w:ascii="Times New Roman" w:hAnsi="Times New Roman" w:cs="Times New Roman"/>
          <w:sz w:val="24"/>
          <w:szCs w:val="24"/>
        </w:rPr>
        <w:t xml:space="preserve"> further to 0.201. Seemingly,</w:t>
      </w:r>
      <w:r w:rsidR="00166050" w:rsidRPr="006853EA">
        <w:rPr>
          <w:rFonts w:ascii="Times New Roman" w:hAnsi="Times New Roman" w:cs="Times New Roman"/>
          <w:sz w:val="24"/>
          <w:szCs w:val="24"/>
        </w:rPr>
        <w:t xml:space="preserve"> many developed countries adopted floating exchange rate</w:t>
      </w:r>
      <w:r w:rsidR="002073E3">
        <w:rPr>
          <w:rFonts w:ascii="Times New Roman" w:hAnsi="Times New Roman" w:cs="Times New Roman"/>
          <w:sz w:val="24"/>
          <w:szCs w:val="24"/>
        </w:rPr>
        <w:t>s</w:t>
      </w:r>
      <w:r w:rsidR="004D2FC7">
        <w:rPr>
          <w:rFonts w:ascii="Times New Roman" w:hAnsi="Times New Roman" w:cs="Times New Roman"/>
          <w:sz w:val="24"/>
          <w:szCs w:val="24"/>
        </w:rPr>
        <w:t>,</w:t>
      </w:r>
      <w:r w:rsidR="00143290">
        <w:rPr>
          <w:rFonts w:ascii="Times New Roman" w:hAnsi="Times New Roman" w:cs="Times New Roman"/>
          <w:sz w:val="24"/>
          <w:szCs w:val="24"/>
        </w:rPr>
        <w:t xml:space="preserve"> </w:t>
      </w:r>
      <w:r w:rsidR="00166050" w:rsidRPr="006853EA">
        <w:rPr>
          <w:rFonts w:ascii="Times New Roman" w:hAnsi="Times New Roman" w:cs="Times New Roman"/>
          <w:sz w:val="24"/>
          <w:szCs w:val="24"/>
        </w:rPr>
        <w:t>which</w:t>
      </w:r>
      <w:r w:rsidR="00143290">
        <w:rPr>
          <w:rFonts w:ascii="Times New Roman" w:hAnsi="Times New Roman" w:cs="Times New Roman"/>
          <w:sz w:val="24"/>
          <w:szCs w:val="24"/>
        </w:rPr>
        <w:t xml:space="preserve"> </w:t>
      </w:r>
      <w:r w:rsidR="00267739" w:rsidRPr="006853EA">
        <w:rPr>
          <w:rFonts w:ascii="Times New Roman" w:hAnsi="Times New Roman" w:cs="Times New Roman"/>
          <w:sz w:val="24"/>
          <w:szCs w:val="24"/>
        </w:rPr>
        <w:t>inevitably</w:t>
      </w:r>
      <w:r w:rsidR="00166050" w:rsidRPr="006853EA">
        <w:rPr>
          <w:rFonts w:ascii="Times New Roman" w:hAnsi="Times New Roman" w:cs="Times New Roman"/>
          <w:sz w:val="24"/>
          <w:szCs w:val="24"/>
        </w:rPr>
        <w:t xml:space="preserve"> increased </w:t>
      </w:r>
      <w:r w:rsidR="00337122">
        <w:rPr>
          <w:rFonts w:ascii="Times New Roman" w:hAnsi="Times New Roman" w:cs="Times New Roman"/>
          <w:sz w:val="24"/>
          <w:szCs w:val="24"/>
        </w:rPr>
        <w:t xml:space="preserve">the </w:t>
      </w:r>
      <w:r w:rsidR="00166050" w:rsidRPr="006853EA">
        <w:rPr>
          <w:rFonts w:ascii="Times New Roman" w:hAnsi="Times New Roman" w:cs="Times New Roman"/>
          <w:sz w:val="24"/>
          <w:szCs w:val="24"/>
        </w:rPr>
        <w:t>unpredictability of exchange rates</w:t>
      </w:r>
      <w:r w:rsidR="008E2245">
        <w:rPr>
          <w:rFonts w:ascii="Times New Roman" w:hAnsi="Times New Roman" w:cs="Times New Roman"/>
          <w:sz w:val="24"/>
          <w:szCs w:val="24"/>
        </w:rPr>
        <w:t>,</w:t>
      </w:r>
      <w:r w:rsidR="00166050" w:rsidRPr="006853EA">
        <w:rPr>
          <w:rFonts w:ascii="Times New Roman" w:hAnsi="Times New Roman" w:cs="Times New Roman"/>
          <w:sz w:val="24"/>
          <w:szCs w:val="24"/>
        </w:rPr>
        <w:t xml:space="preserve"> economic</w:t>
      </w:r>
      <w:r w:rsidR="00143290">
        <w:rPr>
          <w:rFonts w:ascii="Times New Roman" w:hAnsi="Times New Roman" w:cs="Times New Roman"/>
          <w:sz w:val="24"/>
          <w:szCs w:val="24"/>
        </w:rPr>
        <w:t xml:space="preserve"> </w:t>
      </w:r>
      <w:r w:rsidR="008E2245">
        <w:rPr>
          <w:rFonts w:ascii="Times New Roman" w:hAnsi="Times New Roman" w:cs="Times New Roman"/>
          <w:sz w:val="24"/>
          <w:szCs w:val="24"/>
        </w:rPr>
        <w:t>volatility</w:t>
      </w:r>
      <w:r w:rsidR="004D2FC7">
        <w:rPr>
          <w:rFonts w:ascii="Times New Roman" w:hAnsi="Times New Roman" w:cs="Times New Roman"/>
          <w:sz w:val="24"/>
          <w:szCs w:val="24"/>
        </w:rPr>
        <w:t>,</w:t>
      </w:r>
      <w:r w:rsidR="008E2245">
        <w:rPr>
          <w:rFonts w:ascii="Times New Roman" w:hAnsi="Times New Roman" w:cs="Times New Roman"/>
          <w:sz w:val="24"/>
          <w:szCs w:val="24"/>
        </w:rPr>
        <w:t xml:space="preserve"> and policy uncertainty</w:t>
      </w:r>
      <w:r w:rsidR="00C72B60">
        <w:rPr>
          <w:rFonts w:ascii="Times New Roman" w:hAnsi="Times New Roman" w:cs="Times New Roman"/>
          <w:sz w:val="24"/>
          <w:szCs w:val="24"/>
        </w:rPr>
        <w:t xml:space="preserve">. However, </w:t>
      </w:r>
      <w:r w:rsidR="004D2FC7" w:rsidRPr="006853EA">
        <w:rPr>
          <w:rFonts w:ascii="Times New Roman" w:hAnsi="Times New Roman" w:cs="Times New Roman"/>
          <w:sz w:val="24"/>
          <w:szCs w:val="24"/>
        </w:rPr>
        <w:t xml:space="preserve">since the end of the </w:t>
      </w:r>
      <w:r w:rsidR="004D2FC7">
        <w:rPr>
          <w:rFonts w:ascii="Times New Roman" w:hAnsi="Times New Roman" w:cs="Times New Roman"/>
          <w:sz w:val="24"/>
          <w:szCs w:val="24"/>
        </w:rPr>
        <w:t>BW</w:t>
      </w:r>
      <w:r w:rsidR="004D2FC7" w:rsidRPr="006853EA">
        <w:rPr>
          <w:rFonts w:ascii="Times New Roman" w:hAnsi="Times New Roman" w:cs="Times New Roman"/>
          <w:sz w:val="24"/>
          <w:szCs w:val="24"/>
        </w:rPr>
        <w:t xml:space="preserve"> system</w:t>
      </w:r>
      <w:r w:rsidR="00143290">
        <w:rPr>
          <w:rFonts w:ascii="Times New Roman" w:hAnsi="Times New Roman" w:cs="Times New Roman"/>
          <w:sz w:val="24"/>
          <w:szCs w:val="24"/>
        </w:rPr>
        <w:t xml:space="preserve"> </w:t>
      </w:r>
      <w:r w:rsidR="004D2FC7">
        <w:rPr>
          <w:rFonts w:ascii="Times New Roman" w:hAnsi="Times New Roman" w:cs="Times New Roman"/>
          <w:sz w:val="24"/>
          <w:szCs w:val="24"/>
        </w:rPr>
        <w:t xml:space="preserve">the </w:t>
      </w:r>
      <w:r w:rsidR="00237F62">
        <w:rPr>
          <w:rFonts w:ascii="Times New Roman" w:hAnsi="Times New Roman" w:cs="Times New Roman"/>
          <w:sz w:val="24"/>
          <w:szCs w:val="24"/>
        </w:rPr>
        <w:t>c</w:t>
      </w:r>
      <w:r w:rsidR="00166050" w:rsidRPr="006853EA">
        <w:rPr>
          <w:rFonts w:ascii="Times New Roman" w:hAnsi="Times New Roman" w:cs="Times New Roman"/>
          <w:sz w:val="24"/>
          <w:szCs w:val="24"/>
        </w:rPr>
        <w:t xml:space="preserve">entral </w:t>
      </w:r>
      <w:r w:rsidR="00237F62">
        <w:rPr>
          <w:rFonts w:ascii="Times New Roman" w:hAnsi="Times New Roman" w:cs="Times New Roman"/>
          <w:sz w:val="24"/>
          <w:szCs w:val="24"/>
        </w:rPr>
        <w:t>b</w:t>
      </w:r>
      <w:r w:rsidR="00166050" w:rsidRPr="006853EA">
        <w:rPr>
          <w:rFonts w:ascii="Times New Roman" w:hAnsi="Times New Roman" w:cs="Times New Roman"/>
          <w:sz w:val="24"/>
          <w:szCs w:val="24"/>
        </w:rPr>
        <w:t xml:space="preserve">anks of </w:t>
      </w:r>
      <w:r w:rsidR="004D2FC7">
        <w:rPr>
          <w:rFonts w:ascii="Times New Roman" w:hAnsi="Times New Roman" w:cs="Times New Roman"/>
          <w:sz w:val="24"/>
          <w:szCs w:val="24"/>
        </w:rPr>
        <w:t xml:space="preserve">the </w:t>
      </w:r>
      <w:r w:rsidR="00166050" w:rsidRPr="006853EA">
        <w:rPr>
          <w:rFonts w:ascii="Times New Roman" w:hAnsi="Times New Roman" w:cs="Times New Roman"/>
          <w:sz w:val="24"/>
          <w:szCs w:val="24"/>
        </w:rPr>
        <w:t>leading developed economies (US, UK, Japan</w:t>
      </w:r>
      <w:r w:rsidR="004D2FC7">
        <w:rPr>
          <w:rFonts w:ascii="Times New Roman" w:hAnsi="Times New Roman" w:cs="Times New Roman"/>
          <w:sz w:val="24"/>
          <w:szCs w:val="24"/>
        </w:rPr>
        <w:t>,</w:t>
      </w:r>
      <w:r w:rsidR="00166050" w:rsidRPr="006853EA">
        <w:rPr>
          <w:rFonts w:ascii="Times New Roman" w:hAnsi="Times New Roman" w:cs="Times New Roman"/>
          <w:sz w:val="24"/>
          <w:szCs w:val="24"/>
        </w:rPr>
        <w:t xml:space="preserve"> and Germany) </w:t>
      </w:r>
      <w:r w:rsidR="004D2FC7">
        <w:rPr>
          <w:rFonts w:ascii="Times New Roman" w:hAnsi="Times New Roman" w:cs="Times New Roman"/>
          <w:sz w:val="24"/>
          <w:szCs w:val="24"/>
        </w:rPr>
        <w:t xml:space="preserve">have cooperated informally </w:t>
      </w:r>
      <w:r w:rsidR="00166050" w:rsidRPr="006853EA">
        <w:rPr>
          <w:rFonts w:ascii="Times New Roman" w:hAnsi="Times New Roman" w:cs="Times New Roman"/>
          <w:sz w:val="24"/>
          <w:szCs w:val="24"/>
        </w:rPr>
        <w:t>to safeguard the integrity of the international monetary system, prevent fi</w:t>
      </w:r>
      <w:r w:rsidR="00337122">
        <w:rPr>
          <w:rFonts w:ascii="Times New Roman" w:hAnsi="Times New Roman" w:cs="Times New Roman"/>
          <w:sz w:val="24"/>
          <w:szCs w:val="24"/>
        </w:rPr>
        <w:t>nancial instability</w:t>
      </w:r>
      <w:r w:rsidR="004D2FC7">
        <w:rPr>
          <w:rFonts w:ascii="Times New Roman" w:hAnsi="Times New Roman" w:cs="Times New Roman"/>
          <w:sz w:val="24"/>
          <w:szCs w:val="24"/>
        </w:rPr>
        <w:t>,</w:t>
      </w:r>
      <w:r w:rsidR="00337122">
        <w:rPr>
          <w:rFonts w:ascii="Times New Roman" w:hAnsi="Times New Roman" w:cs="Times New Roman"/>
          <w:sz w:val="24"/>
          <w:szCs w:val="24"/>
        </w:rPr>
        <w:t xml:space="preserve"> and stabili</w:t>
      </w:r>
      <w:r w:rsidR="004D2FC7">
        <w:rPr>
          <w:rFonts w:ascii="Times New Roman" w:hAnsi="Times New Roman" w:cs="Times New Roman"/>
          <w:sz w:val="24"/>
          <w:szCs w:val="24"/>
        </w:rPr>
        <w:t>z</w:t>
      </w:r>
      <w:r w:rsidR="00166050" w:rsidRPr="006853EA">
        <w:rPr>
          <w:rFonts w:ascii="Times New Roman" w:hAnsi="Times New Roman" w:cs="Times New Roman"/>
          <w:sz w:val="24"/>
          <w:szCs w:val="24"/>
        </w:rPr>
        <w:t xml:space="preserve">e exchange rates </w:t>
      </w:r>
      <w:r w:rsidR="00BA5D19">
        <w:rPr>
          <w:rFonts w:ascii="Times New Roman" w:hAnsi="Times New Roman" w:cs="Times New Roman"/>
          <w:sz w:val="24"/>
          <w:szCs w:val="24"/>
        </w:rPr>
        <w:t xml:space="preserve">through interventions </w:t>
      </w:r>
      <w:r w:rsidR="00166050" w:rsidRPr="006853EA">
        <w:rPr>
          <w:rFonts w:ascii="Times New Roman" w:hAnsi="Times New Roman" w:cs="Times New Roman"/>
          <w:sz w:val="24"/>
          <w:szCs w:val="24"/>
        </w:rPr>
        <w:t xml:space="preserve">in the currency markets. </w:t>
      </w:r>
      <w:r w:rsidR="00BE7CDC">
        <w:rPr>
          <w:rFonts w:ascii="Times New Roman" w:hAnsi="Times New Roman" w:cs="Times New Roman"/>
          <w:sz w:val="24"/>
          <w:szCs w:val="24"/>
        </w:rPr>
        <w:t xml:space="preserve">The </w:t>
      </w:r>
      <w:r w:rsidR="00207337" w:rsidRPr="00207337">
        <w:rPr>
          <w:rFonts w:ascii="Times New Roman" w:hAnsi="Times New Roman" w:cs="Times New Roman"/>
          <w:i/>
          <w:sz w:val="24"/>
          <w:szCs w:val="24"/>
        </w:rPr>
        <w:t>prima facie</w:t>
      </w:r>
      <w:r w:rsidR="00BE7CDC">
        <w:rPr>
          <w:rFonts w:ascii="Times New Roman" w:hAnsi="Times New Roman" w:cs="Times New Roman"/>
          <w:sz w:val="24"/>
          <w:szCs w:val="24"/>
        </w:rPr>
        <w:t xml:space="preserve"> evidence seems to indicate </w:t>
      </w:r>
      <w:r w:rsidR="00BA5D19">
        <w:rPr>
          <w:rFonts w:ascii="Times New Roman" w:hAnsi="Times New Roman" w:cs="Times New Roman"/>
          <w:sz w:val="24"/>
          <w:szCs w:val="24"/>
        </w:rPr>
        <w:t xml:space="preserve">that </w:t>
      </w:r>
      <w:r w:rsidR="00BE7CDC">
        <w:rPr>
          <w:rFonts w:ascii="Times New Roman" w:hAnsi="Times New Roman" w:cs="Times New Roman"/>
          <w:sz w:val="24"/>
          <w:szCs w:val="24"/>
        </w:rPr>
        <w:t>cris</w:t>
      </w:r>
      <w:r w:rsidR="004D2FC7">
        <w:rPr>
          <w:rFonts w:ascii="Times New Roman" w:hAnsi="Times New Roman" w:cs="Times New Roman"/>
          <w:sz w:val="24"/>
          <w:szCs w:val="24"/>
        </w:rPr>
        <w:t>e</w:t>
      </w:r>
      <w:r w:rsidR="00BE7CDC">
        <w:rPr>
          <w:rFonts w:ascii="Times New Roman" w:hAnsi="Times New Roman" w:cs="Times New Roman"/>
          <w:sz w:val="24"/>
          <w:szCs w:val="24"/>
        </w:rPr>
        <w:t>s (e.g.</w:t>
      </w:r>
      <w:r w:rsidR="00143290">
        <w:rPr>
          <w:rFonts w:ascii="Times New Roman" w:hAnsi="Times New Roman" w:cs="Times New Roman"/>
          <w:sz w:val="24"/>
          <w:szCs w:val="24"/>
        </w:rPr>
        <w:t xml:space="preserve"> </w:t>
      </w:r>
      <w:r w:rsidR="00B93935">
        <w:rPr>
          <w:rFonts w:ascii="Times New Roman" w:hAnsi="Times New Roman" w:cs="Times New Roman"/>
          <w:sz w:val="24"/>
          <w:szCs w:val="24"/>
        </w:rPr>
        <w:t xml:space="preserve">the </w:t>
      </w:r>
      <w:r w:rsidR="00BE7CDC">
        <w:rPr>
          <w:rFonts w:ascii="Times New Roman" w:hAnsi="Times New Roman" w:cs="Times New Roman"/>
          <w:sz w:val="24"/>
          <w:szCs w:val="24"/>
        </w:rPr>
        <w:t xml:space="preserve">October 1987 stock market crash, Asian and Russian </w:t>
      </w:r>
      <w:r w:rsidR="004D2FC7">
        <w:rPr>
          <w:rFonts w:ascii="Times New Roman" w:hAnsi="Times New Roman" w:cs="Times New Roman"/>
          <w:sz w:val="24"/>
          <w:szCs w:val="24"/>
        </w:rPr>
        <w:t>c</w:t>
      </w:r>
      <w:r w:rsidR="00BE7CDC">
        <w:rPr>
          <w:rFonts w:ascii="Times New Roman" w:hAnsi="Times New Roman" w:cs="Times New Roman"/>
          <w:sz w:val="24"/>
          <w:szCs w:val="24"/>
        </w:rPr>
        <w:t xml:space="preserve">risis, </w:t>
      </w:r>
      <w:r w:rsidR="004D2FC7">
        <w:rPr>
          <w:rFonts w:ascii="Times New Roman" w:hAnsi="Times New Roman" w:cs="Times New Roman"/>
          <w:sz w:val="24"/>
          <w:szCs w:val="24"/>
        </w:rPr>
        <w:t>d</w:t>
      </w:r>
      <w:r w:rsidR="00BE7CDC">
        <w:rPr>
          <w:rFonts w:ascii="Times New Roman" w:hAnsi="Times New Roman" w:cs="Times New Roman"/>
          <w:sz w:val="24"/>
          <w:szCs w:val="24"/>
        </w:rPr>
        <w:t>ot-</w:t>
      </w:r>
      <w:r w:rsidR="004D2FC7">
        <w:rPr>
          <w:rFonts w:ascii="Times New Roman" w:hAnsi="Times New Roman" w:cs="Times New Roman"/>
          <w:sz w:val="24"/>
          <w:szCs w:val="24"/>
        </w:rPr>
        <w:t>c</w:t>
      </w:r>
      <w:r w:rsidR="00BE7CDC">
        <w:rPr>
          <w:rFonts w:ascii="Times New Roman" w:hAnsi="Times New Roman" w:cs="Times New Roman"/>
          <w:sz w:val="24"/>
          <w:szCs w:val="24"/>
        </w:rPr>
        <w:t xml:space="preserve">om </w:t>
      </w:r>
      <w:r w:rsidR="004D2FC7">
        <w:rPr>
          <w:rFonts w:ascii="Times New Roman" w:hAnsi="Times New Roman" w:cs="Times New Roman"/>
          <w:sz w:val="24"/>
          <w:szCs w:val="24"/>
        </w:rPr>
        <w:t>b</w:t>
      </w:r>
      <w:r w:rsidR="00BE7CDC">
        <w:rPr>
          <w:rFonts w:ascii="Times New Roman" w:hAnsi="Times New Roman" w:cs="Times New Roman"/>
          <w:sz w:val="24"/>
          <w:szCs w:val="24"/>
        </w:rPr>
        <w:t xml:space="preserve">ubble </w:t>
      </w:r>
      <w:r w:rsidR="00696DEF">
        <w:rPr>
          <w:rFonts w:ascii="Times New Roman" w:hAnsi="Times New Roman" w:cs="Times New Roman"/>
          <w:sz w:val="24"/>
          <w:szCs w:val="24"/>
        </w:rPr>
        <w:t>burst</w:t>
      </w:r>
      <w:r w:rsidR="00BE7CDC">
        <w:rPr>
          <w:rFonts w:ascii="Times New Roman" w:hAnsi="Times New Roman" w:cs="Times New Roman"/>
          <w:sz w:val="24"/>
          <w:szCs w:val="24"/>
        </w:rPr>
        <w:t xml:space="preserve">, 2008 </w:t>
      </w:r>
      <w:r w:rsidR="004D2FC7">
        <w:rPr>
          <w:rFonts w:ascii="Times New Roman" w:hAnsi="Times New Roman" w:cs="Times New Roman"/>
          <w:sz w:val="24"/>
          <w:szCs w:val="24"/>
        </w:rPr>
        <w:t>s</w:t>
      </w:r>
      <w:r w:rsidR="00BE7CDC">
        <w:rPr>
          <w:rFonts w:ascii="Times New Roman" w:hAnsi="Times New Roman" w:cs="Times New Roman"/>
          <w:sz w:val="24"/>
          <w:szCs w:val="24"/>
        </w:rPr>
        <w:t xml:space="preserve">tock </w:t>
      </w:r>
      <w:r w:rsidR="004D2FC7">
        <w:rPr>
          <w:rFonts w:ascii="Times New Roman" w:hAnsi="Times New Roman" w:cs="Times New Roman"/>
          <w:sz w:val="24"/>
          <w:szCs w:val="24"/>
        </w:rPr>
        <w:t>m</w:t>
      </w:r>
      <w:r w:rsidR="00BE7CDC">
        <w:rPr>
          <w:rFonts w:ascii="Times New Roman" w:hAnsi="Times New Roman" w:cs="Times New Roman"/>
          <w:sz w:val="24"/>
          <w:szCs w:val="24"/>
        </w:rPr>
        <w:t xml:space="preserve">arket </w:t>
      </w:r>
      <w:r w:rsidR="004D2FC7">
        <w:rPr>
          <w:rFonts w:ascii="Times New Roman" w:hAnsi="Times New Roman" w:cs="Times New Roman"/>
          <w:sz w:val="24"/>
          <w:szCs w:val="24"/>
        </w:rPr>
        <w:t>c</w:t>
      </w:r>
      <w:r w:rsidR="00BE7CDC">
        <w:rPr>
          <w:rFonts w:ascii="Times New Roman" w:hAnsi="Times New Roman" w:cs="Times New Roman"/>
          <w:sz w:val="24"/>
          <w:szCs w:val="24"/>
        </w:rPr>
        <w:t xml:space="preserve">rash, </w:t>
      </w:r>
      <w:r w:rsidR="004D2FC7">
        <w:rPr>
          <w:rFonts w:ascii="Times New Roman" w:hAnsi="Times New Roman" w:cs="Times New Roman"/>
          <w:sz w:val="24"/>
          <w:szCs w:val="24"/>
        </w:rPr>
        <w:t xml:space="preserve">and </w:t>
      </w:r>
      <w:r w:rsidR="00BE7CDC">
        <w:rPr>
          <w:rFonts w:ascii="Times New Roman" w:hAnsi="Times New Roman" w:cs="Times New Roman"/>
          <w:sz w:val="24"/>
          <w:szCs w:val="24"/>
        </w:rPr>
        <w:t xml:space="preserve">Eurozone </w:t>
      </w:r>
      <w:r w:rsidR="004D2FC7">
        <w:rPr>
          <w:rFonts w:ascii="Times New Roman" w:hAnsi="Times New Roman" w:cs="Times New Roman"/>
          <w:sz w:val="24"/>
          <w:szCs w:val="24"/>
        </w:rPr>
        <w:t>d</w:t>
      </w:r>
      <w:r w:rsidR="00BE7CDC">
        <w:rPr>
          <w:rFonts w:ascii="Times New Roman" w:hAnsi="Times New Roman" w:cs="Times New Roman"/>
          <w:sz w:val="24"/>
          <w:szCs w:val="24"/>
        </w:rPr>
        <w:t xml:space="preserve">ebt </w:t>
      </w:r>
      <w:r w:rsidR="004D2FC7">
        <w:rPr>
          <w:rFonts w:ascii="Times New Roman" w:hAnsi="Times New Roman" w:cs="Times New Roman"/>
          <w:sz w:val="24"/>
          <w:szCs w:val="24"/>
        </w:rPr>
        <w:t>c</w:t>
      </w:r>
      <w:r w:rsidR="00BE7CDC">
        <w:rPr>
          <w:rFonts w:ascii="Times New Roman" w:hAnsi="Times New Roman" w:cs="Times New Roman"/>
          <w:sz w:val="24"/>
          <w:szCs w:val="24"/>
        </w:rPr>
        <w:t>risis) cause economic policy uncertainty, stock market volatility</w:t>
      </w:r>
      <w:r w:rsidR="004D2FC7">
        <w:rPr>
          <w:rFonts w:ascii="Times New Roman" w:hAnsi="Times New Roman" w:cs="Times New Roman"/>
          <w:sz w:val="24"/>
          <w:szCs w:val="24"/>
        </w:rPr>
        <w:t>,</w:t>
      </w:r>
      <w:r w:rsidR="00BE7CDC">
        <w:rPr>
          <w:rFonts w:ascii="Times New Roman" w:hAnsi="Times New Roman" w:cs="Times New Roman"/>
          <w:sz w:val="24"/>
          <w:szCs w:val="24"/>
        </w:rPr>
        <w:t xml:space="preserve"> and </w:t>
      </w:r>
      <w:r w:rsidR="00143290">
        <w:rPr>
          <w:rFonts w:ascii="Times New Roman" w:hAnsi="Times New Roman" w:cs="Times New Roman"/>
          <w:sz w:val="24"/>
          <w:szCs w:val="24"/>
        </w:rPr>
        <w:t>equity indices</w:t>
      </w:r>
      <w:r w:rsidR="00BE7CDC">
        <w:rPr>
          <w:rFonts w:ascii="Times New Roman" w:hAnsi="Times New Roman" w:cs="Times New Roman"/>
          <w:sz w:val="24"/>
          <w:szCs w:val="24"/>
        </w:rPr>
        <w:t xml:space="preserve"> to move hand in hand.</w:t>
      </w:r>
      <w:r w:rsidR="00143290">
        <w:rPr>
          <w:rFonts w:ascii="Times New Roman" w:hAnsi="Times New Roman" w:cs="Times New Roman"/>
          <w:sz w:val="24"/>
          <w:szCs w:val="24"/>
        </w:rPr>
        <w:t xml:space="preserve"> </w:t>
      </w:r>
      <w:r w:rsidR="00F35EF7">
        <w:rPr>
          <w:rFonts w:ascii="Times New Roman" w:hAnsi="Times New Roman" w:cs="Times New Roman"/>
          <w:sz w:val="24"/>
          <w:szCs w:val="24"/>
        </w:rPr>
        <w:t xml:space="preserve">Therefore, the evidence seems to </w:t>
      </w:r>
      <w:r w:rsidR="004D2FC7">
        <w:rPr>
          <w:rFonts w:ascii="Times New Roman" w:hAnsi="Times New Roman" w:cs="Times New Roman"/>
          <w:sz w:val="24"/>
          <w:szCs w:val="24"/>
        </w:rPr>
        <w:t xml:space="preserve">show </w:t>
      </w:r>
      <w:r w:rsidR="000B32C8">
        <w:rPr>
          <w:rFonts w:ascii="Times New Roman" w:hAnsi="Times New Roman" w:cs="Times New Roman"/>
          <w:sz w:val="24"/>
          <w:szCs w:val="24"/>
        </w:rPr>
        <w:t>that period</w:t>
      </w:r>
      <w:r w:rsidR="007F1A0F">
        <w:rPr>
          <w:rFonts w:ascii="Times New Roman" w:hAnsi="Times New Roman" w:cs="Times New Roman"/>
          <w:sz w:val="24"/>
          <w:szCs w:val="24"/>
        </w:rPr>
        <w:t>s</w:t>
      </w:r>
      <w:r w:rsidR="00F35EF7">
        <w:rPr>
          <w:rFonts w:ascii="Times New Roman" w:hAnsi="Times New Roman" w:cs="Times New Roman"/>
          <w:sz w:val="24"/>
          <w:szCs w:val="24"/>
        </w:rPr>
        <w:t xml:space="preserve"> of macroeconomic convergence, currency floats, financial liberali</w:t>
      </w:r>
      <w:r w:rsidR="00056BAE">
        <w:rPr>
          <w:rFonts w:ascii="Times New Roman" w:hAnsi="Times New Roman" w:cs="Times New Roman"/>
          <w:sz w:val="24"/>
          <w:szCs w:val="24"/>
        </w:rPr>
        <w:t>z</w:t>
      </w:r>
      <w:r w:rsidR="00F35EF7">
        <w:rPr>
          <w:rFonts w:ascii="Times New Roman" w:hAnsi="Times New Roman" w:cs="Times New Roman"/>
          <w:sz w:val="24"/>
          <w:szCs w:val="24"/>
        </w:rPr>
        <w:t>ation</w:t>
      </w:r>
      <w:r w:rsidR="004D2FC7">
        <w:rPr>
          <w:rFonts w:ascii="Times New Roman" w:hAnsi="Times New Roman" w:cs="Times New Roman"/>
          <w:sz w:val="24"/>
          <w:szCs w:val="24"/>
        </w:rPr>
        <w:t>,</w:t>
      </w:r>
      <w:r w:rsidR="00F35EF7">
        <w:rPr>
          <w:rFonts w:ascii="Times New Roman" w:hAnsi="Times New Roman" w:cs="Times New Roman"/>
          <w:sz w:val="24"/>
          <w:szCs w:val="24"/>
        </w:rPr>
        <w:t xml:space="preserve"> and financial contagion cause higher stock market integration. </w:t>
      </w:r>
    </w:p>
    <w:p w:rsidR="00F00F26" w:rsidRDefault="00231DB0" w:rsidP="00AF6503">
      <w:pPr>
        <w:spacing w:after="0" w:line="480" w:lineRule="auto"/>
        <w:ind w:right="288" w:firstLine="720"/>
        <w:rPr>
          <w:rFonts w:ascii="Times New Roman" w:hAnsi="Times New Roman" w:cs="Times New Roman"/>
          <w:sz w:val="24"/>
          <w:szCs w:val="24"/>
        </w:rPr>
      </w:pPr>
      <w:r>
        <w:fldChar w:fldCharType="begin"/>
      </w:r>
      <w:r>
        <w:instrText xml:space="preserve"> REF _Ref479773759 \h  \* MERGEFORMAT </w:instrText>
      </w:r>
      <w:r>
        <w:fldChar w:fldCharType="separate"/>
      </w:r>
      <w:r w:rsidR="00074908" w:rsidRPr="00074908">
        <w:rPr>
          <w:rFonts w:ascii="Times New Roman" w:hAnsi="Times New Roman" w:cs="Times New Roman"/>
          <w:sz w:val="24"/>
          <w:szCs w:val="24"/>
        </w:rPr>
        <w:t>Table 4</w:t>
      </w:r>
      <w:r>
        <w:fldChar w:fldCharType="end"/>
      </w:r>
      <w:r w:rsidR="00F00F26">
        <w:rPr>
          <w:rFonts w:ascii="Times New Roman" w:hAnsi="Times New Roman" w:cs="Times New Roman"/>
          <w:sz w:val="24"/>
          <w:szCs w:val="24"/>
        </w:rPr>
        <w:t xml:space="preserve"> reports </w:t>
      </w:r>
      <w:r w:rsidR="0094059E">
        <w:rPr>
          <w:rFonts w:ascii="Times New Roman" w:hAnsi="Times New Roman" w:cs="Times New Roman"/>
          <w:sz w:val="24"/>
          <w:szCs w:val="24"/>
        </w:rPr>
        <w:t>test</w:t>
      </w:r>
      <w:r w:rsidR="00B93935">
        <w:rPr>
          <w:rFonts w:ascii="Times New Roman" w:hAnsi="Times New Roman" w:cs="Times New Roman"/>
          <w:sz w:val="24"/>
          <w:szCs w:val="24"/>
        </w:rPr>
        <w:t>s</w:t>
      </w:r>
      <w:r w:rsidR="0094059E">
        <w:rPr>
          <w:rFonts w:ascii="Times New Roman" w:hAnsi="Times New Roman" w:cs="Times New Roman"/>
          <w:sz w:val="24"/>
          <w:szCs w:val="24"/>
        </w:rPr>
        <w:t xml:space="preserve"> for equality </w:t>
      </w:r>
      <w:r w:rsidR="00A9376A">
        <w:rPr>
          <w:rFonts w:ascii="Times New Roman" w:hAnsi="Times New Roman" w:cs="Times New Roman"/>
          <w:sz w:val="24"/>
          <w:szCs w:val="24"/>
        </w:rPr>
        <w:t xml:space="preserve">of </w:t>
      </w:r>
      <w:r w:rsidR="0094059E">
        <w:rPr>
          <w:rFonts w:ascii="Times New Roman" w:hAnsi="Times New Roman" w:cs="Times New Roman"/>
          <w:sz w:val="24"/>
          <w:szCs w:val="24"/>
        </w:rPr>
        <w:t>mean</w:t>
      </w:r>
      <w:r w:rsidR="00CA7851">
        <w:rPr>
          <w:rFonts w:ascii="Times New Roman" w:hAnsi="Times New Roman" w:cs="Times New Roman"/>
          <w:sz w:val="24"/>
          <w:szCs w:val="24"/>
        </w:rPr>
        <w:t>s</w:t>
      </w:r>
      <w:r w:rsidR="0094059E">
        <w:rPr>
          <w:rFonts w:ascii="Times New Roman" w:hAnsi="Times New Roman" w:cs="Times New Roman"/>
          <w:sz w:val="24"/>
          <w:szCs w:val="24"/>
        </w:rPr>
        <w:t>, median</w:t>
      </w:r>
      <w:r w:rsidR="00CA7851">
        <w:rPr>
          <w:rFonts w:ascii="Times New Roman" w:hAnsi="Times New Roman" w:cs="Times New Roman"/>
          <w:sz w:val="24"/>
          <w:szCs w:val="24"/>
        </w:rPr>
        <w:t>s</w:t>
      </w:r>
      <w:r w:rsidR="0094059E">
        <w:rPr>
          <w:rFonts w:ascii="Times New Roman" w:hAnsi="Times New Roman" w:cs="Times New Roman"/>
          <w:sz w:val="24"/>
          <w:szCs w:val="24"/>
        </w:rPr>
        <w:t>, variance</w:t>
      </w:r>
      <w:r w:rsidR="00CA7851">
        <w:rPr>
          <w:rFonts w:ascii="Times New Roman" w:hAnsi="Times New Roman" w:cs="Times New Roman"/>
          <w:sz w:val="24"/>
          <w:szCs w:val="24"/>
        </w:rPr>
        <w:t>s</w:t>
      </w:r>
      <w:r w:rsidR="004D2FC7">
        <w:rPr>
          <w:rFonts w:ascii="Times New Roman" w:hAnsi="Times New Roman" w:cs="Times New Roman"/>
          <w:sz w:val="24"/>
          <w:szCs w:val="24"/>
        </w:rPr>
        <w:t>,</w:t>
      </w:r>
      <w:r w:rsidR="0094059E">
        <w:rPr>
          <w:rFonts w:ascii="Times New Roman" w:hAnsi="Times New Roman" w:cs="Times New Roman"/>
          <w:sz w:val="24"/>
          <w:szCs w:val="24"/>
        </w:rPr>
        <w:t xml:space="preserve"> and distribution</w:t>
      </w:r>
      <w:r w:rsidR="00CA7851">
        <w:rPr>
          <w:rFonts w:ascii="Times New Roman" w:hAnsi="Times New Roman" w:cs="Times New Roman"/>
          <w:sz w:val="24"/>
          <w:szCs w:val="24"/>
        </w:rPr>
        <w:t>s</w:t>
      </w:r>
      <w:r w:rsidR="0094059E">
        <w:rPr>
          <w:rFonts w:ascii="Times New Roman" w:hAnsi="Times New Roman" w:cs="Times New Roman"/>
          <w:sz w:val="24"/>
          <w:szCs w:val="24"/>
        </w:rPr>
        <w:t xml:space="preserve"> </w:t>
      </w:r>
      <w:r w:rsidR="00AD242F">
        <w:rPr>
          <w:rFonts w:ascii="Times New Roman" w:hAnsi="Times New Roman" w:cs="Times New Roman"/>
          <w:sz w:val="24"/>
          <w:szCs w:val="24"/>
        </w:rPr>
        <w:t>for the conditional correlation</w:t>
      </w:r>
      <w:r w:rsidR="004D2FC7">
        <w:rPr>
          <w:rFonts w:ascii="Times New Roman" w:hAnsi="Times New Roman" w:cs="Times New Roman"/>
          <w:sz w:val="24"/>
          <w:szCs w:val="24"/>
        </w:rPr>
        <w:t>s</w:t>
      </w:r>
      <w:r w:rsidR="005270DF">
        <w:rPr>
          <w:rFonts w:ascii="Times New Roman" w:hAnsi="Times New Roman" w:cs="Times New Roman"/>
          <w:sz w:val="24"/>
          <w:szCs w:val="24"/>
        </w:rPr>
        <w:t xml:space="preserve"> </w:t>
      </w:r>
      <w:r w:rsidR="0094059E">
        <w:rPr>
          <w:rFonts w:ascii="Times New Roman" w:hAnsi="Times New Roman" w:cs="Times New Roman"/>
          <w:sz w:val="24"/>
          <w:szCs w:val="24"/>
        </w:rPr>
        <w:t>between the subperiods.</w:t>
      </w:r>
      <w:r w:rsidR="005270DF">
        <w:rPr>
          <w:rFonts w:ascii="Times New Roman" w:hAnsi="Times New Roman" w:cs="Times New Roman"/>
          <w:sz w:val="24"/>
          <w:szCs w:val="24"/>
        </w:rPr>
        <w:t xml:space="preserve"> </w:t>
      </w:r>
      <w:r w:rsidR="0094059E">
        <w:rPr>
          <w:rFonts w:ascii="Times New Roman" w:hAnsi="Times New Roman" w:cs="Times New Roman"/>
          <w:sz w:val="24"/>
          <w:szCs w:val="24"/>
        </w:rPr>
        <w:t xml:space="preserve">The </w:t>
      </w:r>
      <w:r w:rsidR="009314B4">
        <w:rPr>
          <w:rFonts w:ascii="Times New Roman" w:hAnsi="Times New Roman" w:cs="Times New Roman"/>
          <w:sz w:val="24"/>
          <w:szCs w:val="24"/>
        </w:rPr>
        <w:t xml:space="preserve">empirical results </w:t>
      </w:r>
      <w:r w:rsidR="0094059E">
        <w:rPr>
          <w:rFonts w:ascii="Times New Roman" w:hAnsi="Times New Roman" w:cs="Times New Roman"/>
          <w:sz w:val="24"/>
          <w:szCs w:val="24"/>
        </w:rPr>
        <w:t>show a strong difference in mean</w:t>
      </w:r>
      <w:r w:rsidR="00143290">
        <w:rPr>
          <w:rFonts w:ascii="Times New Roman" w:hAnsi="Times New Roman" w:cs="Times New Roman"/>
          <w:sz w:val="24"/>
          <w:szCs w:val="24"/>
        </w:rPr>
        <w:t>s</w:t>
      </w:r>
      <w:r w:rsidR="0094059E">
        <w:rPr>
          <w:rFonts w:ascii="Times New Roman" w:hAnsi="Times New Roman" w:cs="Times New Roman"/>
          <w:sz w:val="24"/>
          <w:szCs w:val="24"/>
        </w:rPr>
        <w:t>, v</w:t>
      </w:r>
      <w:r w:rsidR="00143290">
        <w:rPr>
          <w:rFonts w:ascii="Times New Roman" w:hAnsi="Times New Roman" w:cs="Times New Roman"/>
          <w:sz w:val="24"/>
          <w:szCs w:val="24"/>
        </w:rPr>
        <w:t>ariances</w:t>
      </w:r>
      <w:r w:rsidR="004D2FC7">
        <w:rPr>
          <w:rFonts w:ascii="Times New Roman" w:hAnsi="Times New Roman" w:cs="Times New Roman"/>
          <w:sz w:val="24"/>
          <w:szCs w:val="24"/>
        </w:rPr>
        <w:t>,</w:t>
      </w:r>
      <w:r w:rsidR="00143290">
        <w:rPr>
          <w:rFonts w:ascii="Times New Roman" w:hAnsi="Times New Roman" w:cs="Times New Roman"/>
          <w:sz w:val="24"/>
          <w:szCs w:val="24"/>
        </w:rPr>
        <w:t xml:space="preserve"> </w:t>
      </w:r>
      <w:r w:rsidR="0094059E">
        <w:rPr>
          <w:rFonts w:ascii="Times New Roman" w:hAnsi="Times New Roman" w:cs="Times New Roman"/>
          <w:sz w:val="24"/>
          <w:szCs w:val="24"/>
        </w:rPr>
        <w:t>median</w:t>
      </w:r>
      <w:r w:rsidR="00143290">
        <w:rPr>
          <w:rFonts w:ascii="Times New Roman" w:hAnsi="Times New Roman" w:cs="Times New Roman"/>
          <w:sz w:val="24"/>
          <w:szCs w:val="24"/>
        </w:rPr>
        <w:t>s</w:t>
      </w:r>
      <w:r w:rsidR="004D2FC7">
        <w:rPr>
          <w:rFonts w:ascii="Times New Roman" w:hAnsi="Times New Roman" w:cs="Times New Roman"/>
          <w:sz w:val="24"/>
          <w:szCs w:val="24"/>
        </w:rPr>
        <w:t>,</w:t>
      </w:r>
      <w:r w:rsidR="0094059E">
        <w:rPr>
          <w:rFonts w:ascii="Times New Roman" w:hAnsi="Times New Roman" w:cs="Times New Roman"/>
          <w:sz w:val="24"/>
          <w:szCs w:val="24"/>
        </w:rPr>
        <w:t xml:space="preserve"> as well as distribution</w:t>
      </w:r>
      <w:r w:rsidR="00143290">
        <w:rPr>
          <w:rFonts w:ascii="Times New Roman" w:hAnsi="Times New Roman" w:cs="Times New Roman"/>
          <w:sz w:val="24"/>
          <w:szCs w:val="24"/>
        </w:rPr>
        <w:t xml:space="preserve">s </w:t>
      </w:r>
      <w:r w:rsidR="00F00F26">
        <w:rPr>
          <w:rFonts w:ascii="Times New Roman" w:hAnsi="Times New Roman" w:cs="Times New Roman"/>
          <w:sz w:val="24"/>
          <w:szCs w:val="24"/>
        </w:rPr>
        <w:t xml:space="preserve">between the </w:t>
      </w:r>
      <w:r w:rsidR="00630ED4">
        <w:rPr>
          <w:rFonts w:ascii="Times New Roman" w:hAnsi="Times New Roman" w:cs="Times New Roman"/>
          <w:sz w:val="24"/>
          <w:szCs w:val="24"/>
        </w:rPr>
        <w:t>BW and post-BW</w:t>
      </w:r>
      <w:r w:rsidR="002073E3">
        <w:rPr>
          <w:rFonts w:ascii="Times New Roman" w:hAnsi="Times New Roman" w:cs="Times New Roman"/>
          <w:sz w:val="24"/>
          <w:szCs w:val="24"/>
        </w:rPr>
        <w:t xml:space="preserve"> periods</w:t>
      </w:r>
      <w:r w:rsidR="00F00F26">
        <w:rPr>
          <w:rFonts w:ascii="Times New Roman" w:hAnsi="Times New Roman" w:cs="Times New Roman"/>
          <w:sz w:val="24"/>
          <w:szCs w:val="24"/>
        </w:rPr>
        <w:t>.</w:t>
      </w:r>
      <w:r w:rsidR="005270DF">
        <w:rPr>
          <w:rFonts w:ascii="Times New Roman" w:hAnsi="Times New Roman" w:cs="Times New Roman"/>
          <w:sz w:val="24"/>
          <w:szCs w:val="24"/>
        </w:rPr>
        <w:t xml:space="preserve"> </w:t>
      </w:r>
      <w:r w:rsidR="00C73E04">
        <w:rPr>
          <w:rFonts w:ascii="Times New Roman" w:hAnsi="Times New Roman" w:cs="Times New Roman"/>
          <w:sz w:val="24"/>
          <w:szCs w:val="24"/>
        </w:rPr>
        <w:t>T</w:t>
      </w:r>
      <w:r w:rsidR="00143290">
        <w:rPr>
          <w:rFonts w:ascii="Times New Roman" w:hAnsi="Times New Roman" w:cs="Times New Roman"/>
          <w:sz w:val="24"/>
          <w:szCs w:val="24"/>
        </w:rPr>
        <w:t xml:space="preserve">hus, </w:t>
      </w:r>
      <w:r w:rsidR="00C73E04">
        <w:rPr>
          <w:rFonts w:ascii="Times New Roman" w:hAnsi="Times New Roman" w:cs="Times New Roman"/>
          <w:sz w:val="24"/>
          <w:szCs w:val="24"/>
        </w:rPr>
        <w:t>t</w:t>
      </w:r>
      <w:r w:rsidR="0065075E">
        <w:rPr>
          <w:rFonts w:ascii="Times New Roman" w:hAnsi="Times New Roman" w:cs="Times New Roman"/>
          <w:sz w:val="24"/>
          <w:szCs w:val="24"/>
        </w:rPr>
        <w:t>he</w:t>
      </w:r>
      <w:r w:rsidR="00E07E2B">
        <w:rPr>
          <w:rFonts w:ascii="Times New Roman" w:hAnsi="Times New Roman" w:cs="Times New Roman"/>
          <w:sz w:val="24"/>
          <w:szCs w:val="24"/>
        </w:rPr>
        <w:t xml:space="preserve"> significant increa</w:t>
      </w:r>
      <w:r w:rsidR="0065075E">
        <w:rPr>
          <w:rFonts w:ascii="Times New Roman" w:hAnsi="Times New Roman" w:cs="Times New Roman"/>
          <w:sz w:val="24"/>
          <w:szCs w:val="24"/>
        </w:rPr>
        <w:t>se</w:t>
      </w:r>
      <w:r w:rsidR="00630ED4">
        <w:rPr>
          <w:rFonts w:ascii="Times New Roman" w:hAnsi="Times New Roman" w:cs="Times New Roman"/>
          <w:sz w:val="24"/>
          <w:szCs w:val="24"/>
        </w:rPr>
        <w:t>s in correlation in the post-BW</w:t>
      </w:r>
      <w:r w:rsidR="0065075E">
        <w:rPr>
          <w:rFonts w:ascii="Times New Roman" w:hAnsi="Times New Roman" w:cs="Times New Roman"/>
          <w:sz w:val="24"/>
          <w:szCs w:val="24"/>
        </w:rPr>
        <w:t xml:space="preserve"> period</w:t>
      </w:r>
      <w:r w:rsidR="00143290">
        <w:rPr>
          <w:rFonts w:ascii="Times New Roman" w:hAnsi="Times New Roman" w:cs="Times New Roman"/>
          <w:sz w:val="24"/>
          <w:szCs w:val="24"/>
        </w:rPr>
        <w:t xml:space="preserve"> - characterized by </w:t>
      </w:r>
      <w:r w:rsidR="0065075E">
        <w:rPr>
          <w:rFonts w:ascii="Times New Roman" w:hAnsi="Times New Roman" w:cs="Times New Roman"/>
          <w:sz w:val="24"/>
          <w:szCs w:val="24"/>
        </w:rPr>
        <w:t>financial liberali</w:t>
      </w:r>
      <w:r w:rsidR="00056BAE">
        <w:rPr>
          <w:rFonts w:ascii="Times New Roman" w:hAnsi="Times New Roman" w:cs="Times New Roman"/>
          <w:sz w:val="24"/>
          <w:szCs w:val="24"/>
        </w:rPr>
        <w:t>z</w:t>
      </w:r>
      <w:r w:rsidR="0065075E">
        <w:rPr>
          <w:rFonts w:ascii="Times New Roman" w:hAnsi="Times New Roman" w:cs="Times New Roman"/>
          <w:sz w:val="24"/>
          <w:szCs w:val="24"/>
        </w:rPr>
        <w:t>ation, floating exchange rate regime</w:t>
      </w:r>
      <w:r w:rsidR="004D2FC7">
        <w:rPr>
          <w:rFonts w:ascii="Times New Roman" w:hAnsi="Times New Roman" w:cs="Times New Roman"/>
          <w:sz w:val="24"/>
          <w:szCs w:val="24"/>
        </w:rPr>
        <w:t>s,</w:t>
      </w:r>
      <w:r w:rsidR="00143290">
        <w:rPr>
          <w:rFonts w:ascii="Times New Roman" w:hAnsi="Times New Roman" w:cs="Times New Roman"/>
          <w:sz w:val="24"/>
          <w:szCs w:val="24"/>
        </w:rPr>
        <w:t xml:space="preserve"> </w:t>
      </w:r>
      <w:r w:rsidR="0065075E" w:rsidRPr="006853EA">
        <w:rPr>
          <w:rFonts w:ascii="Times New Roman" w:hAnsi="Times New Roman" w:cs="Times New Roman"/>
          <w:sz w:val="24"/>
          <w:szCs w:val="24"/>
        </w:rPr>
        <w:t xml:space="preserve">and </w:t>
      </w:r>
      <w:r w:rsidR="004D2FC7">
        <w:rPr>
          <w:rFonts w:ascii="Times New Roman" w:hAnsi="Times New Roman" w:cs="Times New Roman"/>
          <w:sz w:val="24"/>
          <w:szCs w:val="24"/>
        </w:rPr>
        <w:t xml:space="preserve">the </w:t>
      </w:r>
      <w:r w:rsidR="0065075E" w:rsidRPr="006853EA">
        <w:rPr>
          <w:rFonts w:ascii="Times New Roman" w:hAnsi="Times New Roman" w:cs="Times New Roman"/>
          <w:sz w:val="24"/>
          <w:szCs w:val="24"/>
        </w:rPr>
        <w:t xml:space="preserve">gradual phasing-in of </w:t>
      </w:r>
      <w:r w:rsidR="004D2FC7">
        <w:rPr>
          <w:rFonts w:ascii="Times New Roman" w:hAnsi="Times New Roman" w:cs="Times New Roman"/>
          <w:sz w:val="24"/>
          <w:szCs w:val="24"/>
        </w:rPr>
        <w:t xml:space="preserve">the </w:t>
      </w:r>
      <w:r w:rsidR="00054E83">
        <w:rPr>
          <w:rFonts w:ascii="Times New Roman" w:hAnsi="Times New Roman" w:cs="Times New Roman"/>
          <w:sz w:val="24"/>
          <w:szCs w:val="24"/>
        </w:rPr>
        <w:t>European Monetary Union</w:t>
      </w:r>
      <w:r w:rsidR="00143290">
        <w:rPr>
          <w:rFonts w:ascii="Times New Roman" w:hAnsi="Times New Roman" w:cs="Times New Roman"/>
          <w:sz w:val="24"/>
          <w:szCs w:val="24"/>
        </w:rPr>
        <w:t xml:space="preserve"> - suggests</w:t>
      </w:r>
      <w:r w:rsidR="004D2FC7">
        <w:rPr>
          <w:rFonts w:ascii="Times New Roman" w:hAnsi="Times New Roman" w:cs="Times New Roman"/>
          <w:sz w:val="24"/>
          <w:szCs w:val="24"/>
        </w:rPr>
        <w:t xml:space="preserve"> </w:t>
      </w:r>
      <w:r w:rsidR="0065075E" w:rsidRPr="006853EA">
        <w:rPr>
          <w:rFonts w:ascii="Times New Roman" w:hAnsi="Times New Roman" w:cs="Times New Roman"/>
          <w:sz w:val="24"/>
          <w:szCs w:val="24"/>
        </w:rPr>
        <w:t xml:space="preserve">that the </w:t>
      </w:r>
      <w:r w:rsidR="0065075E">
        <w:rPr>
          <w:rFonts w:ascii="Times New Roman" w:hAnsi="Times New Roman" w:cs="Times New Roman"/>
          <w:sz w:val="24"/>
          <w:szCs w:val="24"/>
        </w:rPr>
        <w:t xml:space="preserve">two </w:t>
      </w:r>
      <w:r w:rsidR="004C3F50">
        <w:rPr>
          <w:rFonts w:ascii="Times New Roman" w:hAnsi="Times New Roman" w:cs="Times New Roman"/>
          <w:sz w:val="24"/>
          <w:szCs w:val="24"/>
        </w:rPr>
        <w:t xml:space="preserve">markets </w:t>
      </w:r>
      <w:r w:rsidR="00AD242F">
        <w:rPr>
          <w:rFonts w:ascii="Times New Roman" w:hAnsi="Times New Roman" w:cs="Times New Roman"/>
          <w:sz w:val="24"/>
          <w:szCs w:val="24"/>
        </w:rPr>
        <w:t>ha</w:t>
      </w:r>
      <w:r w:rsidR="00143290">
        <w:rPr>
          <w:rFonts w:ascii="Times New Roman" w:hAnsi="Times New Roman" w:cs="Times New Roman"/>
          <w:sz w:val="24"/>
          <w:szCs w:val="24"/>
        </w:rPr>
        <w:t>d</w:t>
      </w:r>
      <w:r w:rsidR="00AD242F">
        <w:rPr>
          <w:rFonts w:ascii="Times New Roman" w:hAnsi="Times New Roman" w:cs="Times New Roman"/>
          <w:sz w:val="24"/>
          <w:szCs w:val="24"/>
        </w:rPr>
        <w:t xml:space="preserve"> been </w:t>
      </w:r>
      <w:r w:rsidR="004C3F50">
        <w:rPr>
          <w:rFonts w:ascii="Times New Roman" w:hAnsi="Times New Roman" w:cs="Times New Roman"/>
          <w:sz w:val="24"/>
          <w:szCs w:val="24"/>
        </w:rPr>
        <w:t>integrating</w:t>
      </w:r>
      <w:r w:rsidR="00AD242F">
        <w:rPr>
          <w:rFonts w:ascii="Times New Roman" w:hAnsi="Times New Roman" w:cs="Times New Roman"/>
          <w:sz w:val="24"/>
          <w:szCs w:val="24"/>
        </w:rPr>
        <w:t xml:space="preserve">. </w:t>
      </w:r>
    </w:p>
    <w:p w:rsidR="00B02CAD" w:rsidRPr="008529E4" w:rsidRDefault="00D10C2E" w:rsidP="00AF6503">
      <w:pPr>
        <w:spacing w:after="0" w:line="480" w:lineRule="auto"/>
        <w:ind w:right="288"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similar vein, </w:t>
      </w:r>
      <w:r w:rsidR="007E3809">
        <w:rPr>
          <w:rFonts w:ascii="Times New Roman" w:hAnsi="Times New Roman" w:cs="Times New Roman"/>
          <w:sz w:val="24"/>
          <w:szCs w:val="24"/>
        </w:rPr>
        <w:fldChar w:fldCharType="begin"/>
      </w:r>
      <w:r w:rsidR="0094059E">
        <w:rPr>
          <w:rFonts w:ascii="Times New Roman" w:hAnsi="Times New Roman" w:cs="Times New Roman"/>
          <w:sz w:val="24"/>
          <w:szCs w:val="24"/>
        </w:rPr>
        <w:instrText xml:space="preserve"> REF _Ref487005842 \h </w:instrText>
      </w:r>
      <w:r w:rsidR="007E3809">
        <w:rPr>
          <w:rFonts w:ascii="Times New Roman" w:hAnsi="Times New Roman" w:cs="Times New Roman"/>
          <w:sz w:val="24"/>
          <w:szCs w:val="24"/>
        </w:rPr>
      </w:r>
      <w:r w:rsidR="007E3809">
        <w:rPr>
          <w:rFonts w:ascii="Times New Roman" w:hAnsi="Times New Roman" w:cs="Times New Roman"/>
          <w:sz w:val="24"/>
          <w:szCs w:val="24"/>
        </w:rPr>
        <w:fldChar w:fldCharType="separate"/>
      </w:r>
      <w:r w:rsidR="0094059E" w:rsidRPr="00E3291F">
        <w:rPr>
          <w:rFonts w:ascii="Times New Roman" w:hAnsi="Times New Roman" w:cs="Times New Roman"/>
          <w:sz w:val="24"/>
          <w:szCs w:val="24"/>
        </w:rPr>
        <w:t xml:space="preserve">Table </w:t>
      </w:r>
      <w:r w:rsidR="0094059E" w:rsidRPr="00E3291F">
        <w:rPr>
          <w:rFonts w:ascii="Times New Roman" w:hAnsi="Times New Roman" w:cs="Times New Roman"/>
          <w:noProof/>
          <w:sz w:val="24"/>
          <w:szCs w:val="24"/>
        </w:rPr>
        <w:t>5</w:t>
      </w:r>
      <w:r w:rsidR="007E3809">
        <w:rPr>
          <w:rFonts w:ascii="Times New Roman" w:hAnsi="Times New Roman" w:cs="Times New Roman"/>
          <w:sz w:val="24"/>
          <w:szCs w:val="24"/>
        </w:rPr>
        <w:fldChar w:fldCharType="end"/>
      </w:r>
      <w:r w:rsidR="005270DF">
        <w:rPr>
          <w:rFonts w:ascii="Times New Roman" w:hAnsi="Times New Roman" w:cs="Times New Roman"/>
          <w:sz w:val="24"/>
          <w:szCs w:val="24"/>
        </w:rPr>
        <w:t xml:space="preserve"> </w:t>
      </w:r>
      <w:r>
        <w:rPr>
          <w:rFonts w:ascii="Times New Roman" w:hAnsi="Times New Roman" w:cs="Times New Roman"/>
          <w:sz w:val="24"/>
          <w:szCs w:val="24"/>
        </w:rPr>
        <w:t>reports test</w:t>
      </w:r>
      <w:r w:rsidR="00331A02">
        <w:rPr>
          <w:rFonts w:ascii="Times New Roman" w:hAnsi="Times New Roman" w:cs="Times New Roman"/>
          <w:sz w:val="24"/>
          <w:szCs w:val="24"/>
        </w:rPr>
        <w:t>s</w:t>
      </w:r>
      <w:r w:rsidR="00D2181B">
        <w:rPr>
          <w:rFonts w:ascii="Times New Roman" w:hAnsi="Times New Roman" w:cs="Times New Roman"/>
          <w:sz w:val="24"/>
          <w:szCs w:val="24"/>
        </w:rPr>
        <w:t xml:space="preserve"> for equality of</w:t>
      </w:r>
      <w:r>
        <w:rPr>
          <w:rFonts w:ascii="Times New Roman" w:hAnsi="Times New Roman" w:cs="Times New Roman"/>
          <w:sz w:val="24"/>
          <w:szCs w:val="24"/>
        </w:rPr>
        <w:t xml:space="preserve"> mean</w:t>
      </w:r>
      <w:r w:rsidR="00164B58">
        <w:rPr>
          <w:rFonts w:ascii="Times New Roman" w:hAnsi="Times New Roman" w:cs="Times New Roman"/>
          <w:sz w:val="24"/>
          <w:szCs w:val="24"/>
        </w:rPr>
        <w:t>s</w:t>
      </w:r>
      <w:r>
        <w:rPr>
          <w:rFonts w:ascii="Times New Roman" w:hAnsi="Times New Roman" w:cs="Times New Roman"/>
          <w:sz w:val="24"/>
          <w:szCs w:val="24"/>
        </w:rPr>
        <w:t>, median</w:t>
      </w:r>
      <w:r w:rsidR="00164B58">
        <w:rPr>
          <w:rFonts w:ascii="Times New Roman" w:hAnsi="Times New Roman" w:cs="Times New Roman"/>
          <w:sz w:val="24"/>
          <w:szCs w:val="24"/>
        </w:rPr>
        <w:t>s</w:t>
      </w:r>
      <w:r>
        <w:rPr>
          <w:rFonts w:ascii="Times New Roman" w:hAnsi="Times New Roman" w:cs="Times New Roman"/>
          <w:sz w:val="24"/>
          <w:szCs w:val="24"/>
        </w:rPr>
        <w:t>, variance</w:t>
      </w:r>
      <w:r w:rsidR="00164B58">
        <w:rPr>
          <w:rFonts w:ascii="Times New Roman" w:hAnsi="Times New Roman" w:cs="Times New Roman"/>
          <w:sz w:val="24"/>
          <w:szCs w:val="24"/>
        </w:rPr>
        <w:t>s</w:t>
      </w:r>
      <w:r w:rsidR="004D2FC7">
        <w:rPr>
          <w:rFonts w:ascii="Times New Roman" w:hAnsi="Times New Roman" w:cs="Times New Roman"/>
          <w:sz w:val="24"/>
          <w:szCs w:val="24"/>
        </w:rPr>
        <w:t>,</w:t>
      </w:r>
      <w:r>
        <w:rPr>
          <w:rFonts w:ascii="Times New Roman" w:hAnsi="Times New Roman" w:cs="Times New Roman"/>
          <w:sz w:val="24"/>
          <w:szCs w:val="24"/>
        </w:rPr>
        <w:t xml:space="preserve"> and distribution</w:t>
      </w:r>
      <w:r w:rsidR="00164B58">
        <w:rPr>
          <w:rFonts w:ascii="Times New Roman" w:hAnsi="Times New Roman" w:cs="Times New Roman"/>
          <w:sz w:val="24"/>
          <w:szCs w:val="24"/>
        </w:rPr>
        <w:t>s</w:t>
      </w:r>
      <w:r>
        <w:rPr>
          <w:rFonts w:ascii="Times New Roman" w:hAnsi="Times New Roman" w:cs="Times New Roman"/>
          <w:sz w:val="24"/>
          <w:szCs w:val="24"/>
        </w:rPr>
        <w:t xml:space="preserve"> between stable and crisis periods.</w:t>
      </w:r>
      <w:r w:rsidR="00B12C18">
        <w:rPr>
          <w:rStyle w:val="FootnoteReference"/>
          <w:rFonts w:ascii="Times New Roman" w:hAnsi="Times New Roman" w:cs="Times New Roman"/>
          <w:sz w:val="24"/>
          <w:szCs w:val="24"/>
        </w:rPr>
        <w:footnoteReference w:id="5"/>
      </w:r>
      <w:r w:rsidR="005270DF">
        <w:rPr>
          <w:rFonts w:ascii="Times New Roman" w:hAnsi="Times New Roman" w:cs="Times New Roman"/>
          <w:sz w:val="24"/>
          <w:szCs w:val="24"/>
        </w:rPr>
        <w:t xml:space="preserve"> </w:t>
      </w:r>
      <w:r>
        <w:rPr>
          <w:rFonts w:ascii="Times New Roman" w:hAnsi="Times New Roman" w:cs="Times New Roman"/>
          <w:sz w:val="24"/>
          <w:szCs w:val="24"/>
        </w:rPr>
        <w:t>The trends indicate strong difference</w:t>
      </w:r>
      <w:r w:rsidR="004D2FC7">
        <w:rPr>
          <w:rFonts w:ascii="Times New Roman" w:hAnsi="Times New Roman" w:cs="Times New Roman"/>
          <w:sz w:val="24"/>
          <w:szCs w:val="24"/>
        </w:rPr>
        <w:t>s</w:t>
      </w:r>
      <w:r>
        <w:rPr>
          <w:rFonts w:ascii="Times New Roman" w:hAnsi="Times New Roman" w:cs="Times New Roman"/>
          <w:sz w:val="24"/>
          <w:szCs w:val="24"/>
        </w:rPr>
        <w:t xml:space="preserve"> in mean</w:t>
      </w:r>
      <w:r w:rsidR="00164B58">
        <w:rPr>
          <w:rFonts w:ascii="Times New Roman" w:hAnsi="Times New Roman" w:cs="Times New Roman"/>
          <w:sz w:val="24"/>
          <w:szCs w:val="24"/>
        </w:rPr>
        <w:t>s</w:t>
      </w:r>
      <w:r w:rsidR="00B52D06">
        <w:rPr>
          <w:rFonts w:ascii="Times New Roman" w:hAnsi="Times New Roman" w:cs="Times New Roman"/>
          <w:sz w:val="24"/>
          <w:szCs w:val="24"/>
        </w:rPr>
        <w:t xml:space="preserve"> and</w:t>
      </w:r>
      <w:r>
        <w:rPr>
          <w:rFonts w:ascii="Times New Roman" w:hAnsi="Times New Roman" w:cs="Times New Roman"/>
          <w:sz w:val="24"/>
          <w:szCs w:val="24"/>
        </w:rPr>
        <w:t xml:space="preserve"> median</w:t>
      </w:r>
      <w:r w:rsidR="00164B58">
        <w:rPr>
          <w:rFonts w:ascii="Times New Roman" w:hAnsi="Times New Roman" w:cs="Times New Roman"/>
          <w:sz w:val="24"/>
          <w:szCs w:val="24"/>
        </w:rPr>
        <w:t>s</w:t>
      </w:r>
      <w:r>
        <w:rPr>
          <w:rFonts w:ascii="Times New Roman" w:hAnsi="Times New Roman" w:cs="Times New Roman"/>
          <w:sz w:val="24"/>
          <w:szCs w:val="24"/>
        </w:rPr>
        <w:t xml:space="preserve"> as well as distribution</w:t>
      </w:r>
      <w:r w:rsidR="00164B58">
        <w:rPr>
          <w:rFonts w:ascii="Times New Roman" w:hAnsi="Times New Roman" w:cs="Times New Roman"/>
          <w:sz w:val="24"/>
          <w:szCs w:val="24"/>
        </w:rPr>
        <w:t>s</w:t>
      </w:r>
      <w:r>
        <w:rPr>
          <w:rFonts w:ascii="Times New Roman" w:hAnsi="Times New Roman" w:cs="Times New Roman"/>
          <w:sz w:val="24"/>
          <w:szCs w:val="24"/>
        </w:rPr>
        <w:t xml:space="preserve"> </w:t>
      </w:r>
      <w:r w:rsidR="004D2FC7">
        <w:rPr>
          <w:rFonts w:ascii="Times New Roman" w:hAnsi="Times New Roman" w:cs="Times New Roman"/>
          <w:sz w:val="24"/>
          <w:szCs w:val="24"/>
        </w:rPr>
        <w:t>for</w:t>
      </w:r>
      <w:r w:rsidR="00C73E04">
        <w:rPr>
          <w:rFonts w:ascii="Times New Roman" w:hAnsi="Times New Roman" w:cs="Times New Roman"/>
          <w:sz w:val="24"/>
          <w:szCs w:val="24"/>
        </w:rPr>
        <w:t xml:space="preserve"> half </w:t>
      </w:r>
      <w:r w:rsidR="008A0559">
        <w:rPr>
          <w:rFonts w:ascii="Times New Roman" w:hAnsi="Times New Roman" w:cs="Times New Roman"/>
          <w:sz w:val="24"/>
          <w:szCs w:val="24"/>
        </w:rPr>
        <w:t>of</w:t>
      </w:r>
      <w:r w:rsidR="005270DF">
        <w:rPr>
          <w:rFonts w:ascii="Times New Roman" w:hAnsi="Times New Roman" w:cs="Times New Roman"/>
          <w:sz w:val="24"/>
          <w:szCs w:val="24"/>
        </w:rPr>
        <w:t xml:space="preserve"> </w:t>
      </w:r>
      <w:r w:rsidR="008A0559">
        <w:rPr>
          <w:rFonts w:ascii="Times New Roman" w:hAnsi="Times New Roman" w:cs="Times New Roman"/>
          <w:sz w:val="24"/>
          <w:szCs w:val="24"/>
        </w:rPr>
        <w:t xml:space="preserve">the </w:t>
      </w:r>
      <w:r>
        <w:rPr>
          <w:rFonts w:ascii="Times New Roman" w:hAnsi="Times New Roman" w:cs="Times New Roman"/>
          <w:sz w:val="24"/>
          <w:szCs w:val="24"/>
        </w:rPr>
        <w:t xml:space="preserve">crisis periods, </w:t>
      </w:r>
      <w:r w:rsidR="004D2FC7">
        <w:rPr>
          <w:rFonts w:ascii="Times New Roman" w:hAnsi="Times New Roman" w:cs="Times New Roman"/>
          <w:sz w:val="24"/>
          <w:szCs w:val="24"/>
        </w:rPr>
        <w:t xml:space="preserve">but </w:t>
      </w:r>
      <w:r>
        <w:rPr>
          <w:rFonts w:ascii="Times New Roman" w:hAnsi="Times New Roman" w:cs="Times New Roman"/>
          <w:sz w:val="24"/>
          <w:szCs w:val="24"/>
        </w:rPr>
        <w:t xml:space="preserve">no significant differences in variance. </w:t>
      </w:r>
      <w:r w:rsidR="004D2FC7">
        <w:rPr>
          <w:rFonts w:ascii="Times New Roman" w:hAnsi="Times New Roman" w:cs="Times New Roman"/>
          <w:sz w:val="24"/>
          <w:szCs w:val="24"/>
        </w:rPr>
        <w:t>N</w:t>
      </w:r>
      <w:r>
        <w:rPr>
          <w:rFonts w:ascii="Times New Roman" w:hAnsi="Times New Roman" w:cs="Times New Roman"/>
          <w:sz w:val="24"/>
          <w:szCs w:val="24"/>
        </w:rPr>
        <w:t>o significant differences in mean</w:t>
      </w:r>
      <w:r w:rsidR="00013043">
        <w:rPr>
          <w:rFonts w:ascii="Times New Roman" w:hAnsi="Times New Roman" w:cs="Times New Roman"/>
          <w:sz w:val="24"/>
          <w:szCs w:val="24"/>
        </w:rPr>
        <w:t>s</w:t>
      </w:r>
      <w:r>
        <w:rPr>
          <w:rFonts w:ascii="Times New Roman" w:hAnsi="Times New Roman" w:cs="Times New Roman"/>
          <w:sz w:val="24"/>
          <w:szCs w:val="24"/>
        </w:rPr>
        <w:t>, median</w:t>
      </w:r>
      <w:r w:rsidR="00013043">
        <w:rPr>
          <w:rFonts w:ascii="Times New Roman" w:hAnsi="Times New Roman" w:cs="Times New Roman"/>
          <w:sz w:val="24"/>
          <w:szCs w:val="24"/>
        </w:rPr>
        <w:t>s</w:t>
      </w:r>
      <w:r>
        <w:rPr>
          <w:rFonts w:ascii="Times New Roman" w:hAnsi="Times New Roman" w:cs="Times New Roman"/>
          <w:sz w:val="24"/>
          <w:szCs w:val="24"/>
        </w:rPr>
        <w:t>, variance</w:t>
      </w:r>
      <w:r w:rsidR="00013043">
        <w:rPr>
          <w:rFonts w:ascii="Times New Roman" w:hAnsi="Times New Roman" w:cs="Times New Roman"/>
          <w:sz w:val="24"/>
          <w:szCs w:val="24"/>
        </w:rPr>
        <w:t>s</w:t>
      </w:r>
      <w:r w:rsidR="004D2FC7">
        <w:rPr>
          <w:rFonts w:ascii="Times New Roman" w:hAnsi="Times New Roman" w:cs="Times New Roman"/>
          <w:sz w:val="24"/>
          <w:szCs w:val="24"/>
        </w:rPr>
        <w:t>,</w:t>
      </w:r>
      <w:r w:rsidR="005270DF">
        <w:rPr>
          <w:rFonts w:ascii="Times New Roman" w:hAnsi="Times New Roman" w:cs="Times New Roman"/>
          <w:sz w:val="24"/>
          <w:szCs w:val="24"/>
        </w:rPr>
        <w:t xml:space="preserve"> </w:t>
      </w:r>
      <w:r w:rsidR="004D2FC7">
        <w:rPr>
          <w:rFonts w:ascii="Times New Roman" w:hAnsi="Times New Roman" w:cs="Times New Roman"/>
          <w:sz w:val="24"/>
          <w:szCs w:val="24"/>
        </w:rPr>
        <w:t>or</w:t>
      </w:r>
      <w:r>
        <w:rPr>
          <w:rFonts w:ascii="Times New Roman" w:hAnsi="Times New Roman" w:cs="Times New Roman"/>
          <w:sz w:val="24"/>
          <w:szCs w:val="24"/>
        </w:rPr>
        <w:t xml:space="preserve"> distribution</w:t>
      </w:r>
      <w:r w:rsidR="00013043">
        <w:rPr>
          <w:rFonts w:ascii="Times New Roman" w:hAnsi="Times New Roman" w:cs="Times New Roman"/>
          <w:sz w:val="24"/>
          <w:szCs w:val="24"/>
        </w:rPr>
        <w:t>s</w:t>
      </w:r>
      <w:r>
        <w:rPr>
          <w:rFonts w:ascii="Times New Roman" w:hAnsi="Times New Roman" w:cs="Times New Roman"/>
          <w:sz w:val="24"/>
          <w:szCs w:val="24"/>
        </w:rPr>
        <w:t xml:space="preserve"> occur with respect to </w:t>
      </w:r>
      <w:r w:rsidR="00B52D06">
        <w:rPr>
          <w:rFonts w:ascii="Times New Roman" w:hAnsi="Times New Roman" w:cs="Times New Roman"/>
          <w:sz w:val="24"/>
          <w:szCs w:val="24"/>
        </w:rPr>
        <w:t xml:space="preserve">the </w:t>
      </w:r>
      <w:r w:rsidR="00AF553B">
        <w:rPr>
          <w:rFonts w:ascii="Times New Roman" w:hAnsi="Times New Roman" w:cs="Times New Roman"/>
          <w:sz w:val="24"/>
          <w:szCs w:val="24"/>
        </w:rPr>
        <w:t xml:space="preserve">1979/80 </w:t>
      </w:r>
      <w:r w:rsidR="004D2FC7">
        <w:rPr>
          <w:rFonts w:ascii="Times New Roman" w:hAnsi="Times New Roman" w:cs="Times New Roman"/>
          <w:sz w:val="24"/>
          <w:szCs w:val="24"/>
        </w:rPr>
        <w:t>s</w:t>
      </w:r>
      <w:r>
        <w:rPr>
          <w:rFonts w:ascii="Times New Roman" w:hAnsi="Times New Roman" w:cs="Times New Roman"/>
          <w:sz w:val="24"/>
          <w:szCs w:val="24"/>
        </w:rPr>
        <w:t xml:space="preserve">econd </w:t>
      </w:r>
      <w:r w:rsidR="004D2FC7">
        <w:rPr>
          <w:rFonts w:ascii="Times New Roman" w:hAnsi="Times New Roman" w:cs="Times New Roman"/>
          <w:sz w:val="24"/>
          <w:szCs w:val="24"/>
        </w:rPr>
        <w:t>g</w:t>
      </w:r>
      <w:r>
        <w:rPr>
          <w:rFonts w:ascii="Times New Roman" w:hAnsi="Times New Roman" w:cs="Times New Roman"/>
          <w:sz w:val="24"/>
          <w:szCs w:val="24"/>
        </w:rPr>
        <w:t xml:space="preserve">lobal </w:t>
      </w:r>
      <w:r w:rsidR="004D2FC7">
        <w:rPr>
          <w:rFonts w:ascii="Times New Roman" w:hAnsi="Times New Roman" w:cs="Times New Roman"/>
          <w:sz w:val="24"/>
          <w:szCs w:val="24"/>
        </w:rPr>
        <w:t>o</w:t>
      </w:r>
      <w:r>
        <w:rPr>
          <w:rFonts w:ascii="Times New Roman" w:hAnsi="Times New Roman" w:cs="Times New Roman"/>
          <w:sz w:val="24"/>
          <w:szCs w:val="24"/>
        </w:rPr>
        <w:t xml:space="preserve">il </w:t>
      </w:r>
      <w:r w:rsidR="004D2FC7">
        <w:rPr>
          <w:rFonts w:ascii="Times New Roman" w:hAnsi="Times New Roman" w:cs="Times New Roman"/>
          <w:sz w:val="24"/>
          <w:szCs w:val="24"/>
        </w:rPr>
        <w:t>s</w:t>
      </w:r>
      <w:r>
        <w:rPr>
          <w:rFonts w:ascii="Times New Roman" w:hAnsi="Times New Roman" w:cs="Times New Roman"/>
          <w:sz w:val="24"/>
          <w:szCs w:val="24"/>
        </w:rPr>
        <w:t xml:space="preserve">hock, </w:t>
      </w:r>
      <w:r w:rsidR="004D2FC7">
        <w:rPr>
          <w:rFonts w:ascii="Times New Roman" w:hAnsi="Times New Roman" w:cs="Times New Roman"/>
          <w:sz w:val="24"/>
          <w:szCs w:val="24"/>
        </w:rPr>
        <w:t>the</w:t>
      </w:r>
      <w:r w:rsidR="005270DF">
        <w:rPr>
          <w:rFonts w:ascii="Times New Roman" w:hAnsi="Times New Roman" w:cs="Times New Roman"/>
          <w:sz w:val="24"/>
          <w:szCs w:val="24"/>
        </w:rPr>
        <w:t xml:space="preserve"> </w:t>
      </w:r>
      <w:r w:rsidR="00AF553B">
        <w:rPr>
          <w:rFonts w:ascii="Times New Roman" w:hAnsi="Times New Roman" w:cs="Times New Roman"/>
          <w:sz w:val="24"/>
          <w:szCs w:val="24"/>
        </w:rPr>
        <w:t xml:space="preserve">1992/93 </w:t>
      </w:r>
      <w:r>
        <w:rPr>
          <w:rFonts w:ascii="Times New Roman" w:hAnsi="Times New Roman" w:cs="Times New Roman"/>
          <w:sz w:val="24"/>
          <w:szCs w:val="24"/>
        </w:rPr>
        <w:t xml:space="preserve">European </w:t>
      </w:r>
      <w:r w:rsidR="004D2FC7">
        <w:rPr>
          <w:rFonts w:ascii="Times New Roman" w:hAnsi="Times New Roman" w:cs="Times New Roman"/>
          <w:sz w:val="24"/>
          <w:szCs w:val="24"/>
        </w:rPr>
        <w:t>m</w:t>
      </w:r>
      <w:r>
        <w:rPr>
          <w:rFonts w:ascii="Times New Roman" w:hAnsi="Times New Roman" w:cs="Times New Roman"/>
          <w:sz w:val="24"/>
          <w:szCs w:val="24"/>
        </w:rPr>
        <w:t xml:space="preserve">onetary </w:t>
      </w:r>
      <w:r w:rsidR="004D2FC7">
        <w:rPr>
          <w:rFonts w:ascii="Times New Roman" w:hAnsi="Times New Roman" w:cs="Times New Roman"/>
          <w:sz w:val="24"/>
          <w:szCs w:val="24"/>
        </w:rPr>
        <w:t>s</w:t>
      </w:r>
      <w:r>
        <w:rPr>
          <w:rFonts w:ascii="Times New Roman" w:hAnsi="Times New Roman" w:cs="Times New Roman"/>
          <w:sz w:val="24"/>
          <w:szCs w:val="24"/>
        </w:rPr>
        <w:t xml:space="preserve">ystem </w:t>
      </w:r>
      <w:r w:rsidR="004D2FC7">
        <w:rPr>
          <w:rFonts w:ascii="Times New Roman" w:hAnsi="Times New Roman" w:cs="Times New Roman"/>
          <w:sz w:val="24"/>
          <w:szCs w:val="24"/>
        </w:rPr>
        <w:t>c</w:t>
      </w:r>
      <w:r>
        <w:rPr>
          <w:rFonts w:ascii="Times New Roman" w:hAnsi="Times New Roman" w:cs="Times New Roman"/>
          <w:sz w:val="24"/>
          <w:szCs w:val="24"/>
        </w:rPr>
        <w:t>risis</w:t>
      </w:r>
      <w:r w:rsidR="004D2FC7">
        <w:rPr>
          <w:rFonts w:ascii="Times New Roman" w:hAnsi="Times New Roman" w:cs="Times New Roman"/>
          <w:sz w:val="24"/>
          <w:szCs w:val="24"/>
        </w:rPr>
        <w:t>, or the</w:t>
      </w:r>
      <w:r w:rsidR="005270DF">
        <w:rPr>
          <w:rFonts w:ascii="Times New Roman" w:hAnsi="Times New Roman" w:cs="Times New Roman"/>
          <w:sz w:val="24"/>
          <w:szCs w:val="24"/>
        </w:rPr>
        <w:t xml:space="preserve"> </w:t>
      </w:r>
      <w:r w:rsidR="00AF553B">
        <w:rPr>
          <w:rFonts w:ascii="Times New Roman" w:hAnsi="Times New Roman" w:cs="Times New Roman"/>
          <w:sz w:val="24"/>
          <w:szCs w:val="24"/>
        </w:rPr>
        <w:t xml:space="preserve">2000/02 </w:t>
      </w:r>
      <w:r w:rsidR="004D2FC7">
        <w:rPr>
          <w:rFonts w:ascii="Times New Roman" w:hAnsi="Times New Roman" w:cs="Times New Roman"/>
          <w:sz w:val="24"/>
          <w:szCs w:val="24"/>
        </w:rPr>
        <w:t>d</w:t>
      </w:r>
      <w:r>
        <w:rPr>
          <w:rFonts w:ascii="Times New Roman" w:hAnsi="Times New Roman" w:cs="Times New Roman"/>
          <w:sz w:val="24"/>
          <w:szCs w:val="24"/>
        </w:rPr>
        <w:t>ot-</w:t>
      </w:r>
      <w:r w:rsidR="004D2FC7">
        <w:rPr>
          <w:rFonts w:ascii="Times New Roman" w:hAnsi="Times New Roman" w:cs="Times New Roman"/>
          <w:sz w:val="24"/>
          <w:szCs w:val="24"/>
        </w:rPr>
        <w:t>c</w:t>
      </w:r>
      <w:r>
        <w:rPr>
          <w:rFonts w:ascii="Times New Roman" w:hAnsi="Times New Roman" w:cs="Times New Roman"/>
          <w:sz w:val="24"/>
          <w:szCs w:val="24"/>
        </w:rPr>
        <w:t xml:space="preserve">om </w:t>
      </w:r>
      <w:r w:rsidR="00DB7C83">
        <w:rPr>
          <w:rFonts w:ascii="Times New Roman" w:hAnsi="Times New Roman" w:cs="Times New Roman"/>
          <w:sz w:val="24"/>
          <w:szCs w:val="24"/>
        </w:rPr>
        <w:t>b</w:t>
      </w:r>
      <w:r>
        <w:rPr>
          <w:rFonts w:ascii="Times New Roman" w:hAnsi="Times New Roman" w:cs="Times New Roman"/>
          <w:sz w:val="24"/>
          <w:szCs w:val="24"/>
        </w:rPr>
        <w:t xml:space="preserve">ubble </w:t>
      </w:r>
      <w:r w:rsidR="00696DEF">
        <w:rPr>
          <w:rFonts w:ascii="Times New Roman" w:hAnsi="Times New Roman" w:cs="Times New Roman"/>
          <w:sz w:val="24"/>
          <w:szCs w:val="24"/>
        </w:rPr>
        <w:t>burst</w:t>
      </w:r>
      <w:r w:rsidR="00AF553B">
        <w:rPr>
          <w:rFonts w:ascii="Times New Roman" w:hAnsi="Times New Roman" w:cs="Times New Roman"/>
          <w:sz w:val="24"/>
          <w:szCs w:val="24"/>
        </w:rPr>
        <w:t>.</w:t>
      </w:r>
      <w:r w:rsidR="005270DF">
        <w:rPr>
          <w:rFonts w:ascii="Times New Roman" w:hAnsi="Times New Roman" w:cs="Times New Roman"/>
          <w:sz w:val="24"/>
          <w:szCs w:val="24"/>
        </w:rPr>
        <w:t xml:space="preserve"> </w:t>
      </w:r>
      <w:r w:rsidR="009F1239">
        <w:rPr>
          <w:rFonts w:ascii="Times New Roman" w:hAnsi="Times New Roman" w:cs="Times New Roman"/>
          <w:sz w:val="24"/>
          <w:szCs w:val="24"/>
        </w:rPr>
        <w:t>However</w:t>
      </w:r>
      <w:r w:rsidR="00C73E04">
        <w:rPr>
          <w:rFonts w:ascii="Times New Roman" w:hAnsi="Times New Roman" w:cs="Times New Roman"/>
          <w:sz w:val="24"/>
          <w:szCs w:val="24"/>
        </w:rPr>
        <w:t>, the difference in mean</w:t>
      </w:r>
      <w:r w:rsidR="00CD134F">
        <w:rPr>
          <w:rFonts w:ascii="Times New Roman" w:hAnsi="Times New Roman" w:cs="Times New Roman"/>
          <w:sz w:val="24"/>
          <w:szCs w:val="24"/>
        </w:rPr>
        <w:t>s</w:t>
      </w:r>
      <w:r w:rsidR="00C73E04">
        <w:rPr>
          <w:rFonts w:ascii="Times New Roman" w:hAnsi="Times New Roman" w:cs="Times New Roman"/>
          <w:sz w:val="24"/>
          <w:szCs w:val="24"/>
        </w:rPr>
        <w:t xml:space="preserve"> is strongly significant </w:t>
      </w:r>
      <w:r w:rsidR="00DB7C83">
        <w:rPr>
          <w:rFonts w:ascii="Times New Roman" w:hAnsi="Times New Roman" w:cs="Times New Roman"/>
          <w:sz w:val="24"/>
          <w:szCs w:val="24"/>
        </w:rPr>
        <w:t>so</w:t>
      </w:r>
      <w:r w:rsidR="00CC1694">
        <w:rPr>
          <w:rFonts w:ascii="Times New Roman" w:hAnsi="Times New Roman" w:cs="Times New Roman"/>
          <w:sz w:val="24"/>
          <w:szCs w:val="24"/>
        </w:rPr>
        <w:t xml:space="preserve"> that the</w:t>
      </w:r>
      <w:r w:rsidR="00B02CAD" w:rsidRPr="008529E4">
        <w:rPr>
          <w:rFonts w:ascii="Times New Roman" w:hAnsi="Times New Roman" w:cs="Times New Roman"/>
          <w:sz w:val="24"/>
          <w:szCs w:val="24"/>
        </w:rPr>
        <w:t xml:space="preserve"> correlation between</w:t>
      </w:r>
      <w:r w:rsidR="00B52D06">
        <w:rPr>
          <w:rFonts w:ascii="Times New Roman" w:hAnsi="Times New Roman" w:cs="Times New Roman"/>
          <w:sz w:val="24"/>
          <w:szCs w:val="24"/>
        </w:rPr>
        <w:t xml:space="preserve"> the</w:t>
      </w:r>
      <w:r w:rsidR="00B02CAD" w:rsidRPr="008529E4">
        <w:rPr>
          <w:rFonts w:ascii="Times New Roman" w:hAnsi="Times New Roman" w:cs="Times New Roman"/>
          <w:sz w:val="24"/>
          <w:szCs w:val="24"/>
        </w:rPr>
        <w:t xml:space="preserve"> UK and US increase</w:t>
      </w:r>
      <w:r w:rsidR="00B52D06">
        <w:rPr>
          <w:rFonts w:ascii="Times New Roman" w:hAnsi="Times New Roman" w:cs="Times New Roman"/>
          <w:sz w:val="24"/>
          <w:szCs w:val="24"/>
        </w:rPr>
        <w:t>d</w:t>
      </w:r>
      <w:r w:rsidR="005270DF">
        <w:rPr>
          <w:rFonts w:ascii="Times New Roman" w:hAnsi="Times New Roman" w:cs="Times New Roman"/>
          <w:sz w:val="24"/>
          <w:szCs w:val="24"/>
        </w:rPr>
        <w:t xml:space="preserve"> </w:t>
      </w:r>
      <w:r w:rsidR="00242D7F">
        <w:rPr>
          <w:rFonts w:ascii="Times New Roman" w:hAnsi="Times New Roman" w:cs="Times New Roman"/>
          <w:sz w:val="24"/>
          <w:szCs w:val="24"/>
        </w:rPr>
        <w:t>significantly</w:t>
      </w:r>
      <w:r w:rsidR="00B02CAD" w:rsidRPr="008529E4">
        <w:rPr>
          <w:rFonts w:ascii="Times New Roman" w:hAnsi="Times New Roman" w:cs="Times New Roman"/>
          <w:sz w:val="24"/>
          <w:szCs w:val="24"/>
        </w:rPr>
        <w:t xml:space="preserve"> during </w:t>
      </w:r>
      <w:r w:rsidR="00242D7F">
        <w:rPr>
          <w:rFonts w:ascii="Times New Roman" w:hAnsi="Times New Roman" w:cs="Times New Roman"/>
          <w:sz w:val="24"/>
          <w:szCs w:val="24"/>
        </w:rPr>
        <w:t>th</w:t>
      </w:r>
      <w:r w:rsidR="00B02CAD" w:rsidRPr="008529E4">
        <w:rPr>
          <w:rFonts w:ascii="Times New Roman" w:hAnsi="Times New Roman" w:cs="Times New Roman"/>
          <w:sz w:val="24"/>
          <w:szCs w:val="24"/>
        </w:rPr>
        <w:t xml:space="preserve">e </w:t>
      </w:r>
      <w:r w:rsidR="00AF553B">
        <w:rPr>
          <w:rFonts w:ascii="Times New Roman" w:hAnsi="Times New Roman" w:cs="Times New Roman"/>
          <w:sz w:val="24"/>
          <w:szCs w:val="24"/>
        </w:rPr>
        <w:t>1973/</w:t>
      </w:r>
      <w:r w:rsidR="00242D7F" w:rsidRPr="008529E4">
        <w:rPr>
          <w:rFonts w:ascii="Times New Roman" w:hAnsi="Times New Roman" w:cs="Times New Roman"/>
          <w:sz w:val="24"/>
          <w:szCs w:val="24"/>
        </w:rPr>
        <w:t>74 oil shock</w:t>
      </w:r>
      <w:r w:rsidR="00242D7F">
        <w:rPr>
          <w:rFonts w:ascii="Times New Roman" w:hAnsi="Times New Roman" w:cs="Times New Roman"/>
          <w:sz w:val="24"/>
          <w:szCs w:val="24"/>
        </w:rPr>
        <w:t>,</w:t>
      </w:r>
      <w:r w:rsidR="005270DF">
        <w:rPr>
          <w:rFonts w:ascii="Times New Roman" w:hAnsi="Times New Roman" w:cs="Times New Roman"/>
          <w:sz w:val="24"/>
          <w:szCs w:val="24"/>
        </w:rPr>
        <w:t xml:space="preserve"> </w:t>
      </w:r>
      <w:r w:rsidR="00242D7F">
        <w:rPr>
          <w:rFonts w:ascii="Times New Roman" w:hAnsi="Times New Roman" w:cs="Times New Roman"/>
          <w:sz w:val="24"/>
          <w:szCs w:val="24"/>
        </w:rPr>
        <w:t xml:space="preserve">1987 </w:t>
      </w:r>
      <w:r w:rsidR="00DB7C83">
        <w:rPr>
          <w:rFonts w:ascii="Times New Roman" w:hAnsi="Times New Roman" w:cs="Times New Roman"/>
          <w:sz w:val="24"/>
          <w:szCs w:val="24"/>
        </w:rPr>
        <w:t>s</w:t>
      </w:r>
      <w:r w:rsidR="00242D7F">
        <w:rPr>
          <w:rFonts w:ascii="Times New Roman" w:hAnsi="Times New Roman" w:cs="Times New Roman"/>
          <w:sz w:val="24"/>
          <w:szCs w:val="24"/>
        </w:rPr>
        <w:t xml:space="preserve">tock </w:t>
      </w:r>
      <w:r w:rsidR="00DB7C83">
        <w:rPr>
          <w:rFonts w:ascii="Times New Roman" w:hAnsi="Times New Roman" w:cs="Times New Roman"/>
          <w:sz w:val="24"/>
          <w:szCs w:val="24"/>
        </w:rPr>
        <w:t>m</w:t>
      </w:r>
      <w:r w:rsidR="00242D7F">
        <w:rPr>
          <w:rFonts w:ascii="Times New Roman" w:hAnsi="Times New Roman" w:cs="Times New Roman"/>
          <w:sz w:val="24"/>
          <w:szCs w:val="24"/>
        </w:rPr>
        <w:t xml:space="preserve">arket </w:t>
      </w:r>
      <w:r w:rsidR="00DB7C83">
        <w:rPr>
          <w:rFonts w:ascii="Times New Roman" w:hAnsi="Times New Roman" w:cs="Times New Roman"/>
          <w:sz w:val="24"/>
          <w:szCs w:val="24"/>
        </w:rPr>
        <w:t>c</w:t>
      </w:r>
      <w:r w:rsidR="00242D7F">
        <w:rPr>
          <w:rFonts w:ascii="Times New Roman" w:hAnsi="Times New Roman" w:cs="Times New Roman"/>
          <w:sz w:val="24"/>
          <w:szCs w:val="24"/>
        </w:rPr>
        <w:t xml:space="preserve">rash, </w:t>
      </w:r>
      <w:r w:rsidR="00AF553B">
        <w:rPr>
          <w:rFonts w:ascii="Times New Roman" w:hAnsi="Times New Roman" w:cs="Times New Roman"/>
          <w:sz w:val="24"/>
          <w:szCs w:val="24"/>
        </w:rPr>
        <w:t>1997/</w:t>
      </w:r>
      <w:r w:rsidR="00242D7F" w:rsidRPr="008529E4">
        <w:rPr>
          <w:rFonts w:ascii="Times New Roman" w:hAnsi="Times New Roman" w:cs="Times New Roman"/>
          <w:sz w:val="24"/>
          <w:szCs w:val="24"/>
        </w:rPr>
        <w:t>98 Asian/Russia</w:t>
      </w:r>
      <w:r w:rsidR="00DB7C83">
        <w:rPr>
          <w:rFonts w:ascii="Times New Roman" w:hAnsi="Times New Roman" w:cs="Times New Roman"/>
          <w:sz w:val="24"/>
          <w:szCs w:val="24"/>
        </w:rPr>
        <w:t>n</w:t>
      </w:r>
      <w:r w:rsidR="00242D7F" w:rsidRPr="008529E4">
        <w:rPr>
          <w:rFonts w:ascii="Times New Roman" w:hAnsi="Times New Roman" w:cs="Times New Roman"/>
          <w:sz w:val="24"/>
          <w:szCs w:val="24"/>
        </w:rPr>
        <w:t xml:space="preserve"> crisis</w:t>
      </w:r>
      <w:r w:rsidR="00DB7C83">
        <w:rPr>
          <w:rFonts w:ascii="Times New Roman" w:hAnsi="Times New Roman" w:cs="Times New Roman"/>
          <w:sz w:val="24"/>
          <w:szCs w:val="24"/>
        </w:rPr>
        <w:t>,</w:t>
      </w:r>
      <w:r w:rsidR="00AF553B">
        <w:rPr>
          <w:rFonts w:ascii="Times New Roman" w:hAnsi="Times New Roman" w:cs="Times New Roman"/>
          <w:sz w:val="24"/>
          <w:szCs w:val="24"/>
        </w:rPr>
        <w:t xml:space="preserve"> and 2007/</w:t>
      </w:r>
      <w:r w:rsidR="00242D7F">
        <w:rPr>
          <w:rFonts w:ascii="Times New Roman" w:hAnsi="Times New Roman" w:cs="Times New Roman"/>
          <w:sz w:val="24"/>
          <w:szCs w:val="24"/>
        </w:rPr>
        <w:t xml:space="preserve">09 </w:t>
      </w:r>
      <w:r w:rsidR="00DB7C83">
        <w:rPr>
          <w:rFonts w:ascii="Times New Roman" w:hAnsi="Times New Roman" w:cs="Times New Roman"/>
          <w:sz w:val="24"/>
          <w:szCs w:val="24"/>
        </w:rPr>
        <w:t>g</w:t>
      </w:r>
      <w:r w:rsidR="00242D7F">
        <w:rPr>
          <w:rFonts w:ascii="Times New Roman" w:hAnsi="Times New Roman" w:cs="Times New Roman"/>
          <w:sz w:val="24"/>
          <w:szCs w:val="24"/>
        </w:rPr>
        <w:t xml:space="preserve">lobal </w:t>
      </w:r>
      <w:r w:rsidR="00DB7C83">
        <w:rPr>
          <w:rFonts w:ascii="Times New Roman" w:hAnsi="Times New Roman" w:cs="Times New Roman"/>
          <w:sz w:val="24"/>
          <w:szCs w:val="24"/>
        </w:rPr>
        <w:t>f</w:t>
      </w:r>
      <w:r w:rsidR="00242D7F">
        <w:rPr>
          <w:rFonts w:ascii="Times New Roman" w:hAnsi="Times New Roman" w:cs="Times New Roman"/>
          <w:sz w:val="24"/>
          <w:szCs w:val="24"/>
        </w:rPr>
        <w:t xml:space="preserve">inancial </w:t>
      </w:r>
      <w:r w:rsidR="00DB7C83">
        <w:rPr>
          <w:rFonts w:ascii="Times New Roman" w:hAnsi="Times New Roman" w:cs="Times New Roman"/>
          <w:sz w:val="24"/>
          <w:szCs w:val="24"/>
        </w:rPr>
        <w:t>c</w:t>
      </w:r>
      <w:r w:rsidR="00242D7F">
        <w:rPr>
          <w:rFonts w:ascii="Times New Roman" w:hAnsi="Times New Roman" w:cs="Times New Roman"/>
          <w:sz w:val="24"/>
          <w:szCs w:val="24"/>
        </w:rPr>
        <w:t>risis</w:t>
      </w:r>
      <w:r w:rsidR="00B12C18">
        <w:rPr>
          <w:rFonts w:ascii="Times New Roman" w:hAnsi="Times New Roman" w:cs="Times New Roman"/>
          <w:sz w:val="24"/>
          <w:szCs w:val="24"/>
        </w:rPr>
        <w:t xml:space="preserve"> (GFC)</w:t>
      </w:r>
      <w:r w:rsidR="00B02CAD" w:rsidRPr="008529E4">
        <w:rPr>
          <w:rFonts w:ascii="Times New Roman" w:hAnsi="Times New Roman" w:cs="Times New Roman"/>
          <w:sz w:val="24"/>
          <w:szCs w:val="24"/>
        </w:rPr>
        <w:t xml:space="preserve">. The </w:t>
      </w:r>
      <w:r w:rsidR="00F16AC4">
        <w:rPr>
          <w:rFonts w:ascii="Times New Roman" w:hAnsi="Times New Roman" w:cs="Times New Roman"/>
          <w:sz w:val="24"/>
          <w:szCs w:val="24"/>
        </w:rPr>
        <w:t xml:space="preserve">substantial </w:t>
      </w:r>
      <w:r w:rsidR="00CC1694">
        <w:rPr>
          <w:rFonts w:ascii="Times New Roman" w:hAnsi="Times New Roman" w:cs="Times New Roman"/>
          <w:sz w:val="24"/>
          <w:szCs w:val="24"/>
        </w:rPr>
        <w:t xml:space="preserve">increases in market correlation during crisis periods </w:t>
      </w:r>
      <w:r w:rsidR="00DB7C83">
        <w:rPr>
          <w:rFonts w:ascii="Times New Roman" w:hAnsi="Times New Roman" w:cs="Times New Roman"/>
          <w:sz w:val="24"/>
          <w:szCs w:val="24"/>
        </w:rPr>
        <w:t xml:space="preserve">as </w:t>
      </w:r>
      <w:r w:rsidR="00CC1694">
        <w:rPr>
          <w:rFonts w:ascii="Times New Roman" w:hAnsi="Times New Roman" w:cs="Times New Roman"/>
          <w:sz w:val="24"/>
          <w:szCs w:val="24"/>
        </w:rPr>
        <w:t xml:space="preserve">compared to stable periods support the </w:t>
      </w:r>
      <w:r w:rsidR="00DB7C83">
        <w:rPr>
          <w:rFonts w:ascii="Times New Roman" w:hAnsi="Times New Roman" w:cs="Times New Roman"/>
          <w:sz w:val="24"/>
          <w:szCs w:val="24"/>
        </w:rPr>
        <w:t>“</w:t>
      </w:r>
      <w:r w:rsidR="00CC1694">
        <w:rPr>
          <w:rFonts w:ascii="Times New Roman" w:hAnsi="Times New Roman" w:cs="Times New Roman"/>
          <w:sz w:val="24"/>
          <w:szCs w:val="24"/>
        </w:rPr>
        <w:t>contagion</w:t>
      </w:r>
      <w:r w:rsidR="00DB7C83">
        <w:rPr>
          <w:rFonts w:ascii="Times New Roman" w:hAnsi="Times New Roman" w:cs="Times New Roman"/>
          <w:sz w:val="24"/>
          <w:szCs w:val="24"/>
        </w:rPr>
        <w:t>”</w:t>
      </w:r>
      <w:r w:rsidR="00CC1694">
        <w:rPr>
          <w:rFonts w:ascii="Times New Roman" w:hAnsi="Times New Roman" w:cs="Times New Roman"/>
          <w:sz w:val="24"/>
          <w:szCs w:val="24"/>
        </w:rPr>
        <w:t xml:space="preserve"> argument proposed by</w:t>
      </w:r>
      <w:r w:rsidR="00AF553B">
        <w:rPr>
          <w:rFonts w:ascii="Times New Roman" w:hAnsi="Times New Roman" w:cs="Times New Roman"/>
          <w:sz w:val="24"/>
          <w:szCs w:val="24"/>
        </w:rPr>
        <w:t xml:space="preserve"> Forbes and Rigobon</w:t>
      </w:r>
      <w:r w:rsidR="005270DF">
        <w:rPr>
          <w:rFonts w:ascii="Times New Roman" w:hAnsi="Times New Roman" w:cs="Times New Roman"/>
          <w:sz w:val="24"/>
          <w:szCs w:val="24"/>
        </w:rPr>
        <w:t xml:space="preserve"> </w:t>
      </w:r>
      <w:r w:rsidR="00F220C4">
        <w:rPr>
          <w:rFonts w:ascii="Times New Roman" w:hAnsi="Times New Roman" w:cs="Times New Roman"/>
          <w:sz w:val="24"/>
          <w:szCs w:val="24"/>
        </w:rPr>
        <w:t>(</w:t>
      </w:r>
      <w:r w:rsidR="00AF553B">
        <w:rPr>
          <w:rFonts w:ascii="Times New Roman" w:hAnsi="Times New Roman" w:cs="Times New Roman"/>
          <w:sz w:val="24"/>
          <w:szCs w:val="24"/>
        </w:rPr>
        <w:t xml:space="preserve">2002; </w:t>
      </w:r>
      <w:r w:rsidR="00F220C4">
        <w:rPr>
          <w:rFonts w:ascii="Times New Roman" w:hAnsi="Times New Roman" w:cs="Times New Roman"/>
          <w:sz w:val="24"/>
          <w:szCs w:val="24"/>
        </w:rPr>
        <w:t xml:space="preserve">see also </w:t>
      </w:r>
      <w:r w:rsidR="00AF553B">
        <w:rPr>
          <w:rFonts w:ascii="Times New Roman" w:hAnsi="Times New Roman" w:cs="Times New Roman"/>
          <w:sz w:val="24"/>
          <w:szCs w:val="24"/>
        </w:rPr>
        <w:t>Bekaert</w:t>
      </w:r>
      <w:r w:rsidR="00F220C4">
        <w:rPr>
          <w:rFonts w:ascii="Times New Roman" w:hAnsi="Times New Roman" w:cs="Times New Roman"/>
          <w:sz w:val="24"/>
          <w:szCs w:val="24"/>
        </w:rPr>
        <w:t>, Harvey, &amp; Ng</w:t>
      </w:r>
      <w:r w:rsidR="00AF553B" w:rsidRPr="00AF553B">
        <w:rPr>
          <w:rFonts w:ascii="Times New Roman" w:hAnsi="Times New Roman" w:cs="Times New Roman"/>
          <w:i/>
          <w:sz w:val="24"/>
          <w:szCs w:val="24"/>
        </w:rPr>
        <w:t>,</w:t>
      </w:r>
      <w:r w:rsidR="00AF553B">
        <w:rPr>
          <w:rFonts w:ascii="Times New Roman" w:hAnsi="Times New Roman" w:cs="Times New Roman"/>
          <w:sz w:val="24"/>
          <w:szCs w:val="24"/>
        </w:rPr>
        <w:t xml:space="preserve"> 2005; Dimitriou</w:t>
      </w:r>
      <w:r w:rsidR="00F220C4">
        <w:rPr>
          <w:rFonts w:ascii="Times New Roman" w:hAnsi="Times New Roman" w:cs="Times New Roman"/>
          <w:sz w:val="24"/>
          <w:szCs w:val="24"/>
        </w:rPr>
        <w:t>, Kenourgios, &amp; Simos</w:t>
      </w:r>
      <w:r w:rsidR="00B12241" w:rsidRPr="00B12241">
        <w:rPr>
          <w:rFonts w:ascii="Times New Roman" w:hAnsi="Times New Roman" w:cs="Times New Roman"/>
          <w:sz w:val="24"/>
          <w:szCs w:val="24"/>
        </w:rPr>
        <w:t>,</w:t>
      </w:r>
      <w:r w:rsidR="00AF553B">
        <w:rPr>
          <w:rFonts w:ascii="Times New Roman" w:hAnsi="Times New Roman" w:cs="Times New Roman"/>
          <w:sz w:val="24"/>
          <w:szCs w:val="24"/>
        </w:rPr>
        <w:t xml:space="preserve"> 2013</w:t>
      </w:r>
      <w:r w:rsidR="00F220C4">
        <w:rPr>
          <w:rFonts w:ascii="Times New Roman" w:hAnsi="Times New Roman" w:cs="Times New Roman"/>
          <w:sz w:val="24"/>
          <w:szCs w:val="24"/>
        </w:rPr>
        <w:t>)</w:t>
      </w:r>
      <w:r w:rsidR="00AF553B">
        <w:rPr>
          <w:rFonts w:ascii="Times New Roman" w:hAnsi="Times New Roman" w:cs="Times New Roman"/>
          <w:sz w:val="24"/>
          <w:szCs w:val="24"/>
        </w:rPr>
        <w:t>.</w:t>
      </w:r>
    </w:p>
    <w:p w:rsidR="00F839BE" w:rsidRDefault="007C1581" w:rsidP="00AF6503">
      <w:pPr>
        <w:spacing w:after="0" w:line="480" w:lineRule="auto"/>
        <w:ind w:right="288" w:firstLine="720"/>
        <w:rPr>
          <w:rFonts w:ascii="Times New Roman" w:hAnsi="Times New Roman" w:cs="Times New Roman"/>
          <w:sz w:val="24"/>
          <w:szCs w:val="24"/>
        </w:rPr>
      </w:pPr>
      <w:r>
        <w:rPr>
          <w:rFonts w:ascii="Times New Roman" w:hAnsi="Times New Roman"/>
          <w:sz w:val="24"/>
          <w:szCs w:val="24"/>
        </w:rPr>
        <w:t>In sum</w:t>
      </w:r>
      <w:r w:rsidR="00166050" w:rsidRPr="006853EA">
        <w:rPr>
          <w:rFonts w:ascii="Times New Roman" w:hAnsi="Times New Roman"/>
          <w:sz w:val="24"/>
          <w:szCs w:val="24"/>
        </w:rPr>
        <w:t>, the low correlation in the first four decades can be attributed to the rule-based monetary system, macroeconomic divergence, economic regionalism</w:t>
      </w:r>
      <w:r w:rsidR="00DB7C83">
        <w:rPr>
          <w:rFonts w:ascii="Times New Roman" w:hAnsi="Times New Roman"/>
          <w:sz w:val="24"/>
          <w:szCs w:val="24"/>
        </w:rPr>
        <w:t>,</w:t>
      </w:r>
      <w:r w:rsidR="00166050" w:rsidRPr="006853EA">
        <w:rPr>
          <w:rFonts w:ascii="Times New Roman" w:hAnsi="Times New Roman"/>
          <w:sz w:val="24"/>
          <w:szCs w:val="24"/>
        </w:rPr>
        <w:t xml:space="preserve"> and protectionism, whereas the rising correlation since the 1970s</w:t>
      </w:r>
      <w:r w:rsidR="00383E8E">
        <w:rPr>
          <w:rFonts w:ascii="Times New Roman" w:hAnsi="Times New Roman"/>
          <w:sz w:val="24"/>
          <w:szCs w:val="24"/>
        </w:rPr>
        <w:t xml:space="preserve"> </w:t>
      </w:r>
      <w:r w:rsidR="00166050" w:rsidRPr="006853EA">
        <w:rPr>
          <w:rFonts w:ascii="Times New Roman" w:hAnsi="Times New Roman"/>
          <w:sz w:val="24"/>
          <w:szCs w:val="24"/>
        </w:rPr>
        <w:t xml:space="preserve">can be associated with </w:t>
      </w:r>
      <w:r w:rsidR="001012E5">
        <w:rPr>
          <w:rFonts w:ascii="Times New Roman" w:hAnsi="Times New Roman"/>
          <w:sz w:val="24"/>
          <w:szCs w:val="24"/>
        </w:rPr>
        <w:t>flexible exchange rate</w:t>
      </w:r>
      <w:r w:rsidR="00DB7C83">
        <w:rPr>
          <w:rFonts w:ascii="Times New Roman" w:hAnsi="Times New Roman"/>
          <w:sz w:val="24"/>
          <w:szCs w:val="24"/>
        </w:rPr>
        <w:t>s</w:t>
      </w:r>
      <w:r w:rsidR="00166050" w:rsidRPr="006853EA">
        <w:rPr>
          <w:rFonts w:ascii="Times New Roman" w:hAnsi="Times New Roman"/>
          <w:sz w:val="24"/>
          <w:szCs w:val="24"/>
        </w:rPr>
        <w:t>, economic integration, financial libe</w:t>
      </w:r>
      <w:r w:rsidR="006279D6">
        <w:rPr>
          <w:rFonts w:ascii="Times New Roman" w:hAnsi="Times New Roman"/>
          <w:sz w:val="24"/>
          <w:szCs w:val="24"/>
        </w:rPr>
        <w:t>rali</w:t>
      </w:r>
      <w:r w:rsidR="00056BAE">
        <w:rPr>
          <w:rFonts w:ascii="Times New Roman" w:hAnsi="Times New Roman"/>
          <w:sz w:val="24"/>
          <w:szCs w:val="24"/>
        </w:rPr>
        <w:t>z</w:t>
      </w:r>
      <w:r w:rsidR="006279D6">
        <w:rPr>
          <w:rFonts w:ascii="Times New Roman" w:hAnsi="Times New Roman"/>
          <w:sz w:val="24"/>
          <w:szCs w:val="24"/>
        </w:rPr>
        <w:t>ation</w:t>
      </w:r>
      <w:r w:rsidR="00DB7C83">
        <w:rPr>
          <w:rFonts w:ascii="Times New Roman" w:hAnsi="Times New Roman"/>
          <w:sz w:val="24"/>
          <w:szCs w:val="24"/>
        </w:rPr>
        <w:t>,</w:t>
      </w:r>
      <w:r w:rsidR="006279D6">
        <w:rPr>
          <w:rFonts w:ascii="Times New Roman" w:hAnsi="Times New Roman"/>
          <w:sz w:val="24"/>
          <w:szCs w:val="24"/>
        </w:rPr>
        <w:t xml:space="preserve"> and th</w:t>
      </w:r>
      <w:r w:rsidR="000935BF">
        <w:rPr>
          <w:rFonts w:ascii="Times New Roman" w:hAnsi="Times New Roman"/>
          <w:sz w:val="24"/>
          <w:szCs w:val="24"/>
        </w:rPr>
        <w:t xml:space="preserve">e introduction of </w:t>
      </w:r>
      <w:r w:rsidR="00EB2658">
        <w:rPr>
          <w:rFonts w:ascii="Times New Roman" w:hAnsi="Times New Roman"/>
          <w:sz w:val="24"/>
          <w:szCs w:val="24"/>
        </w:rPr>
        <w:t xml:space="preserve">the </w:t>
      </w:r>
      <w:r w:rsidR="000935BF">
        <w:rPr>
          <w:rFonts w:ascii="Times New Roman" w:hAnsi="Times New Roman"/>
          <w:sz w:val="24"/>
          <w:szCs w:val="24"/>
        </w:rPr>
        <w:t>euro currency.</w:t>
      </w:r>
      <w:r w:rsidR="00383E8E">
        <w:rPr>
          <w:rFonts w:ascii="Times New Roman" w:hAnsi="Times New Roman"/>
          <w:sz w:val="24"/>
          <w:szCs w:val="24"/>
        </w:rPr>
        <w:t xml:space="preserve"> </w:t>
      </w:r>
      <w:r w:rsidR="00CD4796">
        <w:rPr>
          <w:rFonts w:ascii="Times New Roman" w:hAnsi="Times New Roman" w:cs="Times New Roman"/>
          <w:sz w:val="24"/>
          <w:szCs w:val="24"/>
        </w:rPr>
        <w:t>The fact that integration between the UK and US markets is weak in the early period of the sample and becomes stron</w:t>
      </w:r>
      <w:r w:rsidR="005B3E45">
        <w:rPr>
          <w:rFonts w:ascii="Times New Roman" w:hAnsi="Times New Roman" w:cs="Times New Roman"/>
          <w:sz w:val="24"/>
          <w:szCs w:val="24"/>
        </w:rPr>
        <w:t>g in the post-BW</w:t>
      </w:r>
      <w:r w:rsidR="00CD4796">
        <w:rPr>
          <w:rFonts w:ascii="Times New Roman" w:hAnsi="Times New Roman" w:cs="Times New Roman"/>
          <w:sz w:val="24"/>
          <w:szCs w:val="24"/>
        </w:rPr>
        <w:t xml:space="preserve"> period suggests that macroeconomic convergence, stock market characteristics</w:t>
      </w:r>
      <w:r w:rsidR="00DB7C83">
        <w:rPr>
          <w:rFonts w:ascii="Times New Roman" w:hAnsi="Times New Roman" w:cs="Times New Roman"/>
          <w:sz w:val="24"/>
          <w:szCs w:val="24"/>
        </w:rPr>
        <w:t>,</w:t>
      </w:r>
      <w:r w:rsidR="00CD4796">
        <w:rPr>
          <w:rFonts w:ascii="Times New Roman" w:hAnsi="Times New Roman" w:cs="Times New Roman"/>
          <w:sz w:val="24"/>
          <w:szCs w:val="24"/>
        </w:rPr>
        <w:t xml:space="preserve"> and </w:t>
      </w:r>
      <w:r w:rsidR="00070156">
        <w:rPr>
          <w:rFonts w:ascii="Times New Roman" w:hAnsi="Times New Roman" w:cs="Times New Roman"/>
          <w:sz w:val="24"/>
          <w:szCs w:val="24"/>
        </w:rPr>
        <w:t>cris</w:t>
      </w:r>
      <w:r w:rsidR="00DB7C83">
        <w:rPr>
          <w:rFonts w:ascii="Times New Roman" w:hAnsi="Times New Roman" w:cs="Times New Roman"/>
          <w:sz w:val="24"/>
          <w:szCs w:val="24"/>
        </w:rPr>
        <w:t>e</w:t>
      </w:r>
      <w:r w:rsidR="00070156">
        <w:rPr>
          <w:rFonts w:ascii="Times New Roman" w:hAnsi="Times New Roman" w:cs="Times New Roman"/>
          <w:sz w:val="24"/>
          <w:szCs w:val="24"/>
        </w:rPr>
        <w:t>s</w:t>
      </w:r>
      <w:r w:rsidR="00CD4796">
        <w:rPr>
          <w:rFonts w:ascii="Times New Roman" w:hAnsi="Times New Roman" w:cs="Times New Roman"/>
          <w:sz w:val="24"/>
          <w:szCs w:val="24"/>
        </w:rPr>
        <w:t xml:space="preserve"> may have played a crucial role.</w:t>
      </w:r>
    </w:p>
    <w:p w:rsidR="0075422D" w:rsidRDefault="008842D9" w:rsidP="00AF6503">
      <w:pPr>
        <w:keepNext/>
        <w:spacing w:before="120" w:after="120" w:line="360" w:lineRule="auto"/>
        <w:ind w:right="288"/>
        <w:rPr>
          <w:rFonts w:ascii="Times New Roman" w:hAnsi="Times New Roman" w:cs="Times New Roman"/>
          <w:b/>
          <w:sz w:val="24"/>
          <w:szCs w:val="24"/>
        </w:rPr>
      </w:pPr>
      <w:bookmarkStart w:id="11" w:name="_Ref479773759"/>
      <w:r w:rsidRPr="00EF67BF">
        <w:rPr>
          <w:rFonts w:ascii="Times New Roman" w:hAnsi="Times New Roman" w:cs="Times New Roman"/>
          <w:b/>
          <w:sz w:val="24"/>
          <w:szCs w:val="24"/>
        </w:rPr>
        <w:lastRenderedPageBreak/>
        <w:t xml:space="preserve">Table </w:t>
      </w:r>
      <w:r w:rsidR="007E3809" w:rsidRPr="00EF67BF">
        <w:rPr>
          <w:rFonts w:ascii="Times New Roman" w:hAnsi="Times New Roman" w:cs="Times New Roman"/>
          <w:b/>
          <w:sz w:val="24"/>
          <w:szCs w:val="24"/>
        </w:rPr>
        <w:fldChar w:fldCharType="begin"/>
      </w:r>
      <w:r w:rsidRPr="00EF67BF">
        <w:rPr>
          <w:rFonts w:ascii="Times New Roman" w:hAnsi="Times New Roman" w:cs="Times New Roman"/>
          <w:b/>
          <w:sz w:val="24"/>
          <w:szCs w:val="24"/>
        </w:rPr>
        <w:instrText xml:space="preserve"> SEQ Table \* ARABIC </w:instrText>
      </w:r>
      <w:r w:rsidR="007E3809" w:rsidRPr="00EF67BF">
        <w:rPr>
          <w:rFonts w:ascii="Times New Roman" w:hAnsi="Times New Roman" w:cs="Times New Roman"/>
          <w:b/>
          <w:sz w:val="24"/>
          <w:szCs w:val="24"/>
        </w:rPr>
        <w:fldChar w:fldCharType="separate"/>
      </w:r>
      <w:r w:rsidR="00325A37">
        <w:rPr>
          <w:rFonts w:ascii="Times New Roman" w:hAnsi="Times New Roman" w:cs="Times New Roman"/>
          <w:b/>
          <w:noProof/>
          <w:sz w:val="24"/>
          <w:szCs w:val="24"/>
        </w:rPr>
        <w:t>4</w:t>
      </w:r>
      <w:r w:rsidR="007E3809" w:rsidRPr="00EF67BF">
        <w:rPr>
          <w:rFonts w:ascii="Times New Roman" w:hAnsi="Times New Roman" w:cs="Times New Roman"/>
          <w:b/>
          <w:sz w:val="24"/>
          <w:szCs w:val="24"/>
        </w:rPr>
        <w:fldChar w:fldCharType="end"/>
      </w:r>
      <w:bookmarkEnd w:id="11"/>
    </w:p>
    <w:p w:rsidR="008842D9" w:rsidRPr="00AF6503" w:rsidRDefault="008842D9" w:rsidP="00C53134">
      <w:pPr>
        <w:spacing w:before="120" w:after="120" w:line="240" w:lineRule="auto"/>
        <w:ind w:right="284"/>
        <w:rPr>
          <w:rFonts w:ascii="Times New Roman" w:hAnsi="Times New Roman" w:cs="Times New Roman"/>
          <w:sz w:val="24"/>
          <w:szCs w:val="24"/>
        </w:rPr>
      </w:pPr>
      <w:r w:rsidRPr="00AF6503">
        <w:rPr>
          <w:rFonts w:ascii="Times New Roman" w:hAnsi="Times New Roman" w:cs="Times New Roman"/>
          <w:sz w:val="24"/>
          <w:szCs w:val="24"/>
        </w:rPr>
        <w:t xml:space="preserve">Test </w:t>
      </w:r>
      <w:r w:rsidR="00E3291F" w:rsidRPr="00AF6503">
        <w:rPr>
          <w:rFonts w:ascii="Times New Roman" w:hAnsi="Times New Roman" w:cs="Times New Roman"/>
          <w:sz w:val="24"/>
          <w:szCs w:val="24"/>
        </w:rPr>
        <w:t xml:space="preserve">for </w:t>
      </w:r>
      <w:r w:rsidR="00E129E9">
        <w:rPr>
          <w:rFonts w:ascii="Times New Roman" w:hAnsi="Times New Roman" w:cs="Times New Roman"/>
          <w:sz w:val="24"/>
          <w:szCs w:val="24"/>
        </w:rPr>
        <w:t>e</w:t>
      </w:r>
      <w:r w:rsidR="00E3291F" w:rsidRPr="00AF6503">
        <w:rPr>
          <w:rFonts w:ascii="Times New Roman" w:hAnsi="Times New Roman" w:cs="Times New Roman"/>
          <w:sz w:val="24"/>
          <w:szCs w:val="24"/>
        </w:rPr>
        <w:t xml:space="preserve">quality </w:t>
      </w:r>
      <w:r w:rsidR="00D2181B">
        <w:rPr>
          <w:rFonts w:ascii="Times New Roman" w:hAnsi="Times New Roman" w:cs="Times New Roman"/>
          <w:sz w:val="24"/>
          <w:szCs w:val="24"/>
        </w:rPr>
        <w:t>of</w:t>
      </w:r>
      <w:r w:rsidR="00804B1A">
        <w:rPr>
          <w:rFonts w:ascii="Times New Roman" w:hAnsi="Times New Roman" w:cs="Times New Roman"/>
          <w:sz w:val="24"/>
          <w:szCs w:val="24"/>
        </w:rPr>
        <w:t xml:space="preserve"> </w:t>
      </w:r>
      <w:r w:rsidR="00E129E9">
        <w:rPr>
          <w:rFonts w:ascii="Times New Roman" w:hAnsi="Times New Roman" w:cs="Times New Roman"/>
          <w:sz w:val="24"/>
          <w:szCs w:val="24"/>
        </w:rPr>
        <w:t>m</w:t>
      </w:r>
      <w:r w:rsidR="00E3291F" w:rsidRPr="00AF6503">
        <w:rPr>
          <w:rFonts w:ascii="Times New Roman" w:hAnsi="Times New Roman" w:cs="Times New Roman"/>
          <w:sz w:val="24"/>
          <w:szCs w:val="24"/>
        </w:rPr>
        <w:t>ean</w:t>
      </w:r>
      <w:r w:rsidR="00C53134">
        <w:rPr>
          <w:rFonts w:ascii="Times New Roman" w:hAnsi="Times New Roman" w:cs="Times New Roman"/>
          <w:sz w:val="24"/>
          <w:szCs w:val="24"/>
        </w:rPr>
        <w:t>s</w:t>
      </w:r>
      <w:r w:rsidR="00E3291F" w:rsidRPr="00AF6503">
        <w:rPr>
          <w:rFonts w:ascii="Times New Roman" w:hAnsi="Times New Roman" w:cs="Times New Roman"/>
          <w:sz w:val="24"/>
          <w:szCs w:val="24"/>
        </w:rPr>
        <w:t xml:space="preserve">, </w:t>
      </w:r>
      <w:r w:rsidR="00E129E9">
        <w:rPr>
          <w:rFonts w:ascii="Times New Roman" w:hAnsi="Times New Roman" w:cs="Times New Roman"/>
          <w:sz w:val="24"/>
          <w:szCs w:val="24"/>
        </w:rPr>
        <w:t>m</w:t>
      </w:r>
      <w:r w:rsidR="00DA440A" w:rsidRPr="00AF6503">
        <w:rPr>
          <w:rFonts w:ascii="Times New Roman" w:hAnsi="Times New Roman" w:cs="Times New Roman"/>
          <w:sz w:val="24"/>
          <w:szCs w:val="24"/>
        </w:rPr>
        <w:t>edian</w:t>
      </w:r>
      <w:r w:rsidR="00C53134">
        <w:rPr>
          <w:rFonts w:ascii="Times New Roman" w:hAnsi="Times New Roman" w:cs="Times New Roman"/>
          <w:sz w:val="24"/>
          <w:szCs w:val="24"/>
        </w:rPr>
        <w:t>s</w:t>
      </w:r>
      <w:r w:rsidR="00C73E04" w:rsidRPr="00AF6503">
        <w:rPr>
          <w:rFonts w:ascii="Times New Roman" w:hAnsi="Times New Roman" w:cs="Times New Roman"/>
          <w:sz w:val="24"/>
          <w:szCs w:val="24"/>
        </w:rPr>
        <w:t>,</w:t>
      </w:r>
      <w:r w:rsidR="00804B1A">
        <w:rPr>
          <w:rFonts w:ascii="Times New Roman" w:hAnsi="Times New Roman" w:cs="Times New Roman"/>
          <w:sz w:val="24"/>
          <w:szCs w:val="24"/>
        </w:rPr>
        <w:t xml:space="preserve"> </w:t>
      </w:r>
      <w:r w:rsidR="00E129E9">
        <w:rPr>
          <w:rFonts w:ascii="Times New Roman" w:hAnsi="Times New Roman" w:cs="Times New Roman"/>
          <w:sz w:val="24"/>
          <w:szCs w:val="24"/>
        </w:rPr>
        <w:t>v</w:t>
      </w:r>
      <w:r w:rsidR="00E3291F" w:rsidRPr="00AF6503">
        <w:rPr>
          <w:rFonts w:ascii="Times New Roman" w:hAnsi="Times New Roman" w:cs="Times New Roman"/>
          <w:sz w:val="24"/>
          <w:szCs w:val="24"/>
        </w:rPr>
        <w:t>ariance</w:t>
      </w:r>
      <w:r w:rsidR="00C53134">
        <w:rPr>
          <w:rFonts w:ascii="Times New Roman" w:hAnsi="Times New Roman" w:cs="Times New Roman"/>
          <w:sz w:val="24"/>
          <w:szCs w:val="24"/>
        </w:rPr>
        <w:t>s</w:t>
      </w:r>
      <w:r w:rsidR="00E129E9">
        <w:rPr>
          <w:rFonts w:ascii="Times New Roman" w:hAnsi="Times New Roman" w:cs="Times New Roman"/>
          <w:sz w:val="24"/>
          <w:szCs w:val="24"/>
        </w:rPr>
        <w:t>,</w:t>
      </w:r>
      <w:r w:rsidR="00E3291F" w:rsidRPr="00AF6503">
        <w:rPr>
          <w:rFonts w:ascii="Times New Roman" w:hAnsi="Times New Roman" w:cs="Times New Roman"/>
          <w:sz w:val="24"/>
          <w:szCs w:val="24"/>
        </w:rPr>
        <w:t xml:space="preserve"> and </w:t>
      </w:r>
      <w:r w:rsidR="00E129E9">
        <w:rPr>
          <w:rFonts w:ascii="Times New Roman" w:hAnsi="Times New Roman" w:cs="Times New Roman"/>
          <w:sz w:val="24"/>
          <w:szCs w:val="24"/>
        </w:rPr>
        <w:t>d</w:t>
      </w:r>
      <w:r w:rsidR="00E3291F" w:rsidRPr="00AF6503">
        <w:rPr>
          <w:rFonts w:ascii="Times New Roman" w:hAnsi="Times New Roman" w:cs="Times New Roman"/>
          <w:sz w:val="24"/>
          <w:szCs w:val="24"/>
        </w:rPr>
        <w:t>istribution</w:t>
      </w:r>
      <w:r w:rsidR="00C53134">
        <w:rPr>
          <w:rFonts w:ascii="Times New Roman" w:hAnsi="Times New Roman" w:cs="Times New Roman"/>
          <w:sz w:val="24"/>
          <w:szCs w:val="24"/>
        </w:rPr>
        <w:t>s</w:t>
      </w:r>
      <w:r w:rsidR="00E3291F" w:rsidRPr="00AF6503">
        <w:rPr>
          <w:rFonts w:ascii="Times New Roman" w:hAnsi="Times New Roman" w:cs="Times New Roman"/>
          <w:sz w:val="24"/>
          <w:szCs w:val="24"/>
        </w:rPr>
        <w:t xml:space="preserve"> </w:t>
      </w:r>
      <w:r w:rsidR="00AD242F" w:rsidRPr="00AF6503">
        <w:rPr>
          <w:rFonts w:ascii="Times New Roman" w:hAnsi="Times New Roman" w:cs="Times New Roman"/>
          <w:sz w:val="24"/>
          <w:szCs w:val="24"/>
        </w:rPr>
        <w:t xml:space="preserve">of </w:t>
      </w:r>
      <w:r w:rsidR="00E129E9">
        <w:rPr>
          <w:rFonts w:ascii="Times New Roman" w:hAnsi="Times New Roman" w:cs="Times New Roman"/>
          <w:sz w:val="24"/>
          <w:szCs w:val="24"/>
        </w:rPr>
        <w:t>c</w:t>
      </w:r>
      <w:r w:rsidR="00AD242F" w:rsidRPr="00AF6503">
        <w:rPr>
          <w:rFonts w:ascii="Times New Roman" w:hAnsi="Times New Roman" w:cs="Times New Roman"/>
          <w:sz w:val="24"/>
          <w:szCs w:val="24"/>
        </w:rPr>
        <w:t xml:space="preserve">onditional </w:t>
      </w:r>
      <w:r w:rsidR="00E129E9">
        <w:rPr>
          <w:rFonts w:ascii="Times New Roman" w:hAnsi="Times New Roman" w:cs="Times New Roman"/>
          <w:sz w:val="24"/>
          <w:szCs w:val="24"/>
        </w:rPr>
        <w:t>c</w:t>
      </w:r>
      <w:r w:rsidR="00AD242F" w:rsidRPr="00AF6503">
        <w:rPr>
          <w:rFonts w:ascii="Times New Roman" w:hAnsi="Times New Roman" w:cs="Times New Roman"/>
          <w:sz w:val="24"/>
          <w:szCs w:val="24"/>
        </w:rPr>
        <w:t>orrelation</w:t>
      </w:r>
      <w:r w:rsidR="00A9376A">
        <w:rPr>
          <w:rFonts w:ascii="Times New Roman" w:hAnsi="Times New Roman" w:cs="Times New Roman"/>
          <w:sz w:val="24"/>
          <w:szCs w:val="24"/>
        </w:rPr>
        <w:t>s</w:t>
      </w:r>
      <w:r w:rsidR="00AD242F" w:rsidRPr="00AF6503">
        <w:rPr>
          <w:rFonts w:ascii="Times New Roman" w:hAnsi="Times New Roman" w:cs="Times New Roman"/>
          <w:sz w:val="24"/>
          <w:szCs w:val="24"/>
        </w:rPr>
        <w:t xml:space="preserve"> across </w:t>
      </w:r>
      <w:r w:rsidR="00A9376A">
        <w:rPr>
          <w:rFonts w:ascii="Times New Roman" w:hAnsi="Times New Roman" w:cs="Times New Roman"/>
          <w:sz w:val="24"/>
          <w:szCs w:val="24"/>
        </w:rPr>
        <w:t xml:space="preserve">the </w:t>
      </w:r>
      <w:r w:rsidR="00AD242F" w:rsidRPr="00AF6503">
        <w:rPr>
          <w:rFonts w:ascii="Times New Roman" w:hAnsi="Times New Roman" w:cs="Times New Roman"/>
          <w:sz w:val="24"/>
          <w:szCs w:val="24"/>
        </w:rPr>
        <w:t>s</w:t>
      </w:r>
      <w:r w:rsidR="00E3291F" w:rsidRPr="00AF6503">
        <w:rPr>
          <w:rFonts w:ascii="Times New Roman" w:hAnsi="Times New Roman" w:cs="Times New Roman"/>
          <w:sz w:val="24"/>
          <w:szCs w:val="24"/>
        </w:rPr>
        <w:t>ubperiods</w:t>
      </w:r>
      <w:r w:rsidR="00A9376A">
        <w:rPr>
          <w:rFonts w:ascii="Times New Roman" w:hAnsi="Times New Roman" w:cs="Times New Roman"/>
          <w:sz w:val="24"/>
          <w:szCs w:val="24"/>
        </w:rPr>
        <w:t xml:space="preserve"> 1935-1945 (pre-BW), 1945-1971 (BW), and 1971-2015 (post-BW)</w:t>
      </w:r>
      <w:r w:rsidR="00AD242F" w:rsidRPr="00AF6503">
        <w:rPr>
          <w:rFonts w:ascii="Times New Roman" w:hAnsi="Times New Roman" w:cs="Times New Roman"/>
          <w:sz w:val="24"/>
          <w:szCs w:val="24"/>
        </w:rPr>
        <w:t>.</w:t>
      </w:r>
    </w:p>
    <w:tbl>
      <w:tblPr>
        <w:tblStyle w:val="LightShading1"/>
        <w:tblW w:w="0" w:type="auto"/>
        <w:tblLook w:val="04A0" w:firstRow="1" w:lastRow="0" w:firstColumn="1" w:lastColumn="0" w:noHBand="0" w:noVBand="1"/>
      </w:tblPr>
      <w:tblGrid>
        <w:gridCol w:w="2547"/>
        <w:gridCol w:w="1417"/>
        <w:gridCol w:w="1418"/>
        <w:gridCol w:w="1418"/>
        <w:gridCol w:w="1559"/>
      </w:tblGrid>
      <w:tr w:rsidR="00A66D53" w:rsidRPr="0075422D" w:rsidTr="00D47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A66D53" w:rsidRPr="00AF6503" w:rsidRDefault="00A66D53" w:rsidP="00AF6503">
            <w:pPr>
              <w:spacing w:after="0" w:line="240" w:lineRule="auto"/>
              <w:rPr>
                <w:rFonts w:ascii="Times New Roman" w:hAnsi="Times New Roman" w:cs="Times New Roman"/>
                <w:sz w:val="24"/>
                <w:szCs w:val="24"/>
              </w:rPr>
            </w:pPr>
          </w:p>
        </w:tc>
        <w:tc>
          <w:tcPr>
            <w:tcW w:w="1417" w:type="dxa"/>
            <w:shd w:val="clear" w:color="auto" w:fill="auto"/>
          </w:tcPr>
          <w:p w:rsidR="00A66D53" w:rsidRPr="00AF6503" w:rsidRDefault="00A66D53"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6503">
              <w:rPr>
                <w:rFonts w:ascii="Times New Roman" w:hAnsi="Times New Roman" w:cs="Times New Roman"/>
                <w:sz w:val="24"/>
                <w:szCs w:val="24"/>
              </w:rPr>
              <w:t xml:space="preserve">Equality </w:t>
            </w:r>
            <w:r w:rsidR="00D2181B">
              <w:rPr>
                <w:rFonts w:ascii="Times New Roman" w:hAnsi="Times New Roman" w:cs="Times New Roman"/>
                <w:sz w:val="24"/>
                <w:szCs w:val="24"/>
              </w:rPr>
              <w:t>of</w:t>
            </w:r>
            <w:r w:rsidRPr="00AF6503">
              <w:rPr>
                <w:rFonts w:ascii="Times New Roman" w:hAnsi="Times New Roman" w:cs="Times New Roman"/>
                <w:sz w:val="24"/>
                <w:szCs w:val="24"/>
              </w:rPr>
              <w:t xml:space="preserve"> mean</w:t>
            </w:r>
            <w:r w:rsidR="00134E63">
              <w:rPr>
                <w:rFonts w:ascii="Times New Roman" w:hAnsi="Times New Roman" w:cs="Times New Roman"/>
                <w:sz w:val="24"/>
                <w:szCs w:val="24"/>
              </w:rPr>
              <w:t>s</w:t>
            </w:r>
          </w:p>
        </w:tc>
        <w:tc>
          <w:tcPr>
            <w:tcW w:w="1418" w:type="dxa"/>
            <w:shd w:val="clear" w:color="auto" w:fill="auto"/>
          </w:tcPr>
          <w:p w:rsidR="00A66D53" w:rsidRPr="00AF6503" w:rsidRDefault="001D286F"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Equality </w:t>
            </w:r>
            <w:r w:rsidR="00D2181B">
              <w:rPr>
                <w:rFonts w:ascii="Times New Roman" w:hAnsi="Times New Roman" w:cs="Times New Roman"/>
                <w:sz w:val="24"/>
                <w:szCs w:val="24"/>
              </w:rPr>
              <w:t>of</w:t>
            </w:r>
            <w:r w:rsidR="00A66D53" w:rsidRPr="00AF6503">
              <w:rPr>
                <w:rFonts w:ascii="Times New Roman" w:hAnsi="Times New Roman" w:cs="Times New Roman"/>
                <w:sz w:val="24"/>
                <w:szCs w:val="24"/>
              </w:rPr>
              <w:t xml:space="preserve"> median</w:t>
            </w:r>
            <w:r w:rsidR="00134E63">
              <w:rPr>
                <w:rFonts w:ascii="Times New Roman" w:hAnsi="Times New Roman" w:cs="Times New Roman"/>
                <w:sz w:val="24"/>
                <w:szCs w:val="24"/>
              </w:rPr>
              <w:t>s</w:t>
            </w:r>
          </w:p>
        </w:tc>
        <w:tc>
          <w:tcPr>
            <w:tcW w:w="1418" w:type="dxa"/>
            <w:shd w:val="clear" w:color="auto" w:fill="auto"/>
          </w:tcPr>
          <w:p w:rsidR="00A66D53" w:rsidRPr="00AF6503" w:rsidRDefault="00A66D53"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6503">
              <w:rPr>
                <w:rFonts w:ascii="Times New Roman" w:hAnsi="Times New Roman" w:cs="Times New Roman"/>
                <w:sz w:val="24"/>
                <w:szCs w:val="24"/>
              </w:rPr>
              <w:t>Equality</w:t>
            </w:r>
            <w:r w:rsidR="00D2181B">
              <w:rPr>
                <w:rFonts w:ascii="Times New Roman" w:hAnsi="Times New Roman" w:cs="Times New Roman"/>
                <w:sz w:val="24"/>
                <w:szCs w:val="24"/>
              </w:rPr>
              <w:t xml:space="preserve"> of</w:t>
            </w:r>
            <w:r w:rsidRPr="00AF6503">
              <w:rPr>
                <w:rFonts w:ascii="Times New Roman" w:hAnsi="Times New Roman" w:cs="Times New Roman"/>
                <w:sz w:val="24"/>
                <w:szCs w:val="24"/>
              </w:rPr>
              <w:t xml:space="preserve"> variance</w:t>
            </w:r>
            <w:r w:rsidR="00134E63">
              <w:rPr>
                <w:rFonts w:ascii="Times New Roman" w:hAnsi="Times New Roman" w:cs="Times New Roman"/>
                <w:sz w:val="24"/>
                <w:szCs w:val="24"/>
              </w:rPr>
              <w:t>s</w:t>
            </w:r>
          </w:p>
        </w:tc>
        <w:tc>
          <w:tcPr>
            <w:tcW w:w="1559" w:type="dxa"/>
            <w:shd w:val="clear" w:color="auto" w:fill="auto"/>
          </w:tcPr>
          <w:p w:rsidR="00A66D53" w:rsidRPr="00AF6503" w:rsidRDefault="00A66D53"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6503">
              <w:rPr>
                <w:rFonts w:ascii="Times New Roman" w:hAnsi="Times New Roman" w:cs="Times New Roman"/>
                <w:sz w:val="24"/>
                <w:szCs w:val="24"/>
              </w:rPr>
              <w:t>Equality</w:t>
            </w:r>
            <w:r w:rsidR="00804B1A">
              <w:rPr>
                <w:rFonts w:ascii="Times New Roman" w:hAnsi="Times New Roman" w:cs="Times New Roman"/>
                <w:sz w:val="24"/>
                <w:szCs w:val="24"/>
              </w:rPr>
              <w:t xml:space="preserve"> </w:t>
            </w:r>
            <w:r w:rsidR="00D2181B">
              <w:rPr>
                <w:rFonts w:ascii="Times New Roman" w:hAnsi="Times New Roman" w:cs="Times New Roman"/>
                <w:sz w:val="24"/>
                <w:szCs w:val="24"/>
              </w:rPr>
              <w:t>of</w:t>
            </w:r>
            <w:r w:rsidRPr="00AF6503">
              <w:rPr>
                <w:rFonts w:ascii="Times New Roman" w:hAnsi="Times New Roman" w:cs="Times New Roman"/>
                <w:sz w:val="24"/>
                <w:szCs w:val="24"/>
              </w:rPr>
              <w:t xml:space="preserve"> distribution</w:t>
            </w:r>
            <w:r w:rsidR="00134E63">
              <w:rPr>
                <w:rFonts w:ascii="Times New Roman" w:hAnsi="Times New Roman" w:cs="Times New Roman"/>
                <w:sz w:val="24"/>
                <w:szCs w:val="24"/>
              </w:rPr>
              <w:t>s</w:t>
            </w:r>
          </w:p>
        </w:tc>
      </w:tr>
      <w:tr w:rsidR="00583D45" w:rsidRPr="00DD6EF6" w:rsidTr="00D4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583D45" w:rsidRPr="00DD6EF6" w:rsidRDefault="00583D45" w:rsidP="00A9376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BW = Pre-BW</w:t>
            </w:r>
          </w:p>
        </w:tc>
        <w:tc>
          <w:tcPr>
            <w:tcW w:w="1417" w:type="dxa"/>
            <w:shd w:val="clear" w:color="auto" w:fill="auto"/>
          </w:tcPr>
          <w:p w:rsidR="00583D45" w:rsidRPr="00DD6EF6" w:rsidRDefault="00583D45" w:rsidP="006676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-0.056***</w:t>
            </w:r>
          </w:p>
          <w:p w:rsidR="00583D45" w:rsidRPr="00DD6EF6" w:rsidRDefault="00583D45"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shd w:val="clear" w:color="auto" w:fill="auto"/>
          </w:tcPr>
          <w:p w:rsidR="00583D45" w:rsidRDefault="00583D45"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0.102</w:t>
            </w:r>
          </w:p>
        </w:tc>
        <w:tc>
          <w:tcPr>
            <w:tcW w:w="1418" w:type="dxa"/>
            <w:shd w:val="clear" w:color="auto" w:fill="auto"/>
          </w:tcPr>
          <w:p w:rsidR="00583D45" w:rsidRDefault="00583D45"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0.196***</w:t>
            </w:r>
          </w:p>
          <w:p w:rsidR="00583D45" w:rsidRDefault="00583D45" w:rsidP="00134E6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shd w:val="clear" w:color="auto" w:fill="auto"/>
          </w:tcPr>
          <w:p w:rsidR="00583D45" w:rsidRDefault="00583D4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0.093</w:t>
            </w:r>
          </w:p>
        </w:tc>
      </w:tr>
      <w:tr w:rsidR="00583D45" w:rsidRPr="00DD6EF6" w:rsidTr="00D4745D">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583D45" w:rsidRPr="00DD6EF6" w:rsidRDefault="00583D45" w:rsidP="00A9376A">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Post-BW</w:t>
            </w:r>
            <w:r w:rsidRPr="00DD6EF6">
              <w:rPr>
                <w:rFonts w:ascii="Times New Roman" w:eastAsia="Times New Roman" w:hAnsi="Times New Roman" w:cs="Times New Roman"/>
                <w:color w:val="000000"/>
                <w:sz w:val="24"/>
                <w:szCs w:val="24"/>
                <w:lang w:eastAsia="en-GB"/>
              </w:rPr>
              <w:t xml:space="preserve"> = BW</w:t>
            </w:r>
          </w:p>
        </w:tc>
        <w:tc>
          <w:tcPr>
            <w:tcW w:w="1417" w:type="dxa"/>
            <w:shd w:val="clear" w:color="auto" w:fill="auto"/>
          </w:tcPr>
          <w:p w:rsidR="00583D45" w:rsidRDefault="00583D45"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0.126***</w:t>
            </w:r>
          </w:p>
          <w:p w:rsidR="00583D45" w:rsidRPr="00DD6EF6" w:rsidRDefault="00583D45"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8" w:type="dxa"/>
            <w:shd w:val="clear" w:color="auto" w:fill="auto"/>
          </w:tcPr>
          <w:p w:rsidR="00583D45" w:rsidRDefault="00583D45"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205.9***</w:t>
            </w:r>
          </w:p>
        </w:tc>
        <w:tc>
          <w:tcPr>
            <w:tcW w:w="1418" w:type="dxa"/>
            <w:shd w:val="clear" w:color="auto" w:fill="auto"/>
          </w:tcPr>
          <w:p w:rsidR="00583D45" w:rsidRDefault="00583D45"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0.311***</w:t>
            </w:r>
            <w:r>
              <w:rPr>
                <w:rFonts w:ascii="Times New Roman" w:hAnsi="Times New Roman" w:cs="Times New Roman"/>
                <w:sz w:val="24"/>
                <w:szCs w:val="24"/>
              </w:rPr>
              <w:br/>
            </w:r>
          </w:p>
        </w:tc>
        <w:tc>
          <w:tcPr>
            <w:tcW w:w="1559" w:type="dxa"/>
            <w:shd w:val="clear" w:color="auto" w:fill="auto"/>
          </w:tcPr>
          <w:p w:rsidR="00583D45" w:rsidRDefault="00583D4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0.534***</w:t>
            </w:r>
          </w:p>
        </w:tc>
      </w:tr>
      <w:tr w:rsidR="00583D45" w:rsidRPr="00C72E14" w:rsidTr="00D4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rsidR="00583D45" w:rsidRPr="00C72E14" w:rsidRDefault="00583D45" w:rsidP="00A9376A">
            <w:pPr>
              <w:spacing w:after="0" w:line="240" w:lineRule="auto"/>
              <w:rPr>
                <w:rFonts w:ascii="Times New Roman" w:hAnsi="Times New Roman" w:cs="Times New Roman"/>
                <w:sz w:val="24"/>
                <w:szCs w:val="24"/>
              </w:rPr>
            </w:pPr>
            <w:r w:rsidRPr="00C72E14">
              <w:rPr>
                <w:rFonts w:ascii="Times New Roman" w:hAnsi="Times New Roman" w:cs="Times New Roman"/>
                <w:sz w:val="24"/>
                <w:szCs w:val="24"/>
              </w:rPr>
              <w:t>Post-BW</w:t>
            </w:r>
            <w:r>
              <w:rPr>
                <w:rFonts w:ascii="Times New Roman" w:hAnsi="Times New Roman" w:cs="Times New Roman"/>
                <w:sz w:val="24"/>
                <w:szCs w:val="24"/>
              </w:rPr>
              <w:t xml:space="preserve"> = Pre-BW</w:t>
            </w:r>
          </w:p>
        </w:tc>
        <w:tc>
          <w:tcPr>
            <w:tcW w:w="1417" w:type="dxa"/>
            <w:shd w:val="clear" w:color="auto" w:fill="auto"/>
          </w:tcPr>
          <w:p w:rsidR="00583D45" w:rsidRDefault="00583D4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0.075***</w:t>
            </w:r>
          </w:p>
          <w:p w:rsidR="00583D45" w:rsidRPr="00C72E14" w:rsidRDefault="00583D4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18" w:type="dxa"/>
            <w:shd w:val="clear" w:color="auto" w:fill="auto"/>
          </w:tcPr>
          <w:p w:rsidR="00583D45" w:rsidRPr="00C72E14" w:rsidRDefault="00583D4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79.12***</w:t>
            </w:r>
          </w:p>
        </w:tc>
        <w:tc>
          <w:tcPr>
            <w:tcW w:w="1418" w:type="dxa"/>
            <w:shd w:val="clear" w:color="auto" w:fill="auto"/>
          </w:tcPr>
          <w:p w:rsidR="00583D45" w:rsidRDefault="00583D4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0.347</w:t>
            </w:r>
          </w:p>
          <w:p w:rsidR="00583D45" w:rsidRPr="00C72E14" w:rsidRDefault="00583D4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9" w:type="dxa"/>
            <w:shd w:val="clear" w:color="auto" w:fill="auto"/>
          </w:tcPr>
          <w:p w:rsidR="00583D45" w:rsidRPr="00C72E14" w:rsidRDefault="00583D4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0.479***</w:t>
            </w:r>
          </w:p>
        </w:tc>
      </w:tr>
    </w:tbl>
    <w:p w:rsidR="00134E63" w:rsidRDefault="00134E63" w:rsidP="00134E63">
      <w:pPr>
        <w:spacing w:after="0" w:line="240" w:lineRule="auto"/>
        <w:ind w:right="282"/>
        <w:rPr>
          <w:rFonts w:ascii="Times New Roman" w:hAnsi="Times New Roman" w:cs="Times New Roman"/>
          <w:sz w:val="20"/>
          <w:szCs w:val="20"/>
        </w:rPr>
      </w:pPr>
      <w:r w:rsidRPr="00AF6503">
        <w:rPr>
          <w:rFonts w:ascii="Times New Roman" w:hAnsi="Times New Roman" w:cs="Times New Roman"/>
          <w:sz w:val="20"/>
          <w:szCs w:val="20"/>
        </w:rPr>
        <w:t>Notes:</w:t>
      </w:r>
      <w:r>
        <w:rPr>
          <w:rFonts w:ascii="Times New Roman" w:hAnsi="Times New Roman" w:cs="Times New Roman"/>
          <w:sz w:val="20"/>
          <w:szCs w:val="20"/>
        </w:rPr>
        <w:t xml:space="preserve"> </w:t>
      </w:r>
      <w:r w:rsidRPr="006853EA">
        <w:rPr>
          <w:rFonts w:ascii="Times New Roman" w:eastAsiaTheme="minorEastAsia" w:hAnsi="Times New Roman" w:cs="Times New Roman"/>
          <w:sz w:val="20"/>
          <w:szCs w:val="20"/>
        </w:rPr>
        <w:t>*, **</w:t>
      </w:r>
      <w:r>
        <w:rPr>
          <w:rFonts w:ascii="Times New Roman" w:eastAsiaTheme="minorEastAsia" w:hAnsi="Times New Roman" w:cs="Times New Roman"/>
          <w:sz w:val="20"/>
          <w:szCs w:val="20"/>
        </w:rPr>
        <w:t>,</w:t>
      </w:r>
      <w:r w:rsidRPr="006853EA">
        <w:rPr>
          <w:rFonts w:ascii="Times New Roman" w:eastAsiaTheme="minorEastAsia" w:hAnsi="Times New Roman" w:cs="Times New Roman"/>
          <w:sz w:val="20"/>
          <w:szCs w:val="20"/>
        </w:rPr>
        <w:t xml:space="preserve"> and *** </w:t>
      </w:r>
      <w:r>
        <w:rPr>
          <w:rFonts w:ascii="New serif" w:hAnsi="New serif"/>
          <w:color w:val="26282A"/>
          <w:sz w:val="20"/>
          <w:szCs w:val="20"/>
          <w:shd w:val="clear" w:color="auto" w:fill="FFFFFF"/>
          <w:lang w:val="en-US"/>
        </w:rPr>
        <w:t>denote significance at the 10%, 5%, and 1% levels, respectively. 2-sample </w:t>
      </w:r>
      <w:r>
        <w:rPr>
          <w:rFonts w:ascii="New serif" w:hAnsi="New serif"/>
          <w:i/>
          <w:iCs/>
          <w:color w:val="26282A"/>
          <w:sz w:val="20"/>
          <w:szCs w:val="20"/>
          <w:shd w:val="clear" w:color="auto" w:fill="FFFFFF"/>
          <w:lang w:val="en-US"/>
        </w:rPr>
        <w:t>t </w:t>
      </w:r>
      <w:r>
        <w:rPr>
          <w:rFonts w:ascii="New serif" w:hAnsi="New serif"/>
          <w:color w:val="26282A"/>
          <w:sz w:val="20"/>
          <w:szCs w:val="20"/>
          <w:shd w:val="clear" w:color="auto" w:fill="FFFFFF"/>
          <w:lang w:val="en-US"/>
        </w:rPr>
        <w:t>and Levine tests assess the null of equality of means, and equality of variances. For such tests the figures reported are the differences between means, and between variances. </w:t>
      </w:r>
      <w:r>
        <w:rPr>
          <w:rFonts w:ascii="New serif" w:hAnsi="New serif"/>
          <w:i/>
          <w:iCs/>
          <w:color w:val="26282A"/>
          <w:sz w:val="20"/>
          <w:szCs w:val="20"/>
          <w:shd w:val="clear" w:color="auto" w:fill="FFFFFF"/>
          <w:lang w:val="en-US"/>
        </w:rPr>
        <w:t>k</w:t>
      </w:r>
      <w:r>
        <w:rPr>
          <w:rFonts w:ascii="New serif" w:hAnsi="New serif"/>
          <w:color w:val="26282A"/>
          <w:sz w:val="20"/>
          <w:szCs w:val="20"/>
          <w:shd w:val="clear" w:color="auto" w:fill="FFFFFF"/>
          <w:lang w:val="en-US"/>
        </w:rPr>
        <w:t>-sample and Kolmogorov-Smirnov tests assess the null of equality of medians, and equality of distributions.</w:t>
      </w:r>
    </w:p>
    <w:p w:rsidR="00E3291F" w:rsidRDefault="00E3291F" w:rsidP="00AF6503">
      <w:pPr>
        <w:spacing w:after="0" w:line="240" w:lineRule="auto"/>
        <w:ind w:right="707"/>
        <w:rPr>
          <w:rFonts w:ascii="Times New Roman" w:hAnsi="Times New Roman" w:cs="Times New Roman"/>
          <w:sz w:val="20"/>
          <w:szCs w:val="20"/>
        </w:rPr>
      </w:pPr>
    </w:p>
    <w:p w:rsidR="0075422D" w:rsidRDefault="00E3291F" w:rsidP="00667604">
      <w:pPr>
        <w:pStyle w:val="Caption"/>
        <w:keepNext/>
        <w:rPr>
          <w:rFonts w:ascii="Times New Roman" w:hAnsi="Times New Roman" w:cs="Times New Roman"/>
          <w:color w:val="auto"/>
          <w:sz w:val="24"/>
          <w:szCs w:val="24"/>
        </w:rPr>
      </w:pPr>
      <w:bookmarkStart w:id="12" w:name="_Ref487005842"/>
      <w:r w:rsidRPr="00E3291F">
        <w:rPr>
          <w:rFonts w:ascii="Times New Roman" w:hAnsi="Times New Roman" w:cs="Times New Roman"/>
          <w:color w:val="auto"/>
          <w:sz w:val="24"/>
          <w:szCs w:val="24"/>
        </w:rPr>
        <w:t xml:space="preserve">Table </w:t>
      </w:r>
      <w:r w:rsidR="007E3809" w:rsidRPr="00E3291F">
        <w:rPr>
          <w:rFonts w:ascii="Times New Roman" w:hAnsi="Times New Roman" w:cs="Times New Roman"/>
          <w:color w:val="auto"/>
          <w:sz w:val="24"/>
          <w:szCs w:val="24"/>
        </w:rPr>
        <w:fldChar w:fldCharType="begin"/>
      </w:r>
      <w:r w:rsidRPr="00E3291F">
        <w:rPr>
          <w:rFonts w:ascii="Times New Roman" w:hAnsi="Times New Roman" w:cs="Times New Roman"/>
          <w:color w:val="auto"/>
          <w:sz w:val="24"/>
          <w:szCs w:val="24"/>
        </w:rPr>
        <w:instrText xml:space="preserve"> SEQ Table \* ARABIC </w:instrText>
      </w:r>
      <w:r w:rsidR="007E3809" w:rsidRPr="00E3291F">
        <w:rPr>
          <w:rFonts w:ascii="Times New Roman" w:hAnsi="Times New Roman" w:cs="Times New Roman"/>
          <w:color w:val="auto"/>
          <w:sz w:val="24"/>
          <w:szCs w:val="24"/>
        </w:rPr>
        <w:fldChar w:fldCharType="separate"/>
      </w:r>
      <w:r w:rsidR="00325A37">
        <w:rPr>
          <w:rFonts w:ascii="Times New Roman" w:hAnsi="Times New Roman" w:cs="Times New Roman"/>
          <w:noProof/>
          <w:color w:val="auto"/>
          <w:sz w:val="24"/>
          <w:szCs w:val="24"/>
        </w:rPr>
        <w:t>5</w:t>
      </w:r>
      <w:r w:rsidR="007E3809" w:rsidRPr="00E3291F">
        <w:rPr>
          <w:rFonts w:ascii="Times New Roman" w:hAnsi="Times New Roman" w:cs="Times New Roman"/>
          <w:color w:val="auto"/>
          <w:sz w:val="24"/>
          <w:szCs w:val="24"/>
        </w:rPr>
        <w:fldChar w:fldCharType="end"/>
      </w:r>
      <w:bookmarkEnd w:id="12"/>
    </w:p>
    <w:p w:rsidR="00E3291F" w:rsidRPr="004974A3" w:rsidRDefault="00E3291F" w:rsidP="00667604">
      <w:pPr>
        <w:pStyle w:val="Caption"/>
        <w:keepNext/>
        <w:rPr>
          <w:rFonts w:ascii="Times New Roman" w:hAnsi="Times New Roman" w:cs="Times New Roman"/>
          <w:b w:val="0"/>
          <w:color w:val="auto"/>
          <w:sz w:val="24"/>
          <w:szCs w:val="24"/>
        </w:rPr>
      </w:pPr>
      <w:r w:rsidRPr="004974A3">
        <w:rPr>
          <w:rFonts w:ascii="Times New Roman" w:hAnsi="Times New Roman" w:cs="Times New Roman"/>
          <w:b w:val="0"/>
          <w:color w:val="auto"/>
          <w:sz w:val="24"/>
          <w:szCs w:val="24"/>
        </w:rPr>
        <w:t xml:space="preserve">Test for </w:t>
      </w:r>
      <w:r w:rsidR="00E129E9" w:rsidRPr="004974A3">
        <w:rPr>
          <w:rFonts w:ascii="Times New Roman" w:hAnsi="Times New Roman" w:cs="Times New Roman"/>
          <w:b w:val="0"/>
          <w:color w:val="auto"/>
          <w:sz w:val="24"/>
          <w:szCs w:val="24"/>
        </w:rPr>
        <w:t>e</w:t>
      </w:r>
      <w:r w:rsidRPr="004974A3">
        <w:rPr>
          <w:rFonts w:ascii="Times New Roman" w:hAnsi="Times New Roman" w:cs="Times New Roman"/>
          <w:b w:val="0"/>
          <w:color w:val="auto"/>
          <w:sz w:val="24"/>
          <w:szCs w:val="24"/>
        </w:rPr>
        <w:t xml:space="preserve">quality </w:t>
      </w:r>
      <w:r w:rsidR="00D2181B" w:rsidRPr="004974A3">
        <w:rPr>
          <w:rFonts w:ascii="Times New Roman" w:hAnsi="Times New Roman" w:cs="Times New Roman"/>
          <w:b w:val="0"/>
          <w:color w:val="auto"/>
          <w:sz w:val="24"/>
          <w:szCs w:val="24"/>
        </w:rPr>
        <w:t>of</w:t>
      </w:r>
      <w:r w:rsidR="004974A3" w:rsidRPr="004974A3">
        <w:rPr>
          <w:rFonts w:ascii="Times New Roman" w:hAnsi="Times New Roman" w:cs="Times New Roman"/>
          <w:b w:val="0"/>
          <w:color w:val="auto"/>
          <w:sz w:val="24"/>
          <w:szCs w:val="24"/>
        </w:rPr>
        <w:t xml:space="preserve"> </w:t>
      </w:r>
      <w:r w:rsidR="00E129E9" w:rsidRPr="004974A3">
        <w:rPr>
          <w:rFonts w:ascii="Times New Roman" w:hAnsi="Times New Roman" w:cs="Times New Roman"/>
          <w:b w:val="0"/>
          <w:color w:val="auto"/>
          <w:sz w:val="24"/>
          <w:szCs w:val="24"/>
        </w:rPr>
        <w:t>m</w:t>
      </w:r>
      <w:r w:rsidRPr="004974A3">
        <w:rPr>
          <w:rFonts w:ascii="Times New Roman" w:hAnsi="Times New Roman" w:cs="Times New Roman"/>
          <w:b w:val="0"/>
          <w:color w:val="auto"/>
          <w:sz w:val="24"/>
          <w:szCs w:val="24"/>
        </w:rPr>
        <w:t>ean</w:t>
      </w:r>
      <w:r w:rsidR="00C53134">
        <w:rPr>
          <w:rFonts w:ascii="Times New Roman" w:hAnsi="Times New Roman" w:cs="Times New Roman"/>
          <w:b w:val="0"/>
          <w:color w:val="auto"/>
          <w:sz w:val="24"/>
          <w:szCs w:val="24"/>
        </w:rPr>
        <w:t>s</w:t>
      </w:r>
      <w:r w:rsidR="00DA440A" w:rsidRPr="004974A3">
        <w:rPr>
          <w:rFonts w:ascii="Times New Roman" w:hAnsi="Times New Roman" w:cs="Times New Roman"/>
          <w:b w:val="0"/>
          <w:color w:val="auto"/>
          <w:sz w:val="24"/>
          <w:szCs w:val="24"/>
        </w:rPr>
        <w:t xml:space="preserve">, </w:t>
      </w:r>
      <w:r w:rsidR="00E129E9" w:rsidRPr="004974A3">
        <w:rPr>
          <w:rFonts w:ascii="Times New Roman" w:hAnsi="Times New Roman" w:cs="Times New Roman"/>
          <w:b w:val="0"/>
          <w:color w:val="auto"/>
          <w:sz w:val="24"/>
          <w:szCs w:val="24"/>
        </w:rPr>
        <w:t>m</w:t>
      </w:r>
      <w:r w:rsidR="00DA440A" w:rsidRPr="004974A3">
        <w:rPr>
          <w:rFonts w:ascii="Times New Roman" w:hAnsi="Times New Roman" w:cs="Times New Roman"/>
          <w:b w:val="0"/>
          <w:color w:val="auto"/>
          <w:sz w:val="24"/>
          <w:szCs w:val="24"/>
        </w:rPr>
        <w:t>edian</w:t>
      </w:r>
      <w:r w:rsidR="00C53134">
        <w:rPr>
          <w:rFonts w:ascii="Times New Roman" w:hAnsi="Times New Roman" w:cs="Times New Roman"/>
          <w:b w:val="0"/>
          <w:color w:val="auto"/>
          <w:sz w:val="24"/>
          <w:szCs w:val="24"/>
        </w:rPr>
        <w:t>s</w:t>
      </w:r>
      <w:r w:rsidR="00DA440A" w:rsidRPr="004974A3">
        <w:rPr>
          <w:rFonts w:ascii="Times New Roman" w:hAnsi="Times New Roman" w:cs="Times New Roman"/>
          <w:b w:val="0"/>
          <w:color w:val="auto"/>
          <w:sz w:val="24"/>
          <w:szCs w:val="24"/>
        </w:rPr>
        <w:t xml:space="preserve">, </w:t>
      </w:r>
      <w:r w:rsidR="00E129E9" w:rsidRPr="004974A3">
        <w:rPr>
          <w:rFonts w:ascii="Times New Roman" w:hAnsi="Times New Roman" w:cs="Times New Roman"/>
          <w:b w:val="0"/>
          <w:color w:val="auto"/>
          <w:sz w:val="24"/>
          <w:szCs w:val="24"/>
        </w:rPr>
        <w:t>v</w:t>
      </w:r>
      <w:r w:rsidRPr="004974A3">
        <w:rPr>
          <w:rFonts w:ascii="Times New Roman" w:hAnsi="Times New Roman" w:cs="Times New Roman"/>
          <w:b w:val="0"/>
          <w:color w:val="auto"/>
          <w:sz w:val="24"/>
          <w:szCs w:val="24"/>
        </w:rPr>
        <w:t>ariance</w:t>
      </w:r>
      <w:r w:rsidR="00C53134">
        <w:rPr>
          <w:rFonts w:ascii="Times New Roman" w:hAnsi="Times New Roman" w:cs="Times New Roman"/>
          <w:b w:val="0"/>
          <w:color w:val="auto"/>
          <w:sz w:val="24"/>
          <w:szCs w:val="24"/>
        </w:rPr>
        <w:t>s</w:t>
      </w:r>
      <w:r w:rsidR="00E129E9" w:rsidRPr="004974A3">
        <w:rPr>
          <w:rFonts w:ascii="Times New Roman" w:hAnsi="Times New Roman" w:cs="Times New Roman"/>
          <w:b w:val="0"/>
          <w:color w:val="auto"/>
          <w:sz w:val="24"/>
          <w:szCs w:val="24"/>
        </w:rPr>
        <w:t>,</w:t>
      </w:r>
      <w:r w:rsidRPr="004974A3">
        <w:rPr>
          <w:rFonts w:ascii="Times New Roman" w:hAnsi="Times New Roman" w:cs="Times New Roman"/>
          <w:b w:val="0"/>
          <w:color w:val="auto"/>
          <w:sz w:val="24"/>
          <w:szCs w:val="24"/>
        </w:rPr>
        <w:t xml:space="preserve"> and </w:t>
      </w:r>
      <w:r w:rsidR="00E129E9" w:rsidRPr="004974A3">
        <w:rPr>
          <w:rFonts w:ascii="Times New Roman" w:hAnsi="Times New Roman" w:cs="Times New Roman"/>
          <w:b w:val="0"/>
          <w:color w:val="auto"/>
          <w:sz w:val="24"/>
          <w:szCs w:val="24"/>
        </w:rPr>
        <w:t>d</w:t>
      </w:r>
      <w:r w:rsidRPr="004974A3">
        <w:rPr>
          <w:rFonts w:ascii="Times New Roman" w:hAnsi="Times New Roman" w:cs="Times New Roman"/>
          <w:b w:val="0"/>
          <w:color w:val="auto"/>
          <w:sz w:val="24"/>
          <w:szCs w:val="24"/>
        </w:rPr>
        <w:t>istribution</w:t>
      </w:r>
      <w:r w:rsidR="00C53134">
        <w:rPr>
          <w:rFonts w:ascii="Times New Roman" w:hAnsi="Times New Roman" w:cs="Times New Roman"/>
          <w:b w:val="0"/>
          <w:color w:val="auto"/>
          <w:sz w:val="24"/>
          <w:szCs w:val="24"/>
        </w:rPr>
        <w:t>s</w:t>
      </w:r>
      <w:r w:rsidRPr="004974A3">
        <w:rPr>
          <w:rFonts w:ascii="Times New Roman" w:hAnsi="Times New Roman" w:cs="Times New Roman"/>
          <w:b w:val="0"/>
          <w:color w:val="auto"/>
          <w:sz w:val="24"/>
          <w:szCs w:val="24"/>
        </w:rPr>
        <w:t xml:space="preserve"> </w:t>
      </w:r>
      <w:r w:rsidR="00DB2CD8" w:rsidRPr="004974A3">
        <w:rPr>
          <w:rFonts w:ascii="Times New Roman" w:hAnsi="Times New Roman" w:cs="Times New Roman"/>
          <w:b w:val="0"/>
          <w:color w:val="auto"/>
          <w:sz w:val="24"/>
          <w:szCs w:val="24"/>
        </w:rPr>
        <w:t>of conditional correlations</w:t>
      </w:r>
      <w:r w:rsidR="004974A3" w:rsidRPr="004974A3">
        <w:rPr>
          <w:rFonts w:ascii="Times New Roman" w:hAnsi="Times New Roman" w:cs="Times New Roman"/>
          <w:b w:val="0"/>
          <w:color w:val="auto"/>
          <w:sz w:val="24"/>
          <w:szCs w:val="24"/>
        </w:rPr>
        <w:t xml:space="preserve"> </w:t>
      </w:r>
      <w:r w:rsidRPr="004974A3">
        <w:rPr>
          <w:rFonts w:ascii="Times New Roman" w:hAnsi="Times New Roman" w:cs="Times New Roman"/>
          <w:b w:val="0"/>
          <w:color w:val="auto"/>
          <w:sz w:val="24"/>
          <w:szCs w:val="24"/>
        </w:rPr>
        <w:t xml:space="preserve">between </w:t>
      </w:r>
      <w:r w:rsidR="00E129E9" w:rsidRPr="004974A3">
        <w:rPr>
          <w:rFonts w:ascii="Times New Roman" w:hAnsi="Times New Roman" w:cs="Times New Roman"/>
          <w:b w:val="0"/>
          <w:color w:val="auto"/>
          <w:sz w:val="24"/>
          <w:szCs w:val="24"/>
        </w:rPr>
        <w:t>c</w:t>
      </w:r>
      <w:r w:rsidRPr="004974A3">
        <w:rPr>
          <w:rFonts w:ascii="Times New Roman" w:hAnsi="Times New Roman" w:cs="Times New Roman"/>
          <w:b w:val="0"/>
          <w:color w:val="auto"/>
          <w:sz w:val="24"/>
          <w:szCs w:val="24"/>
        </w:rPr>
        <w:t xml:space="preserve">risis and </w:t>
      </w:r>
      <w:r w:rsidR="00E129E9" w:rsidRPr="004974A3">
        <w:rPr>
          <w:rFonts w:ascii="Times New Roman" w:hAnsi="Times New Roman" w:cs="Times New Roman"/>
          <w:b w:val="0"/>
          <w:color w:val="auto"/>
          <w:sz w:val="24"/>
          <w:szCs w:val="24"/>
        </w:rPr>
        <w:t>s</w:t>
      </w:r>
      <w:r w:rsidRPr="004974A3">
        <w:rPr>
          <w:rFonts w:ascii="Times New Roman" w:hAnsi="Times New Roman" w:cs="Times New Roman"/>
          <w:b w:val="0"/>
          <w:color w:val="auto"/>
          <w:sz w:val="24"/>
          <w:szCs w:val="24"/>
        </w:rPr>
        <w:t xml:space="preserve">table </w:t>
      </w:r>
      <w:r w:rsidR="00E129E9" w:rsidRPr="004974A3">
        <w:rPr>
          <w:rFonts w:ascii="Times New Roman" w:hAnsi="Times New Roman" w:cs="Times New Roman"/>
          <w:b w:val="0"/>
          <w:color w:val="auto"/>
          <w:sz w:val="24"/>
          <w:szCs w:val="24"/>
        </w:rPr>
        <w:t>p</w:t>
      </w:r>
      <w:r w:rsidRPr="004974A3">
        <w:rPr>
          <w:rFonts w:ascii="Times New Roman" w:hAnsi="Times New Roman" w:cs="Times New Roman"/>
          <w:b w:val="0"/>
          <w:color w:val="auto"/>
          <w:sz w:val="24"/>
          <w:szCs w:val="24"/>
        </w:rPr>
        <w:t>eriods</w:t>
      </w:r>
      <w:r w:rsidR="00E129E9" w:rsidRPr="004974A3">
        <w:rPr>
          <w:rFonts w:ascii="Times New Roman" w:hAnsi="Times New Roman" w:cs="Times New Roman"/>
          <w:b w:val="0"/>
          <w:color w:val="auto"/>
          <w:sz w:val="24"/>
          <w:szCs w:val="24"/>
        </w:rPr>
        <w:t>.</w:t>
      </w:r>
    </w:p>
    <w:tbl>
      <w:tblPr>
        <w:tblStyle w:val="LightShading"/>
        <w:tblW w:w="0" w:type="auto"/>
        <w:tblLook w:val="04A0" w:firstRow="1" w:lastRow="0" w:firstColumn="1" w:lastColumn="0" w:noHBand="0" w:noVBand="1"/>
      </w:tblPr>
      <w:tblGrid>
        <w:gridCol w:w="2802"/>
        <w:gridCol w:w="1409"/>
        <w:gridCol w:w="1375"/>
        <w:gridCol w:w="1375"/>
        <w:gridCol w:w="1524"/>
      </w:tblGrid>
      <w:tr w:rsidR="00A66D53" w:rsidRPr="0075422D" w:rsidTr="00D47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Pr="00AF6503" w:rsidRDefault="00A66D53" w:rsidP="00AF6503">
            <w:pPr>
              <w:spacing w:after="0" w:line="240" w:lineRule="auto"/>
              <w:rPr>
                <w:rFonts w:ascii="Times New Roman" w:hAnsi="Times New Roman" w:cs="Times New Roman"/>
                <w:sz w:val="24"/>
                <w:szCs w:val="24"/>
              </w:rPr>
            </w:pPr>
          </w:p>
        </w:tc>
        <w:tc>
          <w:tcPr>
            <w:tcW w:w="1409" w:type="dxa"/>
            <w:shd w:val="clear" w:color="auto" w:fill="auto"/>
          </w:tcPr>
          <w:p w:rsidR="00A66D53" w:rsidRPr="00AF6503" w:rsidRDefault="00A66D53"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6503">
              <w:rPr>
                <w:rFonts w:ascii="Times New Roman" w:hAnsi="Times New Roman" w:cs="Times New Roman"/>
                <w:sz w:val="24"/>
                <w:szCs w:val="24"/>
              </w:rPr>
              <w:t xml:space="preserve">Equality </w:t>
            </w:r>
            <w:r w:rsidR="00D2181B">
              <w:rPr>
                <w:rFonts w:ascii="Times New Roman" w:hAnsi="Times New Roman" w:cs="Times New Roman"/>
                <w:sz w:val="24"/>
                <w:szCs w:val="24"/>
              </w:rPr>
              <w:t>of</w:t>
            </w:r>
            <w:r w:rsidRPr="00AF6503">
              <w:rPr>
                <w:rFonts w:ascii="Times New Roman" w:hAnsi="Times New Roman" w:cs="Times New Roman"/>
                <w:sz w:val="24"/>
                <w:szCs w:val="24"/>
              </w:rPr>
              <w:t xml:space="preserve"> mean</w:t>
            </w:r>
            <w:r w:rsidR="00134E63">
              <w:rPr>
                <w:rFonts w:ascii="Times New Roman" w:hAnsi="Times New Roman" w:cs="Times New Roman"/>
                <w:sz w:val="24"/>
                <w:szCs w:val="24"/>
              </w:rPr>
              <w:t>s</w:t>
            </w:r>
          </w:p>
        </w:tc>
        <w:tc>
          <w:tcPr>
            <w:tcW w:w="1375" w:type="dxa"/>
            <w:shd w:val="clear" w:color="auto" w:fill="auto"/>
          </w:tcPr>
          <w:p w:rsidR="00A66D53" w:rsidRPr="00AF6503" w:rsidRDefault="001D286F"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Equality </w:t>
            </w:r>
            <w:r w:rsidR="00D2181B">
              <w:rPr>
                <w:rFonts w:ascii="Times New Roman" w:hAnsi="Times New Roman" w:cs="Times New Roman"/>
                <w:sz w:val="24"/>
                <w:szCs w:val="24"/>
              </w:rPr>
              <w:t>of</w:t>
            </w:r>
            <w:r w:rsidR="00A66D53" w:rsidRPr="00AF6503">
              <w:rPr>
                <w:rFonts w:ascii="Times New Roman" w:hAnsi="Times New Roman" w:cs="Times New Roman"/>
                <w:sz w:val="24"/>
                <w:szCs w:val="24"/>
              </w:rPr>
              <w:t xml:space="preserve"> median</w:t>
            </w:r>
            <w:r w:rsidR="00134E63">
              <w:rPr>
                <w:rFonts w:ascii="Times New Roman" w:hAnsi="Times New Roman" w:cs="Times New Roman"/>
                <w:sz w:val="24"/>
                <w:szCs w:val="24"/>
              </w:rPr>
              <w:t>s</w:t>
            </w:r>
          </w:p>
        </w:tc>
        <w:tc>
          <w:tcPr>
            <w:tcW w:w="1375" w:type="dxa"/>
            <w:shd w:val="clear" w:color="auto" w:fill="auto"/>
          </w:tcPr>
          <w:p w:rsidR="00A66D53" w:rsidRPr="00AF6503" w:rsidRDefault="00A66D53"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6503">
              <w:rPr>
                <w:rFonts w:ascii="Times New Roman" w:hAnsi="Times New Roman" w:cs="Times New Roman"/>
                <w:sz w:val="24"/>
                <w:szCs w:val="24"/>
              </w:rPr>
              <w:t xml:space="preserve">Equality </w:t>
            </w:r>
            <w:r w:rsidR="00D2181B">
              <w:rPr>
                <w:rFonts w:ascii="Times New Roman" w:hAnsi="Times New Roman" w:cs="Times New Roman"/>
                <w:sz w:val="24"/>
                <w:szCs w:val="24"/>
              </w:rPr>
              <w:t>of</w:t>
            </w:r>
            <w:r w:rsidRPr="00AF6503">
              <w:rPr>
                <w:rFonts w:ascii="Times New Roman" w:hAnsi="Times New Roman" w:cs="Times New Roman"/>
                <w:sz w:val="24"/>
                <w:szCs w:val="24"/>
              </w:rPr>
              <w:t xml:space="preserve"> variance</w:t>
            </w:r>
            <w:r w:rsidR="00134E63">
              <w:rPr>
                <w:rFonts w:ascii="Times New Roman" w:hAnsi="Times New Roman" w:cs="Times New Roman"/>
                <w:sz w:val="24"/>
                <w:szCs w:val="24"/>
              </w:rPr>
              <w:t>s</w:t>
            </w:r>
          </w:p>
        </w:tc>
        <w:tc>
          <w:tcPr>
            <w:tcW w:w="1430" w:type="dxa"/>
            <w:shd w:val="clear" w:color="auto" w:fill="auto"/>
          </w:tcPr>
          <w:p w:rsidR="00A66D53" w:rsidRPr="00AF6503" w:rsidRDefault="00A66D53" w:rsidP="00D2181B">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6503">
              <w:rPr>
                <w:rFonts w:ascii="Times New Roman" w:hAnsi="Times New Roman" w:cs="Times New Roman"/>
                <w:sz w:val="24"/>
                <w:szCs w:val="24"/>
              </w:rPr>
              <w:t xml:space="preserve">Equality </w:t>
            </w:r>
            <w:r w:rsidR="00D2181B">
              <w:rPr>
                <w:rFonts w:ascii="Times New Roman" w:hAnsi="Times New Roman" w:cs="Times New Roman"/>
                <w:sz w:val="24"/>
                <w:szCs w:val="24"/>
              </w:rPr>
              <w:t>of</w:t>
            </w:r>
            <w:r w:rsidRPr="00AF6503">
              <w:rPr>
                <w:rFonts w:ascii="Times New Roman" w:hAnsi="Times New Roman" w:cs="Times New Roman"/>
                <w:sz w:val="24"/>
                <w:szCs w:val="24"/>
              </w:rPr>
              <w:t xml:space="preserve"> distribution</w:t>
            </w:r>
            <w:r w:rsidR="00134E63">
              <w:rPr>
                <w:rFonts w:ascii="Times New Roman" w:hAnsi="Times New Roman" w:cs="Times New Roman"/>
                <w:sz w:val="24"/>
                <w:szCs w:val="24"/>
              </w:rPr>
              <w:t>s</w:t>
            </w:r>
          </w:p>
        </w:tc>
      </w:tr>
      <w:tr w:rsidR="00A66D53" w:rsidTr="00D4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Pr="00DD6EF6" w:rsidRDefault="00A66D53" w:rsidP="00AF6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t>
            </w:r>
            <w:r w:rsidR="00DB7C83">
              <w:rPr>
                <w:rFonts w:ascii="Times New Roman" w:hAnsi="Times New Roman" w:cs="Times New Roman"/>
                <w:sz w:val="24"/>
                <w:szCs w:val="24"/>
              </w:rPr>
              <w:t>g</w:t>
            </w:r>
            <w:r>
              <w:rPr>
                <w:rFonts w:ascii="Times New Roman" w:hAnsi="Times New Roman" w:cs="Times New Roman"/>
                <w:sz w:val="24"/>
                <w:szCs w:val="24"/>
              </w:rPr>
              <w:t xml:space="preserve">lobal </w:t>
            </w:r>
            <w:r w:rsidR="00DB7C83">
              <w:rPr>
                <w:rFonts w:ascii="Times New Roman" w:hAnsi="Times New Roman" w:cs="Times New Roman"/>
                <w:sz w:val="24"/>
                <w:szCs w:val="24"/>
              </w:rPr>
              <w:t>o</w:t>
            </w:r>
            <w:r w:rsidRPr="00DD6EF6">
              <w:rPr>
                <w:rFonts w:ascii="Times New Roman" w:hAnsi="Times New Roman" w:cs="Times New Roman"/>
                <w:sz w:val="24"/>
                <w:szCs w:val="24"/>
              </w:rPr>
              <w:t xml:space="preserve">il </w:t>
            </w:r>
            <w:r w:rsidR="00DB7C83">
              <w:rPr>
                <w:rFonts w:ascii="Times New Roman" w:hAnsi="Times New Roman" w:cs="Times New Roman"/>
                <w:sz w:val="24"/>
                <w:szCs w:val="24"/>
              </w:rPr>
              <w:t>s</w:t>
            </w:r>
            <w:r w:rsidRPr="00DD6EF6">
              <w:rPr>
                <w:rFonts w:ascii="Times New Roman" w:hAnsi="Times New Roman" w:cs="Times New Roman"/>
                <w:sz w:val="24"/>
                <w:szCs w:val="24"/>
              </w:rPr>
              <w:t xml:space="preserve">hock </w:t>
            </w:r>
          </w:p>
          <w:p w:rsidR="00A66D53" w:rsidRPr="00DD6EF6"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(1973–1974)</w:t>
            </w:r>
          </w:p>
        </w:tc>
        <w:tc>
          <w:tcPr>
            <w:tcW w:w="1409" w:type="dxa"/>
            <w:shd w:val="clear" w:color="auto" w:fill="auto"/>
          </w:tcPr>
          <w:p w:rsidR="00A66D53" w:rsidRPr="00DD6EF6" w:rsidRDefault="00A66D53" w:rsidP="006676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0.153**</w:t>
            </w:r>
          </w:p>
          <w:p w:rsidR="00A66D53" w:rsidRPr="00DD6EF6" w:rsidRDefault="00A66D53" w:rsidP="00134E6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5" w:type="dxa"/>
            <w:shd w:val="clear" w:color="auto" w:fill="auto"/>
          </w:tcPr>
          <w:p w:rsidR="00A66D53" w:rsidRDefault="00D32BC5"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5.333**</w:t>
            </w:r>
          </w:p>
        </w:tc>
        <w:tc>
          <w:tcPr>
            <w:tcW w:w="1375" w:type="dxa"/>
            <w:shd w:val="clear" w:color="auto" w:fill="auto"/>
          </w:tcPr>
          <w:p w:rsidR="00A66D53" w:rsidRDefault="00A66D53"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0.176</w:t>
            </w:r>
          </w:p>
          <w:p w:rsidR="00A66D53" w:rsidRDefault="00A66D5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0.667</w:t>
            </w:r>
          </w:p>
        </w:tc>
      </w:tr>
      <w:tr w:rsidR="00A66D53" w:rsidTr="00D4745D">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Default="00A66D53" w:rsidP="00AF6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Second </w:t>
            </w:r>
            <w:r w:rsidR="00DB7C83">
              <w:rPr>
                <w:rFonts w:ascii="Times New Roman" w:hAnsi="Times New Roman" w:cs="Times New Roman"/>
                <w:sz w:val="24"/>
                <w:szCs w:val="24"/>
              </w:rPr>
              <w:t>g</w:t>
            </w:r>
            <w:r>
              <w:rPr>
                <w:rFonts w:ascii="Times New Roman" w:hAnsi="Times New Roman" w:cs="Times New Roman"/>
                <w:sz w:val="24"/>
                <w:szCs w:val="24"/>
              </w:rPr>
              <w:t xml:space="preserve">lobal </w:t>
            </w:r>
            <w:r w:rsidR="00DB7C83">
              <w:rPr>
                <w:rFonts w:ascii="Times New Roman" w:hAnsi="Times New Roman" w:cs="Times New Roman"/>
                <w:sz w:val="24"/>
                <w:szCs w:val="24"/>
              </w:rPr>
              <w:t>o</w:t>
            </w:r>
            <w:r>
              <w:rPr>
                <w:rFonts w:ascii="Times New Roman" w:hAnsi="Times New Roman" w:cs="Times New Roman"/>
                <w:sz w:val="24"/>
                <w:szCs w:val="24"/>
              </w:rPr>
              <w:t xml:space="preserve">il </w:t>
            </w:r>
            <w:r w:rsidR="00DB7C83">
              <w:rPr>
                <w:rFonts w:ascii="Times New Roman" w:hAnsi="Times New Roman" w:cs="Times New Roman"/>
                <w:sz w:val="24"/>
                <w:szCs w:val="24"/>
              </w:rPr>
              <w:t>s</w:t>
            </w:r>
            <w:r>
              <w:rPr>
                <w:rFonts w:ascii="Times New Roman" w:hAnsi="Times New Roman" w:cs="Times New Roman"/>
                <w:sz w:val="24"/>
                <w:szCs w:val="24"/>
              </w:rPr>
              <w:t>hock</w:t>
            </w:r>
          </w:p>
          <w:p w:rsidR="00A66D53" w:rsidRDefault="00A66D53" w:rsidP="00AF6503">
            <w:pPr>
              <w:spacing w:after="0" w:line="240" w:lineRule="auto"/>
              <w:rPr>
                <w:rFonts w:ascii="Times New Roman" w:hAnsi="Times New Roman" w:cs="Times New Roman"/>
                <w:sz w:val="24"/>
                <w:szCs w:val="24"/>
              </w:rPr>
            </w:pPr>
            <w:r>
              <w:rPr>
                <w:rFonts w:ascii="Times New Roman" w:hAnsi="Times New Roman" w:cs="Times New Roman"/>
                <w:sz w:val="24"/>
                <w:szCs w:val="24"/>
              </w:rPr>
              <w:t>(1979–1980)</w:t>
            </w:r>
          </w:p>
        </w:tc>
        <w:tc>
          <w:tcPr>
            <w:tcW w:w="1409" w:type="dxa"/>
            <w:shd w:val="clear" w:color="auto" w:fill="auto"/>
          </w:tcPr>
          <w:p w:rsidR="00A66D53" w:rsidRDefault="00A66D53"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-0.050</w:t>
            </w:r>
          </w:p>
          <w:p w:rsidR="00A66D53" w:rsidRDefault="00A66D53"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75" w:type="dxa"/>
            <w:shd w:val="clear" w:color="auto" w:fill="auto"/>
          </w:tcPr>
          <w:p w:rsidR="00A66D53" w:rsidRDefault="00D32BC5"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1.333</w:t>
            </w:r>
          </w:p>
        </w:tc>
        <w:tc>
          <w:tcPr>
            <w:tcW w:w="1375" w:type="dxa"/>
            <w:shd w:val="clear" w:color="auto" w:fill="auto"/>
          </w:tcPr>
          <w:p w:rsidR="00A66D53" w:rsidRDefault="00A66D53"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0.282</w:t>
            </w:r>
          </w:p>
          <w:p w:rsidR="00A66D53" w:rsidRDefault="00A66D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0.250</w:t>
            </w:r>
          </w:p>
        </w:tc>
      </w:tr>
      <w:tr w:rsidR="00A66D53" w:rsidRPr="00DD6EF6" w:rsidTr="00D4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Pr="00DD6EF6"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 xml:space="preserve">1987 </w:t>
            </w:r>
            <w:r w:rsidR="00DB7C83">
              <w:rPr>
                <w:rFonts w:ascii="Times New Roman" w:hAnsi="Times New Roman" w:cs="Times New Roman"/>
                <w:sz w:val="24"/>
                <w:szCs w:val="24"/>
              </w:rPr>
              <w:t>s</w:t>
            </w:r>
            <w:r>
              <w:rPr>
                <w:rFonts w:ascii="Times New Roman" w:hAnsi="Times New Roman" w:cs="Times New Roman"/>
                <w:sz w:val="24"/>
                <w:szCs w:val="24"/>
              </w:rPr>
              <w:t xml:space="preserve">tock </w:t>
            </w:r>
            <w:r w:rsidR="00DB7C83">
              <w:rPr>
                <w:rFonts w:ascii="Times New Roman" w:hAnsi="Times New Roman" w:cs="Times New Roman"/>
                <w:sz w:val="24"/>
                <w:szCs w:val="24"/>
              </w:rPr>
              <w:t>m</w:t>
            </w:r>
            <w:r w:rsidRPr="00DD6EF6">
              <w:rPr>
                <w:rFonts w:ascii="Times New Roman" w:hAnsi="Times New Roman" w:cs="Times New Roman"/>
                <w:sz w:val="24"/>
                <w:szCs w:val="24"/>
              </w:rPr>
              <w:t xml:space="preserve">arket </w:t>
            </w:r>
            <w:r w:rsidR="00DB7C83">
              <w:rPr>
                <w:rFonts w:ascii="Times New Roman" w:hAnsi="Times New Roman" w:cs="Times New Roman"/>
                <w:sz w:val="24"/>
                <w:szCs w:val="24"/>
              </w:rPr>
              <w:t>c</w:t>
            </w:r>
            <w:r w:rsidRPr="00DD6EF6">
              <w:rPr>
                <w:rFonts w:ascii="Times New Roman" w:hAnsi="Times New Roman" w:cs="Times New Roman"/>
                <w:sz w:val="24"/>
                <w:szCs w:val="24"/>
              </w:rPr>
              <w:t>rash</w:t>
            </w:r>
          </w:p>
        </w:tc>
        <w:tc>
          <w:tcPr>
            <w:tcW w:w="1409" w:type="dxa"/>
            <w:shd w:val="clear" w:color="auto" w:fill="auto"/>
          </w:tcPr>
          <w:p w:rsidR="00A66D53" w:rsidRPr="00DD6EF6" w:rsidRDefault="00A66D53" w:rsidP="0066760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0.272</w:t>
            </w:r>
            <w:r w:rsidRPr="00DD6EF6">
              <w:rPr>
                <w:rFonts w:ascii="Times New Roman" w:hAnsi="Times New Roman" w:cs="Times New Roman"/>
                <w:sz w:val="24"/>
                <w:szCs w:val="24"/>
              </w:rPr>
              <w:t>**</w:t>
            </w:r>
          </w:p>
          <w:p w:rsidR="00A66D53" w:rsidRPr="00DD6EF6" w:rsidRDefault="00A66D53" w:rsidP="00552C8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5" w:type="dxa"/>
            <w:shd w:val="clear" w:color="auto" w:fill="auto"/>
          </w:tcPr>
          <w:p w:rsidR="00D32BC5" w:rsidRDefault="00D32BC5"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0.667</w:t>
            </w:r>
          </w:p>
        </w:tc>
        <w:tc>
          <w:tcPr>
            <w:tcW w:w="1375" w:type="dxa"/>
            <w:shd w:val="clear" w:color="auto" w:fill="auto"/>
          </w:tcPr>
          <w:p w:rsidR="00A66D53" w:rsidRDefault="00A66D53"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0.349</w:t>
            </w:r>
          </w:p>
          <w:p w:rsidR="00A66D53" w:rsidRPr="00DD6EF6" w:rsidRDefault="00A66D53" w:rsidP="00552C8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Pr="00DD6EF6" w:rsidRDefault="00D32BC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0.667</w:t>
            </w:r>
          </w:p>
        </w:tc>
      </w:tr>
      <w:tr w:rsidR="00A66D53" w:rsidTr="00D4745D">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Pr="00DD6EF6" w:rsidRDefault="00C818D0" w:rsidP="00AF6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European </w:t>
            </w:r>
            <w:r w:rsidR="00DB7C83">
              <w:rPr>
                <w:rFonts w:ascii="Times New Roman" w:hAnsi="Times New Roman" w:cs="Times New Roman"/>
                <w:sz w:val="24"/>
                <w:szCs w:val="24"/>
              </w:rPr>
              <w:t>m</w:t>
            </w:r>
            <w:r>
              <w:rPr>
                <w:rFonts w:ascii="Times New Roman" w:hAnsi="Times New Roman" w:cs="Times New Roman"/>
                <w:sz w:val="24"/>
                <w:szCs w:val="24"/>
              </w:rPr>
              <w:t xml:space="preserve">onetary </w:t>
            </w:r>
            <w:r w:rsidR="00DB7C83">
              <w:rPr>
                <w:rFonts w:ascii="Times New Roman" w:hAnsi="Times New Roman" w:cs="Times New Roman"/>
                <w:sz w:val="24"/>
                <w:szCs w:val="24"/>
              </w:rPr>
              <w:t>s</w:t>
            </w:r>
            <w:r w:rsidR="00A66D53" w:rsidRPr="00DD6EF6">
              <w:rPr>
                <w:rFonts w:ascii="Times New Roman" w:hAnsi="Times New Roman" w:cs="Times New Roman"/>
                <w:sz w:val="24"/>
                <w:szCs w:val="24"/>
              </w:rPr>
              <w:t xml:space="preserve">ystem </w:t>
            </w:r>
            <w:r w:rsidR="00DB7C83">
              <w:rPr>
                <w:rFonts w:ascii="Times New Roman" w:hAnsi="Times New Roman" w:cs="Times New Roman"/>
                <w:sz w:val="24"/>
                <w:szCs w:val="24"/>
              </w:rPr>
              <w:t>c</w:t>
            </w:r>
            <w:r w:rsidR="00A66D53" w:rsidRPr="00DD6EF6">
              <w:rPr>
                <w:rFonts w:ascii="Times New Roman" w:hAnsi="Times New Roman" w:cs="Times New Roman"/>
                <w:sz w:val="24"/>
                <w:szCs w:val="24"/>
              </w:rPr>
              <w:t>risis (1992–1993)</w:t>
            </w:r>
          </w:p>
        </w:tc>
        <w:tc>
          <w:tcPr>
            <w:tcW w:w="1409" w:type="dxa"/>
            <w:shd w:val="clear" w:color="auto" w:fill="auto"/>
          </w:tcPr>
          <w:p w:rsidR="00A66D53" w:rsidRPr="00DD6EF6" w:rsidRDefault="00A66D53"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-0.043</w:t>
            </w:r>
          </w:p>
          <w:p w:rsidR="00A66D53" w:rsidRPr="00DD6EF6" w:rsidRDefault="00A66D53"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75" w:type="dxa"/>
            <w:shd w:val="clear" w:color="auto" w:fill="auto"/>
          </w:tcPr>
          <w:p w:rsidR="00A66D53" w:rsidRDefault="00D32BC5"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0.154</w:t>
            </w:r>
          </w:p>
        </w:tc>
        <w:tc>
          <w:tcPr>
            <w:tcW w:w="1375" w:type="dxa"/>
            <w:shd w:val="clear" w:color="auto" w:fill="auto"/>
          </w:tcPr>
          <w:p w:rsidR="00A66D53" w:rsidRDefault="00A66D53"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0.269</w:t>
            </w:r>
          </w:p>
          <w:p w:rsidR="00A66D53" w:rsidRDefault="00A66D5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0.308</w:t>
            </w:r>
          </w:p>
        </w:tc>
      </w:tr>
      <w:tr w:rsidR="00A66D53" w:rsidTr="00D4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 xml:space="preserve">Mexican </w:t>
            </w:r>
            <w:r w:rsidR="00DB7C83">
              <w:rPr>
                <w:rFonts w:ascii="Times New Roman" w:hAnsi="Times New Roman" w:cs="Times New Roman"/>
                <w:sz w:val="24"/>
                <w:szCs w:val="24"/>
              </w:rPr>
              <w:t>c</w:t>
            </w:r>
            <w:r w:rsidRPr="00DD6EF6">
              <w:rPr>
                <w:rFonts w:ascii="Times New Roman" w:hAnsi="Times New Roman" w:cs="Times New Roman"/>
                <w:sz w:val="24"/>
                <w:szCs w:val="24"/>
              </w:rPr>
              <w:t xml:space="preserve">urrency </w:t>
            </w:r>
            <w:r w:rsidR="00DB7C83">
              <w:rPr>
                <w:rFonts w:ascii="Times New Roman" w:hAnsi="Times New Roman" w:cs="Times New Roman"/>
                <w:sz w:val="24"/>
                <w:szCs w:val="24"/>
              </w:rPr>
              <w:t>c</w:t>
            </w:r>
            <w:r w:rsidRPr="00DD6EF6">
              <w:rPr>
                <w:rFonts w:ascii="Times New Roman" w:hAnsi="Times New Roman" w:cs="Times New Roman"/>
                <w:sz w:val="24"/>
                <w:szCs w:val="24"/>
              </w:rPr>
              <w:t xml:space="preserve">risis </w:t>
            </w:r>
          </w:p>
          <w:p w:rsidR="00A66D53" w:rsidRPr="00DD6EF6"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(1994–1995)</w:t>
            </w:r>
          </w:p>
        </w:tc>
        <w:tc>
          <w:tcPr>
            <w:tcW w:w="1409" w:type="dxa"/>
            <w:shd w:val="clear" w:color="auto" w:fill="auto"/>
          </w:tcPr>
          <w:p w:rsidR="00A66D53" w:rsidRPr="00DD6EF6" w:rsidRDefault="00A66D53" w:rsidP="00552C8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-0.054</w:t>
            </w:r>
            <w:r>
              <w:rPr>
                <w:rFonts w:ascii="Times New Roman" w:hAnsi="Times New Roman" w:cs="Times New Roman"/>
                <w:sz w:val="24"/>
                <w:szCs w:val="24"/>
              </w:rPr>
              <w:br/>
            </w:r>
          </w:p>
        </w:tc>
        <w:tc>
          <w:tcPr>
            <w:tcW w:w="1375" w:type="dxa"/>
            <w:shd w:val="clear" w:color="auto" w:fill="auto"/>
          </w:tcPr>
          <w:p w:rsidR="00A66D53" w:rsidRDefault="00D32BC5"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3.846*</w:t>
            </w:r>
          </w:p>
        </w:tc>
        <w:tc>
          <w:tcPr>
            <w:tcW w:w="1375" w:type="dxa"/>
            <w:shd w:val="clear" w:color="auto" w:fill="auto"/>
          </w:tcPr>
          <w:p w:rsidR="00A66D53" w:rsidRDefault="00A66D53" w:rsidP="0050539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0.270</w:t>
            </w:r>
          </w:p>
          <w:p w:rsidR="00A66D53" w:rsidRDefault="00A66D53" w:rsidP="00552C8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0.462</w:t>
            </w:r>
          </w:p>
        </w:tc>
      </w:tr>
      <w:tr w:rsidR="00A66D53" w:rsidTr="00D4745D">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Pr="00DD6EF6"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 xml:space="preserve">Asian and Russian </w:t>
            </w:r>
            <w:r w:rsidR="00DB7C83">
              <w:rPr>
                <w:rFonts w:ascii="Times New Roman" w:hAnsi="Times New Roman" w:cs="Times New Roman"/>
                <w:sz w:val="24"/>
                <w:szCs w:val="24"/>
              </w:rPr>
              <w:t>c</w:t>
            </w:r>
            <w:r w:rsidRPr="00DD6EF6">
              <w:rPr>
                <w:rFonts w:ascii="Times New Roman" w:hAnsi="Times New Roman" w:cs="Times New Roman"/>
                <w:sz w:val="24"/>
                <w:szCs w:val="24"/>
              </w:rPr>
              <w:t>risis (1997–1998)</w:t>
            </w:r>
          </w:p>
        </w:tc>
        <w:tc>
          <w:tcPr>
            <w:tcW w:w="1409" w:type="dxa"/>
            <w:shd w:val="clear" w:color="auto" w:fill="auto"/>
          </w:tcPr>
          <w:p w:rsidR="00A66D53" w:rsidRPr="00DD6EF6" w:rsidRDefault="00A66D53" w:rsidP="0066760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0.144***</w:t>
            </w:r>
            <w:r>
              <w:rPr>
                <w:rFonts w:ascii="Times New Roman" w:hAnsi="Times New Roman" w:cs="Times New Roman"/>
                <w:sz w:val="24"/>
                <w:szCs w:val="24"/>
              </w:rPr>
              <w:br/>
            </w:r>
          </w:p>
        </w:tc>
        <w:tc>
          <w:tcPr>
            <w:tcW w:w="1375" w:type="dxa"/>
            <w:shd w:val="clear" w:color="auto" w:fill="auto"/>
          </w:tcPr>
          <w:p w:rsidR="00A66D53" w:rsidRDefault="00D32BC5"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11.11***</w:t>
            </w:r>
          </w:p>
        </w:tc>
        <w:tc>
          <w:tcPr>
            <w:tcW w:w="1375" w:type="dxa"/>
            <w:shd w:val="clear" w:color="auto" w:fill="auto"/>
          </w:tcPr>
          <w:p w:rsidR="00A66D53" w:rsidRDefault="00A66D53"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0.310</w:t>
            </w:r>
          </w:p>
          <w:p w:rsidR="00A66D53" w:rsidRDefault="00A66D53" w:rsidP="0050539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0.667***</w:t>
            </w:r>
          </w:p>
        </w:tc>
      </w:tr>
      <w:tr w:rsidR="00A66D53" w:rsidTr="00D4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Dot-</w:t>
            </w:r>
            <w:r w:rsidR="00DB7C83">
              <w:rPr>
                <w:rFonts w:ascii="Times New Roman" w:hAnsi="Times New Roman" w:cs="Times New Roman"/>
                <w:sz w:val="24"/>
                <w:szCs w:val="24"/>
              </w:rPr>
              <w:t>c</w:t>
            </w:r>
            <w:r w:rsidRPr="00DD6EF6">
              <w:rPr>
                <w:rFonts w:ascii="Times New Roman" w:hAnsi="Times New Roman" w:cs="Times New Roman"/>
                <w:sz w:val="24"/>
                <w:szCs w:val="24"/>
              </w:rPr>
              <w:t xml:space="preserve">om </w:t>
            </w:r>
            <w:r w:rsidR="00DB7C83">
              <w:rPr>
                <w:rFonts w:ascii="Times New Roman" w:hAnsi="Times New Roman" w:cs="Times New Roman"/>
                <w:sz w:val="24"/>
                <w:szCs w:val="24"/>
              </w:rPr>
              <w:t>b</w:t>
            </w:r>
            <w:r w:rsidRPr="00DD6EF6">
              <w:rPr>
                <w:rFonts w:ascii="Times New Roman" w:hAnsi="Times New Roman" w:cs="Times New Roman"/>
                <w:sz w:val="24"/>
                <w:szCs w:val="24"/>
              </w:rPr>
              <w:t xml:space="preserve">ubble </w:t>
            </w:r>
            <w:r w:rsidR="00696DEF">
              <w:rPr>
                <w:rFonts w:ascii="Times New Roman" w:hAnsi="Times New Roman" w:cs="Times New Roman"/>
                <w:sz w:val="24"/>
                <w:szCs w:val="24"/>
              </w:rPr>
              <w:t>burst</w:t>
            </w:r>
          </w:p>
          <w:p w:rsidR="00A66D53" w:rsidRPr="00DD6EF6"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(2000–2002)</w:t>
            </w:r>
          </w:p>
        </w:tc>
        <w:tc>
          <w:tcPr>
            <w:tcW w:w="1409" w:type="dxa"/>
            <w:shd w:val="clear" w:color="auto" w:fill="auto"/>
          </w:tcPr>
          <w:p w:rsidR="00A66D53" w:rsidRPr="00DD6EF6" w:rsidRDefault="00A66D53"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0.010</w:t>
            </w:r>
          </w:p>
          <w:p w:rsidR="00A66D53" w:rsidRPr="00DD6EF6" w:rsidRDefault="00A66D53" w:rsidP="00552C8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75" w:type="dxa"/>
            <w:shd w:val="clear" w:color="auto" w:fill="auto"/>
          </w:tcPr>
          <w:p w:rsidR="00A66D53" w:rsidRDefault="00D32BC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0.065</w:t>
            </w:r>
          </w:p>
        </w:tc>
        <w:tc>
          <w:tcPr>
            <w:tcW w:w="1375" w:type="dxa"/>
            <w:shd w:val="clear" w:color="auto" w:fill="auto"/>
          </w:tcPr>
          <w:p w:rsidR="00A66D53" w:rsidRDefault="00A66D53"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0.377</w:t>
            </w:r>
          </w:p>
          <w:p w:rsidR="00A66D53" w:rsidRDefault="00A66D53" w:rsidP="00552C8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rsidP="00AF6503">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0.194</w:t>
            </w:r>
          </w:p>
        </w:tc>
      </w:tr>
      <w:tr w:rsidR="00A66D53" w:rsidTr="00D4745D">
        <w:tc>
          <w:tcPr>
            <w:cnfStyle w:val="001000000000" w:firstRow="0" w:lastRow="0" w:firstColumn="1" w:lastColumn="0" w:oddVBand="0" w:evenVBand="0" w:oddHBand="0" w:evenHBand="0" w:firstRowFirstColumn="0" w:firstRowLastColumn="0" w:lastRowFirstColumn="0" w:lastRowLastColumn="0"/>
            <w:tcW w:w="2802" w:type="dxa"/>
            <w:shd w:val="clear" w:color="auto" w:fill="auto"/>
          </w:tcPr>
          <w:p w:rsidR="00A66D53" w:rsidRDefault="00C818D0" w:rsidP="00AF6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w:t>
            </w:r>
            <w:r w:rsidR="00DB7C83">
              <w:rPr>
                <w:rFonts w:ascii="Times New Roman" w:hAnsi="Times New Roman" w:cs="Times New Roman"/>
                <w:sz w:val="24"/>
                <w:szCs w:val="24"/>
              </w:rPr>
              <w:t>f</w:t>
            </w:r>
            <w:r>
              <w:rPr>
                <w:rFonts w:ascii="Times New Roman" w:hAnsi="Times New Roman" w:cs="Times New Roman"/>
                <w:sz w:val="24"/>
                <w:szCs w:val="24"/>
              </w:rPr>
              <w:t xml:space="preserve">inancial </w:t>
            </w:r>
            <w:r w:rsidR="00DB7C83">
              <w:rPr>
                <w:rFonts w:ascii="Times New Roman" w:hAnsi="Times New Roman" w:cs="Times New Roman"/>
                <w:sz w:val="24"/>
                <w:szCs w:val="24"/>
              </w:rPr>
              <w:t>c</w:t>
            </w:r>
            <w:r w:rsidR="00A66D53" w:rsidRPr="00DD6EF6">
              <w:rPr>
                <w:rFonts w:ascii="Times New Roman" w:hAnsi="Times New Roman" w:cs="Times New Roman"/>
                <w:sz w:val="24"/>
                <w:szCs w:val="24"/>
              </w:rPr>
              <w:t xml:space="preserve">risis </w:t>
            </w:r>
          </w:p>
          <w:p w:rsidR="00A66D53" w:rsidRPr="00DD6EF6" w:rsidRDefault="00A66D53" w:rsidP="00AF6503">
            <w:pPr>
              <w:spacing w:after="0" w:line="240" w:lineRule="auto"/>
              <w:rPr>
                <w:rFonts w:ascii="Times New Roman" w:hAnsi="Times New Roman" w:cs="Times New Roman"/>
                <w:sz w:val="24"/>
                <w:szCs w:val="24"/>
              </w:rPr>
            </w:pPr>
            <w:r w:rsidRPr="00DD6EF6">
              <w:rPr>
                <w:rFonts w:ascii="Times New Roman" w:hAnsi="Times New Roman" w:cs="Times New Roman"/>
                <w:sz w:val="24"/>
                <w:szCs w:val="24"/>
              </w:rPr>
              <w:t>(2007–2009)</w:t>
            </w:r>
          </w:p>
        </w:tc>
        <w:tc>
          <w:tcPr>
            <w:tcW w:w="1409" w:type="dxa"/>
            <w:shd w:val="clear" w:color="auto" w:fill="auto"/>
          </w:tcPr>
          <w:p w:rsidR="00A66D53" w:rsidRPr="00DD6EF6" w:rsidRDefault="00A66D53"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0.156</w:t>
            </w:r>
            <w:r w:rsidRPr="00DD6EF6">
              <w:rPr>
                <w:rFonts w:ascii="Times New Roman" w:hAnsi="Times New Roman" w:cs="Times New Roman"/>
                <w:sz w:val="24"/>
                <w:szCs w:val="24"/>
              </w:rPr>
              <w:t>***</w:t>
            </w:r>
          </w:p>
          <w:p w:rsidR="00A66D53" w:rsidRPr="00DD6EF6" w:rsidRDefault="00A66D53"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375" w:type="dxa"/>
            <w:shd w:val="clear" w:color="auto" w:fill="auto"/>
          </w:tcPr>
          <w:p w:rsidR="00A66D53" w:rsidRDefault="00D32BC5"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27.00***</w:t>
            </w:r>
          </w:p>
        </w:tc>
        <w:tc>
          <w:tcPr>
            <w:tcW w:w="1375" w:type="dxa"/>
            <w:shd w:val="clear" w:color="auto" w:fill="auto"/>
          </w:tcPr>
          <w:p w:rsidR="00A66D53" w:rsidRDefault="00A66D53"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0.427</w:t>
            </w:r>
          </w:p>
          <w:p w:rsidR="00A66D53" w:rsidRDefault="00A66D53"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30" w:type="dxa"/>
            <w:shd w:val="clear" w:color="auto" w:fill="auto"/>
          </w:tcPr>
          <w:p w:rsidR="00A66D53" w:rsidRDefault="00D32BC5" w:rsidP="00AF650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0.792***</w:t>
            </w:r>
          </w:p>
        </w:tc>
      </w:tr>
    </w:tbl>
    <w:p w:rsidR="00134E63" w:rsidRDefault="00134E63" w:rsidP="00134E63">
      <w:pPr>
        <w:spacing w:after="0" w:line="240" w:lineRule="auto"/>
        <w:ind w:right="282"/>
        <w:rPr>
          <w:rFonts w:ascii="Times New Roman" w:hAnsi="Times New Roman" w:cs="Times New Roman"/>
          <w:sz w:val="20"/>
          <w:szCs w:val="20"/>
        </w:rPr>
      </w:pPr>
      <w:r w:rsidRPr="00AF6503">
        <w:rPr>
          <w:rFonts w:ascii="Times New Roman" w:hAnsi="Times New Roman" w:cs="Times New Roman"/>
          <w:sz w:val="20"/>
          <w:szCs w:val="20"/>
        </w:rPr>
        <w:t>Notes:</w:t>
      </w:r>
      <w:r>
        <w:rPr>
          <w:rFonts w:ascii="Times New Roman" w:hAnsi="Times New Roman" w:cs="Times New Roman"/>
          <w:sz w:val="20"/>
          <w:szCs w:val="20"/>
        </w:rPr>
        <w:t xml:space="preserve"> </w:t>
      </w:r>
      <w:r w:rsidRPr="006853EA">
        <w:rPr>
          <w:rFonts w:ascii="Times New Roman" w:eastAsiaTheme="minorEastAsia" w:hAnsi="Times New Roman" w:cs="Times New Roman"/>
          <w:sz w:val="20"/>
          <w:szCs w:val="20"/>
        </w:rPr>
        <w:t>*, **</w:t>
      </w:r>
      <w:r>
        <w:rPr>
          <w:rFonts w:ascii="Times New Roman" w:eastAsiaTheme="minorEastAsia" w:hAnsi="Times New Roman" w:cs="Times New Roman"/>
          <w:sz w:val="20"/>
          <w:szCs w:val="20"/>
        </w:rPr>
        <w:t>,</w:t>
      </w:r>
      <w:r w:rsidRPr="006853EA">
        <w:rPr>
          <w:rFonts w:ascii="Times New Roman" w:eastAsiaTheme="minorEastAsia" w:hAnsi="Times New Roman" w:cs="Times New Roman"/>
          <w:sz w:val="20"/>
          <w:szCs w:val="20"/>
        </w:rPr>
        <w:t xml:space="preserve"> and *** </w:t>
      </w:r>
      <w:r>
        <w:rPr>
          <w:rFonts w:ascii="New serif" w:hAnsi="New serif"/>
          <w:color w:val="26282A"/>
          <w:sz w:val="20"/>
          <w:szCs w:val="20"/>
          <w:shd w:val="clear" w:color="auto" w:fill="FFFFFF"/>
          <w:lang w:val="en-US"/>
        </w:rPr>
        <w:t>denote significance at the 10%, 5%, and 1% levels, respectively. 2-sample </w:t>
      </w:r>
      <w:r>
        <w:rPr>
          <w:rFonts w:ascii="New serif" w:hAnsi="New serif"/>
          <w:i/>
          <w:iCs/>
          <w:color w:val="26282A"/>
          <w:sz w:val="20"/>
          <w:szCs w:val="20"/>
          <w:shd w:val="clear" w:color="auto" w:fill="FFFFFF"/>
          <w:lang w:val="en-US"/>
        </w:rPr>
        <w:t>t </w:t>
      </w:r>
      <w:r>
        <w:rPr>
          <w:rFonts w:ascii="New serif" w:hAnsi="New serif"/>
          <w:color w:val="26282A"/>
          <w:sz w:val="20"/>
          <w:szCs w:val="20"/>
          <w:shd w:val="clear" w:color="auto" w:fill="FFFFFF"/>
          <w:lang w:val="en-US"/>
        </w:rPr>
        <w:t>and Levine tests assess the null of equality of means, and equality of variances. For such tests the figures reported are the differences between means, and between variances. </w:t>
      </w:r>
      <w:r>
        <w:rPr>
          <w:rFonts w:ascii="New serif" w:hAnsi="New serif"/>
          <w:i/>
          <w:iCs/>
          <w:color w:val="26282A"/>
          <w:sz w:val="20"/>
          <w:szCs w:val="20"/>
          <w:shd w:val="clear" w:color="auto" w:fill="FFFFFF"/>
          <w:lang w:val="en-US"/>
        </w:rPr>
        <w:t>k</w:t>
      </w:r>
      <w:r>
        <w:rPr>
          <w:rFonts w:ascii="New serif" w:hAnsi="New serif"/>
          <w:color w:val="26282A"/>
          <w:sz w:val="20"/>
          <w:szCs w:val="20"/>
          <w:shd w:val="clear" w:color="auto" w:fill="FFFFFF"/>
          <w:lang w:val="en-US"/>
        </w:rPr>
        <w:t>-sample and Kolmogorov-Smirnov tests assess the null of equality of medians, and equality of distributions.</w:t>
      </w:r>
    </w:p>
    <w:p w:rsidR="00A27DD5" w:rsidRPr="000C5C68" w:rsidRDefault="00AD1073" w:rsidP="00667604">
      <w:pPr>
        <w:spacing w:after="160" w:line="259" w:lineRule="auto"/>
        <w:rPr>
          <w:rFonts w:ascii="Times New Roman" w:hAnsi="Times New Roman" w:cs="Times New Roman"/>
          <w:b/>
          <w:sz w:val="20"/>
          <w:szCs w:val="20"/>
        </w:rPr>
        <w:sectPr w:rsidR="00A27DD5" w:rsidRPr="000C5C68" w:rsidSect="00AF6503">
          <w:footerReference w:type="default" r:id="rId10"/>
          <w:type w:val="continuous"/>
          <w:pgSz w:w="11906" w:h="16838"/>
          <w:pgMar w:top="1440" w:right="1440" w:bottom="1440" w:left="1440" w:header="709" w:footer="709" w:gutter="0"/>
          <w:cols w:space="708"/>
          <w:docGrid w:linePitch="360"/>
        </w:sectPr>
      </w:pPr>
      <w:r>
        <w:rPr>
          <w:rFonts w:ascii="Times New Roman" w:hAnsi="Times New Roman"/>
          <w:sz w:val="24"/>
          <w:szCs w:val="24"/>
        </w:rPr>
        <w:br w:type="page"/>
      </w:r>
      <w:r w:rsidR="00231DB0">
        <w:rPr>
          <w:noProof/>
          <w:lang w:eastAsia="en-GB"/>
        </w:rPr>
        <w:lastRenderedPageBreak/>
        <mc:AlternateContent>
          <mc:Choice Requires="wps">
            <w:drawing>
              <wp:anchor distT="0" distB="0" distL="114300" distR="114300" simplePos="0" relativeHeight="251669504" behindDoc="0" locked="0" layoutInCell="1" allowOverlap="1" wp14:anchorId="6ACF68E3">
                <wp:simplePos x="0" y="0"/>
                <wp:positionH relativeFrom="column">
                  <wp:posOffset>184785</wp:posOffset>
                </wp:positionH>
                <wp:positionV relativeFrom="paragraph">
                  <wp:posOffset>8348980</wp:posOffset>
                </wp:positionV>
                <wp:extent cx="5374640" cy="63436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4640" cy="634365"/>
                        </a:xfrm>
                        <a:prstGeom prst="rect">
                          <a:avLst/>
                        </a:prstGeom>
                        <a:solidFill>
                          <a:prstClr val="white"/>
                        </a:solidFill>
                        <a:ln>
                          <a:noFill/>
                        </a:ln>
                        <a:effectLst/>
                      </wps:spPr>
                      <wps:txbx>
                        <w:txbxContent>
                          <w:p w:rsidR="0087698B" w:rsidRPr="00E979D2" w:rsidRDefault="0087698B" w:rsidP="0032688E">
                            <w:pPr>
                              <w:pStyle w:val="Caption"/>
                              <w:spacing w:after="0"/>
                              <w:jc w:val="both"/>
                              <w:rPr>
                                <w:rFonts w:ascii="Times New Roman" w:hAnsi="Times New Roman" w:cs="Times New Roman"/>
                                <w:b w:val="0"/>
                                <w:color w:val="auto"/>
                                <w:sz w:val="22"/>
                                <w:szCs w:val="22"/>
                              </w:rPr>
                            </w:pPr>
                            <w:bookmarkStart w:id="13" w:name="_Ref523597249"/>
                            <w:r w:rsidRPr="00AF6503">
                              <w:rPr>
                                <w:rFonts w:ascii="Times New Roman" w:hAnsi="Times New Roman" w:cs="Times New Roman"/>
                                <w:color w:val="auto"/>
                                <w:sz w:val="22"/>
                                <w:szCs w:val="22"/>
                              </w:rPr>
                              <w:t>Fig</w:t>
                            </w:r>
                            <w:r>
                              <w:rPr>
                                <w:rFonts w:ascii="Times New Roman" w:hAnsi="Times New Roman" w:cs="Times New Roman"/>
                                <w:color w:val="auto"/>
                                <w:sz w:val="22"/>
                                <w:szCs w:val="22"/>
                              </w:rPr>
                              <w:t>.</w:t>
                            </w:r>
                            <w:r w:rsidRPr="00AF6503">
                              <w:rPr>
                                <w:rFonts w:ascii="Times New Roman" w:hAnsi="Times New Roman" w:cs="Times New Roman"/>
                                <w:color w:val="auto"/>
                                <w:sz w:val="22"/>
                                <w:szCs w:val="22"/>
                              </w:rPr>
                              <w:fldChar w:fldCharType="begin"/>
                            </w:r>
                            <w:r w:rsidRPr="00AF6503">
                              <w:rPr>
                                <w:rFonts w:ascii="Times New Roman" w:hAnsi="Times New Roman" w:cs="Times New Roman"/>
                                <w:color w:val="auto"/>
                                <w:sz w:val="22"/>
                                <w:szCs w:val="22"/>
                              </w:rPr>
                              <w:instrText xml:space="preserve"> SEQ Figure \* ARABIC </w:instrText>
                            </w:r>
                            <w:r w:rsidRPr="00AF6503">
                              <w:rPr>
                                <w:rFonts w:ascii="Times New Roman" w:hAnsi="Times New Roman" w:cs="Times New Roman"/>
                                <w:color w:val="auto"/>
                                <w:sz w:val="22"/>
                                <w:szCs w:val="22"/>
                              </w:rPr>
                              <w:fldChar w:fldCharType="separate"/>
                            </w:r>
                            <w:r w:rsidRPr="00AF6503">
                              <w:rPr>
                                <w:rFonts w:ascii="Times New Roman" w:hAnsi="Times New Roman" w:cs="Times New Roman"/>
                                <w:noProof/>
                                <w:color w:val="auto"/>
                                <w:sz w:val="22"/>
                                <w:szCs w:val="22"/>
                              </w:rPr>
                              <w:t>2</w:t>
                            </w:r>
                            <w:r w:rsidRPr="00AF6503">
                              <w:rPr>
                                <w:rFonts w:ascii="Times New Roman" w:hAnsi="Times New Roman" w:cs="Times New Roman"/>
                                <w:color w:val="auto"/>
                                <w:sz w:val="22"/>
                                <w:szCs w:val="22"/>
                              </w:rPr>
                              <w:fldChar w:fldCharType="end"/>
                            </w:r>
                            <w:bookmarkEnd w:id="13"/>
                            <w:r>
                              <w:rPr>
                                <w:rFonts w:ascii="Times New Roman" w:eastAsiaTheme="minorEastAsia" w:hAnsi="Times New Roman" w:cs="Times New Roman"/>
                                <w:color w:val="auto"/>
                                <w:sz w:val="22"/>
                                <w:szCs w:val="22"/>
                              </w:rPr>
                              <w:t xml:space="preserve">. </w:t>
                            </w:r>
                            <w:r w:rsidRPr="009C1108">
                              <w:rPr>
                                <w:rFonts w:ascii="Times New Roman" w:eastAsiaTheme="minorEastAsia" w:hAnsi="Times New Roman" w:cs="Times New Roman"/>
                                <w:b w:val="0"/>
                                <w:color w:val="auto"/>
                                <w:sz w:val="22"/>
                                <w:szCs w:val="22"/>
                              </w:rPr>
                              <w:t xml:space="preserve">Monthly </w:t>
                            </w:r>
                            <w:r>
                              <w:rPr>
                                <w:rFonts w:ascii="Times New Roman" w:eastAsiaTheme="minorEastAsia" w:hAnsi="Times New Roman" w:cs="Times New Roman"/>
                                <w:b w:val="0"/>
                                <w:color w:val="auto"/>
                                <w:sz w:val="22"/>
                                <w:szCs w:val="22"/>
                              </w:rPr>
                              <w:t>t</w:t>
                            </w:r>
                            <w:r w:rsidRPr="009C1108">
                              <w:rPr>
                                <w:rFonts w:ascii="Times New Roman" w:eastAsiaTheme="minorEastAsia" w:hAnsi="Times New Roman" w:cs="Times New Roman"/>
                                <w:b w:val="0"/>
                                <w:color w:val="auto"/>
                                <w:sz w:val="22"/>
                                <w:szCs w:val="22"/>
                              </w:rPr>
                              <w:t>ime-</w:t>
                            </w:r>
                            <w:r>
                              <w:rPr>
                                <w:rFonts w:ascii="Times New Roman" w:eastAsiaTheme="minorEastAsia" w:hAnsi="Times New Roman" w:cs="Times New Roman"/>
                                <w:b w:val="0"/>
                                <w:color w:val="auto"/>
                                <w:sz w:val="22"/>
                                <w:szCs w:val="22"/>
                              </w:rPr>
                              <w:t>v</w:t>
                            </w:r>
                            <w:r w:rsidRPr="009C1108">
                              <w:rPr>
                                <w:rFonts w:ascii="Times New Roman" w:eastAsiaTheme="minorEastAsia" w:hAnsi="Times New Roman" w:cs="Times New Roman"/>
                                <w:b w:val="0"/>
                                <w:color w:val="auto"/>
                                <w:sz w:val="22"/>
                                <w:szCs w:val="22"/>
                              </w:rPr>
                              <w:t xml:space="preserve">arying </w:t>
                            </w:r>
                            <w:r>
                              <w:rPr>
                                <w:rFonts w:ascii="Times New Roman" w:eastAsiaTheme="minorEastAsia" w:hAnsi="Times New Roman" w:cs="Times New Roman"/>
                                <w:b w:val="0"/>
                                <w:color w:val="auto"/>
                                <w:sz w:val="22"/>
                                <w:szCs w:val="22"/>
                              </w:rPr>
                              <w:t>c</w:t>
                            </w:r>
                            <w:r w:rsidRPr="009C1108">
                              <w:rPr>
                                <w:rFonts w:ascii="Times New Roman" w:eastAsiaTheme="minorEastAsia" w:hAnsi="Times New Roman" w:cs="Times New Roman"/>
                                <w:b w:val="0"/>
                                <w:color w:val="auto"/>
                                <w:sz w:val="22"/>
                                <w:szCs w:val="22"/>
                              </w:rPr>
                              <w:t xml:space="preserve">onditional </w:t>
                            </w:r>
                            <w:r>
                              <w:rPr>
                                <w:rFonts w:ascii="Times New Roman" w:eastAsiaTheme="minorEastAsia" w:hAnsi="Times New Roman" w:cs="Times New Roman"/>
                                <w:b w:val="0"/>
                                <w:color w:val="auto"/>
                                <w:sz w:val="22"/>
                                <w:szCs w:val="22"/>
                              </w:rPr>
                              <w:t>c</w:t>
                            </w:r>
                            <w:r w:rsidRPr="009C1108">
                              <w:rPr>
                                <w:rFonts w:ascii="Times New Roman" w:eastAsiaTheme="minorEastAsia" w:hAnsi="Times New Roman" w:cs="Times New Roman"/>
                                <w:b w:val="0"/>
                                <w:color w:val="auto"/>
                                <w:sz w:val="22"/>
                                <w:szCs w:val="22"/>
                              </w:rPr>
                              <w:t xml:space="preserve">orrelations of </w:t>
                            </w:r>
                            <w:r>
                              <w:rPr>
                                <w:rFonts w:ascii="Times New Roman" w:eastAsiaTheme="minorEastAsia" w:hAnsi="Times New Roman" w:cs="Times New Roman"/>
                                <w:b w:val="0"/>
                                <w:color w:val="auto"/>
                                <w:sz w:val="22"/>
                                <w:szCs w:val="22"/>
                              </w:rPr>
                              <w:t>s</w:t>
                            </w:r>
                            <w:r w:rsidRPr="009C1108">
                              <w:rPr>
                                <w:rFonts w:ascii="Times New Roman" w:eastAsiaTheme="minorEastAsia" w:hAnsi="Times New Roman" w:cs="Times New Roman"/>
                                <w:b w:val="0"/>
                                <w:color w:val="auto"/>
                                <w:sz w:val="22"/>
                                <w:szCs w:val="22"/>
                              </w:rPr>
                              <w:t>tock</w:t>
                            </w:r>
                            <w:r>
                              <w:rPr>
                                <w:rFonts w:ascii="Times New Roman" w:eastAsiaTheme="minorEastAsia" w:hAnsi="Times New Roman" w:cs="Times New Roman"/>
                                <w:b w:val="0"/>
                                <w:color w:val="auto"/>
                                <w:sz w:val="22"/>
                                <w:szCs w:val="22"/>
                              </w:rPr>
                              <w:t xml:space="preserve"> i</w:t>
                            </w:r>
                            <w:r w:rsidRPr="009C1108">
                              <w:rPr>
                                <w:rFonts w:ascii="Times New Roman" w:eastAsiaTheme="minorEastAsia" w:hAnsi="Times New Roman" w:cs="Times New Roman"/>
                                <w:b w:val="0"/>
                                <w:color w:val="auto"/>
                                <w:sz w:val="22"/>
                                <w:szCs w:val="22"/>
                              </w:rPr>
                              <w:t xml:space="preserve">ndices and </w:t>
                            </w:r>
                            <w:r>
                              <w:rPr>
                                <w:rFonts w:ascii="Times New Roman" w:eastAsiaTheme="minorEastAsia" w:hAnsi="Times New Roman" w:cs="Times New Roman"/>
                                <w:b w:val="0"/>
                                <w:color w:val="auto"/>
                                <w:sz w:val="22"/>
                                <w:szCs w:val="22"/>
                              </w:rPr>
                              <w:t>p</w:t>
                            </w:r>
                            <w:r w:rsidRPr="009C1108">
                              <w:rPr>
                                <w:rFonts w:ascii="Times New Roman" w:eastAsiaTheme="minorEastAsia" w:hAnsi="Times New Roman" w:cs="Times New Roman"/>
                                <w:b w:val="0"/>
                                <w:color w:val="auto"/>
                                <w:sz w:val="22"/>
                                <w:szCs w:val="22"/>
                              </w:rPr>
                              <w:t xml:space="preserve">olicy </w:t>
                            </w:r>
                            <w:r>
                              <w:rPr>
                                <w:rFonts w:ascii="Times New Roman" w:eastAsiaTheme="minorEastAsia" w:hAnsi="Times New Roman" w:cs="Times New Roman"/>
                                <w:b w:val="0"/>
                                <w:color w:val="auto"/>
                                <w:sz w:val="22"/>
                                <w:szCs w:val="22"/>
                              </w:rPr>
                              <w:t>u</w:t>
                            </w:r>
                            <w:r w:rsidRPr="009C1108">
                              <w:rPr>
                                <w:rFonts w:ascii="Times New Roman" w:eastAsiaTheme="minorEastAsia" w:hAnsi="Times New Roman" w:cs="Times New Roman"/>
                                <w:b w:val="0"/>
                                <w:color w:val="auto"/>
                                <w:sz w:val="22"/>
                                <w:szCs w:val="22"/>
                              </w:rPr>
                              <w:t>nc</w:t>
                            </w:r>
                            <w:r w:rsidRPr="00E979D2">
                              <w:rPr>
                                <w:rFonts w:ascii="Times New Roman" w:eastAsiaTheme="minorEastAsia" w:hAnsi="Times New Roman" w:cs="Times New Roman"/>
                                <w:b w:val="0"/>
                                <w:color w:val="auto"/>
                                <w:sz w:val="22"/>
                                <w:szCs w:val="22"/>
                              </w:rPr>
                              <w:t xml:space="preserve">ertainty </w:t>
                            </w:r>
                            <w:r>
                              <w:rPr>
                                <w:rFonts w:ascii="Times New Roman" w:eastAsiaTheme="minorEastAsia" w:hAnsi="Times New Roman" w:cs="Times New Roman"/>
                                <w:b w:val="0"/>
                                <w:color w:val="auto"/>
                                <w:sz w:val="22"/>
                                <w:szCs w:val="22"/>
                              </w:rPr>
                              <w:t>i</w:t>
                            </w:r>
                            <w:r w:rsidRPr="00E979D2">
                              <w:rPr>
                                <w:rFonts w:ascii="Times New Roman" w:eastAsiaTheme="minorEastAsia" w:hAnsi="Times New Roman" w:cs="Times New Roman"/>
                                <w:b w:val="0"/>
                                <w:color w:val="auto"/>
                                <w:sz w:val="22"/>
                                <w:szCs w:val="22"/>
                              </w:rPr>
                              <w:t xml:space="preserve">ndices between the </w:t>
                            </w:r>
                            <m:oMath>
                              <m:sSub>
                                <m:sSubPr>
                                  <m:ctrlPr>
                                    <w:rPr>
                                      <w:rFonts w:ascii="Cambria Math" w:hAnsi="Cambria Math" w:cs="Times New Roman"/>
                                      <w:b w:val="0"/>
                                      <w:color w:val="auto"/>
                                      <w:sz w:val="22"/>
                                      <w:szCs w:val="22"/>
                                    </w:rPr>
                                  </m:ctrlPr>
                                </m:sSubPr>
                                <m:e>
                                  <m:r>
                                    <m:rPr>
                                      <m:sty m:val="b"/>
                                    </m:rPr>
                                    <w:rPr>
                                      <w:rFonts w:ascii="Cambria Math" w:hAnsi="Cambria Math" w:cs="Times New Roman"/>
                                      <w:color w:val="auto"/>
                                      <w:sz w:val="22"/>
                                      <w:szCs w:val="22"/>
                                    </w:rPr>
                                    <m:t>UK</m:t>
                                  </m:r>
                                </m:e>
                                <m:sub>
                                  <m:r>
                                    <m:rPr>
                                      <m:sty m:val="b"/>
                                    </m:rPr>
                                    <w:rPr>
                                      <w:rFonts w:ascii="Cambria Math" w:hAnsi="Cambria Math" w:cs="Times New Roman"/>
                                      <w:color w:val="auto"/>
                                      <w:sz w:val="22"/>
                                      <w:szCs w:val="22"/>
                                    </w:rPr>
                                    <m:t>t</m:t>
                                  </m:r>
                                </m:sub>
                              </m:sSub>
                            </m:oMath>
                            <w:r w:rsidRPr="00ED264E">
                              <w:rPr>
                                <w:rFonts w:ascii="Times New Roman" w:eastAsiaTheme="minorEastAsia" w:hAnsi="Times New Roman" w:cs="Times New Roman"/>
                                <w:b w:val="0"/>
                                <w:color w:val="auto"/>
                                <w:sz w:val="22"/>
                                <w:szCs w:val="22"/>
                              </w:rPr>
                              <w:t xml:space="preserve"> and </w:t>
                            </w:r>
                            <m:oMath>
                              <m:sSub>
                                <m:sSubPr>
                                  <m:ctrlPr>
                                    <w:rPr>
                                      <w:rFonts w:ascii="Cambria Math" w:hAnsi="Cambria Math" w:cs="Times New Roman"/>
                                      <w:b w:val="0"/>
                                      <w:color w:val="auto"/>
                                      <w:sz w:val="22"/>
                                      <w:szCs w:val="22"/>
                                    </w:rPr>
                                  </m:ctrlPr>
                                </m:sSubPr>
                                <m:e>
                                  <m:r>
                                    <m:rPr>
                                      <m:sty m:val="b"/>
                                    </m:rPr>
                                    <w:rPr>
                                      <w:rFonts w:ascii="Cambria Math" w:hAnsi="Cambria Math" w:cs="Times New Roman"/>
                                      <w:color w:val="auto"/>
                                      <w:sz w:val="22"/>
                                      <w:szCs w:val="22"/>
                                    </w:rPr>
                                    <m:t>US</m:t>
                                  </m:r>
                                </m:e>
                                <m:sub>
                                  <m:r>
                                    <m:rPr>
                                      <m:sty m:val="b"/>
                                    </m:rPr>
                                    <w:rPr>
                                      <w:rFonts w:ascii="Cambria Math" w:hAnsi="Cambria Math" w:cs="Times New Roman"/>
                                      <w:color w:val="auto"/>
                                      <w:sz w:val="22"/>
                                      <w:szCs w:val="22"/>
                                    </w:rPr>
                                    <m:t>t</m:t>
                                  </m:r>
                                </m:sub>
                              </m:sSub>
                            </m:oMath>
                            <w:r w:rsidRPr="00E979D2">
                              <w:rPr>
                                <w:rFonts w:ascii="Times New Roman" w:eastAsiaTheme="minorEastAsia" w:hAnsi="Times New Roman" w:cs="Times New Roman"/>
                                <w:b w:val="0"/>
                                <w:color w:val="auto"/>
                                <w:sz w:val="22"/>
                                <w:szCs w:val="22"/>
                              </w:rPr>
                              <w:t xml:space="preserve"> over the </w:t>
                            </w:r>
                            <w:r>
                              <w:rPr>
                                <w:rFonts w:ascii="Times New Roman" w:eastAsiaTheme="minorEastAsia" w:hAnsi="Times New Roman" w:cs="Times New Roman"/>
                                <w:b w:val="0"/>
                                <w:color w:val="auto"/>
                                <w:sz w:val="22"/>
                                <w:szCs w:val="22"/>
                              </w:rPr>
                              <w:t>p</w:t>
                            </w:r>
                            <w:r w:rsidRPr="00E979D2">
                              <w:rPr>
                                <w:rFonts w:ascii="Times New Roman" w:eastAsiaTheme="minorEastAsia" w:hAnsi="Times New Roman" w:cs="Times New Roman"/>
                                <w:b w:val="0"/>
                                <w:color w:val="auto"/>
                                <w:sz w:val="22"/>
                                <w:szCs w:val="22"/>
                              </w:rPr>
                              <w:t>eriods 1935</w:t>
                            </w:r>
                            <w:r>
                              <w:rPr>
                                <w:rFonts w:ascii="Times New Roman" w:eastAsiaTheme="minorEastAsia" w:hAnsi="Times New Roman" w:cs="Times New Roman"/>
                                <w:b w:val="0"/>
                                <w:color w:val="auto"/>
                                <w:sz w:val="22"/>
                                <w:szCs w:val="22"/>
                              </w:rPr>
                              <w:t>–</w:t>
                            </w:r>
                            <w:r w:rsidRPr="00E979D2">
                              <w:rPr>
                                <w:rFonts w:ascii="Times New Roman" w:eastAsiaTheme="minorEastAsia" w:hAnsi="Times New Roman" w:cs="Times New Roman"/>
                                <w:b w:val="0"/>
                                <w:color w:val="auto"/>
                                <w:sz w:val="22"/>
                                <w:szCs w:val="22"/>
                              </w:rPr>
                              <w:t>1945</w:t>
                            </w:r>
                            <w:r>
                              <w:rPr>
                                <w:rFonts w:ascii="Times New Roman" w:eastAsiaTheme="minorEastAsia" w:hAnsi="Times New Roman" w:cs="Times New Roman"/>
                                <w:b w:val="0"/>
                                <w:color w:val="auto"/>
                                <w:sz w:val="22"/>
                                <w:szCs w:val="22"/>
                              </w:rPr>
                              <w:t xml:space="preserve"> (Pre-BW)</w:t>
                            </w:r>
                            <w:r w:rsidRPr="00E979D2">
                              <w:rPr>
                                <w:rFonts w:ascii="Times New Roman" w:eastAsiaTheme="minorEastAsia" w:hAnsi="Times New Roman" w:cs="Times New Roman"/>
                                <w:b w:val="0"/>
                                <w:color w:val="auto"/>
                                <w:sz w:val="22"/>
                                <w:szCs w:val="22"/>
                              </w:rPr>
                              <w:t>, 1945</w:t>
                            </w:r>
                            <w:r>
                              <w:rPr>
                                <w:rFonts w:ascii="Times New Roman" w:eastAsiaTheme="minorEastAsia" w:hAnsi="Times New Roman" w:cs="Times New Roman"/>
                                <w:b w:val="0"/>
                                <w:color w:val="auto"/>
                                <w:sz w:val="22"/>
                                <w:szCs w:val="22"/>
                              </w:rPr>
                              <w:t>–</w:t>
                            </w:r>
                            <w:r w:rsidRPr="00E979D2">
                              <w:rPr>
                                <w:rFonts w:ascii="Times New Roman" w:eastAsiaTheme="minorEastAsia" w:hAnsi="Times New Roman" w:cs="Times New Roman"/>
                                <w:b w:val="0"/>
                                <w:color w:val="auto"/>
                                <w:sz w:val="22"/>
                                <w:szCs w:val="22"/>
                              </w:rPr>
                              <w:t>1971</w:t>
                            </w:r>
                            <w:r>
                              <w:rPr>
                                <w:rFonts w:ascii="Times New Roman" w:eastAsiaTheme="minorEastAsia" w:hAnsi="Times New Roman" w:cs="Times New Roman"/>
                                <w:b w:val="0"/>
                                <w:color w:val="auto"/>
                                <w:sz w:val="22"/>
                                <w:szCs w:val="22"/>
                              </w:rPr>
                              <w:t xml:space="preserve"> (BW)</w:t>
                            </w:r>
                            <w:r w:rsidRPr="00E979D2">
                              <w:rPr>
                                <w:rFonts w:ascii="Times New Roman" w:eastAsiaTheme="minorEastAsia" w:hAnsi="Times New Roman" w:cs="Times New Roman"/>
                                <w:b w:val="0"/>
                                <w:color w:val="auto"/>
                                <w:sz w:val="22"/>
                                <w:szCs w:val="22"/>
                              </w:rPr>
                              <w:t xml:space="preserve">, </w:t>
                            </w:r>
                            <w:r>
                              <w:rPr>
                                <w:rFonts w:ascii="Times New Roman" w:eastAsiaTheme="minorEastAsia" w:hAnsi="Times New Roman" w:cs="Times New Roman"/>
                                <w:b w:val="0"/>
                                <w:color w:val="auto"/>
                                <w:sz w:val="22"/>
                                <w:szCs w:val="22"/>
                              </w:rPr>
                              <w:t xml:space="preserve">and </w:t>
                            </w:r>
                            <w:r w:rsidRPr="00E979D2">
                              <w:rPr>
                                <w:rFonts w:ascii="Times New Roman" w:eastAsiaTheme="minorEastAsia" w:hAnsi="Times New Roman" w:cs="Times New Roman"/>
                                <w:b w:val="0"/>
                                <w:color w:val="auto"/>
                                <w:sz w:val="22"/>
                                <w:szCs w:val="22"/>
                              </w:rPr>
                              <w:t>1971</w:t>
                            </w:r>
                            <w:r>
                              <w:rPr>
                                <w:rFonts w:ascii="Times New Roman" w:eastAsiaTheme="minorEastAsia" w:hAnsi="Times New Roman" w:cs="Times New Roman"/>
                                <w:b w:val="0"/>
                                <w:color w:val="auto"/>
                                <w:sz w:val="22"/>
                                <w:szCs w:val="22"/>
                              </w:rPr>
                              <w:t>–</w:t>
                            </w:r>
                            <w:r w:rsidRPr="00E979D2">
                              <w:rPr>
                                <w:rFonts w:ascii="Times New Roman" w:eastAsiaTheme="minorEastAsia" w:hAnsi="Times New Roman" w:cs="Times New Roman"/>
                                <w:b w:val="0"/>
                                <w:color w:val="auto"/>
                                <w:sz w:val="22"/>
                                <w:szCs w:val="22"/>
                              </w:rPr>
                              <w:t>2015</w:t>
                            </w:r>
                            <w:r>
                              <w:rPr>
                                <w:rFonts w:ascii="Times New Roman" w:eastAsiaTheme="minorEastAsia" w:hAnsi="Times New Roman" w:cs="Times New Roman"/>
                                <w:b w:val="0"/>
                                <w:color w:val="auto"/>
                                <w:sz w:val="22"/>
                                <w:szCs w:val="22"/>
                              </w:rPr>
                              <w:t xml:space="preserve"> (Post-BW)</w:t>
                            </w:r>
                            <w:r w:rsidRPr="00E979D2">
                              <w:rPr>
                                <w:rFonts w:ascii="Times New Roman" w:eastAsiaTheme="minorEastAsia" w:hAnsi="Times New Roman" w:cs="Times New Roman"/>
                                <w:b w:val="0"/>
                                <w:color w:val="auto"/>
                                <w:sz w:val="22"/>
                                <w:szCs w:val="22"/>
                              </w:rPr>
                              <w:t>.</w:t>
                            </w:r>
                            <w:r>
                              <w:rPr>
                                <w:rFonts w:ascii="Times New Roman" w:eastAsiaTheme="minorEastAsia" w:hAnsi="Times New Roman" w:cs="Times New Roman"/>
                                <w:b w:val="0"/>
                                <w:color w:val="auto"/>
                                <w:sz w:val="22"/>
                                <w:szCs w:val="22"/>
                              </w:rPr>
                              <w:t xml:space="preserve"> </w:t>
                            </w:r>
                            <w:r w:rsidRPr="00E979D2">
                              <w:rPr>
                                <w:rFonts w:ascii="Times New Roman" w:hAnsi="Times New Roman" w:cs="Times New Roman"/>
                                <w:b w:val="0"/>
                                <w:color w:val="auto"/>
                                <w:sz w:val="22"/>
                                <w:szCs w:val="22"/>
                              </w:rPr>
                              <w:t>Solid lines represent stock correlations, whereas dotted lines represent policy uncertainty correlations.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type w14:anchorId="6ACF68E3" id="_x0000_t202" coordsize="21600,21600" o:spt="202" path="m,l,21600r21600,l21600,xe">
                <v:stroke joinstyle="miter"/>
                <v:path gradientshapeok="t" o:connecttype="rect"/>
              </v:shapetype>
              <v:shape id="Text Box 10" o:spid="_x0000_s1026" type="#_x0000_t202" style="position:absolute;margin-left:14.55pt;margin-top:657.4pt;width:423.2pt;height:4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" stroked="f">
                <v:path arrowok="t"/>
                <v:textbox inset="0,0,0,0">
                  <w:txbxContent>
                    <w:p w:rsidR="0087698B" w:rsidRPr="00E979D2" w:rsidRDefault="0087698B" w:rsidP="0032688E">
                      <w:pPr>
                        <w:pStyle w:val="Caption"/>
                        <w:spacing w:after="0"/>
                        <w:jc w:val="both"/>
                        <w:rPr>
                          <w:rFonts w:ascii="Times New Roman" w:hAnsi="Times New Roman" w:cs="Times New Roman"/>
                          <w:b w:val="0"/>
                          <w:color w:val="auto"/>
                          <w:sz w:val="22"/>
                          <w:szCs w:val="22"/>
                        </w:rPr>
                      </w:pPr>
                      <w:bookmarkStart w:id="14" w:name="_Ref523597249"/>
                      <w:r w:rsidRPr="00AF6503">
                        <w:rPr>
                          <w:rFonts w:ascii="Times New Roman" w:hAnsi="Times New Roman" w:cs="Times New Roman"/>
                          <w:color w:val="auto"/>
                          <w:sz w:val="22"/>
                          <w:szCs w:val="22"/>
                        </w:rPr>
                        <w:t>Fig</w:t>
                      </w:r>
                      <w:r>
                        <w:rPr>
                          <w:rFonts w:ascii="Times New Roman" w:hAnsi="Times New Roman" w:cs="Times New Roman"/>
                          <w:color w:val="auto"/>
                          <w:sz w:val="22"/>
                          <w:szCs w:val="22"/>
                        </w:rPr>
                        <w:t>.</w:t>
                      </w:r>
                      <w:r w:rsidRPr="00AF6503">
                        <w:rPr>
                          <w:rFonts w:ascii="Times New Roman" w:hAnsi="Times New Roman" w:cs="Times New Roman"/>
                          <w:color w:val="auto"/>
                          <w:sz w:val="22"/>
                          <w:szCs w:val="22"/>
                        </w:rPr>
                        <w:fldChar w:fldCharType="begin"/>
                      </w:r>
                      <w:r w:rsidRPr="00AF6503">
                        <w:rPr>
                          <w:rFonts w:ascii="Times New Roman" w:hAnsi="Times New Roman" w:cs="Times New Roman"/>
                          <w:color w:val="auto"/>
                          <w:sz w:val="22"/>
                          <w:szCs w:val="22"/>
                        </w:rPr>
                        <w:instrText xml:space="preserve"> SEQ Figure \* ARABIC </w:instrText>
                      </w:r>
                      <w:r w:rsidRPr="00AF6503">
                        <w:rPr>
                          <w:rFonts w:ascii="Times New Roman" w:hAnsi="Times New Roman" w:cs="Times New Roman"/>
                          <w:color w:val="auto"/>
                          <w:sz w:val="22"/>
                          <w:szCs w:val="22"/>
                        </w:rPr>
                        <w:fldChar w:fldCharType="separate"/>
                      </w:r>
                      <w:r w:rsidRPr="00AF6503">
                        <w:rPr>
                          <w:rFonts w:ascii="Times New Roman" w:hAnsi="Times New Roman" w:cs="Times New Roman"/>
                          <w:noProof/>
                          <w:color w:val="auto"/>
                          <w:sz w:val="22"/>
                          <w:szCs w:val="22"/>
                        </w:rPr>
                        <w:t>2</w:t>
                      </w:r>
                      <w:r w:rsidRPr="00AF6503">
                        <w:rPr>
                          <w:rFonts w:ascii="Times New Roman" w:hAnsi="Times New Roman" w:cs="Times New Roman"/>
                          <w:color w:val="auto"/>
                          <w:sz w:val="22"/>
                          <w:szCs w:val="22"/>
                        </w:rPr>
                        <w:fldChar w:fldCharType="end"/>
                      </w:r>
                      <w:bookmarkEnd w:id="14"/>
                      <w:r>
                        <w:rPr>
                          <w:rFonts w:ascii="Times New Roman" w:eastAsiaTheme="minorEastAsia" w:hAnsi="Times New Roman" w:cs="Times New Roman"/>
                          <w:color w:val="auto"/>
                          <w:sz w:val="22"/>
                          <w:szCs w:val="22"/>
                        </w:rPr>
                        <w:t xml:space="preserve">. </w:t>
                      </w:r>
                      <w:r w:rsidRPr="009C1108">
                        <w:rPr>
                          <w:rFonts w:ascii="Times New Roman" w:eastAsiaTheme="minorEastAsia" w:hAnsi="Times New Roman" w:cs="Times New Roman"/>
                          <w:b w:val="0"/>
                          <w:color w:val="auto"/>
                          <w:sz w:val="22"/>
                          <w:szCs w:val="22"/>
                        </w:rPr>
                        <w:t xml:space="preserve">Monthly </w:t>
                      </w:r>
                      <w:r>
                        <w:rPr>
                          <w:rFonts w:ascii="Times New Roman" w:eastAsiaTheme="minorEastAsia" w:hAnsi="Times New Roman" w:cs="Times New Roman"/>
                          <w:b w:val="0"/>
                          <w:color w:val="auto"/>
                          <w:sz w:val="22"/>
                          <w:szCs w:val="22"/>
                        </w:rPr>
                        <w:t>t</w:t>
                      </w:r>
                      <w:r w:rsidRPr="009C1108">
                        <w:rPr>
                          <w:rFonts w:ascii="Times New Roman" w:eastAsiaTheme="minorEastAsia" w:hAnsi="Times New Roman" w:cs="Times New Roman"/>
                          <w:b w:val="0"/>
                          <w:color w:val="auto"/>
                          <w:sz w:val="22"/>
                          <w:szCs w:val="22"/>
                        </w:rPr>
                        <w:t>ime-</w:t>
                      </w:r>
                      <w:r>
                        <w:rPr>
                          <w:rFonts w:ascii="Times New Roman" w:eastAsiaTheme="minorEastAsia" w:hAnsi="Times New Roman" w:cs="Times New Roman"/>
                          <w:b w:val="0"/>
                          <w:color w:val="auto"/>
                          <w:sz w:val="22"/>
                          <w:szCs w:val="22"/>
                        </w:rPr>
                        <w:t>v</w:t>
                      </w:r>
                      <w:r w:rsidRPr="009C1108">
                        <w:rPr>
                          <w:rFonts w:ascii="Times New Roman" w:eastAsiaTheme="minorEastAsia" w:hAnsi="Times New Roman" w:cs="Times New Roman"/>
                          <w:b w:val="0"/>
                          <w:color w:val="auto"/>
                          <w:sz w:val="22"/>
                          <w:szCs w:val="22"/>
                        </w:rPr>
                        <w:t xml:space="preserve">arying </w:t>
                      </w:r>
                      <w:r>
                        <w:rPr>
                          <w:rFonts w:ascii="Times New Roman" w:eastAsiaTheme="minorEastAsia" w:hAnsi="Times New Roman" w:cs="Times New Roman"/>
                          <w:b w:val="0"/>
                          <w:color w:val="auto"/>
                          <w:sz w:val="22"/>
                          <w:szCs w:val="22"/>
                        </w:rPr>
                        <w:t>c</w:t>
                      </w:r>
                      <w:r w:rsidRPr="009C1108">
                        <w:rPr>
                          <w:rFonts w:ascii="Times New Roman" w:eastAsiaTheme="minorEastAsia" w:hAnsi="Times New Roman" w:cs="Times New Roman"/>
                          <w:b w:val="0"/>
                          <w:color w:val="auto"/>
                          <w:sz w:val="22"/>
                          <w:szCs w:val="22"/>
                        </w:rPr>
                        <w:t xml:space="preserve">onditional </w:t>
                      </w:r>
                      <w:r>
                        <w:rPr>
                          <w:rFonts w:ascii="Times New Roman" w:eastAsiaTheme="minorEastAsia" w:hAnsi="Times New Roman" w:cs="Times New Roman"/>
                          <w:b w:val="0"/>
                          <w:color w:val="auto"/>
                          <w:sz w:val="22"/>
                          <w:szCs w:val="22"/>
                        </w:rPr>
                        <w:t>c</w:t>
                      </w:r>
                      <w:r w:rsidRPr="009C1108">
                        <w:rPr>
                          <w:rFonts w:ascii="Times New Roman" w:eastAsiaTheme="minorEastAsia" w:hAnsi="Times New Roman" w:cs="Times New Roman"/>
                          <w:b w:val="0"/>
                          <w:color w:val="auto"/>
                          <w:sz w:val="22"/>
                          <w:szCs w:val="22"/>
                        </w:rPr>
                        <w:t xml:space="preserve">orrelations of </w:t>
                      </w:r>
                      <w:r>
                        <w:rPr>
                          <w:rFonts w:ascii="Times New Roman" w:eastAsiaTheme="minorEastAsia" w:hAnsi="Times New Roman" w:cs="Times New Roman"/>
                          <w:b w:val="0"/>
                          <w:color w:val="auto"/>
                          <w:sz w:val="22"/>
                          <w:szCs w:val="22"/>
                        </w:rPr>
                        <w:t>s</w:t>
                      </w:r>
                      <w:r w:rsidRPr="009C1108">
                        <w:rPr>
                          <w:rFonts w:ascii="Times New Roman" w:eastAsiaTheme="minorEastAsia" w:hAnsi="Times New Roman" w:cs="Times New Roman"/>
                          <w:b w:val="0"/>
                          <w:color w:val="auto"/>
                          <w:sz w:val="22"/>
                          <w:szCs w:val="22"/>
                        </w:rPr>
                        <w:t>tock</w:t>
                      </w:r>
                      <w:r>
                        <w:rPr>
                          <w:rFonts w:ascii="Times New Roman" w:eastAsiaTheme="minorEastAsia" w:hAnsi="Times New Roman" w:cs="Times New Roman"/>
                          <w:b w:val="0"/>
                          <w:color w:val="auto"/>
                          <w:sz w:val="22"/>
                          <w:szCs w:val="22"/>
                        </w:rPr>
                        <w:t xml:space="preserve"> i</w:t>
                      </w:r>
                      <w:r w:rsidRPr="009C1108">
                        <w:rPr>
                          <w:rFonts w:ascii="Times New Roman" w:eastAsiaTheme="minorEastAsia" w:hAnsi="Times New Roman" w:cs="Times New Roman"/>
                          <w:b w:val="0"/>
                          <w:color w:val="auto"/>
                          <w:sz w:val="22"/>
                          <w:szCs w:val="22"/>
                        </w:rPr>
                        <w:t xml:space="preserve">ndices and </w:t>
                      </w:r>
                      <w:r>
                        <w:rPr>
                          <w:rFonts w:ascii="Times New Roman" w:eastAsiaTheme="minorEastAsia" w:hAnsi="Times New Roman" w:cs="Times New Roman"/>
                          <w:b w:val="0"/>
                          <w:color w:val="auto"/>
                          <w:sz w:val="22"/>
                          <w:szCs w:val="22"/>
                        </w:rPr>
                        <w:t>p</w:t>
                      </w:r>
                      <w:r w:rsidRPr="009C1108">
                        <w:rPr>
                          <w:rFonts w:ascii="Times New Roman" w:eastAsiaTheme="minorEastAsia" w:hAnsi="Times New Roman" w:cs="Times New Roman"/>
                          <w:b w:val="0"/>
                          <w:color w:val="auto"/>
                          <w:sz w:val="22"/>
                          <w:szCs w:val="22"/>
                        </w:rPr>
                        <w:t xml:space="preserve">olicy </w:t>
                      </w:r>
                      <w:r>
                        <w:rPr>
                          <w:rFonts w:ascii="Times New Roman" w:eastAsiaTheme="minorEastAsia" w:hAnsi="Times New Roman" w:cs="Times New Roman"/>
                          <w:b w:val="0"/>
                          <w:color w:val="auto"/>
                          <w:sz w:val="22"/>
                          <w:szCs w:val="22"/>
                        </w:rPr>
                        <w:t>u</w:t>
                      </w:r>
                      <w:r w:rsidRPr="009C1108">
                        <w:rPr>
                          <w:rFonts w:ascii="Times New Roman" w:eastAsiaTheme="minorEastAsia" w:hAnsi="Times New Roman" w:cs="Times New Roman"/>
                          <w:b w:val="0"/>
                          <w:color w:val="auto"/>
                          <w:sz w:val="22"/>
                          <w:szCs w:val="22"/>
                        </w:rPr>
                        <w:t>nc</w:t>
                      </w:r>
                      <w:r w:rsidRPr="00E979D2">
                        <w:rPr>
                          <w:rFonts w:ascii="Times New Roman" w:eastAsiaTheme="minorEastAsia" w:hAnsi="Times New Roman" w:cs="Times New Roman"/>
                          <w:b w:val="0"/>
                          <w:color w:val="auto"/>
                          <w:sz w:val="22"/>
                          <w:szCs w:val="22"/>
                        </w:rPr>
                        <w:t xml:space="preserve">ertainty </w:t>
                      </w:r>
                      <w:r>
                        <w:rPr>
                          <w:rFonts w:ascii="Times New Roman" w:eastAsiaTheme="minorEastAsia" w:hAnsi="Times New Roman" w:cs="Times New Roman"/>
                          <w:b w:val="0"/>
                          <w:color w:val="auto"/>
                          <w:sz w:val="22"/>
                          <w:szCs w:val="22"/>
                        </w:rPr>
                        <w:t>i</w:t>
                      </w:r>
                      <w:r w:rsidRPr="00E979D2">
                        <w:rPr>
                          <w:rFonts w:ascii="Times New Roman" w:eastAsiaTheme="minorEastAsia" w:hAnsi="Times New Roman" w:cs="Times New Roman"/>
                          <w:b w:val="0"/>
                          <w:color w:val="auto"/>
                          <w:sz w:val="22"/>
                          <w:szCs w:val="22"/>
                        </w:rPr>
                        <w:t xml:space="preserve">ndices between the </w:t>
                      </w:r>
                      <m:oMath>
                        <m:sSub>
                          <m:sSubPr>
                            <m:ctrlPr>
                              <w:rPr>
                                <w:rFonts w:ascii="Cambria Math" w:hAnsi="Cambria Math" w:cs="Times New Roman"/>
                                <w:b w:val="0"/>
                                <w:color w:val="auto"/>
                                <w:sz w:val="22"/>
                                <w:szCs w:val="22"/>
                              </w:rPr>
                            </m:ctrlPr>
                          </m:sSubPr>
                          <m:e>
                            <m:r>
                              <m:rPr>
                                <m:sty m:val="b"/>
                              </m:rPr>
                              <w:rPr>
                                <w:rFonts w:ascii="Cambria Math" w:hAnsi="Cambria Math" w:cs="Times New Roman"/>
                                <w:color w:val="auto"/>
                                <w:sz w:val="22"/>
                                <w:szCs w:val="22"/>
                              </w:rPr>
                              <m:t>UK</m:t>
                            </m:r>
                          </m:e>
                          <m:sub>
                            <m:r>
                              <m:rPr>
                                <m:sty m:val="b"/>
                              </m:rPr>
                              <w:rPr>
                                <w:rFonts w:ascii="Cambria Math" w:hAnsi="Cambria Math" w:cs="Times New Roman"/>
                                <w:color w:val="auto"/>
                                <w:sz w:val="22"/>
                                <w:szCs w:val="22"/>
                              </w:rPr>
                              <m:t>t</m:t>
                            </m:r>
                          </m:sub>
                        </m:sSub>
                      </m:oMath>
                      <w:r w:rsidRPr="00ED264E">
                        <w:rPr>
                          <w:rFonts w:ascii="Times New Roman" w:eastAsiaTheme="minorEastAsia" w:hAnsi="Times New Roman" w:cs="Times New Roman"/>
                          <w:b w:val="0"/>
                          <w:color w:val="auto"/>
                          <w:sz w:val="22"/>
                          <w:szCs w:val="22"/>
                        </w:rPr>
                        <w:t xml:space="preserve"> and </w:t>
                      </w:r>
                      <m:oMath>
                        <m:sSub>
                          <m:sSubPr>
                            <m:ctrlPr>
                              <w:rPr>
                                <w:rFonts w:ascii="Cambria Math" w:hAnsi="Cambria Math" w:cs="Times New Roman"/>
                                <w:b w:val="0"/>
                                <w:color w:val="auto"/>
                                <w:sz w:val="22"/>
                                <w:szCs w:val="22"/>
                              </w:rPr>
                            </m:ctrlPr>
                          </m:sSubPr>
                          <m:e>
                            <m:r>
                              <m:rPr>
                                <m:sty m:val="b"/>
                              </m:rPr>
                              <w:rPr>
                                <w:rFonts w:ascii="Cambria Math" w:hAnsi="Cambria Math" w:cs="Times New Roman"/>
                                <w:color w:val="auto"/>
                                <w:sz w:val="22"/>
                                <w:szCs w:val="22"/>
                              </w:rPr>
                              <m:t>US</m:t>
                            </m:r>
                          </m:e>
                          <m:sub>
                            <m:r>
                              <m:rPr>
                                <m:sty m:val="b"/>
                              </m:rPr>
                              <w:rPr>
                                <w:rFonts w:ascii="Cambria Math" w:hAnsi="Cambria Math" w:cs="Times New Roman"/>
                                <w:color w:val="auto"/>
                                <w:sz w:val="22"/>
                                <w:szCs w:val="22"/>
                              </w:rPr>
                              <m:t>t</m:t>
                            </m:r>
                          </m:sub>
                        </m:sSub>
                      </m:oMath>
                      <w:r w:rsidRPr="00E979D2">
                        <w:rPr>
                          <w:rFonts w:ascii="Times New Roman" w:eastAsiaTheme="minorEastAsia" w:hAnsi="Times New Roman" w:cs="Times New Roman"/>
                          <w:b w:val="0"/>
                          <w:color w:val="auto"/>
                          <w:sz w:val="22"/>
                          <w:szCs w:val="22"/>
                        </w:rPr>
                        <w:t xml:space="preserve"> over the </w:t>
                      </w:r>
                      <w:r>
                        <w:rPr>
                          <w:rFonts w:ascii="Times New Roman" w:eastAsiaTheme="minorEastAsia" w:hAnsi="Times New Roman" w:cs="Times New Roman"/>
                          <w:b w:val="0"/>
                          <w:color w:val="auto"/>
                          <w:sz w:val="22"/>
                          <w:szCs w:val="22"/>
                        </w:rPr>
                        <w:t>p</w:t>
                      </w:r>
                      <w:r w:rsidRPr="00E979D2">
                        <w:rPr>
                          <w:rFonts w:ascii="Times New Roman" w:eastAsiaTheme="minorEastAsia" w:hAnsi="Times New Roman" w:cs="Times New Roman"/>
                          <w:b w:val="0"/>
                          <w:color w:val="auto"/>
                          <w:sz w:val="22"/>
                          <w:szCs w:val="22"/>
                        </w:rPr>
                        <w:t>eriods 1935</w:t>
                      </w:r>
                      <w:r>
                        <w:rPr>
                          <w:rFonts w:ascii="Times New Roman" w:eastAsiaTheme="minorEastAsia" w:hAnsi="Times New Roman" w:cs="Times New Roman"/>
                          <w:b w:val="0"/>
                          <w:color w:val="auto"/>
                          <w:sz w:val="22"/>
                          <w:szCs w:val="22"/>
                        </w:rPr>
                        <w:t>–</w:t>
                      </w:r>
                      <w:r w:rsidRPr="00E979D2">
                        <w:rPr>
                          <w:rFonts w:ascii="Times New Roman" w:eastAsiaTheme="minorEastAsia" w:hAnsi="Times New Roman" w:cs="Times New Roman"/>
                          <w:b w:val="0"/>
                          <w:color w:val="auto"/>
                          <w:sz w:val="22"/>
                          <w:szCs w:val="22"/>
                        </w:rPr>
                        <w:t>1945</w:t>
                      </w:r>
                      <w:r>
                        <w:rPr>
                          <w:rFonts w:ascii="Times New Roman" w:eastAsiaTheme="minorEastAsia" w:hAnsi="Times New Roman" w:cs="Times New Roman"/>
                          <w:b w:val="0"/>
                          <w:color w:val="auto"/>
                          <w:sz w:val="22"/>
                          <w:szCs w:val="22"/>
                        </w:rPr>
                        <w:t xml:space="preserve"> (Pre-BW)</w:t>
                      </w:r>
                      <w:r w:rsidRPr="00E979D2">
                        <w:rPr>
                          <w:rFonts w:ascii="Times New Roman" w:eastAsiaTheme="minorEastAsia" w:hAnsi="Times New Roman" w:cs="Times New Roman"/>
                          <w:b w:val="0"/>
                          <w:color w:val="auto"/>
                          <w:sz w:val="22"/>
                          <w:szCs w:val="22"/>
                        </w:rPr>
                        <w:t>, 1945</w:t>
                      </w:r>
                      <w:r>
                        <w:rPr>
                          <w:rFonts w:ascii="Times New Roman" w:eastAsiaTheme="minorEastAsia" w:hAnsi="Times New Roman" w:cs="Times New Roman"/>
                          <w:b w:val="0"/>
                          <w:color w:val="auto"/>
                          <w:sz w:val="22"/>
                          <w:szCs w:val="22"/>
                        </w:rPr>
                        <w:t>–</w:t>
                      </w:r>
                      <w:r w:rsidRPr="00E979D2">
                        <w:rPr>
                          <w:rFonts w:ascii="Times New Roman" w:eastAsiaTheme="minorEastAsia" w:hAnsi="Times New Roman" w:cs="Times New Roman"/>
                          <w:b w:val="0"/>
                          <w:color w:val="auto"/>
                          <w:sz w:val="22"/>
                          <w:szCs w:val="22"/>
                        </w:rPr>
                        <w:t>1971</w:t>
                      </w:r>
                      <w:r>
                        <w:rPr>
                          <w:rFonts w:ascii="Times New Roman" w:eastAsiaTheme="minorEastAsia" w:hAnsi="Times New Roman" w:cs="Times New Roman"/>
                          <w:b w:val="0"/>
                          <w:color w:val="auto"/>
                          <w:sz w:val="22"/>
                          <w:szCs w:val="22"/>
                        </w:rPr>
                        <w:t xml:space="preserve"> (BW)</w:t>
                      </w:r>
                      <w:r w:rsidRPr="00E979D2">
                        <w:rPr>
                          <w:rFonts w:ascii="Times New Roman" w:eastAsiaTheme="minorEastAsia" w:hAnsi="Times New Roman" w:cs="Times New Roman"/>
                          <w:b w:val="0"/>
                          <w:color w:val="auto"/>
                          <w:sz w:val="22"/>
                          <w:szCs w:val="22"/>
                        </w:rPr>
                        <w:t xml:space="preserve">, </w:t>
                      </w:r>
                      <w:r>
                        <w:rPr>
                          <w:rFonts w:ascii="Times New Roman" w:eastAsiaTheme="minorEastAsia" w:hAnsi="Times New Roman" w:cs="Times New Roman"/>
                          <w:b w:val="0"/>
                          <w:color w:val="auto"/>
                          <w:sz w:val="22"/>
                          <w:szCs w:val="22"/>
                        </w:rPr>
                        <w:t xml:space="preserve">and </w:t>
                      </w:r>
                      <w:r w:rsidRPr="00E979D2">
                        <w:rPr>
                          <w:rFonts w:ascii="Times New Roman" w:eastAsiaTheme="minorEastAsia" w:hAnsi="Times New Roman" w:cs="Times New Roman"/>
                          <w:b w:val="0"/>
                          <w:color w:val="auto"/>
                          <w:sz w:val="22"/>
                          <w:szCs w:val="22"/>
                        </w:rPr>
                        <w:t>1971</w:t>
                      </w:r>
                      <w:r>
                        <w:rPr>
                          <w:rFonts w:ascii="Times New Roman" w:eastAsiaTheme="minorEastAsia" w:hAnsi="Times New Roman" w:cs="Times New Roman"/>
                          <w:b w:val="0"/>
                          <w:color w:val="auto"/>
                          <w:sz w:val="22"/>
                          <w:szCs w:val="22"/>
                        </w:rPr>
                        <w:t>–</w:t>
                      </w:r>
                      <w:r w:rsidRPr="00E979D2">
                        <w:rPr>
                          <w:rFonts w:ascii="Times New Roman" w:eastAsiaTheme="minorEastAsia" w:hAnsi="Times New Roman" w:cs="Times New Roman"/>
                          <w:b w:val="0"/>
                          <w:color w:val="auto"/>
                          <w:sz w:val="22"/>
                          <w:szCs w:val="22"/>
                        </w:rPr>
                        <w:t>2015</w:t>
                      </w:r>
                      <w:r>
                        <w:rPr>
                          <w:rFonts w:ascii="Times New Roman" w:eastAsiaTheme="minorEastAsia" w:hAnsi="Times New Roman" w:cs="Times New Roman"/>
                          <w:b w:val="0"/>
                          <w:color w:val="auto"/>
                          <w:sz w:val="22"/>
                          <w:szCs w:val="22"/>
                        </w:rPr>
                        <w:t xml:space="preserve"> (Post-BW)</w:t>
                      </w:r>
                      <w:r w:rsidRPr="00E979D2">
                        <w:rPr>
                          <w:rFonts w:ascii="Times New Roman" w:eastAsiaTheme="minorEastAsia" w:hAnsi="Times New Roman" w:cs="Times New Roman"/>
                          <w:b w:val="0"/>
                          <w:color w:val="auto"/>
                          <w:sz w:val="22"/>
                          <w:szCs w:val="22"/>
                        </w:rPr>
                        <w:t>.</w:t>
                      </w:r>
                      <w:r>
                        <w:rPr>
                          <w:rFonts w:ascii="Times New Roman" w:eastAsiaTheme="minorEastAsia" w:hAnsi="Times New Roman" w:cs="Times New Roman"/>
                          <w:b w:val="0"/>
                          <w:color w:val="auto"/>
                          <w:sz w:val="22"/>
                          <w:szCs w:val="22"/>
                        </w:rPr>
                        <w:t xml:space="preserve"> </w:t>
                      </w:r>
                      <w:r w:rsidRPr="00E979D2">
                        <w:rPr>
                          <w:rFonts w:ascii="Times New Roman" w:hAnsi="Times New Roman" w:cs="Times New Roman"/>
                          <w:b w:val="0"/>
                          <w:color w:val="auto"/>
                          <w:sz w:val="22"/>
                          <w:szCs w:val="22"/>
                        </w:rPr>
                        <w:t>Solid lines represent stock correlations, whereas dotted lines represent policy uncertainty correlations.</w:t>
                      </w:r>
                    </w:p>
                  </w:txbxContent>
                </v:textbox>
              </v:shape>
            </w:pict>
          </mc:Fallback>
        </mc:AlternateContent>
      </w:r>
      <w:r w:rsidR="00231DB0">
        <w:rPr>
          <w:rFonts w:ascii="Times New Roman" w:hAnsi="Times New Roman"/>
          <w:noProof/>
          <w:sz w:val="24"/>
          <w:szCs w:val="24"/>
          <w:lang w:eastAsia="en-GB"/>
        </w:rPr>
        <mc:AlternateContent>
          <mc:Choice Requires="wps">
            <w:drawing>
              <wp:anchor distT="0" distB="0" distL="114300" distR="114300" simplePos="0" relativeHeight="251667456" behindDoc="0" locked="0" layoutInCell="1" allowOverlap="1" wp14:anchorId="14B535B8">
                <wp:simplePos x="0" y="0"/>
                <wp:positionH relativeFrom="column">
                  <wp:posOffset>186055</wp:posOffset>
                </wp:positionH>
                <wp:positionV relativeFrom="paragraph">
                  <wp:posOffset>-116205</wp:posOffset>
                </wp:positionV>
                <wp:extent cx="5373370" cy="843280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3370" cy="8432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698B" w:rsidRDefault="0087698B" w:rsidP="004F0DAA">
                            <w:pPr>
                              <w:keepNext/>
                            </w:pPr>
                            <w:r w:rsidRPr="00A001BE">
                              <w:rPr>
                                <w:noProof/>
                                <w:lang w:eastAsia="en-GB"/>
                              </w:rPr>
                              <w:drawing>
                                <wp:inline distT="0" distB="0" distL="0" distR="0">
                                  <wp:extent cx="5029200" cy="26000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600076"/>
                                          </a:xfrm>
                                          <a:prstGeom prst="rect">
                                            <a:avLst/>
                                          </a:prstGeom>
                                          <a:noFill/>
                                          <a:ln>
                                            <a:noFill/>
                                          </a:ln>
                                        </pic:spPr>
                                      </pic:pic>
                                    </a:graphicData>
                                  </a:graphic>
                                </wp:inline>
                              </w:drawing>
                            </w:r>
                          </w:p>
                          <w:p w:rsidR="0087698B" w:rsidRDefault="0087698B" w:rsidP="004F0DAA">
                            <w:pPr>
                              <w:keepNext/>
                            </w:pPr>
                            <w:r w:rsidRPr="00A001BE">
                              <w:rPr>
                                <w:noProof/>
                                <w:lang w:eastAsia="en-GB"/>
                              </w:rPr>
                              <w:drawing>
                                <wp:inline distT="0" distB="0" distL="0" distR="0">
                                  <wp:extent cx="5029202" cy="267958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0" cy="2679588"/>
                                          </a:xfrm>
                                          <a:prstGeom prst="rect">
                                            <a:avLst/>
                                          </a:prstGeom>
                                          <a:noFill/>
                                          <a:ln>
                                            <a:noFill/>
                                          </a:ln>
                                        </pic:spPr>
                                      </pic:pic>
                                    </a:graphicData>
                                  </a:graphic>
                                </wp:inline>
                              </w:drawing>
                            </w:r>
                          </w:p>
                          <w:p w:rsidR="0087698B" w:rsidRDefault="0087698B" w:rsidP="00A8221D">
                            <w:pPr>
                              <w:keepNext/>
                            </w:pPr>
                            <w:r w:rsidRPr="00A001BE">
                              <w:rPr>
                                <w:noProof/>
                                <w:lang w:eastAsia="en-GB"/>
                              </w:rPr>
                              <w:drawing>
                                <wp:inline distT="0" distB="0" distL="0" distR="0">
                                  <wp:extent cx="5029202" cy="25921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200" cy="25921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4B535B8" id="Text Box 2" o:spid="_x0000_s1027" type="#_x0000_t202" style="position:absolute;margin-left:14.65pt;margin-top:-9.15pt;width:423.1pt;height:6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" fillcolor="white [3201]" strokeweight=".5pt">
                <v:path arrowok="t"/>
                <v:textbox>
                  <w:txbxContent>
                    <w:p w:rsidR="0087698B" w:rsidRDefault="0087698B" w:rsidP="004F0DAA">
                      <w:pPr>
                        <w:keepNext/>
                      </w:pPr>
                      <w:r w:rsidRPr="00A001BE">
                        <w:rPr>
                          <w:noProof/>
                          <w:lang w:eastAsia="en-GB"/>
                        </w:rPr>
                        <w:drawing>
                          <wp:inline distT="0" distB="0" distL="0" distR="0">
                            <wp:extent cx="5029200" cy="260007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2600076"/>
                                    </a:xfrm>
                                    <a:prstGeom prst="rect">
                                      <a:avLst/>
                                    </a:prstGeom>
                                    <a:noFill/>
                                    <a:ln>
                                      <a:noFill/>
                                    </a:ln>
                                  </pic:spPr>
                                </pic:pic>
                              </a:graphicData>
                            </a:graphic>
                          </wp:inline>
                        </w:drawing>
                      </w:r>
                    </w:p>
                    <w:p w:rsidR="0087698B" w:rsidRDefault="0087698B" w:rsidP="004F0DAA">
                      <w:pPr>
                        <w:keepNext/>
                      </w:pPr>
                      <w:r w:rsidRPr="00A001BE">
                        <w:rPr>
                          <w:noProof/>
                          <w:lang w:eastAsia="en-GB"/>
                        </w:rPr>
                        <w:drawing>
                          <wp:inline distT="0" distB="0" distL="0" distR="0">
                            <wp:extent cx="5029202" cy="267958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2679588"/>
                                    </a:xfrm>
                                    <a:prstGeom prst="rect">
                                      <a:avLst/>
                                    </a:prstGeom>
                                    <a:noFill/>
                                    <a:ln>
                                      <a:noFill/>
                                    </a:ln>
                                  </pic:spPr>
                                </pic:pic>
                              </a:graphicData>
                            </a:graphic>
                          </wp:inline>
                        </w:drawing>
                      </w:r>
                    </w:p>
                    <w:p w:rsidR="0087698B" w:rsidRDefault="0087698B" w:rsidP="00A8221D">
                      <w:pPr>
                        <w:keepNext/>
                      </w:pPr>
                      <w:r w:rsidRPr="00A001BE">
                        <w:rPr>
                          <w:noProof/>
                          <w:lang w:eastAsia="en-GB"/>
                        </w:rPr>
                        <w:drawing>
                          <wp:inline distT="0" distB="0" distL="0" distR="0">
                            <wp:extent cx="5029202" cy="25921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29200" cy="2592124"/>
                                    </a:xfrm>
                                    <a:prstGeom prst="rect">
                                      <a:avLst/>
                                    </a:prstGeom>
                                    <a:noFill/>
                                    <a:ln>
                                      <a:noFill/>
                                    </a:ln>
                                  </pic:spPr>
                                </pic:pic>
                              </a:graphicData>
                            </a:graphic>
                          </wp:inline>
                        </w:drawing>
                      </w:r>
                    </w:p>
                  </w:txbxContent>
                </v:textbox>
              </v:shape>
            </w:pict>
          </mc:Fallback>
        </mc:AlternateContent>
      </w:r>
      <w:r w:rsidR="00FA3ED1">
        <w:rPr>
          <w:rFonts w:ascii="Times New Roman" w:hAnsi="Times New Roman"/>
          <w:sz w:val="24"/>
          <w:szCs w:val="24"/>
        </w:rPr>
        <w:br w:type="page"/>
      </w:r>
    </w:p>
    <w:bookmarkEnd w:id="10"/>
    <w:p w:rsidR="000935BF" w:rsidRPr="00AF6503" w:rsidRDefault="00A8755D" w:rsidP="00667604">
      <w:pPr>
        <w:pStyle w:val="Heading2"/>
        <w:spacing w:before="120" w:after="120" w:line="360" w:lineRule="auto"/>
        <w:rPr>
          <w:rFonts w:ascii="Times New Roman" w:hAnsi="Times New Roman" w:cs="Times New Roman"/>
          <w:b w:val="0"/>
          <w:i/>
          <w:color w:val="auto"/>
          <w:sz w:val="24"/>
          <w:szCs w:val="24"/>
        </w:rPr>
      </w:pPr>
      <w:r w:rsidRPr="00AF6503">
        <w:rPr>
          <w:rFonts w:ascii="Times New Roman" w:hAnsi="Times New Roman" w:cs="Times New Roman"/>
          <w:b w:val="0"/>
          <w:i/>
          <w:color w:val="auto"/>
          <w:sz w:val="24"/>
          <w:szCs w:val="24"/>
        </w:rPr>
        <w:lastRenderedPageBreak/>
        <w:t>6.2</w:t>
      </w:r>
      <w:r w:rsidR="007F2EF3">
        <w:rPr>
          <w:rFonts w:ascii="Times New Roman" w:hAnsi="Times New Roman" w:cs="Times New Roman"/>
          <w:b w:val="0"/>
          <w:i/>
          <w:color w:val="auto"/>
          <w:sz w:val="24"/>
          <w:szCs w:val="24"/>
        </w:rPr>
        <w:t>.</w:t>
      </w:r>
      <w:r w:rsidRPr="00AF6503">
        <w:rPr>
          <w:rFonts w:ascii="Times New Roman" w:hAnsi="Times New Roman" w:cs="Times New Roman"/>
          <w:b w:val="0"/>
          <w:i/>
          <w:color w:val="auto"/>
          <w:sz w:val="24"/>
          <w:szCs w:val="24"/>
        </w:rPr>
        <w:tab/>
      </w:r>
      <w:r w:rsidR="000935BF" w:rsidRPr="00AF6503">
        <w:rPr>
          <w:rFonts w:ascii="Times New Roman" w:hAnsi="Times New Roman" w:cs="Times New Roman"/>
          <w:b w:val="0"/>
          <w:i/>
          <w:color w:val="auto"/>
          <w:sz w:val="24"/>
          <w:szCs w:val="24"/>
        </w:rPr>
        <w:t xml:space="preserve">The </w:t>
      </w:r>
      <w:r w:rsidR="0075422D">
        <w:rPr>
          <w:rFonts w:ascii="Times New Roman" w:hAnsi="Times New Roman" w:cs="Times New Roman"/>
          <w:b w:val="0"/>
          <w:i/>
          <w:color w:val="auto"/>
          <w:sz w:val="24"/>
          <w:szCs w:val="24"/>
        </w:rPr>
        <w:t>d</w:t>
      </w:r>
      <w:r w:rsidR="000935BF" w:rsidRPr="00AF6503">
        <w:rPr>
          <w:rFonts w:ascii="Times New Roman" w:hAnsi="Times New Roman" w:cs="Times New Roman"/>
          <w:b w:val="0"/>
          <w:i/>
          <w:color w:val="auto"/>
          <w:sz w:val="24"/>
          <w:szCs w:val="24"/>
        </w:rPr>
        <w:t xml:space="preserve">eterminants of </w:t>
      </w:r>
      <w:r w:rsidR="0075422D">
        <w:rPr>
          <w:rFonts w:ascii="Times New Roman" w:hAnsi="Times New Roman" w:cs="Times New Roman"/>
          <w:b w:val="0"/>
          <w:i/>
          <w:color w:val="auto"/>
          <w:sz w:val="24"/>
          <w:szCs w:val="24"/>
        </w:rPr>
        <w:t>s</w:t>
      </w:r>
      <w:r w:rsidR="000935BF" w:rsidRPr="00AF6503">
        <w:rPr>
          <w:rFonts w:ascii="Times New Roman" w:hAnsi="Times New Roman" w:cs="Times New Roman"/>
          <w:b w:val="0"/>
          <w:i/>
          <w:color w:val="auto"/>
          <w:sz w:val="24"/>
          <w:szCs w:val="24"/>
        </w:rPr>
        <w:t xml:space="preserve">tock </w:t>
      </w:r>
      <w:r w:rsidR="0075422D">
        <w:rPr>
          <w:rFonts w:ascii="Times New Roman" w:hAnsi="Times New Roman" w:cs="Times New Roman"/>
          <w:b w:val="0"/>
          <w:i/>
          <w:color w:val="auto"/>
          <w:sz w:val="24"/>
          <w:szCs w:val="24"/>
        </w:rPr>
        <w:t>m</w:t>
      </w:r>
      <w:r w:rsidR="000935BF" w:rsidRPr="00AF6503">
        <w:rPr>
          <w:rFonts w:ascii="Times New Roman" w:hAnsi="Times New Roman" w:cs="Times New Roman"/>
          <w:b w:val="0"/>
          <w:i/>
          <w:color w:val="auto"/>
          <w:sz w:val="24"/>
          <w:szCs w:val="24"/>
        </w:rPr>
        <w:t xml:space="preserve">arket </w:t>
      </w:r>
      <w:r w:rsidR="0075422D">
        <w:rPr>
          <w:rFonts w:ascii="Times New Roman" w:hAnsi="Times New Roman" w:cs="Times New Roman"/>
          <w:b w:val="0"/>
          <w:i/>
          <w:color w:val="auto"/>
          <w:sz w:val="24"/>
          <w:szCs w:val="24"/>
        </w:rPr>
        <w:t>i</w:t>
      </w:r>
      <w:r w:rsidR="000935BF" w:rsidRPr="00AF6503">
        <w:rPr>
          <w:rFonts w:ascii="Times New Roman" w:hAnsi="Times New Roman" w:cs="Times New Roman"/>
          <w:b w:val="0"/>
          <w:i/>
          <w:color w:val="auto"/>
          <w:sz w:val="24"/>
          <w:szCs w:val="24"/>
        </w:rPr>
        <w:t>ntegration</w:t>
      </w:r>
    </w:p>
    <w:p w:rsidR="000935BF" w:rsidRPr="006853EA" w:rsidRDefault="00230D4F" w:rsidP="00AF6503">
      <w:pPr>
        <w:spacing w:after="0" w:line="480" w:lineRule="auto"/>
        <w:ind w:right="282" w:firstLine="720"/>
        <w:rPr>
          <w:rFonts w:ascii="Times New Roman" w:hAnsi="Times New Roman" w:cs="Times New Roman"/>
          <w:sz w:val="24"/>
          <w:szCs w:val="24"/>
        </w:rPr>
      </w:pPr>
      <w:r w:rsidRPr="00230D4F">
        <w:rPr>
          <w:rFonts w:ascii="Times New Roman" w:hAnsi="Times New Roman" w:cs="Times New Roman"/>
          <w:sz w:val="24"/>
          <w:szCs w:val="24"/>
        </w:rPr>
        <w:t>In this section</w:t>
      </w:r>
      <w:r>
        <w:rPr>
          <w:rFonts w:ascii="Times New Roman" w:hAnsi="Times New Roman" w:cs="Times New Roman"/>
          <w:sz w:val="24"/>
          <w:szCs w:val="24"/>
        </w:rPr>
        <w:t xml:space="preserve">, </w:t>
      </w:r>
      <w:r w:rsidRPr="00230D4F">
        <w:rPr>
          <w:rFonts w:ascii="Times New Roman" w:hAnsi="Times New Roman" w:cs="Times New Roman"/>
          <w:sz w:val="24"/>
          <w:szCs w:val="24"/>
        </w:rPr>
        <w:t xml:space="preserve">we </w:t>
      </w:r>
      <w:r w:rsidR="00055CC9" w:rsidRPr="00230D4F">
        <w:rPr>
          <w:rFonts w:ascii="Times New Roman" w:hAnsi="Times New Roman" w:cs="Times New Roman"/>
          <w:sz w:val="24"/>
          <w:szCs w:val="24"/>
        </w:rPr>
        <w:t>identif</w:t>
      </w:r>
      <w:r w:rsidR="00DC5A12">
        <w:rPr>
          <w:rFonts w:ascii="Times New Roman" w:hAnsi="Times New Roman" w:cs="Times New Roman"/>
          <w:sz w:val="24"/>
          <w:szCs w:val="24"/>
        </w:rPr>
        <w:t>y</w:t>
      </w:r>
      <w:r w:rsidR="00F35EA0" w:rsidRPr="00230D4F">
        <w:rPr>
          <w:rFonts w:ascii="Times New Roman" w:hAnsi="Times New Roman" w:cs="Times New Roman"/>
          <w:sz w:val="24"/>
          <w:szCs w:val="24"/>
        </w:rPr>
        <w:t xml:space="preserve"> potential macro</w:t>
      </w:r>
      <w:r w:rsidR="009F1239">
        <w:rPr>
          <w:rFonts w:ascii="Times New Roman" w:hAnsi="Times New Roman" w:cs="Times New Roman"/>
          <w:sz w:val="24"/>
          <w:szCs w:val="24"/>
        </w:rPr>
        <w:t>-</w:t>
      </w:r>
      <w:r w:rsidR="00F35EA0" w:rsidRPr="00230D4F">
        <w:rPr>
          <w:rFonts w:ascii="Times New Roman" w:hAnsi="Times New Roman" w:cs="Times New Roman"/>
          <w:sz w:val="24"/>
          <w:szCs w:val="24"/>
        </w:rPr>
        <w:t>finance</w:t>
      </w:r>
      <w:r w:rsidR="00055CC9" w:rsidRPr="00230D4F">
        <w:rPr>
          <w:rFonts w:ascii="Times New Roman" w:hAnsi="Times New Roman" w:cs="Times New Roman"/>
          <w:sz w:val="24"/>
          <w:szCs w:val="24"/>
        </w:rPr>
        <w:t xml:space="preserve"> indicators and cris</w:t>
      </w:r>
      <w:r w:rsidR="00DC5A12">
        <w:rPr>
          <w:rFonts w:ascii="Times New Roman" w:hAnsi="Times New Roman" w:cs="Times New Roman"/>
          <w:sz w:val="24"/>
          <w:szCs w:val="24"/>
        </w:rPr>
        <w:t>e</w:t>
      </w:r>
      <w:r w:rsidR="00055CC9" w:rsidRPr="00230D4F">
        <w:rPr>
          <w:rFonts w:ascii="Times New Roman" w:hAnsi="Times New Roman" w:cs="Times New Roman"/>
          <w:sz w:val="24"/>
          <w:szCs w:val="24"/>
        </w:rPr>
        <w:t xml:space="preserve">s </w:t>
      </w:r>
      <w:r w:rsidR="00F35EA0" w:rsidRPr="00230D4F">
        <w:rPr>
          <w:rFonts w:ascii="Times New Roman" w:hAnsi="Times New Roman" w:cs="Times New Roman"/>
          <w:sz w:val="24"/>
          <w:szCs w:val="24"/>
        </w:rPr>
        <w:t>that could explain the dynamic nature of stock market integration</w:t>
      </w:r>
      <w:r w:rsidR="00507217" w:rsidRPr="00230D4F">
        <w:rPr>
          <w:rFonts w:ascii="Times New Roman" w:hAnsi="Times New Roman" w:cs="Times New Roman"/>
          <w:sz w:val="24"/>
          <w:szCs w:val="24"/>
        </w:rPr>
        <w:t xml:space="preserve"> between </w:t>
      </w:r>
      <w:r w:rsidR="0019666D">
        <w:rPr>
          <w:rFonts w:ascii="Times New Roman" w:hAnsi="Times New Roman" w:cs="Times New Roman"/>
          <w:sz w:val="24"/>
          <w:szCs w:val="24"/>
        </w:rPr>
        <w:t xml:space="preserve">the </w:t>
      </w:r>
      <w:r w:rsidR="00507217" w:rsidRPr="00230D4F">
        <w:rPr>
          <w:rFonts w:ascii="Times New Roman" w:hAnsi="Times New Roman" w:cs="Times New Roman"/>
          <w:sz w:val="24"/>
          <w:szCs w:val="24"/>
        </w:rPr>
        <w:t xml:space="preserve">UK and </w:t>
      </w:r>
      <w:r w:rsidR="0019666D">
        <w:rPr>
          <w:rFonts w:ascii="Times New Roman" w:hAnsi="Times New Roman" w:cs="Times New Roman"/>
          <w:sz w:val="24"/>
          <w:szCs w:val="24"/>
        </w:rPr>
        <w:t xml:space="preserve">the </w:t>
      </w:r>
      <w:r w:rsidR="00507217" w:rsidRPr="00230D4F">
        <w:rPr>
          <w:rFonts w:ascii="Times New Roman" w:hAnsi="Times New Roman" w:cs="Times New Roman"/>
          <w:sz w:val="24"/>
          <w:szCs w:val="24"/>
        </w:rPr>
        <w:t>US</w:t>
      </w:r>
      <w:r w:rsidR="00F35EA0" w:rsidRPr="00230D4F">
        <w:rPr>
          <w:rFonts w:ascii="Times New Roman" w:hAnsi="Times New Roman" w:cs="Times New Roman"/>
          <w:sz w:val="24"/>
          <w:szCs w:val="24"/>
        </w:rPr>
        <w:t xml:space="preserve">. </w:t>
      </w:r>
      <w:r w:rsidR="00231DB0">
        <w:fldChar w:fldCharType="begin"/>
      </w:r>
      <w:r w:rsidR="00231DB0">
        <w:instrText xml:space="preserve"> REF _Ref464731296 \h  \* MERGEFORMAT </w:instrText>
      </w:r>
      <w:r w:rsidR="00231DB0">
        <w:fldChar w:fldCharType="separate"/>
      </w:r>
      <w:r w:rsidR="000057BC" w:rsidRPr="00230D4F">
        <w:rPr>
          <w:rFonts w:ascii="Times New Roman" w:hAnsi="Times New Roman" w:cs="Times New Roman"/>
          <w:sz w:val="24"/>
          <w:szCs w:val="24"/>
        </w:rPr>
        <w:t>Table 6</w:t>
      </w:r>
      <w:r w:rsidR="00231DB0">
        <w:fldChar w:fldCharType="end"/>
      </w:r>
      <w:r w:rsidR="005270DF">
        <w:t xml:space="preserve"> </w:t>
      </w:r>
      <w:r w:rsidR="000935BF" w:rsidRPr="00230D4F">
        <w:rPr>
          <w:rFonts w:ascii="Times New Roman" w:hAnsi="Times New Roman" w:cs="Times New Roman"/>
          <w:sz w:val="24"/>
          <w:szCs w:val="24"/>
        </w:rPr>
        <w:t xml:space="preserve">reports the empirical estimates </w:t>
      </w:r>
      <w:r w:rsidR="00055CC9" w:rsidRPr="00230D4F">
        <w:rPr>
          <w:rFonts w:ascii="Times New Roman" w:hAnsi="Times New Roman" w:cs="Times New Roman"/>
          <w:sz w:val="24"/>
          <w:szCs w:val="24"/>
        </w:rPr>
        <w:t>of equation (5)</w:t>
      </w:r>
      <w:r w:rsidR="00A778A3" w:rsidRPr="00230D4F">
        <w:rPr>
          <w:rFonts w:ascii="Times New Roman" w:hAnsi="Times New Roman" w:cs="Times New Roman"/>
          <w:sz w:val="24"/>
          <w:szCs w:val="24"/>
        </w:rPr>
        <w:t xml:space="preserve"> for the full </w:t>
      </w:r>
      <w:r w:rsidR="00D2181B">
        <w:rPr>
          <w:rFonts w:ascii="Times New Roman" w:hAnsi="Times New Roman" w:cs="Times New Roman"/>
          <w:sz w:val="24"/>
          <w:szCs w:val="24"/>
        </w:rPr>
        <w:t xml:space="preserve">sample </w:t>
      </w:r>
      <w:r w:rsidR="00A778A3" w:rsidRPr="00230D4F">
        <w:rPr>
          <w:rFonts w:ascii="Times New Roman" w:hAnsi="Times New Roman" w:cs="Times New Roman"/>
          <w:sz w:val="24"/>
          <w:szCs w:val="24"/>
        </w:rPr>
        <w:t>and subperiods</w:t>
      </w:r>
      <w:r w:rsidR="000935BF" w:rsidRPr="00230D4F">
        <w:rPr>
          <w:rFonts w:ascii="Times New Roman" w:hAnsi="Times New Roman" w:cs="Times New Roman"/>
          <w:sz w:val="24"/>
          <w:szCs w:val="24"/>
        </w:rPr>
        <w:t>.</w:t>
      </w:r>
      <w:r w:rsidR="00121548" w:rsidRPr="00230D4F">
        <w:rPr>
          <w:rFonts w:ascii="Times New Roman" w:hAnsi="Times New Roman" w:cs="Times New Roman"/>
          <w:sz w:val="24"/>
          <w:szCs w:val="24"/>
        </w:rPr>
        <w:t xml:space="preserve"> For the subperiod analysis, we drop financial variables such as exchange rates, gold</w:t>
      </w:r>
      <w:r w:rsidR="00DC5A12">
        <w:rPr>
          <w:rFonts w:ascii="Times New Roman" w:hAnsi="Times New Roman" w:cs="Times New Roman"/>
          <w:sz w:val="24"/>
          <w:szCs w:val="24"/>
        </w:rPr>
        <w:t xml:space="preserve"> prices,</w:t>
      </w:r>
      <w:r w:rsidR="00121548" w:rsidRPr="00230D4F">
        <w:rPr>
          <w:rFonts w:ascii="Times New Roman" w:hAnsi="Times New Roman" w:cs="Times New Roman"/>
          <w:sz w:val="24"/>
          <w:szCs w:val="24"/>
        </w:rPr>
        <w:t xml:space="preserve"> and oil prices for the pre-BW and BW period</w:t>
      </w:r>
      <w:r w:rsidR="00507217" w:rsidRPr="00230D4F">
        <w:rPr>
          <w:rFonts w:ascii="Times New Roman" w:hAnsi="Times New Roman" w:cs="Times New Roman"/>
          <w:sz w:val="24"/>
          <w:szCs w:val="24"/>
        </w:rPr>
        <w:t>s of fixed exchange rate</w:t>
      </w:r>
      <w:r w:rsidR="00DC5A12">
        <w:rPr>
          <w:rFonts w:ascii="Times New Roman" w:hAnsi="Times New Roman" w:cs="Times New Roman"/>
          <w:sz w:val="24"/>
          <w:szCs w:val="24"/>
        </w:rPr>
        <w:t>s</w:t>
      </w:r>
      <w:r w:rsidR="00121548" w:rsidRPr="00230D4F">
        <w:rPr>
          <w:rFonts w:ascii="Times New Roman" w:hAnsi="Times New Roman" w:cs="Times New Roman"/>
          <w:sz w:val="24"/>
          <w:szCs w:val="24"/>
        </w:rPr>
        <w:t>.</w:t>
      </w:r>
      <w:r w:rsidR="004E2B3D">
        <w:rPr>
          <w:rFonts w:ascii="Times New Roman" w:hAnsi="Times New Roman" w:cs="Times New Roman"/>
          <w:sz w:val="24"/>
          <w:szCs w:val="24"/>
        </w:rPr>
        <w:t xml:space="preserve"> </w:t>
      </w:r>
      <w:r w:rsidR="00E83942" w:rsidRPr="00230D4F">
        <w:rPr>
          <w:rFonts w:ascii="Times New Roman" w:hAnsi="Times New Roman" w:cs="Times New Roman"/>
          <w:sz w:val="24"/>
          <w:szCs w:val="24"/>
        </w:rPr>
        <w:t>In fact, u</w:t>
      </w:r>
      <w:r w:rsidR="002F1318" w:rsidRPr="00230D4F">
        <w:rPr>
          <w:rFonts w:ascii="Times New Roman" w:hAnsi="Times New Roman" w:cs="Times New Roman"/>
          <w:sz w:val="24"/>
          <w:szCs w:val="24"/>
        </w:rPr>
        <w:t>nlike the post-BW period</w:t>
      </w:r>
      <w:r w:rsidR="00507217" w:rsidRPr="00230D4F">
        <w:rPr>
          <w:rFonts w:ascii="Times New Roman" w:hAnsi="Times New Roman" w:cs="Times New Roman"/>
          <w:sz w:val="24"/>
          <w:szCs w:val="24"/>
        </w:rPr>
        <w:t xml:space="preserve"> of floating exchange rate</w:t>
      </w:r>
      <w:r w:rsidR="00DC5A12">
        <w:rPr>
          <w:rFonts w:ascii="Times New Roman" w:hAnsi="Times New Roman" w:cs="Times New Roman"/>
          <w:sz w:val="24"/>
          <w:szCs w:val="24"/>
        </w:rPr>
        <w:t>s</w:t>
      </w:r>
      <w:r w:rsidR="00507217" w:rsidRPr="00230D4F">
        <w:rPr>
          <w:rFonts w:ascii="Times New Roman" w:hAnsi="Times New Roman" w:cs="Times New Roman"/>
          <w:sz w:val="24"/>
          <w:szCs w:val="24"/>
        </w:rPr>
        <w:t xml:space="preserve"> and financial liberali</w:t>
      </w:r>
      <w:r w:rsidR="00056BAE">
        <w:rPr>
          <w:rFonts w:ascii="Times New Roman" w:hAnsi="Times New Roman" w:cs="Times New Roman"/>
          <w:sz w:val="24"/>
          <w:szCs w:val="24"/>
        </w:rPr>
        <w:t>z</w:t>
      </w:r>
      <w:r w:rsidR="00507217" w:rsidRPr="00230D4F">
        <w:rPr>
          <w:rFonts w:ascii="Times New Roman" w:hAnsi="Times New Roman" w:cs="Times New Roman"/>
          <w:sz w:val="24"/>
          <w:szCs w:val="24"/>
        </w:rPr>
        <w:t>ation</w:t>
      </w:r>
      <w:r w:rsidR="002F1318" w:rsidRPr="00230D4F">
        <w:rPr>
          <w:rFonts w:ascii="Times New Roman" w:hAnsi="Times New Roman" w:cs="Times New Roman"/>
          <w:sz w:val="24"/>
          <w:szCs w:val="24"/>
        </w:rPr>
        <w:t>, t</w:t>
      </w:r>
      <w:r w:rsidR="00507217" w:rsidRPr="00230D4F">
        <w:rPr>
          <w:rFonts w:ascii="Times New Roman" w:hAnsi="Times New Roman" w:cs="Times New Roman"/>
          <w:sz w:val="24"/>
          <w:szCs w:val="24"/>
        </w:rPr>
        <w:t>he period between 1935 and 1971</w:t>
      </w:r>
      <w:r w:rsidRPr="00230D4F">
        <w:rPr>
          <w:rFonts w:ascii="Times New Roman" w:hAnsi="Times New Roman" w:cs="Times New Roman"/>
          <w:sz w:val="24"/>
          <w:szCs w:val="24"/>
        </w:rPr>
        <w:t xml:space="preserve"> featured</w:t>
      </w:r>
      <w:r w:rsidR="00121548" w:rsidRPr="00230D4F">
        <w:rPr>
          <w:rFonts w:ascii="Times New Roman" w:hAnsi="Times New Roman" w:cs="Times New Roman"/>
          <w:sz w:val="24"/>
          <w:szCs w:val="24"/>
        </w:rPr>
        <w:t xml:space="preserve"> low</w:t>
      </w:r>
      <w:r w:rsidR="00434096" w:rsidRPr="00230D4F">
        <w:rPr>
          <w:rFonts w:ascii="Times New Roman" w:hAnsi="Times New Roman" w:cs="Times New Roman"/>
          <w:sz w:val="24"/>
          <w:szCs w:val="24"/>
        </w:rPr>
        <w:t xml:space="preserve"> volatility in the</w:t>
      </w:r>
      <w:r w:rsidR="00121548" w:rsidRPr="00230D4F">
        <w:rPr>
          <w:rFonts w:ascii="Times New Roman" w:hAnsi="Times New Roman" w:cs="Times New Roman"/>
          <w:sz w:val="24"/>
          <w:szCs w:val="24"/>
        </w:rPr>
        <w:t xml:space="preserve"> currency and commodity </w:t>
      </w:r>
      <w:r w:rsidR="00434096" w:rsidRPr="00230D4F">
        <w:rPr>
          <w:rFonts w:ascii="Times New Roman" w:hAnsi="Times New Roman" w:cs="Times New Roman"/>
          <w:sz w:val="24"/>
          <w:szCs w:val="24"/>
        </w:rPr>
        <w:t>markets</w:t>
      </w:r>
      <w:r w:rsidR="00121548" w:rsidRPr="00230D4F">
        <w:rPr>
          <w:rFonts w:ascii="Times New Roman" w:hAnsi="Times New Roman" w:cs="Times New Roman"/>
          <w:sz w:val="24"/>
          <w:szCs w:val="24"/>
        </w:rPr>
        <w:t>.</w:t>
      </w:r>
      <w:r w:rsidR="005270DF">
        <w:rPr>
          <w:rFonts w:ascii="Times New Roman" w:hAnsi="Times New Roman" w:cs="Times New Roman"/>
          <w:sz w:val="24"/>
          <w:szCs w:val="24"/>
        </w:rPr>
        <w:t xml:space="preserve"> </w:t>
      </w:r>
      <w:r w:rsidR="00074908" w:rsidRPr="00230D4F">
        <w:rPr>
          <w:rFonts w:ascii="Times New Roman" w:hAnsi="Times New Roman" w:cs="Times New Roman"/>
          <w:sz w:val="24"/>
          <w:szCs w:val="24"/>
        </w:rPr>
        <w:t xml:space="preserve">Given the values of </w:t>
      </w:r>
      <w:r w:rsidR="0046096F">
        <w:rPr>
          <w:rFonts w:ascii="Times New Roman" w:hAnsi="Times New Roman" w:cs="Times New Roman"/>
          <w:sz w:val="24"/>
          <w:szCs w:val="24"/>
        </w:rPr>
        <w:t xml:space="preserve">R-squared, </w:t>
      </w:r>
      <w:r w:rsidR="00074908" w:rsidRPr="00230D4F">
        <w:rPr>
          <w:rFonts w:ascii="Times New Roman" w:hAnsi="Times New Roman" w:cs="Times New Roman"/>
          <w:sz w:val="24"/>
          <w:szCs w:val="24"/>
        </w:rPr>
        <w:t xml:space="preserve">we </w:t>
      </w:r>
      <w:r w:rsidR="004F1E4E" w:rsidRPr="00230D4F">
        <w:rPr>
          <w:rFonts w:ascii="Times New Roman" w:hAnsi="Times New Roman" w:cs="Times New Roman"/>
          <w:sz w:val="24"/>
          <w:szCs w:val="24"/>
        </w:rPr>
        <w:t>provide evidence</w:t>
      </w:r>
      <w:r w:rsidR="00074908" w:rsidRPr="00230D4F">
        <w:rPr>
          <w:rFonts w:ascii="Times New Roman" w:hAnsi="Times New Roman" w:cs="Times New Roman"/>
          <w:sz w:val="24"/>
          <w:szCs w:val="24"/>
        </w:rPr>
        <w:t xml:space="preserve"> that the macroeconomic</w:t>
      </w:r>
      <w:r w:rsidR="00CC3EDD" w:rsidRPr="00230D4F">
        <w:rPr>
          <w:rFonts w:ascii="Times New Roman" w:hAnsi="Times New Roman" w:cs="Times New Roman"/>
          <w:sz w:val="24"/>
          <w:szCs w:val="24"/>
        </w:rPr>
        <w:t xml:space="preserve"> fundamental</w:t>
      </w:r>
      <w:r w:rsidR="009F1239">
        <w:rPr>
          <w:rFonts w:ascii="Times New Roman" w:hAnsi="Times New Roman" w:cs="Times New Roman"/>
          <w:sz w:val="24"/>
          <w:szCs w:val="24"/>
        </w:rPr>
        <w:t>s</w:t>
      </w:r>
      <w:r w:rsidR="00CC3EDD" w:rsidRPr="00230D4F">
        <w:rPr>
          <w:rFonts w:ascii="Times New Roman" w:hAnsi="Times New Roman" w:cs="Times New Roman"/>
          <w:sz w:val="24"/>
          <w:szCs w:val="24"/>
        </w:rPr>
        <w:t>, policy uncertainty,</w:t>
      </w:r>
      <w:r w:rsidR="00BA63BA">
        <w:rPr>
          <w:rFonts w:ascii="Times New Roman" w:hAnsi="Times New Roman" w:cs="Times New Roman"/>
          <w:sz w:val="24"/>
          <w:szCs w:val="24"/>
        </w:rPr>
        <w:t xml:space="preserve"> </w:t>
      </w:r>
      <w:r w:rsidR="00DC5A12">
        <w:rPr>
          <w:rFonts w:ascii="Times New Roman" w:hAnsi="Times New Roman" w:cs="Times New Roman"/>
          <w:sz w:val="24"/>
          <w:szCs w:val="24"/>
        </w:rPr>
        <w:t xml:space="preserve">and </w:t>
      </w:r>
      <w:r w:rsidR="00074908" w:rsidRPr="00230D4F">
        <w:rPr>
          <w:rFonts w:ascii="Times New Roman" w:hAnsi="Times New Roman" w:cs="Times New Roman"/>
          <w:sz w:val="24"/>
          <w:szCs w:val="24"/>
        </w:rPr>
        <w:t>financial indicators</w:t>
      </w:r>
      <w:r w:rsidR="00E870CA" w:rsidRPr="00230D4F">
        <w:rPr>
          <w:rFonts w:ascii="Times New Roman" w:hAnsi="Times New Roman" w:cs="Times New Roman"/>
          <w:sz w:val="24"/>
          <w:szCs w:val="24"/>
        </w:rPr>
        <w:t>,</w:t>
      </w:r>
      <w:r w:rsidR="00074908" w:rsidRPr="00230D4F">
        <w:rPr>
          <w:rFonts w:ascii="Times New Roman" w:hAnsi="Times New Roman" w:cs="Times New Roman"/>
          <w:sz w:val="24"/>
          <w:szCs w:val="24"/>
        </w:rPr>
        <w:t xml:space="preserve"> as well as various</w:t>
      </w:r>
      <w:r w:rsidR="00055CC9" w:rsidRPr="00230D4F">
        <w:rPr>
          <w:rFonts w:ascii="Times New Roman" w:hAnsi="Times New Roman" w:cs="Times New Roman"/>
          <w:sz w:val="24"/>
          <w:szCs w:val="24"/>
        </w:rPr>
        <w:t xml:space="preserve"> cris</w:t>
      </w:r>
      <w:r w:rsidR="00DC5A12">
        <w:rPr>
          <w:rFonts w:ascii="Times New Roman" w:hAnsi="Times New Roman" w:cs="Times New Roman"/>
          <w:sz w:val="24"/>
          <w:szCs w:val="24"/>
        </w:rPr>
        <w:t>e</w:t>
      </w:r>
      <w:r w:rsidR="00055CC9" w:rsidRPr="00230D4F">
        <w:rPr>
          <w:rFonts w:ascii="Times New Roman" w:hAnsi="Times New Roman" w:cs="Times New Roman"/>
          <w:sz w:val="24"/>
          <w:szCs w:val="24"/>
        </w:rPr>
        <w:t>s</w:t>
      </w:r>
      <w:r w:rsidR="00E870CA" w:rsidRPr="00230D4F">
        <w:rPr>
          <w:rFonts w:ascii="Times New Roman" w:hAnsi="Times New Roman" w:cs="Times New Roman"/>
          <w:sz w:val="24"/>
          <w:szCs w:val="24"/>
        </w:rPr>
        <w:t>,</w:t>
      </w:r>
      <w:r w:rsidR="00074908" w:rsidRPr="00230D4F">
        <w:rPr>
          <w:rFonts w:ascii="Times New Roman" w:hAnsi="Times New Roman" w:cs="Times New Roman"/>
          <w:sz w:val="24"/>
          <w:szCs w:val="24"/>
        </w:rPr>
        <w:t xml:space="preserve"> explain a sizable share of the variability in </w:t>
      </w:r>
      <w:r w:rsidR="00B77DF8" w:rsidRPr="00230D4F">
        <w:rPr>
          <w:rFonts w:ascii="Times New Roman" w:hAnsi="Times New Roman" w:cs="Times New Roman"/>
          <w:sz w:val="24"/>
          <w:szCs w:val="24"/>
        </w:rPr>
        <w:t xml:space="preserve">stock </w:t>
      </w:r>
      <w:r w:rsidR="00074908" w:rsidRPr="00230D4F">
        <w:rPr>
          <w:rFonts w:ascii="Times New Roman" w:hAnsi="Times New Roman" w:cs="Times New Roman"/>
          <w:sz w:val="24"/>
          <w:szCs w:val="24"/>
        </w:rPr>
        <w:t>correlation coefficients.</w:t>
      </w:r>
    </w:p>
    <w:p w:rsidR="00F213E8" w:rsidRDefault="00CE4933"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Over</w:t>
      </w:r>
      <w:r w:rsidR="005270DF">
        <w:rPr>
          <w:rFonts w:ascii="Times New Roman" w:hAnsi="Times New Roman" w:cs="Times New Roman"/>
          <w:sz w:val="24"/>
          <w:szCs w:val="24"/>
        </w:rPr>
        <w:t xml:space="preserve"> </w:t>
      </w:r>
      <w:r w:rsidR="000935BF" w:rsidRPr="006853EA">
        <w:rPr>
          <w:rFonts w:ascii="Times New Roman" w:hAnsi="Times New Roman" w:cs="Times New Roman"/>
          <w:sz w:val="24"/>
          <w:szCs w:val="24"/>
        </w:rPr>
        <w:t>the full period</w:t>
      </w:r>
      <w:r w:rsidR="00B90BFC">
        <w:rPr>
          <w:rFonts w:ascii="Times New Roman" w:hAnsi="Times New Roman" w:cs="Times New Roman"/>
          <w:sz w:val="24"/>
          <w:szCs w:val="24"/>
        </w:rPr>
        <w:t xml:space="preserve"> (1935–2015)</w:t>
      </w:r>
      <w:r w:rsidR="000935BF" w:rsidRPr="006853EA">
        <w:rPr>
          <w:rFonts w:ascii="Times New Roman" w:hAnsi="Times New Roman" w:cs="Times New Roman"/>
          <w:sz w:val="24"/>
          <w:szCs w:val="24"/>
        </w:rPr>
        <w:t xml:space="preserve">, </w:t>
      </w:r>
      <w:r w:rsidR="00055CC9">
        <w:rPr>
          <w:rFonts w:ascii="Times New Roman" w:hAnsi="Times New Roman" w:cs="Times New Roman"/>
          <w:sz w:val="24"/>
          <w:szCs w:val="24"/>
        </w:rPr>
        <w:t>interest rate convergence</w:t>
      </w:r>
      <w:r w:rsidR="000935BF" w:rsidRPr="006853EA">
        <w:rPr>
          <w:rFonts w:ascii="Times New Roman" w:hAnsi="Times New Roman" w:cs="Times New Roman"/>
          <w:sz w:val="24"/>
          <w:szCs w:val="24"/>
        </w:rPr>
        <w:t xml:space="preserve"> increase</w:t>
      </w:r>
      <w:r>
        <w:rPr>
          <w:rFonts w:ascii="Times New Roman" w:hAnsi="Times New Roman" w:cs="Times New Roman"/>
          <w:sz w:val="24"/>
          <w:szCs w:val="24"/>
        </w:rPr>
        <w:t>d</w:t>
      </w:r>
      <w:r w:rsidR="000935BF" w:rsidRPr="006853EA">
        <w:rPr>
          <w:rFonts w:ascii="Times New Roman" w:hAnsi="Times New Roman" w:cs="Times New Roman"/>
          <w:sz w:val="24"/>
          <w:szCs w:val="24"/>
        </w:rPr>
        <w:t xml:space="preserve"> stock market integration</w:t>
      </w:r>
      <w:r w:rsidR="00DD4954">
        <w:rPr>
          <w:rFonts w:ascii="Times New Roman" w:hAnsi="Times New Roman" w:cs="Times New Roman"/>
          <w:sz w:val="24"/>
          <w:szCs w:val="24"/>
        </w:rPr>
        <w:t>, which</w:t>
      </w:r>
      <w:r w:rsidR="00BA63BA">
        <w:rPr>
          <w:rFonts w:ascii="Times New Roman" w:hAnsi="Times New Roman" w:cs="Times New Roman"/>
          <w:sz w:val="24"/>
          <w:szCs w:val="24"/>
        </w:rPr>
        <w:t xml:space="preserve"> </w:t>
      </w:r>
      <w:r w:rsidR="000935BF" w:rsidRPr="006853EA">
        <w:rPr>
          <w:rFonts w:ascii="Times New Roman" w:hAnsi="Times New Roman" w:cs="Times New Roman"/>
          <w:sz w:val="24"/>
          <w:szCs w:val="24"/>
        </w:rPr>
        <w:t>suggest</w:t>
      </w:r>
      <w:r w:rsidR="000935BF">
        <w:rPr>
          <w:rFonts w:ascii="Times New Roman" w:hAnsi="Times New Roman" w:cs="Times New Roman"/>
          <w:sz w:val="24"/>
          <w:szCs w:val="24"/>
        </w:rPr>
        <w:t>s</w:t>
      </w:r>
      <w:r w:rsidR="000935BF" w:rsidRPr="006853EA">
        <w:rPr>
          <w:rFonts w:ascii="Times New Roman" w:hAnsi="Times New Roman" w:cs="Times New Roman"/>
          <w:sz w:val="24"/>
          <w:szCs w:val="24"/>
        </w:rPr>
        <w:t xml:space="preserve"> that</w:t>
      </w:r>
      <w:r w:rsidR="00BA63BA">
        <w:rPr>
          <w:rFonts w:ascii="Times New Roman" w:hAnsi="Times New Roman" w:cs="Times New Roman"/>
          <w:sz w:val="24"/>
          <w:szCs w:val="24"/>
        </w:rPr>
        <w:t xml:space="preserve"> </w:t>
      </w:r>
      <w:r w:rsidR="000935BF" w:rsidRPr="006853EA">
        <w:rPr>
          <w:rFonts w:ascii="Times New Roman" w:hAnsi="Times New Roman" w:cs="Times New Roman"/>
          <w:sz w:val="24"/>
          <w:szCs w:val="24"/>
        </w:rPr>
        <w:t xml:space="preserve">convergence </w:t>
      </w:r>
      <w:r w:rsidR="00E414EE">
        <w:rPr>
          <w:rFonts w:ascii="Times New Roman" w:hAnsi="Times New Roman" w:cs="Times New Roman"/>
          <w:sz w:val="24"/>
          <w:szCs w:val="24"/>
        </w:rPr>
        <w:t xml:space="preserve">in </w:t>
      </w:r>
      <w:r w:rsidR="000935BF" w:rsidRPr="006853EA">
        <w:rPr>
          <w:rFonts w:ascii="Times New Roman" w:hAnsi="Times New Roman" w:cs="Times New Roman"/>
          <w:sz w:val="24"/>
          <w:szCs w:val="24"/>
        </w:rPr>
        <w:t xml:space="preserve">monetary policy has </w:t>
      </w:r>
      <w:r w:rsidR="00DD4954">
        <w:rPr>
          <w:rFonts w:ascii="Times New Roman" w:hAnsi="Times New Roman" w:cs="Times New Roman"/>
          <w:sz w:val="24"/>
          <w:szCs w:val="24"/>
        </w:rPr>
        <w:t>played a significant role</w:t>
      </w:r>
      <w:r w:rsidR="006E62CF">
        <w:rPr>
          <w:rFonts w:ascii="Times New Roman" w:hAnsi="Times New Roman" w:cs="Times New Roman"/>
          <w:sz w:val="24"/>
          <w:szCs w:val="24"/>
        </w:rPr>
        <w:t>, as</w:t>
      </w:r>
      <w:r w:rsidR="000935BF" w:rsidRPr="006853EA">
        <w:rPr>
          <w:rFonts w:ascii="Times New Roman" w:hAnsi="Times New Roman" w:cs="Times New Roman"/>
          <w:sz w:val="24"/>
          <w:szCs w:val="24"/>
        </w:rPr>
        <w:t xml:space="preserve"> Kim </w:t>
      </w:r>
      <w:r w:rsidR="00B12241" w:rsidRPr="00B12241">
        <w:rPr>
          <w:rFonts w:ascii="Times New Roman" w:hAnsi="Times New Roman" w:cs="Times New Roman"/>
          <w:sz w:val="24"/>
          <w:szCs w:val="24"/>
        </w:rPr>
        <w:t>et al.</w:t>
      </w:r>
      <w:r w:rsidR="009067D9">
        <w:rPr>
          <w:rFonts w:ascii="Times New Roman" w:hAnsi="Times New Roman" w:cs="Times New Roman"/>
          <w:sz w:val="24"/>
          <w:szCs w:val="24"/>
        </w:rPr>
        <w:t xml:space="preserve"> (2005) and</w:t>
      </w:r>
      <w:r w:rsidR="005270DF">
        <w:rPr>
          <w:rFonts w:ascii="Times New Roman" w:hAnsi="Times New Roman" w:cs="Times New Roman"/>
          <w:sz w:val="24"/>
          <w:szCs w:val="24"/>
        </w:rPr>
        <w:t xml:space="preserve"> </w:t>
      </w:r>
      <w:r w:rsidR="000935BF" w:rsidRPr="006853EA">
        <w:rPr>
          <w:rFonts w:ascii="Times New Roman" w:hAnsi="Times New Roman" w:cs="Times New Roman"/>
          <w:sz w:val="24"/>
          <w:szCs w:val="24"/>
        </w:rPr>
        <w:t>Syllignakis and Kouretas (2011)</w:t>
      </w:r>
      <w:r w:rsidR="006E62CF">
        <w:rPr>
          <w:rFonts w:ascii="Times New Roman" w:hAnsi="Times New Roman" w:cs="Times New Roman"/>
          <w:sz w:val="24"/>
          <w:szCs w:val="24"/>
        </w:rPr>
        <w:t xml:space="preserve"> also found</w:t>
      </w:r>
      <w:r w:rsidR="000935BF" w:rsidRPr="006853EA">
        <w:rPr>
          <w:rFonts w:ascii="Times New Roman" w:hAnsi="Times New Roman" w:cs="Times New Roman"/>
          <w:sz w:val="24"/>
          <w:szCs w:val="24"/>
        </w:rPr>
        <w:t>.</w:t>
      </w:r>
      <w:r w:rsidR="005270DF">
        <w:rPr>
          <w:rFonts w:ascii="Times New Roman" w:hAnsi="Times New Roman" w:cs="Times New Roman"/>
          <w:sz w:val="24"/>
          <w:szCs w:val="24"/>
        </w:rPr>
        <w:t xml:space="preserve"> </w:t>
      </w:r>
      <w:r w:rsidR="00CE7D31">
        <w:rPr>
          <w:rFonts w:ascii="Times New Roman" w:hAnsi="Times New Roman" w:cs="Times New Roman"/>
          <w:sz w:val="24"/>
          <w:szCs w:val="24"/>
        </w:rPr>
        <w:t xml:space="preserve">The </w:t>
      </w:r>
      <w:r w:rsidR="00732036">
        <w:rPr>
          <w:rFonts w:ascii="Times New Roman" w:hAnsi="Times New Roman" w:cs="Times New Roman"/>
          <w:sz w:val="24"/>
          <w:szCs w:val="24"/>
        </w:rPr>
        <w:t xml:space="preserve">convergence in </w:t>
      </w:r>
      <w:r w:rsidR="00CE7D31">
        <w:rPr>
          <w:rFonts w:ascii="Times New Roman" w:hAnsi="Times New Roman" w:cs="Times New Roman"/>
          <w:sz w:val="24"/>
          <w:szCs w:val="24"/>
        </w:rPr>
        <w:t>EPU ind</w:t>
      </w:r>
      <w:r w:rsidR="00732036">
        <w:rPr>
          <w:rFonts w:ascii="Times New Roman" w:hAnsi="Times New Roman" w:cs="Times New Roman"/>
          <w:sz w:val="24"/>
          <w:szCs w:val="24"/>
        </w:rPr>
        <w:t>ices</w:t>
      </w:r>
      <w:r w:rsidR="005270DF">
        <w:rPr>
          <w:rFonts w:ascii="Times New Roman" w:hAnsi="Times New Roman" w:cs="Times New Roman"/>
          <w:sz w:val="24"/>
          <w:szCs w:val="24"/>
        </w:rPr>
        <w:t xml:space="preserve"> </w:t>
      </w:r>
      <w:r w:rsidR="00732036">
        <w:rPr>
          <w:rFonts w:ascii="Times New Roman" w:hAnsi="Times New Roman" w:cs="Times New Roman"/>
          <w:sz w:val="24"/>
          <w:szCs w:val="24"/>
        </w:rPr>
        <w:t>has</w:t>
      </w:r>
      <w:r w:rsidR="007510D4">
        <w:rPr>
          <w:rFonts w:ascii="Times New Roman" w:hAnsi="Times New Roman" w:cs="Times New Roman"/>
          <w:sz w:val="24"/>
          <w:szCs w:val="24"/>
        </w:rPr>
        <w:t xml:space="preserve"> a</w:t>
      </w:r>
      <w:r w:rsidR="00CE7D31">
        <w:rPr>
          <w:rFonts w:ascii="Times New Roman" w:hAnsi="Times New Roman" w:cs="Times New Roman"/>
          <w:sz w:val="24"/>
          <w:szCs w:val="24"/>
        </w:rPr>
        <w:t xml:space="preserve"> positive </w:t>
      </w:r>
      <w:r w:rsidR="00F213E8">
        <w:rPr>
          <w:rFonts w:ascii="Times New Roman" w:hAnsi="Times New Roman" w:cs="Times New Roman"/>
          <w:sz w:val="24"/>
          <w:szCs w:val="24"/>
        </w:rPr>
        <w:t>and</w:t>
      </w:r>
      <w:r w:rsidR="00CE7D31">
        <w:rPr>
          <w:rFonts w:ascii="Times New Roman" w:hAnsi="Times New Roman" w:cs="Times New Roman"/>
          <w:sz w:val="24"/>
          <w:szCs w:val="24"/>
        </w:rPr>
        <w:t xml:space="preserve"> significant </w:t>
      </w:r>
      <w:r w:rsidR="00E001E0">
        <w:rPr>
          <w:rFonts w:ascii="Times New Roman" w:hAnsi="Times New Roman" w:cs="Times New Roman"/>
          <w:sz w:val="24"/>
          <w:szCs w:val="24"/>
        </w:rPr>
        <w:t>impact</w:t>
      </w:r>
      <w:r w:rsidR="00BA63BA">
        <w:rPr>
          <w:rFonts w:ascii="Times New Roman" w:hAnsi="Times New Roman" w:cs="Times New Roman"/>
          <w:sz w:val="24"/>
          <w:szCs w:val="24"/>
        </w:rPr>
        <w:t xml:space="preserve"> </w:t>
      </w:r>
      <w:r w:rsidR="007510D4">
        <w:rPr>
          <w:rFonts w:ascii="Times New Roman" w:hAnsi="Times New Roman" w:cs="Times New Roman"/>
          <w:sz w:val="24"/>
          <w:szCs w:val="24"/>
        </w:rPr>
        <w:t>on</w:t>
      </w:r>
      <w:r w:rsidR="00732036">
        <w:rPr>
          <w:rFonts w:ascii="Times New Roman" w:hAnsi="Times New Roman" w:cs="Times New Roman"/>
          <w:sz w:val="24"/>
          <w:szCs w:val="24"/>
        </w:rPr>
        <w:t xml:space="preserve"> stock market </w:t>
      </w:r>
      <w:r w:rsidR="00CE7D31">
        <w:rPr>
          <w:rFonts w:ascii="Times New Roman" w:hAnsi="Times New Roman" w:cs="Times New Roman"/>
          <w:sz w:val="24"/>
          <w:szCs w:val="24"/>
        </w:rPr>
        <w:t>integration</w:t>
      </w:r>
      <w:r w:rsidR="00732036">
        <w:rPr>
          <w:rFonts w:ascii="Times New Roman" w:hAnsi="Times New Roman" w:cs="Times New Roman"/>
          <w:sz w:val="24"/>
          <w:szCs w:val="24"/>
        </w:rPr>
        <w:t>.</w:t>
      </w:r>
      <w:r w:rsidR="005D3992">
        <w:rPr>
          <w:rFonts w:ascii="Times New Roman" w:hAnsi="Times New Roman" w:cs="Times New Roman"/>
          <w:sz w:val="24"/>
          <w:szCs w:val="24"/>
        </w:rPr>
        <w:t xml:space="preserve"> This may suggest that </w:t>
      </w:r>
      <w:r w:rsidR="00230D4F">
        <w:rPr>
          <w:rFonts w:ascii="Times New Roman" w:hAnsi="Times New Roman" w:cs="Times New Roman"/>
          <w:sz w:val="24"/>
          <w:szCs w:val="24"/>
        </w:rPr>
        <w:t>the policy</w:t>
      </w:r>
      <w:r w:rsidR="009067D9">
        <w:rPr>
          <w:rFonts w:ascii="Times New Roman" w:hAnsi="Times New Roman" w:cs="Times New Roman"/>
          <w:sz w:val="24"/>
          <w:szCs w:val="24"/>
        </w:rPr>
        <w:t xml:space="preserve"> uncertainties </w:t>
      </w:r>
      <w:r w:rsidR="00E001E0">
        <w:rPr>
          <w:rFonts w:ascii="Times New Roman" w:hAnsi="Times New Roman" w:cs="Times New Roman"/>
          <w:sz w:val="24"/>
          <w:szCs w:val="24"/>
        </w:rPr>
        <w:t>in both economies</w:t>
      </w:r>
      <w:r w:rsidR="00B77DF8">
        <w:rPr>
          <w:rFonts w:ascii="Times New Roman" w:hAnsi="Times New Roman" w:cs="Times New Roman"/>
          <w:sz w:val="24"/>
          <w:szCs w:val="24"/>
        </w:rPr>
        <w:t xml:space="preserve"> elicit</w:t>
      </w:r>
      <w:r>
        <w:rPr>
          <w:rFonts w:ascii="Times New Roman" w:hAnsi="Times New Roman" w:cs="Times New Roman"/>
          <w:sz w:val="24"/>
          <w:szCs w:val="24"/>
        </w:rPr>
        <w:t>ed</w:t>
      </w:r>
      <w:r w:rsidR="00B77DF8">
        <w:rPr>
          <w:rFonts w:ascii="Times New Roman" w:hAnsi="Times New Roman" w:cs="Times New Roman"/>
          <w:sz w:val="24"/>
          <w:szCs w:val="24"/>
        </w:rPr>
        <w:t xml:space="preserve"> similar policy reactions to mitigate</w:t>
      </w:r>
      <w:r w:rsidR="005270DF">
        <w:rPr>
          <w:rFonts w:ascii="Times New Roman" w:hAnsi="Times New Roman" w:cs="Times New Roman"/>
          <w:sz w:val="24"/>
          <w:szCs w:val="24"/>
        </w:rPr>
        <w:t xml:space="preserve"> </w:t>
      </w:r>
      <w:r w:rsidR="00B77DF8">
        <w:rPr>
          <w:rFonts w:ascii="Times New Roman" w:hAnsi="Times New Roman" w:cs="Times New Roman"/>
          <w:sz w:val="24"/>
          <w:szCs w:val="24"/>
        </w:rPr>
        <w:t xml:space="preserve">increasing </w:t>
      </w:r>
      <w:r w:rsidR="009067D9">
        <w:rPr>
          <w:rFonts w:ascii="Times New Roman" w:hAnsi="Times New Roman" w:cs="Times New Roman"/>
          <w:sz w:val="24"/>
          <w:szCs w:val="24"/>
        </w:rPr>
        <w:t xml:space="preserve">risk, propelling </w:t>
      </w:r>
      <w:r w:rsidR="007510D4">
        <w:rPr>
          <w:rFonts w:ascii="Times New Roman" w:hAnsi="Times New Roman" w:cs="Times New Roman"/>
          <w:sz w:val="24"/>
          <w:szCs w:val="24"/>
        </w:rPr>
        <w:t>integration</w:t>
      </w:r>
      <w:r w:rsidR="00E001E0">
        <w:rPr>
          <w:rFonts w:ascii="Times New Roman" w:hAnsi="Times New Roman" w:cs="Times New Roman"/>
          <w:sz w:val="24"/>
          <w:szCs w:val="24"/>
        </w:rPr>
        <w:t>.</w:t>
      </w:r>
      <w:r w:rsidR="005270DF">
        <w:rPr>
          <w:rFonts w:ascii="Times New Roman" w:hAnsi="Times New Roman" w:cs="Times New Roman"/>
          <w:sz w:val="24"/>
          <w:szCs w:val="24"/>
        </w:rPr>
        <w:t xml:space="preserve"> </w:t>
      </w:r>
      <w:r w:rsidR="00DC5A12">
        <w:rPr>
          <w:rFonts w:ascii="Times New Roman" w:hAnsi="Times New Roman" w:cs="Times New Roman"/>
          <w:sz w:val="24"/>
          <w:szCs w:val="24"/>
        </w:rPr>
        <w:t>In contrast, w</w:t>
      </w:r>
      <w:r w:rsidR="00FB7BE7">
        <w:rPr>
          <w:rFonts w:ascii="Times New Roman" w:hAnsi="Times New Roman" w:cs="Times New Roman"/>
          <w:sz w:val="24"/>
          <w:szCs w:val="24"/>
        </w:rPr>
        <w:t xml:space="preserve">e find </w:t>
      </w:r>
      <w:r w:rsidR="00350F82">
        <w:rPr>
          <w:rFonts w:ascii="Times New Roman" w:hAnsi="Times New Roman" w:cs="Times New Roman"/>
          <w:sz w:val="24"/>
          <w:szCs w:val="24"/>
        </w:rPr>
        <w:t>no linkage between stock market integration and inflation</w:t>
      </w:r>
      <w:r w:rsidR="00862EBD">
        <w:rPr>
          <w:rFonts w:ascii="Times New Roman" w:hAnsi="Times New Roman" w:cs="Times New Roman"/>
          <w:sz w:val="24"/>
          <w:szCs w:val="24"/>
        </w:rPr>
        <w:t>/</w:t>
      </w:r>
      <w:r w:rsidR="00EA793E">
        <w:rPr>
          <w:rFonts w:ascii="Times New Roman" w:hAnsi="Times New Roman" w:cs="Times New Roman"/>
          <w:sz w:val="24"/>
          <w:szCs w:val="24"/>
        </w:rPr>
        <w:t xml:space="preserve">business cycle </w:t>
      </w:r>
      <w:r w:rsidR="002073E3">
        <w:rPr>
          <w:rFonts w:ascii="Times New Roman" w:hAnsi="Times New Roman" w:cs="Times New Roman"/>
          <w:sz w:val="24"/>
          <w:szCs w:val="24"/>
        </w:rPr>
        <w:t>convergence</w:t>
      </w:r>
      <w:r w:rsidR="00350F82">
        <w:rPr>
          <w:rFonts w:ascii="Times New Roman" w:hAnsi="Times New Roman" w:cs="Times New Roman"/>
          <w:sz w:val="24"/>
          <w:szCs w:val="24"/>
        </w:rPr>
        <w:t>, perhaps</w:t>
      </w:r>
      <w:r w:rsidR="005270DF">
        <w:rPr>
          <w:rFonts w:ascii="Times New Roman" w:hAnsi="Times New Roman" w:cs="Times New Roman"/>
          <w:sz w:val="24"/>
          <w:szCs w:val="24"/>
        </w:rPr>
        <w:t xml:space="preserve"> </w:t>
      </w:r>
      <w:r w:rsidR="00DC5A12">
        <w:rPr>
          <w:rFonts w:ascii="Times New Roman" w:hAnsi="Times New Roman" w:cs="Times New Roman"/>
          <w:sz w:val="24"/>
          <w:szCs w:val="24"/>
        </w:rPr>
        <w:t xml:space="preserve">because the </w:t>
      </w:r>
      <w:r w:rsidR="007B568C">
        <w:rPr>
          <w:rFonts w:ascii="Times New Roman" w:hAnsi="Times New Roman" w:cs="Times New Roman"/>
          <w:sz w:val="24"/>
          <w:szCs w:val="24"/>
        </w:rPr>
        <w:t xml:space="preserve">monetary authorities in both </w:t>
      </w:r>
      <w:r w:rsidR="00EA793E">
        <w:rPr>
          <w:rFonts w:ascii="Times New Roman" w:hAnsi="Times New Roman" w:cs="Times New Roman"/>
          <w:sz w:val="24"/>
          <w:szCs w:val="24"/>
        </w:rPr>
        <w:t>countries</w:t>
      </w:r>
      <w:r w:rsidR="00DC5A12">
        <w:rPr>
          <w:rFonts w:ascii="Times New Roman" w:hAnsi="Times New Roman" w:cs="Times New Roman"/>
          <w:sz w:val="24"/>
          <w:szCs w:val="24"/>
        </w:rPr>
        <w:t xml:space="preserve"> exhibited inconsistent anti-inflationary commitments</w:t>
      </w:r>
      <w:r w:rsidR="005429EB">
        <w:rPr>
          <w:rFonts w:ascii="Times New Roman" w:hAnsi="Times New Roman" w:cs="Times New Roman"/>
          <w:sz w:val="24"/>
          <w:szCs w:val="24"/>
        </w:rPr>
        <w:t xml:space="preserve">. </w:t>
      </w:r>
    </w:p>
    <w:p w:rsidR="00902ECE" w:rsidRDefault="003A1F1B"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 xml:space="preserve">Our results </w:t>
      </w:r>
      <w:r w:rsidR="00230D4F">
        <w:rPr>
          <w:rFonts w:ascii="Times New Roman" w:hAnsi="Times New Roman" w:cs="Times New Roman"/>
          <w:sz w:val="24"/>
          <w:szCs w:val="24"/>
        </w:rPr>
        <w:t xml:space="preserve">further </w:t>
      </w:r>
      <w:r>
        <w:rPr>
          <w:rFonts w:ascii="Times New Roman" w:hAnsi="Times New Roman" w:cs="Times New Roman"/>
          <w:sz w:val="24"/>
          <w:szCs w:val="24"/>
        </w:rPr>
        <w:t xml:space="preserve">show that </w:t>
      </w:r>
      <w:r w:rsidR="002070D9" w:rsidRPr="006853EA">
        <w:rPr>
          <w:rFonts w:ascii="Times New Roman" w:hAnsi="Times New Roman" w:cs="Times New Roman"/>
          <w:sz w:val="24"/>
          <w:szCs w:val="24"/>
        </w:rPr>
        <w:t xml:space="preserve">peaks in </w:t>
      </w:r>
      <w:r w:rsidR="005429EB">
        <w:rPr>
          <w:rFonts w:ascii="Times New Roman" w:hAnsi="Times New Roman" w:cs="Times New Roman"/>
          <w:sz w:val="24"/>
          <w:szCs w:val="24"/>
        </w:rPr>
        <w:t>gold</w:t>
      </w:r>
      <w:r w:rsidR="002070D9" w:rsidRPr="006853EA">
        <w:rPr>
          <w:rFonts w:ascii="Times New Roman" w:hAnsi="Times New Roman" w:cs="Times New Roman"/>
          <w:sz w:val="24"/>
          <w:szCs w:val="24"/>
        </w:rPr>
        <w:t xml:space="preserve"> and oil price volatilities </w:t>
      </w:r>
      <w:r w:rsidR="005B33B9">
        <w:rPr>
          <w:rFonts w:ascii="Times New Roman" w:hAnsi="Times New Roman" w:cs="Times New Roman"/>
          <w:sz w:val="24"/>
          <w:szCs w:val="24"/>
        </w:rPr>
        <w:t xml:space="preserve">have </w:t>
      </w:r>
      <w:r w:rsidR="002070D9" w:rsidRPr="006853EA">
        <w:rPr>
          <w:rFonts w:ascii="Times New Roman" w:hAnsi="Times New Roman" w:cs="Times New Roman"/>
          <w:sz w:val="24"/>
          <w:szCs w:val="24"/>
        </w:rPr>
        <w:t xml:space="preserve">significantly </w:t>
      </w:r>
      <w:r w:rsidR="005B33B9">
        <w:rPr>
          <w:rFonts w:ascii="Times New Roman" w:hAnsi="Times New Roman" w:cs="Times New Roman"/>
          <w:sz w:val="24"/>
          <w:szCs w:val="24"/>
        </w:rPr>
        <w:t>increased</w:t>
      </w:r>
      <w:r w:rsidR="002070D9" w:rsidRPr="006853EA">
        <w:rPr>
          <w:rFonts w:ascii="Times New Roman" w:hAnsi="Times New Roman" w:cs="Times New Roman"/>
          <w:sz w:val="24"/>
          <w:szCs w:val="24"/>
        </w:rPr>
        <w:t xml:space="preserve"> integration</w:t>
      </w:r>
      <w:r w:rsidR="000935BF" w:rsidRPr="006853EA">
        <w:rPr>
          <w:rFonts w:ascii="Times New Roman" w:hAnsi="Times New Roman" w:cs="Times New Roman"/>
          <w:sz w:val="24"/>
          <w:szCs w:val="24"/>
        </w:rPr>
        <w:t xml:space="preserve">. </w:t>
      </w:r>
      <w:r w:rsidR="00902ECE">
        <w:rPr>
          <w:rFonts w:ascii="Times New Roman" w:hAnsi="Times New Roman" w:cs="Times New Roman"/>
          <w:sz w:val="24"/>
          <w:szCs w:val="24"/>
        </w:rPr>
        <w:t>Since</w:t>
      </w:r>
      <w:r w:rsidR="005270DF">
        <w:rPr>
          <w:rFonts w:ascii="Times New Roman" w:hAnsi="Times New Roman" w:cs="Times New Roman"/>
          <w:sz w:val="24"/>
          <w:szCs w:val="24"/>
        </w:rPr>
        <w:t xml:space="preserve"> </w:t>
      </w:r>
      <w:r w:rsidR="00CE4933">
        <w:rPr>
          <w:rFonts w:ascii="Times New Roman" w:hAnsi="Times New Roman" w:cs="Times New Roman"/>
          <w:sz w:val="24"/>
          <w:szCs w:val="24"/>
        </w:rPr>
        <w:t xml:space="preserve">these </w:t>
      </w:r>
      <w:r w:rsidR="000935BF" w:rsidRPr="006853EA">
        <w:rPr>
          <w:rFonts w:ascii="Times New Roman" w:hAnsi="Times New Roman" w:cs="Times New Roman"/>
          <w:sz w:val="24"/>
          <w:szCs w:val="24"/>
        </w:rPr>
        <w:t>commodit</w:t>
      </w:r>
      <w:r w:rsidR="00CE4933">
        <w:rPr>
          <w:rFonts w:ascii="Times New Roman" w:hAnsi="Times New Roman" w:cs="Times New Roman"/>
          <w:sz w:val="24"/>
          <w:szCs w:val="24"/>
        </w:rPr>
        <w:t>ies</w:t>
      </w:r>
      <w:r w:rsidR="00862EBD">
        <w:rPr>
          <w:rFonts w:ascii="Times New Roman" w:hAnsi="Times New Roman" w:cs="Times New Roman"/>
          <w:sz w:val="24"/>
          <w:szCs w:val="24"/>
        </w:rPr>
        <w:t xml:space="preserve"> serve as</w:t>
      </w:r>
      <w:r w:rsidR="00BA63BA">
        <w:rPr>
          <w:rFonts w:ascii="Times New Roman" w:hAnsi="Times New Roman" w:cs="Times New Roman"/>
          <w:sz w:val="24"/>
          <w:szCs w:val="24"/>
        </w:rPr>
        <w:t xml:space="preserve"> </w:t>
      </w:r>
      <w:r w:rsidR="000935BF" w:rsidRPr="006853EA">
        <w:rPr>
          <w:rFonts w:ascii="Times New Roman" w:hAnsi="Times New Roman" w:cs="Times New Roman"/>
          <w:sz w:val="24"/>
          <w:szCs w:val="24"/>
        </w:rPr>
        <w:t>hedge</w:t>
      </w:r>
      <w:r w:rsidR="00DC5A12">
        <w:rPr>
          <w:rFonts w:ascii="Times New Roman" w:hAnsi="Times New Roman" w:cs="Times New Roman"/>
          <w:sz w:val="24"/>
          <w:szCs w:val="24"/>
        </w:rPr>
        <w:t>s</w:t>
      </w:r>
      <w:r w:rsidR="000935BF" w:rsidRPr="006853EA">
        <w:rPr>
          <w:rFonts w:ascii="Times New Roman" w:hAnsi="Times New Roman" w:cs="Times New Roman"/>
          <w:sz w:val="24"/>
          <w:szCs w:val="24"/>
        </w:rPr>
        <w:t xml:space="preserve"> against high stock market volatility, higher demand could increase </w:t>
      </w:r>
      <w:r w:rsidR="007510D4">
        <w:rPr>
          <w:rFonts w:ascii="Times New Roman" w:hAnsi="Times New Roman" w:cs="Times New Roman"/>
          <w:sz w:val="24"/>
          <w:szCs w:val="24"/>
        </w:rPr>
        <w:t xml:space="preserve">the </w:t>
      </w:r>
      <w:r w:rsidR="000935BF" w:rsidRPr="006853EA">
        <w:rPr>
          <w:rFonts w:ascii="Times New Roman" w:hAnsi="Times New Roman" w:cs="Times New Roman"/>
          <w:sz w:val="24"/>
          <w:szCs w:val="24"/>
        </w:rPr>
        <w:t xml:space="preserve">volatility of </w:t>
      </w:r>
      <w:r w:rsidR="00DC5A12">
        <w:rPr>
          <w:rFonts w:ascii="Times New Roman" w:hAnsi="Times New Roman" w:cs="Times New Roman"/>
          <w:sz w:val="24"/>
          <w:szCs w:val="24"/>
        </w:rPr>
        <w:t xml:space="preserve">their </w:t>
      </w:r>
      <w:r w:rsidR="000935BF" w:rsidRPr="006853EA">
        <w:rPr>
          <w:rFonts w:ascii="Times New Roman" w:hAnsi="Times New Roman" w:cs="Times New Roman"/>
          <w:sz w:val="24"/>
          <w:szCs w:val="24"/>
        </w:rPr>
        <w:t>prices</w:t>
      </w:r>
      <w:r w:rsidR="00DC5A12">
        <w:rPr>
          <w:rFonts w:ascii="Times New Roman" w:hAnsi="Times New Roman" w:cs="Times New Roman"/>
          <w:sz w:val="24"/>
          <w:szCs w:val="24"/>
        </w:rPr>
        <w:t xml:space="preserve"> and</w:t>
      </w:r>
      <w:r w:rsidR="000935BF" w:rsidRPr="006853EA">
        <w:rPr>
          <w:rFonts w:ascii="Times New Roman" w:hAnsi="Times New Roman" w:cs="Times New Roman"/>
          <w:sz w:val="24"/>
          <w:szCs w:val="24"/>
        </w:rPr>
        <w:t xml:space="preserve"> hence </w:t>
      </w:r>
      <w:r w:rsidR="00DC5A12">
        <w:rPr>
          <w:rFonts w:ascii="Times New Roman" w:hAnsi="Times New Roman" w:cs="Times New Roman"/>
          <w:sz w:val="24"/>
          <w:szCs w:val="24"/>
        </w:rPr>
        <w:t xml:space="preserve">increase </w:t>
      </w:r>
      <w:r w:rsidR="000935BF" w:rsidRPr="006853EA">
        <w:rPr>
          <w:rFonts w:ascii="Times New Roman" w:hAnsi="Times New Roman" w:cs="Times New Roman"/>
          <w:sz w:val="24"/>
          <w:szCs w:val="24"/>
        </w:rPr>
        <w:t xml:space="preserve">stock market integration. </w:t>
      </w:r>
      <w:r w:rsidR="00485C91">
        <w:rPr>
          <w:rFonts w:ascii="Times New Roman" w:hAnsi="Times New Roman" w:cs="Times New Roman"/>
          <w:sz w:val="24"/>
          <w:szCs w:val="24"/>
        </w:rPr>
        <w:t xml:space="preserve">During </w:t>
      </w:r>
      <w:r w:rsidR="00C47824">
        <w:rPr>
          <w:rFonts w:ascii="Times New Roman" w:hAnsi="Times New Roman" w:cs="Times New Roman"/>
          <w:sz w:val="24"/>
          <w:szCs w:val="24"/>
        </w:rPr>
        <w:t>financial</w:t>
      </w:r>
      <w:r w:rsidR="00485C91">
        <w:rPr>
          <w:rFonts w:ascii="Times New Roman" w:hAnsi="Times New Roman" w:cs="Times New Roman"/>
          <w:sz w:val="24"/>
          <w:szCs w:val="24"/>
        </w:rPr>
        <w:t xml:space="preserve"> cris</w:t>
      </w:r>
      <w:r w:rsidR="00DC5A12">
        <w:rPr>
          <w:rFonts w:ascii="Times New Roman" w:hAnsi="Times New Roman" w:cs="Times New Roman"/>
          <w:sz w:val="24"/>
          <w:szCs w:val="24"/>
        </w:rPr>
        <w:t>e</w:t>
      </w:r>
      <w:r w:rsidR="00485C91">
        <w:rPr>
          <w:rFonts w:ascii="Times New Roman" w:hAnsi="Times New Roman" w:cs="Times New Roman"/>
          <w:sz w:val="24"/>
          <w:szCs w:val="24"/>
        </w:rPr>
        <w:t xml:space="preserve">s, </w:t>
      </w:r>
      <w:r w:rsidR="00DC5A12">
        <w:rPr>
          <w:rFonts w:ascii="Times New Roman" w:hAnsi="Times New Roman" w:cs="Times New Roman"/>
          <w:sz w:val="24"/>
          <w:szCs w:val="24"/>
        </w:rPr>
        <w:t>the “flight to quality”</w:t>
      </w:r>
      <w:r w:rsidR="00BA63BA">
        <w:rPr>
          <w:rFonts w:ascii="Times New Roman" w:hAnsi="Times New Roman" w:cs="Times New Roman"/>
          <w:sz w:val="24"/>
          <w:szCs w:val="24"/>
        </w:rPr>
        <w:t xml:space="preserve"> phenomenon</w:t>
      </w:r>
      <w:r w:rsidR="00DC5A12">
        <w:rPr>
          <w:rFonts w:ascii="Times New Roman" w:hAnsi="Times New Roman" w:cs="Times New Roman"/>
          <w:sz w:val="24"/>
          <w:szCs w:val="24"/>
        </w:rPr>
        <w:t xml:space="preserve"> </w:t>
      </w:r>
      <w:r w:rsidR="00485C91">
        <w:rPr>
          <w:rFonts w:ascii="Times New Roman" w:hAnsi="Times New Roman" w:cs="Times New Roman"/>
          <w:sz w:val="24"/>
          <w:szCs w:val="24"/>
        </w:rPr>
        <w:t>increase</w:t>
      </w:r>
      <w:r w:rsidR="00BA63BA">
        <w:rPr>
          <w:rFonts w:ascii="Times New Roman" w:hAnsi="Times New Roman" w:cs="Times New Roman"/>
          <w:sz w:val="24"/>
          <w:szCs w:val="24"/>
        </w:rPr>
        <w:t>d</w:t>
      </w:r>
      <w:r w:rsidR="00485C91">
        <w:rPr>
          <w:rFonts w:ascii="Times New Roman" w:hAnsi="Times New Roman" w:cs="Times New Roman"/>
          <w:sz w:val="24"/>
          <w:szCs w:val="24"/>
        </w:rPr>
        <w:t xml:space="preserve"> </w:t>
      </w:r>
      <w:r w:rsidR="00DC5A12">
        <w:rPr>
          <w:rFonts w:ascii="Times New Roman" w:hAnsi="Times New Roman" w:cs="Times New Roman"/>
          <w:sz w:val="24"/>
          <w:szCs w:val="24"/>
        </w:rPr>
        <w:t>gold’s</w:t>
      </w:r>
      <w:r w:rsidR="00485C91">
        <w:rPr>
          <w:rFonts w:ascii="Times New Roman" w:hAnsi="Times New Roman" w:cs="Times New Roman"/>
          <w:sz w:val="24"/>
          <w:szCs w:val="24"/>
        </w:rPr>
        <w:t xml:space="preserve"> volatility</w:t>
      </w:r>
      <w:r w:rsidR="00DC5A12">
        <w:rPr>
          <w:rFonts w:ascii="Times New Roman" w:hAnsi="Times New Roman" w:cs="Times New Roman"/>
          <w:sz w:val="24"/>
          <w:szCs w:val="24"/>
        </w:rPr>
        <w:t>, making</w:t>
      </w:r>
      <w:r w:rsidR="00485C91" w:rsidRPr="008529E4">
        <w:rPr>
          <w:rFonts w:ascii="Times New Roman" w:hAnsi="Times New Roman" w:cs="Times New Roman"/>
          <w:sz w:val="24"/>
          <w:szCs w:val="24"/>
        </w:rPr>
        <w:t xml:space="preserve"> a positive relationship between stock market integration and gold price volatility</w:t>
      </w:r>
      <w:r w:rsidR="00485C91">
        <w:rPr>
          <w:rFonts w:ascii="Times New Roman" w:hAnsi="Times New Roman" w:cs="Times New Roman"/>
          <w:sz w:val="24"/>
          <w:szCs w:val="24"/>
        </w:rPr>
        <w:t xml:space="preserve"> plausible</w:t>
      </w:r>
      <w:r w:rsidR="00C47824">
        <w:rPr>
          <w:rFonts w:ascii="Times New Roman" w:hAnsi="Times New Roman" w:cs="Times New Roman"/>
          <w:sz w:val="24"/>
          <w:szCs w:val="24"/>
        </w:rPr>
        <w:t xml:space="preserve"> under both fixed and floating exchange rate</w:t>
      </w:r>
      <w:r w:rsidR="00DC5A12">
        <w:rPr>
          <w:rFonts w:ascii="Times New Roman" w:hAnsi="Times New Roman" w:cs="Times New Roman"/>
          <w:sz w:val="24"/>
          <w:szCs w:val="24"/>
        </w:rPr>
        <w:t>s</w:t>
      </w:r>
      <w:r w:rsidR="00485C91" w:rsidRPr="008529E4">
        <w:rPr>
          <w:rFonts w:ascii="Times New Roman" w:hAnsi="Times New Roman" w:cs="Times New Roman"/>
          <w:sz w:val="24"/>
          <w:szCs w:val="24"/>
        </w:rPr>
        <w:t xml:space="preserve">. This is consistent with </w:t>
      </w:r>
      <w:r w:rsidR="00AE6E12">
        <w:rPr>
          <w:rFonts w:ascii="Times New Roman" w:hAnsi="Times New Roman" w:cs="Times New Roman"/>
          <w:sz w:val="24"/>
          <w:szCs w:val="24"/>
        </w:rPr>
        <w:t>Baur and Lucey’s (2010)</w:t>
      </w:r>
      <w:r w:rsidR="00485C91" w:rsidRPr="008529E4">
        <w:rPr>
          <w:rFonts w:ascii="Times New Roman" w:hAnsi="Times New Roman" w:cs="Times New Roman"/>
          <w:sz w:val="24"/>
          <w:szCs w:val="24"/>
        </w:rPr>
        <w:t xml:space="preserve"> finding that</w:t>
      </w:r>
      <w:r w:rsidR="00485C91">
        <w:rPr>
          <w:rFonts w:ascii="Times New Roman" w:hAnsi="Times New Roman" w:cs="Times New Roman"/>
          <w:sz w:val="24"/>
          <w:szCs w:val="24"/>
        </w:rPr>
        <w:t xml:space="preserve"> the</w:t>
      </w:r>
      <w:r w:rsidR="00485C91" w:rsidRPr="008529E4">
        <w:rPr>
          <w:rFonts w:ascii="Times New Roman" w:hAnsi="Times New Roman" w:cs="Times New Roman"/>
          <w:sz w:val="24"/>
          <w:szCs w:val="24"/>
        </w:rPr>
        <w:t xml:space="preserve"> gold market plays an important role as a safe-haven in </w:t>
      </w:r>
      <w:r w:rsidR="00CD5A7D">
        <w:rPr>
          <w:rFonts w:ascii="Times New Roman" w:hAnsi="Times New Roman" w:cs="Times New Roman"/>
          <w:sz w:val="24"/>
          <w:szCs w:val="24"/>
        </w:rPr>
        <w:t>changing</w:t>
      </w:r>
      <w:r w:rsidR="00485C91" w:rsidRPr="008529E4">
        <w:rPr>
          <w:rFonts w:ascii="Times New Roman" w:hAnsi="Times New Roman" w:cs="Times New Roman"/>
          <w:sz w:val="24"/>
          <w:szCs w:val="24"/>
        </w:rPr>
        <w:t xml:space="preserve"> market conditions.</w:t>
      </w:r>
      <w:r w:rsidR="00AE6E12">
        <w:rPr>
          <w:rFonts w:ascii="Times New Roman" w:hAnsi="Times New Roman" w:cs="Times New Roman"/>
          <w:sz w:val="24"/>
          <w:szCs w:val="24"/>
        </w:rPr>
        <w:t xml:space="preserve"> In contrast</w:t>
      </w:r>
      <w:r>
        <w:rPr>
          <w:rFonts w:ascii="Times New Roman" w:hAnsi="Times New Roman" w:cs="Times New Roman"/>
          <w:sz w:val="24"/>
          <w:szCs w:val="24"/>
        </w:rPr>
        <w:t>, t</w:t>
      </w:r>
      <w:r w:rsidR="000935BF" w:rsidRPr="006853EA">
        <w:rPr>
          <w:rFonts w:ascii="Times New Roman" w:hAnsi="Times New Roman" w:cs="Times New Roman"/>
          <w:sz w:val="24"/>
          <w:szCs w:val="24"/>
        </w:rPr>
        <w:t xml:space="preserve">he relationship between market integration and exchange rate volatility is </w:t>
      </w:r>
      <w:r w:rsidR="009067D9">
        <w:rPr>
          <w:rFonts w:ascii="Times New Roman" w:hAnsi="Times New Roman" w:cs="Times New Roman"/>
          <w:sz w:val="24"/>
          <w:szCs w:val="24"/>
        </w:rPr>
        <w:t xml:space="preserve">not </w:t>
      </w:r>
      <w:r w:rsidR="000935BF" w:rsidRPr="006853EA">
        <w:rPr>
          <w:rFonts w:ascii="Times New Roman" w:hAnsi="Times New Roman" w:cs="Times New Roman"/>
          <w:sz w:val="24"/>
          <w:szCs w:val="24"/>
        </w:rPr>
        <w:lastRenderedPageBreak/>
        <w:t>significant, corroborat</w:t>
      </w:r>
      <w:r w:rsidR="00AE6E12">
        <w:rPr>
          <w:rFonts w:ascii="Times New Roman" w:hAnsi="Times New Roman" w:cs="Times New Roman"/>
          <w:sz w:val="24"/>
          <w:szCs w:val="24"/>
        </w:rPr>
        <w:t>ing</w:t>
      </w:r>
      <w:r w:rsidR="000935BF" w:rsidRPr="006853EA">
        <w:rPr>
          <w:rFonts w:ascii="Times New Roman" w:hAnsi="Times New Roman" w:cs="Times New Roman"/>
          <w:sz w:val="24"/>
          <w:szCs w:val="24"/>
        </w:rPr>
        <w:t xml:space="preserve"> Kim </w:t>
      </w:r>
      <w:r w:rsidR="00B12241" w:rsidRPr="00B12241">
        <w:rPr>
          <w:rFonts w:ascii="Times New Roman" w:hAnsi="Times New Roman" w:cs="Times New Roman"/>
          <w:sz w:val="24"/>
          <w:szCs w:val="24"/>
        </w:rPr>
        <w:t>et al.’s</w:t>
      </w:r>
      <w:r w:rsidR="000935BF" w:rsidRPr="006853EA">
        <w:rPr>
          <w:rFonts w:ascii="Times New Roman" w:hAnsi="Times New Roman" w:cs="Times New Roman"/>
          <w:sz w:val="24"/>
          <w:szCs w:val="24"/>
        </w:rPr>
        <w:t xml:space="preserve"> (2005) evidence that stock market integration is not very sensiti</w:t>
      </w:r>
      <w:r w:rsidR="00EF6393">
        <w:rPr>
          <w:rFonts w:ascii="Times New Roman" w:hAnsi="Times New Roman" w:cs="Times New Roman"/>
          <w:sz w:val="24"/>
          <w:szCs w:val="24"/>
        </w:rPr>
        <w:t xml:space="preserve">ve to exchange rate volatility. </w:t>
      </w:r>
      <w:r w:rsidR="00821E25" w:rsidRPr="00CB49FD">
        <w:rPr>
          <w:rFonts w:ascii="Times New Roman" w:hAnsi="Times New Roman" w:cs="Times New Roman"/>
          <w:sz w:val="24"/>
          <w:szCs w:val="24"/>
        </w:rPr>
        <w:t xml:space="preserve">We also find </w:t>
      </w:r>
      <w:r w:rsidR="00EF6393" w:rsidRPr="00CB49FD">
        <w:rPr>
          <w:rFonts w:ascii="Times New Roman" w:hAnsi="Times New Roman" w:cs="Times New Roman"/>
          <w:sz w:val="24"/>
          <w:szCs w:val="24"/>
        </w:rPr>
        <w:t>that</w:t>
      </w:r>
      <w:r w:rsidR="000935BF" w:rsidRPr="00CB49FD">
        <w:rPr>
          <w:rFonts w:ascii="Times New Roman" w:hAnsi="Times New Roman" w:cs="Times New Roman"/>
          <w:sz w:val="24"/>
          <w:szCs w:val="24"/>
        </w:rPr>
        <w:t xml:space="preserve"> stock market volatility is an important driver of stock market integration</w:t>
      </w:r>
      <w:r w:rsidR="005429EB" w:rsidRPr="00CB49FD">
        <w:rPr>
          <w:rFonts w:ascii="Times New Roman" w:hAnsi="Times New Roman" w:cs="Times New Roman"/>
          <w:sz w:val="24"/>
          <w:szCs w:val="24"/>
        </w:rPr>
        <w:t>, thereby supporting</w:t>
      </w:r>
      <w:r w:rsidR="00944726" w:rsidRPr="00CB49FD">
        <w:rPr>
          <w:rFonts w:ascii="Times New Roman" w:hAnsi="Times New Roman" w:cs="Times New Roman"/>
          <w:sz w:val="24"/>
          <w:szCs w:val="24"/>
        </w:rPr>
        <w:t xml:space="preserve"> the evidence that financial market linkages </w:t>
      </w:r>
      <w:r w:rsidR="00230D4F" w:rsidRPr="00CB49FD">
        <w:rPr>
          <w:rFonts w:ascii="Times New Roman" w:hAnsi="Times New Roman" w:cs="Times New Roman"/>
          <w:sz w:val="24"/>
          <w:szCs w:val="24"/>
        </w:rPr>
        <w:t xml:space="preserve">strengthen </w:t>
      </w:r>
      <w:r w:rsidR="00944726" w:rsidRPr="00CB49FD">
        <w:rPr>
          <w:rFonts w:ascii="Times New Roman" w:hAnsi="Times New Roman" w:cs="Times New Roman"/>
          <w:sz w:val="24"/>
          <w:szCs w:val="24"/>
        </w:rPr>
        <w:t xml:space="preserve">when </w:t>
      </w:r>
      <w:r w:rsidR="008730DD" w:rsidRPr="00CB49FD">
        <w:rPr>
          <w:rFonts w:ascii="Times New Roman" w:hAnsi="Times New Roman" w:cs="Times New Roman"/>
          <w:sz w:val="24"/>
          <w:szCs w:val="24"/>
        </w:rPr>
        <w:t xml:space="preserve">market </w:t>
      </w:r>
      <w:r w:rsidR="00944726" w:rsidRPr="00CB49FD">
        <w:rPr>
          <w:rFonts w:ascii="Times New Roman" w:hAnsi="Times New Roman" w:cs="Times New Roman"/>
          <w:sz w:val="24"/>
          <w:szCs w:val="24"/>
        </w:rPr>
        <w:t>risk is higher</w:t>
      </w:r>
      <w:r w:rsidR="00760343">
        <w:rPr>
          <w:rFonts w:ascii="Times New Roman" w:hAnsi="Times New Roman" w:cs="Times New Roman"/>
          <w:sz w:val="24"/>
          <w:szCs w:val="24"/>
        </w:rPr>
        <w:t xml:space="preserve"> </w:t>
      </w:r>
      <w:r w:rsidR="00944726" w:rsidRPr="00CB49FD">
        <w:rPr>
          <w:rFonts w:ascii="Times New Roman" w:hAnsi="Times New Roman" w:cs="Times New Roman"/>
          <w:sz w:val="24"/>
          <w:szCs w:val="24"/>
        </w:rPr>
        <w:t>(see</w:t>
      </w:r>
      <w:r w:rsidR="001142A6">
        <w:rPr>
          <w:rFonts w:ascii="Times New Roman" w:hAnsi="Times New Roman" w:cs="Times New Roman"/>
          <w:sz w:val="24"/>
          <w:szCs w:val="24"/>
        </w:rPr>
        <w:t xml:space="preserve"> </w:t>
      </w:r>
      <w:r w:rsidR="00C40042" w:rsidRPr="00CB49FD">
        <w:rPr>
          <w:rFonts w:ascii="Times New Roman" w:hAnsi="Times New Roman" w:cs="Times New Roman"/>
          <w:sz w:val="24"/>
          <w:szCs w:val="24"/>
        </w:rPr>
        <w:t>Cai</w:t>
      </w:r>
      <w:r w:rsidR="001142A6">
        <w:rPr>
          <w:rFonts w:ascii="Times New Roman" w:hAnsi="Times New Roman" w:cs="Times New Roman"/>
          <w:sz w:val="24"/>
          <w:szCs w:val="24"/>
        </w:rPr>
        <w:t xml:space="preserve"> </w:t>
      </w:r>
      <w:r w:rsidR="00B12241" w:rsidRPr="00CB49FD">
        <w:rPr>
          <w:rFonts w:ascii="Times New Roman" w:hAnsi="Times New Roman" w:cs="Times New Roman"/>
          <w:sz w:val="24"/>
          <w:szCs w:val="24"/>
        </w:rPr>
        <w:t>et</w:t>
      </w:r>
      <w:r w:rsidR="001142A6">
        <w:rPr>
          <w:rFonts w:ascii="Times New Roman" w:hAnsi="Times New Roman" w:cs="Times New Roman"/>
          <w:sz w:val="24"/>
          <w:szCs w:val="24"/>
        </w:rPr>
        <w:t xml:space="preserve"> </w:t>
      </w:r>
      <w:r w:rsidR="00B12241" w:rsidRPr="00CB49FD">
        <w:rPr>
          <w:rFonts w:ascii="Times New Roman" w:hAnsi="Times New Roman" w:cs="Times New Roman"/>
          <w:sz w:val="24"/>
          <w:szCs w:val="24"/>
        </w:rPr>
        <w:t>al</w:t>
      </w:r>
      <w:r w:rsidR="00C40042" w:rsidRPr="00CB49FD">
        <w:rPr>
          <w:rFonts w:ascii="Times New Roman" w:hAnsi="Times New Roman" w:cs="Times New Roman"/>
          <w:i/>
          <w:sz w:val="24"/>
          <w:szCs w:val="24"/>
        </w:rPr>
        <w:t>.</w:t>
      </w:r>
      <w:r w:rsidR="00C40042" w:rsidRPr="00CB49FD">
        <w:rPr>
          <w:rFonts w:ascii="Times New Roman" w:hAnsi="Times New Roman" w:cs="Times New Roman"/>
          <w:sz w:val="24"/>
          <w:szCs w:val="24"/>
        </w:rPr>
        <w:t>, 2009;</w:t>
      </w:r>
      <w:r w:rsidR="001142A6">
        <w:rPr>
          <w:rFonts w:ascii="Times New Roman" w:hAnsi="Times New Roman" w:cs="Times New Roman"/>
          <w:sz w:val="24"/>
          <w:szCs w:val="24"/>
        </w:rPr>
        <w:t xml:space="preserve"> </w:t>
      </w:r>
      <w:r w:rsidR="00C40042" w:rsidRPr="00CB49FD">
        <w:rPr>
          <w:rFonts w:ascii="Times New Roman" w:hAnsi="Times New Roman" w:cs="Times New Roman"/>
          <w:sz w:val="24"/>
          <w:szCs w:val="24"/>
        </w:rPr>
        <w:t xml:space="preserve"> </w:t>
      </w:r>
      <w:r w:rsidR="006D4B14" w:rsidRPr="00CB49FD">
        <w:rPr>
          <w:rFonts w:ascii="Times New Roman" w:hAnsi="Times New Roman" w:cs="Times New Roman"/>
          <w:sz w:val="24"/>
          <w:szCs w:val="24"/>
        </w:rPr>
        <w:t xml:space="preserve">Pastor </w:t>
      </w:r>
      <w:r w:rsidR="000B3F5F">
        <w:rPr>
          <w:rFonts w:ascii="Times New Roman" w:hAnsi="Times New Roman" w:cs="Times New Roman"/>
          <w:sz w:val="24"/>
          <w:szCs w:val="24"/>
        </w:rPr>
        <w:t>&amp;</w:t>
      </w:r>
      <w:r w:rsidR="006D4B14" w:rsidRPr="00CB49FD">
        <w:rPr>
          <w:rFonts w:ascii="Times New Roman" w:hAnsi="Times New Roman" w:cs="Times New Roman"/>
          <w:sz w:val="24"/>
          <w:szCs w:val="24"/>
        </w:rPr>
        <w:t xml:space="preserve"> Veronesi, 2012</w:t>
      </w:r>
      <w:r w:rsidR="00162D0D" w:rsidRPr="00CB49FD">
        <w:rPr>
          <w:rFonts w:ascii="Times New Roman" w:hAnsi="Times New Roman" w:cs="Times New Roman"/>
          <w:sz w:val="24"/>
          <w:szCs w:val="24"/>
        </w:rPr>
        <w:t>)</w:t>
      </w:r>
      <w:r w:rsidR="000935BF" w:rsidRPr="00CB49FD">
        <w:rPr>
          <w:rFonts w:ascii="Times New Roman" w:hAnsi="Times New Roman" w:cs="Times New Roman"/>
          <w:sz w:val="24"/>
          <w:szCs w:val="24"/>
        </w:rPr>
        <w:t>.</w:t>
      </w:r>
      <w:r w:rsidR="001142A6">
        <w:rPr>
          <w:rFonts w:ascii="Times New Roman" w:hAnsi="Times New Roman" w:cs="Times New Roman"/>
          <w:sz w:val="24"/>
          <w:szCs w:val="24"/>
        </w:rPr>
        <w:t xml:space="preserve"> </w:t>
      </w:r>
      <w:r w:rsidR="00230D4F" w:rsidRPr="00CB49FD">
        <w:rPr>
          <w:rFonts w:ascii="Times New Roman" w:hAnsi="Times New Roman" w:cs="Times New Roman"/>
          <w:sz w:val="24"/>
          <w:szCs w:val="24"/>
        </w:rPr>
        <w:t xml:space="preserve">We make sense of this result by noticing that the US market volatility has </w:t>
      </w:r>
      <w:r w:rsidR="00C56C63" w:rsidRPr="00CB49FD">
        <w:rPr>
          <w:rFonts w:ascii="Times New Roman" w:hAnsi="Times New Roman" w:cs="Times New Roman"/>
          <w:sz w:val="24"/>
          <w:szCs w:val="24"/>
        </w:rPr>
        <w:t xml:space="preserve">historically </w:t>
      </w:r>
      <w:r w:rsidR="00230D4F" w:rsidRPr="00CB49FD">
        <w:rPr>
          <w:rFonts w:ascii="Times New Roman" w:hAnsi="Times New Roman" w:cs="Times New Roman"/>
          <w:sz w:val="24"/>
          <w:szCs w:val="24"/>
        </w:rPr>
        <w:t xml:space="preserve">been higher than </w:t>
      </w:r>
      <w:r w:rsidR="00C56C63">
        <w:rPr>
          <w:rFonts w:ascii="Times New Roman" w:hAnsi="Times New Roman" w:cs="Times New Roman"/>
          <w:sz w:val="24"/>
          <w:szCs w:val="24"/>
        </w:rPr>
        <w:t xml:space="preserve">that of </w:t>
      </w:r>
      <w:r w:rsidR="00230D4F" w:rsidRPr="00CB49FD">
        <w:rPr>
          <w:rFonts w:ascii="Times New Roman" w:hAnsi="Times New Roman" w:cs="Times New Roman"/>
          <w:sz w:val="24"/>
          <w:szCs w:val="24"/>
        </w:rPr>
        <w:t>the UK</w:t>
      </w:r>
      <w:r w:rsidR="00C56C63">
        <w:rPr>
          <w:rFonts w:ascii="Times New Roman" w:hAnsi="Times New Roman" w:cs="Times New Roman"/>
          <w:sz w:val="24"/>
          <w:szCs w:val="24"/>
        </w:rPr>
        <w:t>,</w:t>
      </w:r>
      <w:r w:rsidR="00230D4F" w:rsidRPr="00CB49FD">
        <w:rPr>
          <w:rFonts w:ascii="Times New Roman" w:hAnsi="Times New Roman" w:cs="Times New Roman"/>
          <w:sz w:val="24"/>
          <w:szCs w:val="24"/>
        </w:rPr>
        <w:t xml:space="preserve"> so that</w:t>
      </w:r>
      <w:r w:rsidR="007F2EF3">
        <w:rPr>
          <w:rFonts w:ascii="Times New Roman" w:hAnsi="Times New Roman" w:cs="Times New Roman"/>
          <w:sz w:val="24"/>
          <w:szCs w:val="24"/>
        </w:rPr>
        <w:t>—</w:t>
      </w:r>
      <w:r w:rsidR="00230D4F" w:rsidRPr="00CB49FD">
        <w:rPr>
          <w:rFonts w:ascii="Times New Roman" w:hAnsi="Times New Roman" w:cs="Times New Roman"/>
          <w:sz w:val="24"/>
          <w:szCs w:val="24"/>
        </w:rPr>
        <w:t>the US</w:t>
      </w:r>
      <w:r w:rsidR="00A8755D">
        <w:rPr>
          <w:rFonts w:ascii="Times New Roman" w:hAnsi="Times New Roman" w:cs="Times New Roman"/>
          <w:sz w:val="24"/>
          <w:szCs w:val="24"/>
        </w:rPr>
        <w:t xml:space="preserve"> being</w:t>
      </w:r>
      <w:r w:rsidR="00230D4F" w:rsidRPr="00CB49FD">
        <w:rPr>
          <w:rFonts w:ascii="Times New Roman" w:hAnsi="Times New Roman" w:cs="Times New Roman"/>
          <w:sz w:val="24"/>
          <w:szCs w:val="24"/>
        </w:rPr>
        <w:t xml:space="preserve"> the larger market</w:t>
      </w:r>
      <w:r w:rsidR="007F2EF3">
        <w:rPr>
          <w:rFonts w:ascii="Times New Roman" w:hAnsi="Times New Roman" w:cs="Times New Roman"/>
          <w:sz w:val="24"/>
          <w:szCs w:val="24"/>
        </w:rPr>
        <w:t>—</w:t>
      </w:r>
      <w:r w:rsidR="00230D4F" w:rsidRPr="00CB49FD">
        <w:rPr>
          <w:rFonts w:ascii="Times New Roman" w:hAnsi="Times New Roman" w:cs="Times New Roman"/>
          <w:sz w:val="24"/>
          <w:szCs w:val="24"/>
        </w:rPr>
        <w:t xml:space="preserve">export volatility to the UK and integration between the two markets heightens. </w:t>
      </w:r>
    </w:p>
    <w:p w:rsidR="005429EB" w:rsidRPr="006853EA" w:rsidRDefault="00C56C63" w:rsidP="00AF6503">
      <w:pPr>
        <w:spacing w:after="0" w:line="480" w:lineRule="auto"/>
        <w:ind w:right="288" w:firstLine="720"/>
        <w:jc w:val="both"/>
        <w:rPr>
          <w:rFonts w:ascii="Times New Roman" w:hAnsi="Times New Roman" w:cs="Times New Roman"/>
          <w:sz w:val="24"/>
          <w:szCs w:val="24"/>
        </w:rPr>
      </w:pPr>
      <w:r>
        <w:rPr>
          <w:rFonts w:ascii="Times New Roman" w:hAnsi="Times New Roman" w:cs="Times New Roman"/>
          <w:sz w:val="24"/>
          <w:szCs w:val="24"/>
        </w:rPr>
        <w:t>T</w:t>
      </w:r>
      <w:r w:rsidR="00E209AF">
        <w:rPr>
          <w:rFonts w:ascii="Times New Roman" w:hAnsi="Times New Roman" w:cs="Times New Roman"/>
          <w:sz w:val="24"/>
          <w:szCs w:val="24"/>
        </w:rPr>
        <w:t xml:space="preserve">he </w:t>
      </w:r>
      <w:r w:rsidR="00DB232A">
        <w:rPr>
          <w:rFonts w:ascii="Times New Roman" w:hAnsi="Times New Roman" w:cs="Times New Roman"/>
          <w:sz w:val="24"/>
          <w:szCs w:val="24"/>
        </w:rPr>
        <w:t xml:space="preserve">1987 </w:t>
      </w:r>
      <w:r>
        <w:rPr>
          <w:rFonts w:ascii="Times New Roman" w:hAnsi="Times New Roman" w:cs="Times New Roman"/>
          <w:sz w:val="24"/>
          <w:szCs w:val="24"/>
        </w:rPr>
        <w:t>s</w:t>
      </w:r>
      <w:r w:rsidR="00DB232A">
        <w:rPr>
          <w:rFonts w:ascii="Times New Roman" w:hAnsi="Times New Roman" w:cs="Times New Roman"/>
          <w:sz w:val="24"/>
          <w:szCs w:val="24"/>
        </w:rPr>
        <w:t xml:space="preserve">tock </w:t>
      </w:r>
      <w:r>
        <w:rPr>
          <w:rFonts w:ascii="Times New Roman" w:hAnsi="Times New Roman" w:cs="Times New Roman"/>
          <w:sz w:val="24"/>
          <w:szCs w:val="24"/>
        </w:rPr>
        <w:t>m</w:t>
      </w:r>
      <w:r w:rsidR="00DB232A">
        <w:rPr>
          <w:rFonts w:ascii="Times New Roman" w:hAnsi="Times New Roman" w:cs="Times New Roman"/>
          <w:sz w:val="24"/>
          <w:szCs w:val="24"/>
        </w:rPr>
        <w:t xml:space="preserve">arket </w:t>
      </w:r>
      <w:r>
        <w:rPr>
          <w:rFonts w:ascii="Times New Roman" w:hAnsi="Times New Roman" w:cs="Times New Roman"/>
          <w:sz w:val="24"/>
          <w:szCs w:val="24"/>
        </w:rPr>
        <w:t>c</w:t>
      </w:r>
      <w:r w:rsidR="00DB232A">
        <w:rPr>
          <w:rFonts w:ascii="Times New Roman" w:hAnsi="Times New Roman" w:cs="Times New Roman"/>
          <w:sz w:val="24"/>
          <w:szCs w:val="24"/>
        </w:rPr>
        <w:t xml:space="preserve">rash, </w:t>
      </w:r>
      <w:r w:rsidR="009067D9">
        <w:rPr>
          <w:rFonts w:ascii="Times New Roman" w:hAnsi="Times New Roman" w:cs="Times New Roman"/>
          <w:sz w:val="24"/>
          <w:szCs w:val="24"/>
        </w:rPr>
        <w:t xml:space="preserve">1992 </w:t>
      </w:r>
      <w:r w:rsidR="00704534">
        <w:rPr>
          <w:rFonts w:ascii="Times New Roman" w:hAnsi="Times New Roman" w:cs="Times New Roman"/>
          <w:sz w:val="24"/>
          <w:szCs w:val="24"/>
        </w:rPr>
        <w:t>E</w:t>
      </w:r>
      <w:r w:rsidR="005E181F">
        <w:rPr>
          <w:rFonts w:ascii="Times New Roman" w:hAnsi="Times New Roman" w:cs="Times New Roman"/>
          <w:sz w:val="24"/>
          <w:szCs w:val="24"/>
        </w:rPr>
        <w:t xml:space="preserve">uropean </w:t>
      </w:r>
      <w:r>
        <w:rPr>
          <w:rFonts w:ascii="Times New Roman" w:hAnsi="Times New Roman" w:cs="Times New Roman"/>
          <w:sz w:val="24"/>
          <w:szCs w:val="24"/>
        </w:rPr>
        <w:t>m</w:t>
      </w:r>
      <w:r w:rsidR="005E181F">
        <w:rPr>
          <w:rFonts w:ascii="Times New Roman" w:hAnsi="Times New Roman" w:cs="Times New Roman"/>
          <w:sz w:val="24"/>
          <w:szCs w:val="24"/>
        </w:rPr>
        <w:t xml:space="preserve">onetary </w:t>
      </w:r>
      <w:r>
        <w:rPr>
          <w:rFonts w:ascii="Times New Roman" w:hAnsi="Times New Roman" w:cs="Times New Roman"/>
          <w:sz w:val="24"/>
          <w:szCs w:val="24"/>
        </w:rPr>
        <w:t>s</w:t>
      </w:r>
      <w:r w:rsidR="005E181F">
        <w:rPr>
          <w:rFonts w:ascii="Times New Roman" w:hAnsi="Times New Roman" w:cs="Times New Roman"/>
          <w:sz w:val="24"/>
          <w:szCs w:val="24"/>
        </w:rPr>
        <w:t>ystem</w:t>
      </w:r>
      <w:r w:rsidR="00BA63BA">
        <w:rPr>
          <w:rFonts w:ascii="Times New Roman" w:hAnsi="Times New Roman" w:cs="Times New Roman"/>
          <w:sz w:val="24"/>
          <w:szCs w:val="24"/>
        </w:rPr>
        <w:t xml:space="preserve"> </w:t>
      </w:r>
      <w:r>
        <w:rPr>
          <w:rFonts w:ascii="Times New Roman" w:hAnsi="Times New Roman" w:cs="Times New Roman"/>
          <w:sz w:val="24"/>
          <w:szCs w:val="24"/>
        </w:rPr>
        <w:t>c</w:t>
      </w:r>
      <w:r w:rsidR="000935BF" w:rsidRPr="006853EA">
        <w:rPr>
          <w:rFonts w:ascii="Times New Roman" w:hAnsi="Times New Roman" w:cs="Times New Roman"/>
          <w:sz w:val="24"/>
          <w:szCs w:val="24"/>
        </w:rPr>
        <w:t>risis,</w:t>
      </w:r>
      <w:r w:rsidR="001142A6">
        <w:rPr>
          <w:rFonts w:ascii="Times New Roman" w:hAnsi="Times New Roman" w:cs="Times New Roman"/>
          <w:sz w:val="24"/>
          <w:szCs w:val="24"/>
        </w:rPr>
        <w:t xml:space="preserve"> </w:t>
      </w:r>
      <w:r w:rsidR="009067D9">
        <w:rPr>
          <w:rFonts w:ascii="Times New Roman" w:hAnsi="Times New Roman" w:cs="Times New Roman"/>
          <w:sz w:val="24"/>
          <w:szCs w:val="24"/>
        </w:rPr>
        <w:t xml:space="preserve">1997/1998 </w:t>
      </w:r>
      <w:r w:rsidR="000935BF" w:rsidRPr="006853EA">
        <w:rPr>
          <w:rFonts w:ascii="Times New Roman" w:hAnsi="Times New Roman" w:cs="Times New Roman"/>
          <w:sz w:val="24"/>
          <w:szCs w:val="24"/>
        </w:rPr>
        <w:t xml:space="preserve">Asian and Russian </w:t>
      </w:r>
      <w:r>
        <w:rPr>
          <w:rFonts w:ascii="Times New Roman" w:hAnsi="Times New Roman" w:cs="Times New Roman"/>
          <w:sz w:val="24"/>
          <w:szCs w:val="24"/>
        </w:rPr>
        <w:t>c</w:t>
      </w:r>
      <w:r w:rsidR="00FD2148">
        <w:rPr>
          <w:rFonts w:ascii="Times New Roman" w:hAnsi="Times New Roman" w:cs="Times New Roman"/>
          <w:sz w:val="24"/>
          <w:szCs w:val="24"/>
        </w:rPr>
        <w:t>r</w:t>
      </w:r>
      <w:r w:rsidR="000935BF" w:rsidRPr="006853EA">
        <w:rPr>
          <w:rFonts w:ascii="Times New Roman" w:hAnsi="Times New Roman" w:cs="Times New Roman"/>
          <w:sz w:val="24"/>
          <w:szCs w:val="24"/>
        </w:rPr>
        <w:t>isis</w:t>
      </w:r>
      <w:r w:rsidR="00704534">
        <w:rPr>
          <w:rFonts w:ascii="Times New Roman" w:hAnsi="Times New Roman" w:cs="Times New Roman"/>
          <w:sz w:val="24"/>
          <w:szCs w:val="24"/>
        </w:rPr>
        <w:t xml:space="preserve">, </w:t>
      </w:r>
      <w:r w:rsidR="009067D9">
        <w:rPr>
          <w:rFonts w:ascii="Times New Roman" w:hAnsi="Times New Roman" w:cs="Times New Roman"/>
          <w:sz w:val="24"/>
          <w:szCs w:val="24"/>
        </w:rPr>
        <w:t xml:space="preserve">2000/2002 </w:t>
      </w:r>
      <w:r>
        <w:rPr>
          <w:rFonts w:ascii="Times New Roman" w:hAnsi="Times New Roman" w:cs="Times New Roman"/>
          <w:sz w:val="24"/>
          <w:szCs w:val="24"/>
        </w:rPr>
        <w:t>d</w:t>
      </w:r>
      <w:r w:rsidR="000A45A8">
        <w:rPr>
          <w:rFonts w:ascii="Times New Roman" w:hAnsi="Times New Roman" w:cs="Times New Roman"/>
          <w:sz w:val="24"/>
          <w:szCs w:val="24"/>
        </w:rPr>
        <w:t>ot-</w:t>
      </w:r>
      <w:r>
        <w:rPr>
          <w:rFonts w:ascii="Times New Roman" w:hAnsi="Times New Roman" w:cs="Times New Roman"/>
          <w:sz w:val="24"/>
          <w:szCs w:val="24"/>
        </w:rPr>
        <w:t>c</w:t>
      </w:r>
      <w:r w:rsidR="000A45A8">
        <w:rPr>
          <w:rFonts w:ascii="Times New Roman" w:hAnsi="Times New Roman" w:cs="Times New Roman"/>
          <w:sz w:val="24"/>
          <w:szCs w:val="24"/>
        </w:rPr>
        <w:t xml:space="preserve">om </w:t>
      </w:r>
      <w:r w:rsidR="00182264">
        <w:rPr>
          <w:rFonts w:ascii="Times New Roman" w:hAnsi="Times New Roman" w:cs="Times New Roman"/>
          <w:sz w:val="24"/>
          <w:szCs w:val="24"/>
        </w:rPr>
        <w:t xml:space="preserve">bubble </w:t>
      </w:r>
      <w:r w:rsidR="00FD2148">
        <w:rPr>
          <w:rFonts w:ascii="Times New Roman" w:hAnsi="Times New Roman" w:cs="Times New Roman"/>
          <w:sz w:val="24"/>
          <w:szCs w:val="24"/>
        </w:rPr>
        <w:t>b</w:t>
      </w:r>
      <w:r w:rsidR="005429EB">
        <w:rPr>
          <w:rFonts w:ascii="Times New Roman" w:hAnsi="Times New Roman" w:cs="Times New Roman"/>
          <w:sz w:val="24"/>
          <w:szCs w:val="24"/>
        </w:rPr>
        <w:t>u</w:t>
      </w:r>
      <w:r w:rsidR="00FD2148">
        <w:rPr>
          <w:rFonts w:ascii="Times New Roman" w:hAnsi="Times New Roman" w:cs="Times New Roman"/>
          <w:sz w:val="24"/>
          <w:szCs w:val="24"/>
        </w:rPr>
        <w:t>r</w:t>
      </w:r>
      <w:r w:rsidR="005429EB">
        <w:rPr>
          <w:rFonts w:ascii="Times New Roman" w:hAnsi="Times New Roman" w:cs="Times New Roman"/>
          <w:sz w:val="24"/>
          <w:szCs w:val="24"/>
        </w:rPr>
        <w:t xml:space="preserve">st, </w:t>
      </w:r>
      <w:r w:rsidR="009067D9">
        <w:rPr>
          <w:rFonts w:ascii="Times New Roman" w:hAnsi="Times New Roman" w:cs="Times New Roman"/>
          <w:sz w:val="24"/>
          <w:szCs w:val="24"/>
        </w:rPr>
        <w:t xml:space="preserve">2003/2011 </w:t>
      </w:r>
      <w:r w:rsidR="00704534">
        <w:rPr>
          <w:rFonts w:ascii="Times New Roman" w:hAnsi="Times New Roman" w:cs="Times New Roman"/>
          <w:sz w:val="24"/>
          <w:szCs w:val="24"/>
        </w:rPr>
        <w:t xml:space="preserve">Iraq </w:t>
      </w:r>
      <w:r w:rsidR="00FD2148">
        <w:rPr>
          <w:rFonts w:ascii="Times New Roman" w:hAnsi="Times New Roman" w:cs="Times New Roman"/>
          <w:sz w:val="24"/>
          <w:szCs w:val="24"/>
        </w:rPr>
        <w:t>W</w:t>
      </w:r>
      <w:r w:rsidR="00704534">
        <w:rPr>
          <w:rFonts w:ascii="Times New Roman" w:hAnsi="Times New Roman" w:cs="Times New Roman"/>
          <w:sz w:val="24"/>
          <w:szCs w:val="24"/>
        </w:rPr>
        <w:t>ar</w:t>
      </w:r>
      <w:r w:rsidR="00B6182A">
        <w:rPr>
          <w:rFonts w:ascii="Times New Roman" w:hAnsi="Times New Roman" w:cs="Times New Roman"/>
          <w:sz w:val="24"/>
          <w:szCs w:val="24"/>
        </w:rPr>
        <w:t xml:space="preserve">, </w:t>
      </w:r>
      <w:r w:rsidR="009067D9">
        <w:rPr>
          <w:rFonts w:ascii="Times New Roman" w:hAnsi="Times New Roman" w:cs="Times New Roman"/>
          <w:sz w:val="24"/>
          <w:szCs w:val="24"/>
        </w:rPr>
        <w:t xml:space="preserve">2007/2009 </w:t>
      </w:r>
      <w:r>
        <w:rPr>
          <w:rFonts w:ascii="Times New Roman" w:hAnsi="Times New Roman" w:cs="Times New Roman"/>
          <w:sz w:val="24"/>
          <w:szCs w:val="24"/>
        </w:rPr>
        <w:t>g</w:t>
      </w:r>
      <w:r w:rsidR="00B6182A">
        <w:rPr>
          <w:rFonts w:ascii="Times New Roman" w:hAnsi="Times New Roman" w:cs="Times New Roman"/>
          <w:sz w:val="24"/>
          <w:szCs w:val="24"/>
        </w:rPr>
        <w:t xml:space="preserve">lobal </w:t>
      </w:r>
      <w:r>
        <w:rPr>
          <w:rFonts w:ascii="Times New Roman" w:hAnsi="Times New Roman" w:cs="Times New Roman"/>
          <w:sz w:val="24"/>
          <w:szCs w:val="24"/>
        </w:rPr>
        <w:t>f</w:t>
      </w:r>
      <w:r w:rsidR="00B6182A">
        <w:rPr>
          <w:rFonts w:ascii="Times New Roman" w:hAnsi="Times New Roman" w:cs="Times New Roman"/>
          <w:sz w:val="24"/>
          <w:szCs w:val="24"/>
        </w:rPr>
        <w:t xml:space="preserve">inancial </w:t>
      </w:r>
      <w:r>
        <w:rPr>
          <w:rFonts w:ascii="Times New Roman" w:hAnsi="Times New Roman" w:cs="Times New Roman"/>
          <w:sz w:val="24"/>
          <w:szCs w:val="24"/>
        </w:rPr>
        <w:t>c</w:t>
      </w:r>
      <w:r w:rsidR="005429EB">
        <w:rPr>
          <w:rFonts w:ascii="Times New Roman" w:hAnsi="Times New Roman" w:cs="Times New Roman"/>
          <w:sz w:val="24"/>
          <w:szCs w:val="24"/>
        </w:rPr>
        <w:t>risis</w:t>
      </w:r>
      <w:r>
        <w:rPr>
          <w:rFonts w:ascii="Times New Roman" w:hAnsi="Times New Roman" w:cs="Times New Roman"/>
          <w:sz w:val="24"/>
          <w:szCs w:val="24"/>
        </w:rPr>
        <w:t>,</w:t>
      </w:r>
      <w:r w:rsidR="001142A6">
        <w:rPr>
          <w:rFonts w:ascii="Times New Roman" w:hAnsi="Times New Roman" w:cs="Times New Roman"/>
          <w:sz w:val="24"/>
          <w:szCs w:val="24"/>
        </w:rPr>
        <w:t xml:space="preserve"> </w:t>
      </w:r>
      <w:r w:rsidR="000935BF" w:rsidRPr="006853EA">
        <w:rPr>
          <w:rFonts w:ascii="Times New Roman" w:hAnsi="Times New Roman" w:cs="Times New Roman"/>
          <w:sz w:val="24"/>
          <w:szCs w:val="24"/>
        </w:rPr>
        <w:t xml:space="preserve">and </w:t>
      </w:r>
      <w:r w:rsidR="009067D9">
        <w:rPr>
          <w:rFonts w:ascii="Times New Roman" w:hAnsi="Times New Roman" w:cs="Times New Roman"/>
          <w:sz w:val="24"/>
          <w:szCs w:val="24"/>
        </w:rPr>
        <w:t xml:space="preserve">2010/2015 </w:t>
      </w:r>
      <w:r w:rsidR="004B47B3">
        <w:rPr>
          <w:rFonts w:ascii="Times New Roman" w:hAnsi="Times New Roman" w:cs="Times New Roman"/>
          <w:sz w:val="24"/>
          <w:szCs w:val="24"/>
        </w:rPr>
        <w:t>Eurozone</w:t>
      </w:r>
      <w:r w:rsidR="001142A6">
        <w:rPr>
          <w:rFonts w:ascii="Times New Roman" w:hAnsi="Times New Roman" w:cs="Times New Roman"/>
          <w:sz w:val="24"/>
          <w:szCs w:val="24"/>
        </w:rPr>
        <w:t xml:space="preserve"> </w:t>
      </w:r>
      <w:r>
        <w:rPr>
          <w:rFonts w:ascii="Times New Roman" w:hAnsi="Times New Roman" w:cs="Times New Roman"/>
          <w:sz w:val="24"/>
          <w:szCs w:val="24"/>
        </w:rPr>
        <w:t>d</w:t>
      </w:r>
      <w:r w:rsidR="000935BF" w:rsidRPr="006853EA">
        <w:rPr>
          <w:rFonts w:ascii="Times New Roman" w:hAnsi="Times New Roman" w:cs="Times New Roman"/>
          <w:sz w:val="24"/>
          <w:szCs w:val="24"/>
        </w:rPr>
        <w:t xml:space="preserve">ebt </w:t>
      </w:r>
      <w:r>
        <w:rPr>
          <w:rFonts w:ascii="Times New Roman" w:hAnsi="Times New Roman" w:cs="Times New Roman"/>
          <w:sz w:val="24"/>
          <w:szCs w:val="24"/>
        </w:rPr>
        <w:t>c</w:t>
      </w:r>
      <w:r w:rsidR="000935BF" w:rsidRPr="006853EA">
        <w:rPr>
          <w:rFonts w:ascii="Times New Roman" w:hAnsi="Times New Roman" w:cs="Times New Roman"/>
          <w:sz w:val="24"/>
          <w:szCs w:val="24"/>
        </w:rPr>
        <w:t xml:space="preserve">risis </w:t>
      </w:r>
      <w:r w:rsidR="00CE4933">
        <w:rPr>
          <w:rFonts w:ascii="Times New Roman" w:hAnsi="Times New Roman" w:cs="Times New Roman"/>
          <w:sz w:val="24"/>
          <w:szCs w:val="24"/>
        </w:rPr>
        <w:t xml:space="preserve">all </w:t>
      </w:r>
      <w:r w:rsidR="00704534">
        <w:rPr>
          <w:rFonts w:ascii="Times New Roman" w:hAnsi="Times New Roman" w:cs="Times New Roman"/>
          <w:sz w:val="24"/>
          <w:szCs w:val="24"/>
        </w:rPr>
        <w:t>significant</w:t>
      </w:r>
      <w:r>
        <w:rPr>
          <w:rFonts w:ascii="Times New Roman" w:hAnsi="Times New Roman" w:cs="Times New Roman"/>
          <w:sz w:val="24"/>
          <w:szCs w:val="24"/>
        </w:rPr>
        <w:t>ly</w:t>
      </w:r>
      <w:r w:rsidR="001142A6">
        <w:rPr>
          <w:rFonts w:ascii="Times New Roman" w:hAnsi="Times New Roman" w:cs="Times New Roman"/>
          <w:sz w:val="24"/>
          <w:szCs w:val="24"/>
        </w:rPr>
        <w:t xml:space="preserve"> </w:t>
      </w:r>
      <w:r>
        <w:rPr>
          <w:rFonts w:ascii="Times New Roman" w:hAnsi="Times New Roman" w:cs="Times New Roman"/>
          <w:sz w:val="24"/>
          <w:szCs w:val="24"/>
        </w:rPr>
        <w:t xml:space="preserve">boosted </w:t>
      </w:r>
      <w:r w:rsidR="00704534">
        <w:rPr>
          <w:rFonts w:ascii="Times New Roman" w:hAnsi="Times New Roman" w:cs="Times New Roman"/>
          <w:sz w:val="24"/>
          <w:szCs w:val="24"/>
        </w:rPr>
        <w:t>integration</w:t>
      </w:r>
      <w:r w:rsidR="00D70FD4">
        <w:rPr>
          <w:rFonts w:ascii="Times New Roman" w:hAnsi="Times New Roman" w:cs="Times New Roman"/>
          <w:sz w:val="24"/>
          <w:szCs w:val="24"/>
        </w:rPr>
        <w:t>. The increases in</w:t>
      </w:r>
      <w:r w:rsidR="000935BF" w:rsidRPr="006853EA">
        <w:rPr>
          <w:rFonts w:ascii="Times New Roman" w:hAnsi="Times New Roman" w:cs="Times New Roman"/>
          <w:sz w:val="24"/>
          <w:szCs w:val="24"/>
        </w:rPr>
        <w:t xml:space="preserve"> stock market correlation in times of currency crisis (e.g.</w:t>
      </w:r>
      <w:r>
        <w:rPr>
          <w:rFonts w:ascii="Times New Roman" w:hAnsi="Times New Roman" w:cs="Times New Roman"/>
          <w:sz w:val="24"/>
          <w:szCs w:val="24"/>
        </w:rPr>
        <w:t>,</w:t>
      </w:r>
      <w:r w:rsidR="00A1751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935BF" w:rsidRPr="006853EA">
        <w:rPr>
          <w:rFonts w:ascii="Times New Roman" w:hAnsi="Times New Roman" w:cs="Times New Roman"/>
          <w:sz w:val="24"/>
          <w:szCs w:val="24"/>
        </w:rPr>
        <w:t xml:space="preserve">European </w:t>
      </w:r>
      <w:r w:rsidR="00704534">
        <w:rPr>
          <w:rFonts w:ascii="Times New Roman" w:hAnsi="Times New Roman" w:cs="Times New Roman"/>
          <w:sz w:val="24"/>
          <w:szCs w:val="24"/>
        </w:rPr>
        <w:t xml:space="preserve">and Asian </w:t>
      </w:r>
      <w:r>
        <w:rPr>
          <w:rFonts w:ascii="Times New Roman" w:hAnsi="Times New Roman" w:cs="Times New Roman"/>
          <w:sz w:val="24"/>
          <w:szCs w:val="24"/>
        </w:rPr>
        <w:t>c</w:t>
      </w:r>
      <w:r w:rsidR="000935BF" w:rsidRPr="006853EA">
        <w:rPr>
          <w:rFonts w:ascii="Times New Roman" w:hAnsi="Times New Roman" w:cs="Times New Roman"/>
          <w:sz w:val="24"/>
          <w:szCs w:val="24"/>
        </w:rPr>
        <w:t xml:space="preserve">urrency </w:t>
      </w:r>
      <w:r w:rsidR="004C3742">
        <w:rPr>
          <w:rFonts w:ascii="Times New Roman" w:hAnsi="Times New Roman" w:cs="Times New Roman"/>
          <w:sz w:val="24"/>
          <w:szCs w:val="24"/>
        </w:rPr>
        <w:t>crises</w:t>
      </w:r>
      <w:r w:rsidR="000935BF" w:rsidRPr="006853EA">
        <w:rPr>
          <w:rFonts w:ascii="Times New Roman" w:hAnsi="Times New Roman" w:cs="Times New Roman"/>
          <w:sz w:val="24"/>
          <w:szCs w:val="24"/>
        </w:rPr>
        <w:t>) corroborate</w:t>
      </w:r>
      <w:r w:rsidR="00A17517">
        <w:rPr>
          <w:rFonts w:ascii="Times New Roman" w:hAnsi="Times New Roman" w:cs="Times New Roman"/>
          <w:sz w:val="24"/>
          <w:szCs w:val="24"/>
        </w:rPr>
        <w:t xml:space="preserve"> </w:t>
      </w:r>
      <w:r w:rsidR="000935BF" w:rsidRPr="006853EA">
        <w:rPr>
          <w:rFonts w:ascii="Times New Roman" w:hAnsi="Times New Roman" w:cs="Times New Roman"/>
          <w:sz w:val="24"/>
          <w:szCs w:val="24"/>
        </w:rPr>
        <w:t>Baele’s (2005) findings.</w:t>
      </w:r>
      <w:r w:rsidR="00A17517">
        <w:rPr>
          <w:rFonts w:ascii="Times New Roman" w:hAnsi="Times New Roman" w:cs="Times New Roman"/>
          <w:sz w:val="24"/>
          <w:szCs w:val="24"/>
        </w:rPr>
        <w:t xml:space="preserve"> </w:t>
      </w:r>
      <w:r w:rsidR="000935BF" w:rsidRPr="006853EA">
        <w:rPr>
          <w:rFonts w:ascii="Times New Roman" w:hAnsi="Times New Roman" w:cs="Times New Roman"/>
          <w:sz w:val="24"/>
          <w:szCs w:val="24"/>
        </w:rPr>
        <w:t xml:space="preserve">The influence of </w:t>
      </w:r>
      <w:r w:rsidR="0060009B">
        <w:rPr>
          <w:rFonts w:ascii="Times New Roman" w:hAnsi="Times New Roman" w:cs="Times New Roman"/>
          <w:sz w:val="24"/>
          <w:szCs w:val="24"/>
        </w:rPr>
        <w:t>these episodes</w:t>
      </w:r>
      <w:r w:rsidR="000935BF" w:rsidRPr="006853EA">
        <w:rPr>
          <w:rFonts w:ascii="Times New Roman" w:hAnsi="Times New Roman" w:cs="Times New Roman"/>
          <w:sz w:val="24"/>
          <w:szCs w:val="24"/>
        </w:rPr>
        <w:t xml:space="preserve"> on sto</w:t>
      </w:r>
      <w:r w:rsidR="003542B7">
        <w:rPr>
          <w:rFonts w:ascii="Times New Roman" w:hAnsi="Times New Roman" w:cs="Times New Roman"/>
          <w:sz w:val="24"/>
          <w:szCs w:val="24"/>
        </w:rPr>
        <w:t xml:space="preserve">ck market integration </w:t>
      </w:r>
      <w:r w:rsidR="00B90BFC">
        <w:rPr>
          <w:rFonts w:ascii="Times New Roman" w:hAnsi="Times New Roman" w:cs="Times New Roman"/>
          <w:sz w:val="24"/>
          <w:szCs w:val="24"/>
        </w:rPr>
        <w:t>indicate</w:t>
      </w:r>
      <w:r w:rsidR="005759FF">
        <w:rPr>
          <w:rFonts w:ascii="Times New Roman" w:hAnsi="Times New Roman" w:cs="Times New Roman"/>
          <w:sz w:val="24"/>
          <w:szCs w:val="24"/>
        </w:rPr>
        <w:t>s</w:t>
      </w:r>
      <w:r w:rsidR="00B90BFC">
        <w:rPr>
          <w:rFonts w:ascii="Times New Roman" w:hAnsi="Times New Roman" w:cs="Times New Roman"/>
          <w:sz w:val="24"/>
          <w:szCs w:val="24"/>
        </w:rPr>
        <w:t xml:space="preserve"> some form</w:t>
      </w:r>
      <w:r w:rsidR="000935BF" w:rsidRPr="006853EA">
        <w:rPr>
          <w:rFonts w:ascii="Times New Roman" w:hAnsi="Times New Roman" w:cs="Times New Roman"/>
          <w:sz w:val="24"/>
          <w:szCs w:val="24"/>
        </w:rPr>
        <w:t xml:space="preserve"> of market contagion</w:t>
      </w:r>
      <w:r>
        <w:rPr>
          <w:rFonts w:ascii="Times New Roman" w:hAnsi="Times New Roman" w:cs="Times New Roman"/>
          <w:sz w:val="24"/>
          <w:szCs w:val="24"/>
        </w:rPr>
        <w:t>,</w:t>
      </w:r>
      <w:r w:rsidR="00A17517">
        <w:rPr>
          <w:rFonts w:ascii="Times New Roman" w:hAnsi="Times New Roman" w:cs="Times New Roman"/>
          <w:sz w:val="24"/>
          <w:szCs w:val="24"/>
        </w:rPr>
        <w:t xml:space="preserve"> </w:t>
      </w:r>
      <w:r>
        <w:rPr>
          <w:rFonts w:ascii="Times New Roman" w:hAnsi="Times New Roman" w:cs="Times New Roman"/>
          <w:sz w:val="24"/>
          <w:szCs w:val="24"/>
        </w:rPr>
        <w:t xml:space="preserve">in accord </w:t>
      </w:r>
      <w:r w:rsidR="000935BF" w:rsidRPr="006853EA">
        <w:rPr>
          <w:rFonts w:ascii="Times New Roman" w:hAnsi="Times New Roman" w:cs="Times New Roman"/>
          <w:sz w:val="24"/>
          <w:szCs w:val="24"/>
        </w:rPr>
        <w:t>wi</w:t>
      </w:r>
      <w:r w:rsidR="0066356B">
        <w:rPr>
          <w:rFonts w:ascii="Times New Roman" w:hAnsi="Times New Roman" w:cs="Times New Roman"/>
          <w:sz w:val="24"/>
          <w:szCs w:val="24"/>
        </w:rPr>
        <w:t xml:space="preserve">th Wang and Moore’s </w:t>
      </w:r>
      <w:r w:rsidR="000935BF" w:rsidRPr="006853EA">
        <w:rPr>
          <w:rFonts w:ascii="Times New Roman" w:hAnsi="Times New Roman" w:cs="Times New Roman"/>
          <w:sz w:val="24"/>
          <w:szCs w:val="24"/>
        </w:rPr>
        <w:t>(2008)</w:t>
      </w:r>
      <w:r w:rsidR="0066356B">
        <w:rPr>
          <w:rFonts w:ascii="Times New Roman" w:hAnsi="Times New Roman" w:cs="Times New Roman"/>
          <w:sz w:val="24"/>
          <w:szCs w:val="24"/>
        </w:rPr>
        <w:t xml:space="preserve"> findings</w:t>
      </w:r>
      <w:r w:rsidR="000935BF" w:rsidRPr="006853EA">
        <w:rPr>
          <w:rFonts w:ascii="Times New Roman" w:hAnsi="Times New Roman" w:cs="Times New Roman"/>
          <w:sz w:val="24"/>
          <w:szCs w:val="24"/>
        </w:rPr>
        <w:t xml:space="preserve">. </w:t>
      </w:r>
      <w:r w:rsidR="005429EB">
        <w:rPr>
          <w:rFonts w:ascii="Times New Roman" w:hAnsi="Times New Roman" w:cs="Times New Roman"/>
          <w:sz w:val="24"/>
          <w:szCs w:val="24"/>
        </w:rPr>
        <w:t xml:space="preserve">Particularly, the </w:t>
      </w:r>
      <w:r w:rsidR="0060009B">
        <w:rPr>
          <w:rFonts w:ascii="Times New Roman" w:hAnsi="Times New Roman" w:cs="Times New Roman"/>
          <w:sz w:val="24"/>
          <w:szCs w:val="24"/>
        </w:rPr>
        <w:t>crises originating</w:t>
      </w:r>
      <w:r w:rsidR="005429EB">
        <w:rPr>
          <w:rFonts w:ascii="Times New Roman" w:hAnsi="Times New Roman" w:cs="Times New Roman"/>
          <w:sz w:val="24"/>
          <w:szCs w:val="24"/>
        </w:rPr>
        <w:t xml:space="preserve"> from the US </w:t>
      </w:r>
      <w:r>
        <w:rPr>
          <w:rFonts w:ascii="Times New Roman" w:hAnsi="Times New Roman" w:cs="Times New Roman"/>
          <w:sz w:val="24"/>
          <w:szCs w:val="24"/>
        </w:rPr>
        <w:t xml:space="preserve">confirm </w:t>
      </w:r>
      <w:r w:rsidR="005429EB">
        <w:rPr>
          <w:rFonts w:ascii="Times New Roman" w:hAnsi="Times New Roman" w:cs="Times New Roman"/>
          <w:sz w:val="24"/>
          <w:szCs w:val="24"/>
        </w:rPr>
        <w:t>that the US</w:t>
      </w:r>
      <w:r w:rsidR="00A17517">
        <w:rPr>
          <w:rFonts w:ascii="Times New Roman" w:hAnsi="Times New Roman" w:cs="Times New Roman"/>
          <w:sz w:val="24"/>
          <w:szCs w:val="24"/>
        </w:rPr>
        <w:t xml:space="preserve"> </w:t>
      </w:r>
      <w:r w:rsidR="000A45A8">
        <w:rPr>
          <w:rFonts w:ascii="Times New Roman" w:hAnsi="Times New Roman" w:cs="Times New Roman"/>
          <w:sz w:val="24"/>
          <w:szCs w:val="24"/>
        </w:rPr>
        <w:t>economy</w:t>
      </w:r>
      <w:r w:rsidR="005429EB">
        <w:rPr>
          <w:rFonts w:ascii="Times New Roman" w:hAnsi="Times New Roman" w:cs="Times New Roman"/>
          <w:sz w:val="24"/>
          <w:szCs w:val="24"/>
        </w:rPr>
        <w:t xml:space="preserve"> is an epicentre for transmitting financial shocks, hence </w:t>
      </w:r>
      <w:r w:rsidR="00710752">
        <w:rPr>
          <w:rFonts w:ascii="Times New Roman" w:hAnsi="Times New Roman" w:cs="Times New Roman"/>
          <w:sz w:val="24"/>
          <w:szCs w:val="24"/>
        </w:rPr>
        <w:t>strengthening the integration between the</w:t>
      </w:r>
      <w:r w:rsidR="00A17517">
        <w:rPr>
          <w:rFonts w:ascii="Times New Roman" w:hAnsi="Times New Roman" w:cs="Times New Roman"/>
          <w:sz w:val="24"/>
          <w:szCs w:val="24"/>
        </w:rPr>
        <w:t xml:space="preserve"> </w:t>
      </w:r>
      <w:r w:rsidR="00710752">
        <w:rPr>
          <w:rFonts w:ascii="Times New Roman" w:hAnsi="Times New Roman" w:cs="Times New Roman"/>
          <w:sz w:val="24"/>
          <w:szCs w:val="24"/>
        </w:rPr>
        <w:t>UK and US</w:t>
      </w:r>
      <w:r w:rsidR="005429EB">
        <w:rPr>
          <w:rFonts w:ascii="Times New Roman" w:hAnsi="Times New Roman" w:cs="Times New Roman"/>
          <w:sz w:val="24"/>
          <w:szCs w:val="24"/>
        </w:rPr>
        <w:t>.</w:t>
      </w:r>
    </w:p>
    <w:p w:rsidR="00BA25B8" w:rsidRPr="007F1A0F" w:rsidRDefault="00B57312" w:rsidP="00AF6503">
      <w:pPr>
        <w:spacing w:after="0" w:line="480" w:lineRule="auto"/>
        <w:ind w:right="282" w:firstLine="720"/>
        <w:rPr>
          <w:rFonts w:ascii="Times New Roman" w:hAnsi="Times New Roman" w:cs="Times New Roman"/>
          <w:sz w:val="24"/>
          <w:szCs w:val="24"/>
        </w:rPr>
      </w:pPr>
      <w:r w:rsidRPr="007F1A0F">
        <w:rPr>
          <w:rFonts w:ascii="Times New Roman" w:hAnsi="Times New Roman" w:cs="Times New Roman"/>
          <w:sz w:val="24"/>
          <w:szCs w:val="24"/>
        </w:rPr>
        <w:t>During</w:t>
      </w:r>
      <w:r w:rsidR="000935BF" w:rsidRPr="007F1A0F">
        <w:rPr>
          <w:rFonts w:ascii="Times New Roman" w:hAnsi="Times New Roman" w:cs="Times New Roman"/>
          <w:sz w:val="24"/>
          <w:szCs w:val="24"/>
        </w:rPr>
        <w:t xml:space="preserve"> the </w:t>
      </w:r>
      <w:r w:rsidR="003C1544" w:rsidRPr="007F1A0F">
        <w:rPr>
          <w:rFonts w:ascii="Times New Roman" w:hAnsi="Times New Roman" w:cs="Times New Roman"/>
          <w:sz w:val="24"/>
          <w:szCs w:val="24"/>
        </w:rPr>
        <w:t>pre-BW</w:t>
      </w:r>
      <w:r w:rsidR="000935BF" w:rsidRPr="007F1A0F">
        <w:rPr>
          <w:rFonts w:ascii="Times New Roman" w:hAnsi="Times New Roman" w:cs="Times New Roman"/>
          <w:sz w:val="24"/>
          <w:szCs w:val="24"/>
        </w:rPr>
        <w:t xml:space="preserve"> period</w:t>
      </w:r>
      <w:r w:rsidR="00B90BFC" w:rsidRPr="007F1A0F">
        <w:rPr>
          <w:rFonts w:ascii="Times New Roman" w:hAnsi="Times New Roman" w:cs="Times New Roman"/>
          <w:sz w:val="24"/>
          <w:szCs w:val="24"/>
        </w:rPr>
        <w:t xml:space="preserve"> (1935–1945)</w:t>
      </w:r>
      <w:r w:rsidR="000935BF" w:rsidRPr="007F1A0F">
        <w:rPr>
          <w:rFonts w:ascii="Times New Roman" w:hAnsi="Times New Roman" w:cs="Times New Roman"/>
          <w:sz w:val="24"/>
          <w:szCs w:val="24"/>
        </w:rPr>
        <w:t xml:space="preserve">, convergence in </w:t>
      </w:r>
      <w:r w:rsidR="00315133" w:rsidRPr="007F1A0F">
        <w:rPr>
          <w:rFonts w:ascii="Times New Roman" w:hAnsi="Times New Roman" w:cs="Times New Roman"/>
          <w:sz w:val="24"/>
          <w:szCs w:val="24"/>
        </w:rPr>
        <w:t>business cycles</w:t>
      </w:r>
      <w:r w:rsidR="00A17517">
        <w:rPr>
          <w:rFonts w:ascii="Times New Roman" w:hAnsi="Times New Roman" w:cs="Times New Roman"/>
          <w:sz w:val="24"/>
          <w:szCs w:val="24"/>
        </w:rPr>
        <w:t xml:space="preserve"> </w:t>
      </w:r>
      <w:r w:rsidR="000935BF" w:rsidRPr="007F1A0F">
        <w:rPr>
          <w:rFonts w:ascii="Times New Roman" w:hAnsi="Times New Roman" w:cs="Times New Roman"/>
          <w:sz w:val="24"/>
          <w:szCs w:val="24"/>
        </w:rPr>
        <w:t>stimulate</w:t>
      </w:r>
      <w:r w:rsidR="00CE4933" w:rsidRPr="007F1A0F">
        <w:rPr>
          <w:rFonts w:ascii="Times New Roman" w:hAnsi="Times New Roman" w:cs="Times New Roman"/>
          <w:sz w:val="24"/>
          <w:szCs w:val="24"/>
        </w:rPr>
        <w:t>d</w:t>
      </w:r>
      <w:r w:rsidR="000935BF" w:rsidRPr="007F1A0F">
        <w:rPr>
          <w:rFonts w:ascii="Times New Roman" w:hAnsi="Times New Roman" w:cs="Times New Roman"/>
          <w:sz w:val="24"/>
          <w:szCs w:val="24"/>
        </w:rPr>
        <w:t xml:space="preserve"> stock market integration</w:t>
      </w:r>
      <w:r w:rsidR="00C56C63">
        <w:rPr>
          <w:rFonts w:ascii="Times New Roman" w:hAnsi="Times New Roman" w:cs="Times New Roman"/>
          <w:sz w:val="24"/>
          <w:szCs w:val="24"/>
        </w:rPr>
        <w:t>, while</w:t>
      </w:r>
      <w:r w:rsidR="006152F3" w:rsidRPr="007F1A0F">
        <w:rPr>
          <w:rFonts w:ascii="Times New Roman" w:hAnsi="Times New Roman" w:cs="Times New Roman"/>
          <w:sz w:val="24"/>
          <w:szCs w:val="24"/>
        </w:rPr>
        <w:t xml:space="preserve"> </w:t>
      </w:r>
      <w:r w:rsidR="004974A3">
        <w:rPr>
          <w:rFonts w:ascii="Times New Roman" w:hAnsi="Times New Roman" w:cs="Times New Roman"/>
          <w:sz w:val="24"/>
          <w:szCs w:val="24"/>
        </w:rPr>
        <w:t>convergence</w:t>
      </w:r>
      <w:r w:rsidR="006152F3" w:rsidRPr="007F1A0F">
        <w:rPr>
          <w:rFonts w:ascii="Times New Roman" w:hAnsi="Times New Roman" w:cs="Times New Roman"/>
          <w:sz w:val="24"/>
          <w:szCs w:val="24"/>
        </w:rPr>
        <w:t xml:space="preserve"> in interest rates weakened </w:t>
      </w:r>
      <w:r w:rsidR="00C56C63">
        <w:rPr>
          <w:rFonts w:ascii="Times New Roman" w:hAnsi="Times New Roman" w:cs="Times New Roman"/>
          <w:sz w:val="24"/>
          <w:szCs w:val="24"/>
        </w:rPr>
        <w:t>it</w:t>
      </w:r>
      <w:r w:rsidR="006152F3" w:rsidRPr="007F1A0F">
        <w:rPr>
          <w:rFonts w:ascii="Times New Roman" w:hAnsi="Times New Roman" w:cs="Times New Roman"/>
          <w:sz w:val="24"/>
          <w:szCs w:val="24"/>
        </w:rPr>
        <w:t>.</w:t>
      </w:r>
      <w:r w:rsidR="00D71BBA" w:rsidRPr="007F1A0F">
        <w:rPr>
          <w:rFonts w:ascii="Times New Roman" w:hAnsi="Times New Roman" w:cs="Times New Roman"/>
          <w:sz w:val="24"/>
          <w:szCs w:val="24"/>
        </w:rPr>
        <w:t xml:space="preserve"> </w:t>
      </w:r>
      <w:r w:rsidR="0033685A" w:rsidRPr="0033685A">
        <w:rPr>
          <w:rFonts w:ascii="Times New Roman" w:hAnsi="Times New Roman" w:cs="Times New Roman"/>
          <w:sz w:val="24"/>
          <w:szCs w:val="24"/>
        </w:rPr>
        <w:t>A small caveat applies to the negative link between interest rates convergence and stock market integration, which, limitedly to the pre-BW period, turns out to be negative and marginally significant at the 10% only.</w:t>
      </w:r>
      <w:r w:rsidR="0033685A">
        <w:t xml:space="preserve"> </w:t>
      </w:r>
      <w:r w:rsidR="00756A4C">
        <w:rPr>
          <w:rFonts w:ascii="Times New Roman" w:hAnsi="Times New Roman" w:cs="Times New Roman"/>
          <w:sz w:val="24"/>
          <w:szCs w:val="24"/>
        </w:rPr>
        <w:t xml:space="preserve">But convergence in </w:t>
      </w:r>
      <w:r w:rsidR="006152F3" w:rsidRPr="007F1A0F">
        <w:rPr>
          <w:rFonts w:ascii="Times New Roman" w:hAnsi="Times New Roman" w:cs="Times New Roman"/>
          <w:sz w:val="24"/>
          <w:szCs w:val="24"/>
        </w:rPr>
        <w:t>inflation rates</w:t>
      </w:r>
      <w:r w:rsidR="00BA63BA">
        <w:rPr>
          <w:rFonts w:ascii="Times New Roman" w:hAnsi="Times New Roman" w:cs="Times New Roman"/>
          <w:sz w:val="24"/>
          <w:szCs w:val="24"/>
        </w:rPr>
        <w:t xml:space="preserve"> </w:t>
      </w:r>
      <w:r w:rsidR="006A56FA" w:rsidRPr="007F1A0F">
        <w:rPr>
          <w:rFonts w:ascii="Times New Roman" w:hAnsi="Times New Roman" w:cs="Times New Roman"/>
          <w:sz w:val="24"/>
          <w:szCs w:val="24"/>
        </w:rPr>
        <w:t xml:space="preserve">and economic policy uncertainty </w:t>
      </w:r>
      <w:r w:rsidR="00756A4C">
        <w:rPr>
          <w:rFonts w:ascii="Times New Roman" w:hAnsi="Times New Roman" w:cs="Times New Roman"/>
          <w:sz w:val="24"/>
          <w:szCs w:val="24"/>
        </w:rPr>
        <w:t xml:space="preserve">shows </w:t>
      </w:r>
      <w:r w:rsidR="002073E3" w:rsidRPr="007F1A0F">
        <w:rPr>
          <w:rFonts w:ascii="Times New Roman" w:hAnsi="Times New Roman" w:cs="Times New Roman"/>
          <w:sz w:val="24"/>
          <w:szCs w:val="24"/>
        </w:rPr>
        <w:t>no links with stock market</w:t>
      </w:r>
      <w:r w:rsidR="006A56FA" w:rsidRPr="007F1A0F">
        <w:rPr>
          <w:rFonts w:ascii="Times New Roman" w:hAnsi="Times New Roman" w:cs="Times New Roman"/>
          <w:sz w:val="24"/>
          <w:szCs w:val="24"/>
        </w:rPr>
        <w:t xml:space="preserve"> integration</w:t>
      </w:r>
      <w:r w:rsidR="000935BF" w:rsidRPr="007F1A0F">
        <w:rPr>
          <w:rFonts w:ascii="Times New Roman" w:hAnsi="Times New Roman" w:cs="Times New Roman"/>
          <w:sz w:val="24"/>
          <w:szCs w:val="24"/>
        </w:rPr>
        <w:t>.</w:t>
      </w:r>
      <w:r w:rsidR="001142A6">
        <w:rPr>
          <w:rFonts w:ascii="Times New Roman" w:hAnsi="Times New Roman" w:cs="Times New Roman"/>
          <w:sz w:val="24"/>
          <w:szCs w:val="24"/>
        </w:rPr>
        <w:t xml:space="preserve"> </w:t>
      </w:r>
      <w:r w:rsidR="00F773CA" w:rsidRPr="007F1A0F">
        <w:rPr>
          <w:rFonts w:ascii="Times New Roman" w:hAnsi="Times New Roman" w:cs="Times New Roman"/>
          <w:sz w:val="24"/>
          <w:szCs w:val="24"/>
        </w:rPr>
        <w:t>This suggests that expectations of rising inflation during the period of political and economic uncertainties</w:t>
      </w:r>
      <w:r w:rsidR="00090DF5" w:rsidRPr="007F1A0F">
        <w:rPr>
          <w:rFonts w:ascii="Times New Roman" w:hAnsi="Times New Roman" w:cs="Times New Roman"/>
          <w:sz w:val="24"/>
          <w:szCs w:val="24"/>
        </w:rPr>
        <w:t xml:space="preserve"> cause</w:t>
      </w:r>
      <w:r w:rsidR="003F50CF" w:rsidRPr="007F1A0F">
        <w:rPr>
          <w:rFonts w:ascii="Times New Roman" w:hAnsi="Times New Roman" w:cs="Times New Roman"/>
          <w:sz w:val="24"/>
          <w:szCs w:val="24"/>
        </w:rPr>
        <w:t>d</w:t>
      </w:r>
      <w:r w:rsidR="00090DF5" w:rsidRPr="007F1A0F">
        <w:rPr>
          <w:rFonts w:ascii="Times New Roman" w:hAnsi="Times New Roman" w:cs="Times New Roman"/>
          <w:sz w:val="24"/>
          <w:szCs w:val="24"/>
        </w:rPr>
        <w:t xml:space="preserve"> convergence in </w:t>
      </w:r>
      <w:r w:rsidR="00756A4C">
        <w:rPr>
          <w:rFonts w:ascii="Times New Roman" w:hAnsi="Times New Roman" w:cs="Times New Roman"/>
          <w:sz w:val="24"/>
          <w:szCs w:val="24"/>
        </w:rPr>
        <w:t xml:space="preserve">the expansionary </w:t>
      </w:r>
      <w:r w:rsidR="00090DF5" w:rsidRPr="007F1A0F">
        <w:rPr>
          <w:rFonts w:ascii="Times New Roman" w:hAnsi="Times New Roman" w:cs="Times New Roman"/>
          <w:sz w:val="24"/>
          <w:szCs w:val="24"/>
        </w:rPr>
        <w:t>monetary policies of both economies</w:t>
      </w:r>
      <w:r w:rsidR="00756A4C">
        <w:rPr>
          <w:rFonts w:ascii="Times New Roman" w:hAnsi="Times New Roman" w:cs="Times New Roman"/>
          <w:sz w:val="24"/>
          <w:szCs w:val="24"/>
        </w:rPr>
        <w:t>,</w:t>
      </w:r>
      <w:r w:rsidR="001142A6">
        <w:rPr>
          <w:rFonts w:ascii="Times New Roman" w:hAnsi="Times New Roman" w:cs="Times New Roman"/>
          <w:sz w:val="24"/>
          <w:szCs w:val="24"/>
        </w:rPr>
        <w:t xml:space="preserve"> </w:t>
      </w:r>
      <w:r w:rsidR="003F50CF" w:rsidRPr="007F1A0F">
        <w:rPr>
          <w:rFonts w:ascii="Times New Roman" w:hAnsi="Times New Roman" w:cs="Times New Roman"/>
          <w:sz w:val="24"/>
          <w:szCs w:val="24"/>
        </w:rPr>
        <w:t>but with little or no effect on</w:t>
      </w:r>
      <w:r w:rsidR="00090DF5" w:rsidRPr="007F1A0F">
        <w:rPr>
          <w:rFonts w:ascii="Times New Roman" w:hAnsi="Times New Roman" w:cs="Times New Roman"/>
          <w:sz w:val="24"/>
          <w:szCs w:val="24"/>
        </w:rPr>
        <w:t xml:space="preserve"> stock market integration.</w:t>
      </w:r>
    </w:p>
    <w:p w:rsidR="000935BF" w:rsidRPr="006853EA" w:rsidRDefault="00A65696" w:rsidP="00AF6503">
      <w:pPr>
        <w:spacing w:after="0" w:line="480" w:lineRule="auto"/>
        <w:ind w:right="282" w:firstLine="720"/>
        <w:rPr>
          <w:rFonts w:ascii="Times New Roman" w:hAnsi="Times New Roman" w:cs="Times New Roman"/>
          <w:sz w:val="24"/>
          <w:szCs w:val="24"/>
        </w:rPr>
      </w:pPr>
      <w:r w:rsidRPr="007F1A0F">
        <w:rPr>
          <w:rFonts w:ascii="Times New Roman" w:hAnsi="Times New Roman" w:cs="Times New Roman"/>
          <w:sz w:val="24"/>
          <w:szCs w:val="24"/>
        </w:rPr>
        <w:t xml:space="preserve">Unexpectedly, </w:t>
      </w:r>
      <w:r w:rsidR="000935BF" w:rsidRPr="007F1A0F">
        <w:rPr>
          <w:rFonts w:ascii="Times New Roman" w:hAnsi="Times New Roman" w:cs="Times New Roman"/>
          <w:sz w:val="24"/>
          <w:szCs w:val="24"/>
        </w:rPr>
        <w:t xml:space="preserve">the </w:t>
      </w:r>
      <w:r w:rsidR="008950AE" w:rsidRPr="007F1A0F">
        <w:rPr>
          <w:rFonts w:ascii="Times New Roman" w:hAnsi="Times New Roman" w:cs="Times New Roman"/>
          <w:sz w:val="24"/>
          <w:szCs w:val="24"/>
        </w:rPr>
        <w:t>BW</w:t>
      </w:r>
      <w:r w:rsidR="00411FFD" w:rsidRPr="007F1A0F">
        <w:rPr>
          <w:rFonts w:ascii="Times New Roman" w:hAnsi="Times New Roman" w:cs="Times New Roman"/>
          <w:sz w:val="24"/>
          <w:szCs w:val="24"/>
        </w:rPr>
        <w:t xml:space="preserve"> fixed exchange rate regime </w:t>
      </w:r>
      <w:r w:rsidR="00B90BFC" w:rsidRPr="007F1A0F">
        <w:rPr>
          <w:rFonts w:ascii="Times New Roman" w:hAnsi="Times New Roman" w:cs="Times New Roman"/>
          <w:sz w:val="24"/>
          <w:szCs w:val="24"/>
        </w:rPr>
        <w:t>(1945–1971)</w:t>
      </w:r>
      <w:r w:rsidR="001142A6">
        <w:rPr>
          <w:rFonts w:ascii="Times New Roman" w:hAnsi="Times New Roman" w:cs="Times New Roman"/>
          <w:sz w:val="24"/>
          <w:szCs w:val="24"/>
        </w:rPr>
        <w:t xml:space="preserve"> </w:t>
      </w:r>
      <w:r w:rsidR="00756A4C">
        <w:rPr>
          <w:rFonts w:ascii="Times New Roman" w:hAnsi="Times New Roman" w:cs="Times New Roman"/>
          <w:sz w:val="24"/>
          <w:szCs w:val="24"/>
        </w:rPr>
        <w:t>show</w:t>
      </w:r>
      <w:r w:rsidR="002973E3">
        <w:rPr>
          <w:rFonts w:ascii="Times New Roman" w:hAnsi="Times New Roman" w:cs="Times New Roman"/>
          <w:sz w:val="24"/>
          <w:szCs w:val="24"/>
        </w:rPr>
        <w:t>ed no</w:t>
      </w:r>
      <w:r w:rsidRPr="007F1A0F">
        <w:rPr>
          <w:rFonts w:ascii="Times New Roman" w:hAnsi="Times New Roman" w:cs="Times New Roman"/>
          <w:sz w:val="24"/>
          <w:szCs w:val="24"/>
        </w:rPr>
        <w:t xml:space="preserve"> link</w:t>
      </w:r>
      <w:r w:rsidR="00411FFD" w:rsidRPr="007F1A0F">
        <w:rPr>
          <w:rFonts w:ascii="Times New Roman" w:hAnsi="Times New Roman" w:cs="Times New Roman"/>
          <w:sz w:val="24"/>
          <w:szCs w:val="24"/>
        </w:rPr>
        <w:t xml:space="preserve"> between</w:t>
      </w:r>
      <w:r w:rsidR="00D70F9A" w:rsidRPr="007F1A0F">
        <w:rPr>
          <w:rFonts w:ascii="Times New Roman" w:hAnsi="Times New Roman" w:cs="Times New Roman"/>
          <w:sz w:val="24"/>
          <w:szCs w:val="24"/>
        </w:rPr>
        <w:t xml:space="preserve"> macroeconomic </w:t>
      </w:r>
      <w:r w:rsidR="00411FFD" w:rsidRPr="007F1A0F">
        <w:rPr>
          <w:rFonts w:ascii="Times New Roman" w:hAnsi="Times New Roman" w:cs="Times New Roman"/>
          <w:sz w:val="24"/>
          <w:szCs w:val="24"/>
        </w:rPr>
        <w:t>convergence and</w:t>
      </w:r>
      <w:r w:rsidR="000935BF" w:rsidRPr="007F1A0F">
        <w:rPr>
          <w:rFonts w:ascii="Times New Roman" w:hAnsi="Times New Roman" w:cs="Times New Roman"/>
          <w:sz w:val="24"/>
          <w:szCs w:val="24"/>
        </w:rPr>
        <w:t xml:space="preserve"> stock market integration. The fixed exchange rate regime adopted by </w:t>
      </w:r>
      <w:r w:rsidR="002073E3" w:rsidRPr="007F1A0F">
        <w:rPr>
          <w:rFonts w:ascii="Times New Roman" w:hAnsi="Times New Roman" w:cs="Times New Roman"/>
          <w:sz w:val="24"/>
          <w:szCs w:val="24"/>
        </w:rPr>
        <w:t>the UK and US exacerbate</w:t>
      </w:r>
      <w:r w:rsidR="00CE4933" w:rsidRPr="007F1A0F">
        <w:rPr>
          <w:rFonts w:ascii="Times New Roman" w:hAnsi="Times New Roman" w:cs="Times New Roman"/>
          <w:sz w:val="24"/>
          <w:szCs w:val="24"/>
        </w:rPr>
        <w:t>d</w:t>
      </w:r>
      <w:r w:rsidR="00091F1A" w:rsidRPr="007F1A0F">
        <w:rPr>
          <w:rFonts w:ascii="Times New Roman" w:hAnsi="Times New Roman" w:cs="Times New Roman"/>
          <w:sz w:val="24"/>
          <w:szCs w:val="24"/>
        </w:rPr>
        <w:t xml:space="preserve"> divergence in</w:t>
      </w:r>
      <w:r w:rsidR="000935BF" w:rsidRPr="007F1A0F">
        <w:rPr>
          <w:rFonts w:ascii="Times New Roman" w:hAnsi="Times New Roman" w:cs="Times New Roman"/>
          <w:sz w:val="24"/>
          <w:szCs w:val="24"/>
        </w:rPr>
        <w:t xml:space="preserve"> macroeconomic policies</w:t>
      </w:r>
      <w:r w:rsidR="00C24DA7" w:rsidRPr="007F1A0F">
        <w:rPr>
          <w:rFonts w:ascii="Times New Roman" w:hAnsi="Times New Roman" w:cs="Times New Roman"/>
          <w:sz w:val="24"/>
          <w:szCs w:val="24"/>
        </w:rPr>
        <w:t>, weak</w:t>
      </w:r>
      <w:r w:rsidR="00756A4C">
        <w:rPr>
          <w:rFonts w:ascii="Times New Roman" w:hAnsi="Times New Roman" w:cs="Times New Roman"/>
          <w:sz w:val="24"/>
          <w:szCs w:val="24"/>
        </w:rPr>
        <w:t>ening</w:t>
      </w:r>
      <w:r w:rsidR="00C24DA7" w:rsidRPr="007F1A0F">
        <w:rPr>
          <w:rFonts w:ascii="Times New Roman" w:hAnsi="Times New Roman" w:cs="Times New Roman"/>
          <w:sz w:val="24"/>
          <w:szCs w:val="24"/>
        </w:rPr>
        <w:t xml:space="preserve"> integration</w:t>
      </w:r>
      <w:r w:rsidR="000935BF" w:rsidRPr="007F1A0F">
        <w:rPr>
          <w:rFonts w:ascii="Times New Roman" w:hAnsi="Times New Roman" w:cs="Times New Roman"/>
          <w:sz w:val="24"/>
          <w:szCs w:val="24"/>
        </w:rPr>
        <w:t>.</w:t>
      </w:r>
      <w:r w:rsidR="005A764A">
        <w:rPr>
          <w:rFonts w:ascii="Times New Roman" w:hAnsi="Times New Roman" w:cs="Times New Roman"/>
          <w:sz w:val="24"/>
          <w:szCs w:val="24"/>
        </w:rPr>
        <w:t xml:space="preserve"> </w:t>
      </w:r>
      <w:r w:rsidR="00756A4C">
        <w:rPr>
          <w:rFonts w:ascii="Times New Roman" w:hAnsi="Times New Roman" w:cs="Times New Roman"/>
          <w:sz w:val="24"/>
          <w:szCs w:val="24"/>
        </w:rPr>
        <w:t>T</w:t>
      </w:r>
      <w:r w:rsidR="00B90BFC" w:rsidRPr="007F1A0F">
        <w:rPr>
          <w:rFonts w:ascii="Times New Roman" w:hAnsi="Times New Roman" w:cs="Times New Roman"/>
          <w:sz w:val="24"/>
          <w:szCs w:val="24"/>
        </w:rPr>
        <w:t xml:space="preserve">he </w:t>
      </w:r>
      <w:r w:rsidR="00B90BFC" w:rsidRPr="007F1A0F">
        <w:rPr>
          <w:rFonts w:ascii="Times New Roman" w:hAnsi="Times New Roman" w:cs="Times New Roman"/>
          <w:sz w:val="24"/>
          <w:szCs w:val="24"/>
        </w:rPr>
        <w:lastRenderedPageBreak/>
        <w:t>inflationary economic policies pursued in the US diverged from the UK’s non</w:t>
      </w:r>
      <w:r w:rsidR="00DC5D9A">
        <w:rPr>
          <w:rFonts w:ascii="Times New Roman" w:hAnsi="Times New Roman" w:cs="Times New Roman"/>
          <w:sz w:val="24"/>
          <w:szCs w:val="24"/>
        </w:rPr>
        <w:t>-</w:t>
      </w:r>
      <w:r w:rsidR="00B90BFC" w:rsidRPr="007F1A0F">
        <w:rPr>
          <w:rFonts w:ascii="Times New Roman" w:hAnsi="Times New Roman" w:cs="Times New Roman"/>
          <w:sz w:val="24"/>
          <w:szCs w:val="24"/>
        </w:rPr>
        <w:t>inflationary monetary policy</w:t>
      </w:r>
      <w:r w:rsidR="00D70F9A" w:rsidRPr="007F1A0F">
        <w:rPr>
          <w:rFonts w:ascii="Times New Roman" w:hAnsi="Times New Roman" w:cs="Times New Roman"/>
          <w:sz w:val="24"/>
          <w:szCs w:val="24"/>
        </w:rPr>
        <w:t>.</w:t>
      </w:r>
      <w:r w:rsidR="005A764A">
        <w:rPr>
          <w:rFonts w:ascii="Times New Roman" w:hAnsi="Times New Roman" w:cs="Times New Roman"/>
          <w:sz w:val="24"/>
          <w:szCs w:val="24"/>
        </w:rPr>
        <w:t xml:space="preserve"> </w:t>
      </w:r>
      <w:r w:rsidR="0070053D" w:rsidRPr="007F1A0F">
        <w:rPr>
          <w:rFonts w:ascii="Times New Roman" w:hAnsi="Times New Roman" w:cs="Times New Roman"/>
          <w:sz w:val="24"/>
          <w:szCs w:val="24"/>
        </w:rPr>
        <w:t xml:space="preserve">However, </w:t>
      </w:r>
      <w:r w:rsidR="00BA25B8" w:rsidRPr="007F1A0F">
        <w:rPr>
          <w:rFonts w:ascii="Times New Roman" w:hAnsi="Times New Roman" w:cs="Times New Roman"/>
          <w:sz w:val="24"/>
          <w:szCs w:val="24"/>
        </w:rPr>
        <w:t>stock volatility</w:t>
      </w:r>
      <w:r w:rsidR="005A764A">
        <w:rPr>
          <w:rFonts w:ascii="Times New Roman" w:hAnsi="Times New Roman" w:cs="Times New Roman"/>
          <w:sz w:val="24"/>
          <w:szCs w:val="24"/>
        </w:rPr>
        <w:t xml:space="preserve"> </w:t>
      </w:r>
      <w:r w:rsidR="00756A4C">
        <w:rPr>
          <w:rFonts w:ascii="Times New Roman" w:hAnsi="Times New Roman" w:cs="Times New Roman"/>
          <w:sz w:val="24"/>
          <w:szCs w:val="24"/>
        </w:rPr>
        <w:t xml:space="preserve">increased </w:t>
      </w:r>
      <w:r w:rsidR="00B90BFC" w:rsidRPr="007F1A0F">
        <w:rPr>
          <w:rFonts w:ascii="Times New Roman" w:hAnsi="Times New Roman" w:cs="Times New Roman"/>
          <w:sz w:val="24"/>
          <w:szCs w:val="24"/>
        </w:rPr>
        <w:t xml:space="preserve">integration. </w:t>
      </w:r>
      <w:r w:rsidR="002A3C2C" w:rsidRPr="007F1A0F">
        <w:rPr>
          <w:rFonts w:ascii="Times New Roman" w:hAnsi="Times New Roman" w:cs="Times New Roman"/>
          <w:sz w:val="24"/>
          <w:szCs w:val="24"/>
        </w:rPr>
        <w:t>Overall</w:t>
      </w:r>
      <w:r w:rsidR="00D83FBD" w:rsidRPr="007F1A0F">
        <w:rPr>
          <w:rFonts w:ascii="Times New Roman" w:hAnsi="Times New Roman" w:cs="Times New Roman"/>
          <w:sz w:val="24"/>
          <w:szCs w:val="24"/>
        </w:rPr>
        <w:t>, pegged exchange rates did little to promote stock market integration.</w:t>
      </w:r>
      <w:r w:rsidR="005A764A">
        <w:rPr>
          <w:rFonts w:ascii="Times New Roman" w:hAnsi="Times New Roman" w:cs="Times New Roman"/>
          <w:sz w:val="24"/>
          <w:szCs w:val="24"/>
        </w:rPr>
        <w:t xml:space="preserve"> </w:t>
      </w:r>
      <w:r w:rsidR="00D83FBD" w:rsidRPr="007F1A0F">
        <w:rPr>
          <w:rFonts w:ascii="Times New Roman" w:hAnsi="Times New Roman" w:cs="Times New Roman"/>
          <w:sz w:val="24"/>
          <w:szCs w:val="24"/>
        </w:rPr>
        <w:t>This result is consistent with findings that financial market integration was limited under</w:t>
      </w:r>
      <w:r w:rsidR="002A151B" w:rsidRPr="007F1A0F">
        <w:rPr>
          <w:rFonts w:ascii="Times New Roman" w:hAnsi="Times New Roman" w:cs="Times New Roman"/>
          <w:sz w:val="24"/>
          <w:szCs w:val="24"/>
        </w:rPr>
        <w:t xml:space="preserve"> the</w:t>
      </w:r>
      <w:r w:rsidR="00D83FBD" w:rsidRPr="007F1A0F">
        <w:rPr>
          <w:rFonts w:ascii="Times New Roman" w:hAnsi="Times New Roman" w:cs="Times New Roman"/>
          <w:sz w:val="24"/>
          <w:szCs w:val="24"/>
        </w:rPr>
        <w:t xml:space="preserve"> BW</w:t>
      </w:r>
      <w:r w:rsidR="002A151B" w:rsidRPr="007F1A0F">
        <w:rPr>
          <w:rFonts w:ascii="Times New Roman" w:hAnsi="Times New Roman" w:cs="Times New Roman"/>
          <w:sz w:val="24"/>
          <w:szCs w:val="24"/>
        </w:rPr>
        <w:t xml:space="preserve"> fixed exchange rate</w:t>
      </w:r>
      <w:r w:rsidR="00D83FBD" w:rsidRPr="007F1A0F">
        <w:rPr>
          <w:rFonts w:ascii="Times New Roman" w:hAnsi="Times New Roman" w:cs="Times New Roman"/>
          <w:sz w:val="24"/>
          <w:szCs w:val="24"/>
        </w:rPr>
        <w:t xml:space="preserve"> regime (see </w:t>
      </w:r>
      <w:r w:rsidR="00915E16" w:rsidRPr="007F1A0F">
        <w:rPr>
          <w:rFonts w:ascii="Times New Roman" w:hAnsi="Times New Roman" w:cs="Times New Roman"/>
          <w:sz w:val="24"/>
          <w:szCs w:val="24"/>
        </w:rPr>
        <w:t>Bordo, 1993</w:t>
      </w:r>
      <w:r w:rsidR="000B3F5F">
        <w:rPr>
          <w:rFonts w:ascii="Times New Roman" w:hAnsi="Times New Roman" w:cs="Times New Roman"/>
          <w:sz w:val="24"/>
          <w:szCs w:val="24"/>
        </w:rPr>
        <w:t>;</w:t>
      </w:r>
      <w:r w:rsidR="005A764A">
        <w:rPr>
          <w:rFonts w:ascii="Times New Roman" w:hAnsi="Times New Roman" w:cs="Times New Roman"/>
          <w:sz w:val="24"/>
          <w:szCs w:val="24"/>
        </w:rPr>
        <w:t xml:space="preserve"> </w:t>
      </w:r>
      <w:r w:rsidR="00E60EE8" w:rsidRPr="007F1A0F">
        <w:rPr>
          <w:rFonts w:ascii="Times New Roman" w:hAnsi="Times New Roman" w:cs="Times New Roman"/>
          <w:sz w:val="24"/>
          <w:szCs w:val="24"/>
        </w:rPr>
        <w:t>Marston, 1997).</w:t>
      </w:r>
      <w:r w:rsidR="004974A3">
        <w:rPr>
          <w:rFonts w:ascii="Times New Roman" w:hAnsi="Times New Roman" w:cs="Times New Roman"/>
          <w:sz w:val="24"/>
          <w:szCs w:val="24"/>
        </w:rPr>
        <w:t xml:space="preserve"> </w:t>
      </w:r>
      <w:r w:rsidR="003129A7" w:rsidRPr="007F1A0F">
        <w:rPr>
          <w:rFonts w:ascii="Times New Roman" w:hAnsi="Times New Roman" w:cs="Times New Roman"/>
          <w:sz w:val="24"/>
          <w:szCs w:val="24"/>
        </w:rPr>
        <w:t>Thus</w:t>
      </w:r>
      <w:r w:rsidR="0093386E" w:rsidRPr="007F1A0F">
        <w:rPr>
          <w:rFonts w:ascii="Times New Roman" w:hAnsi="Times New Roman" w:cs="Times New Roman"/>
          <w:sz w:val="24"/>
          <w:szCs w:val="24"/>
        </w:rPr>
        <w:t>,</w:t>
      </w:r>
      <w:r w:rsidR="00BA25B8" w:rsidRPr="007F1A0F">
        <w:rPr>
          <w:rFonts w:ascii="Times New Roman" w:hAnsi="Times New Roman" w:cs="Times New Roman"/>
          <w:sz w:val="24"/>
          <w:szCs w:val="24"/>
        </w:rPr>
        <w:t xml:space="preserve"> this</w:t>
      </w:r>
      <w:r w:rsidR="003129A7" w:rsidRPr="007F1A0F">
        <w:rPr>
          <w:rFonts w:ascii="Times New Roman" w:hAnsi="Times New Roman" w:cs="Times New Roman"/>
          <w:sz w:val="24"/>
          <w:szCs w:val="24"/>
        </w:rPr>
        <w:t xml:space="preserve"> evidence seems to invalidate our</w:t>
      </w:r>
      <w:r w:rsidR="00BC0DD4" w:rsidRPr="007F1A0F">
        <w:rPr>
          <w:rFonts w:ascii="Times New Roman" w:hAnsi="Times New Roman" w:cs="Times New Roman"/>
          <w:sz w:val="24"/>
          <w:szCs w:val="24"/>
        </w:rPr>
        <w:t xml:space="preserve"> hypothesis that </w:t>
      </w:r>
      <w:r w:rsidR="00CE4933" w:rsidRPr="007F1A0F">
        <w:rPr>
          <w:rFonts w:ascii="Times New Roman" w:hAnsi="Times New Roman" w:cs="Times New Roman"/>
          <w:sz w:val="24"/>
          <w:szCs w:val="24"/>
        </w:rPr>
        <w:t xml:space="preserve">a </w:t>
      </w:r>
      <w:r w:rsidR="00BC0DD4" w:rsidRPr="007F1A0F">
        <w:rPr>
          <w:rFonts w:ascii="Times New Roman" w:hAnsi="Times New Roman" w:cs="Times New Roman"/>
          <w:sz w:val="24"/>
          <w:szCs w:val="24"/>
        </w:rPr>
        <w:t>fixed exchange regime should improve macroeconomic stability</w:t>
      </w:r>
      <w:r w:rsidR="003129A7" w:rsidRPr="007F1A0F">
        <w:rPr>
          <w:rFonts w:ascii="Times New Roman" w:hAnsi="Times New Roman" w:cs="Times New Roman"/>
          <w:sz w:val="24"/>
          <w:szCs w:val="24"/>
        </w:rPr>
        <w:t xml:space="preserve"> and then</w:t>
      </w:r>
      <w:r w:rsidR="00BC0DD4" w:rsidRPr="007F1A0F">
        <w:rPr>
          <w:rFonts w:ascii="Times New Roman" w:hAnsi="Times New Roman" w:cs="Times New Roman"/>
          <w:sz w:val="24"/>
          <w:szCs w:val="24"/>
        </w:rPr>
        <w:t xml:space="preserve"> stimulate stock market integration.</w:t>
      </w:r>
    </w:p>
    <w:p w:rsidR="000935BF" w:rsidRDefault="00327C70"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During the p</w:t>
      </w:r>
      <w:r w:rsidR="00A85D4C">
        <w:rPr>
          <w:rFonts w:ascii="Times New Roman" w:hAnsi="Times New Roman" w:cs="Times New Roman"/>
          <w:sz w:val="24"/>
          <w:szCs w:val="24"/>
        </w:rPr>
        <w:t>ost-BW</w:t>
      </w:r>
      <w:r w:rsidR="00BA63BA">
        <w:rPr>
          <w:rFonts w:ascii="Times New Roman" w:hAnsi="Times New Roman" w:cs="Times New Roman"/>
          <w:sz w:val="24"/>
          <w:szCs w:val="24"/>
        </w:rPr>
        <w:t xml:space="preserve"> </w:t>
      </w:r>
      <w:r w:rsidR="000935BF" w:rsidRPr="006853EA">
        <w:rPr>
          <w:rFonts w:ascii="Times New Roman" w:hAnsi="Times New Roman" w:cs="Times New Roman"/>
          <w:sz w:val="24"/>
          <w:szCs w:val="24"/>
        </w:rPr>
        <w:t>period</w:t>
      </w:r>
      <w:r w:rsidR="00B90BFC">
        <w:rPr>
          <w:rFonts w:ascii="Times New Roman" w:hAnsi="Times New Roman" w:cs="Times New Roman"/>
          <w:sz w:val="24"/>
          <w:szCs w:val="24"/>
        </w:rPr>
        <w:t xml:space="preserve"> (1971–2015)</w:t>
      </w:r>
      <w:r w:rsidR="00756A4C">
        <w:rPr>
          <w:rFonts w:ascii="Times New Roman" w:hAnsi="Times New Roman" w:cs="Times New Roman"/>
          <w:sz w:val="24"/>
          <w:szCs w:val="24"/>
        </w:rPr>
        <w:t>,</w:t>
      </w:r>
      <w:r w:rsidR="003368F6">
        <w:rPr>
          <w:rFonts w:ascii="Times New Roman" w:hAnsi="Times New Roman" w:cs="Times New Roman"/>
          <w:sz w:val="24"/>
          <w:szCs w:val="24"/>
        </w:rPr>
        <w:t xml:space="preserve"> convergence in </w:t>
      </w:r>
      <w:r w:rsidR="003368F6" w:rsidRPr="006853EA">
        <w:rPr>
          <w:rFonts w:ascii="Times New Roman" w:hAnsi="Times New Roman" w:cs="Times New Roman"/>
          <w:sz w:val="24"/>
          <w:szCs w:val="24"/>
        </w:rPr>
        <w:t>interest</w:t>
      </w:r>
      <w:r w:rsidR="00B57312">
        <w:rPr>
          <w:rFonts w:ascii="Times New Roman" w:hAnsi="Times New Roman" w:cs="Times New Roman"/>
          <w:sz w:val="24"/>
          <w:szCs w:val="24"/>
        </w:rPr>
        <w:t xml:space="preserve"> rates </w:t>
      </w:r>
      <w:r w:rsidR="000935BF" w:rsidRPr="006853EA">
        <w:rPr>
          <w:rFonts w:ascii="Times New Roman" w:hAnsi="Times New Roman" w:cs="Times New Roman"/>
          <w:sz w:val="24"/>
          <w:szCs w:val="24"/>
        </w:rPr>
        <w:t xml:space="preserve">significantly </w:t>
      </w:r>
      <w:r w:rsidR="00756A4C">
        <w:rPr>
          <w:rFonts w:ascii="Times New Roman" w:hAnsi="Times New Roman" w:cs="Times New Roman"/>
          <w:sz w:val="24"/>
          <w:szCs w:val="24"/>
        </w:rPr>
        <w:t xml:space="preserve">affected </w:t>
      </w:r>
      <w:r w:rsidR="000935BF" w:rsidRPr="006853EA">
        <w:rPr>
          <w:rFonts w:ascii="Times New Roman" w:hAnsi="Times New Roman" w:cs="Times New Roman"/>
          <w:sz w:val="24"/>
          <w:szCs w:val="24"/>
        </w:rPr>
        <w:t>integration</w:t>
      </w:r>
      <w:r w:rsidR="00756A4C">
        <w:rPr>
          <w:rFonts w:ascii="Times New Roman" w:hAnsi="Times New Roman" w:cs="Times New Roman"/>
          <w:sz w:val="24"/>
          <w:szCs w:val="24"/>
        </w:rPr>
        <w:t>,</w:t>
      </w:r>
      <w:r w:rsidR="00BA63BA">
        <w:rPr>
          <w:rFonts w:ascii="Times New Roman" w:hAnsi="Times New Roman" w:cs="Times New Roman"/>
          <w:sz w:val="24"/>
          <w:szCs w:val="24"/>
        </w:rPr>
        <w:t xml:space="preserve"> </w:t>
      </w:r>
      <w:r w:rsidR="00383DFC">
        <w:rPr>
          <w:rFonts w:ascii="Times New Roman" w:hAnsi="Times New Roman" w:cs="Times New Roman"/>
          <w:sz w:val="24"/>
          <w:szCs w:val="24"/>
        </w:rPr>
        <w:t>suggesting</w:t>
      </w:r>
      <w:r w:rsidR="003831B4">
        <w:rPr>
          <w:rFonts w:ascii="Times New Roman" w:hAnsi="Times New Roman" w:cs="Times New Roman"/>
          <w:sz w:val="24"/>
          <w:szCs w:val="24"/>
        </w:rPr>
        <w:t xml:space="preserve"> that the stock market</w:t>
      </w:r>
      <w:r w:rsidR="007F1A0F">
        <w:rPr>
          <w:rFonts w:ascii="Times New Roman" w:hAnsi="Times New Roman" w:cs="Times New Roman"/>
          <w:sz w:val="24"/>
          <w:szCs w:val="24"/>
        </w:rPr>
        <w:t>s were</w:t>
      </w:r>
      <w:r w:rsidR="00BA63BA">
        <w:rPr>
          <w:rFonts w:ascii="Times New Roman" w:hAnsi="Times New Roman" w:cs="Times New Roman"/>
          <w:sz w:val="24"/>
          <w:szCs w:val="24"/>
        </w:rPr>
        <w:t xml:space="preserve"> </w:t>
      </w:r>
      <w:r w:rsidR="003831B4">
        <w:rPr>
          <w:rFonts w:ascii="Times New Roman" w:hAnsi="Times New Roman" w:cs="Times New Roman"/>
          <w:sz w:val="24"/>
          <w:szCs w:val="24"/>
        </w:rPr>
        <w:t xml:space="preserve">more sensitive to interest rates than </w:t>
      </w:r>
      <w:r w:rsidR="00B753B4">
        <w:rPr>
          <w:rFonts w:ascii="Times New Roman" w:hAnsi="Times New Roman" w:cs="Times New Roman"/>
          <w:sz w:val="24"/>
          <w:szCs w:val="24"/>
        </w:rPr>
        <w:t xml:space="preserve">to </w:t>
      </w:r>
      <w:r w:rsidR="00216538">
        <w:rPr>
          <w:rFonts w:ascii="Times New Roman" w:hAnsi="Times New Roman" w:cs="Times New Roman"/>
          <w:sz w:val="24"/>
          <w:szCs w:val="24"/>
        </w:rPr>
        <w:t>other macroeconomic indicators</w:t>
      </w:r>
      <w:r w:rsidR="00AE5556">
        <w:rPr>
          <w:rFonts w:ascii="Times New Roman" w:hAnsi="Times New Roman" w:cs="Times New Roman"/>
          <w:sz w:val="24"/>
          <w:szCs w:val="24"/>
        </w:rPr>
        <w:t xml:space="preserve">. We </w:t>
      </w:r>
      <w:r w:rsidR="00D45445">
        <w:rPr>
          <w:rFonts w:ascii="Times New Roman" w:hAnsi="Times New Roman" w:cs="Times New Roman"/>
          <w:sz w:val="24"/>
          <w:szCs w:val="24"/>
        </w:rPr>
        <w:t>argue</w:t>
      </w:r>
      <w:r w:rsidR="00347B72">
        <w:rPr>
          <w:rFonts w:ascii="Times New Roman" w:hAnsi="Times New Roman" w:cs="Times New Roman"/>
          <w:sz w:val="24"/>
          <w:szCs w:val="24"/>
        </w:rPr>
        <w:t xml:space="preserve"> that</w:t>
      </w:r>
      <w:r w:rsidR="00AE5556">
        <w:rPr>
          <w:rFonts w:ascii="Times New Roman" w:hAnsi="Times New Roman" w:cs="Times New Roman"/>
          <w:sz w:val="24"/>
          <w:szCs w:val="24"/>
        </w:rPr>
        <w:t xml:space="preserve"> the effect of positive shocks </w:t>
      </w:r>
      <w:r w:rsidR="00B753B4">
        <w:rPr>
          <w:rFonts w:ascii="Times New Roman" w:hAnsi="Times New Roman" w:cs="Times New Roman"/>
          <w:sz w:val="24"/>
          <w:szCs w:val="24"/>
        </w:rPr>
        <w:t>o</w:t>
      </w:r>
      <w:r w:rsidR="00C818D0">
        <w:rPr>
          <w:rFonts w:ascii="Times New Roman" w:hAnsi="Times New Roman" w:cs="Times New Roman"/>
          <w:sz w:val="24"/>
          <w:szCs w:val="24"/>
        </w:rPr>
        <w:t xml:space="preserve">n </w:t>
      </w:r>
      <w:r w:rsidR="00AE5556">
        <w:rPr>
          <w:rFonts w:ascii="Times New Roman" w:hAnsi="Times New Roman" w:cs="Times New Roman"/>
          <w:sz w:val="24"/>
          <w:szCs w:val="24"/>
        </w:rPr>
        <w:t>yield spread</w:t>
      </w:r>
      <w:r w:rsidR="0077447D">
        <w:rPr>
          <w:rFonts w:ascii="Times New Roman" w:hAnsi="Times New Roman" w:cs="Times New Roman"/>
          <w:sz w:val="24"/>
          <w:szCs w:val="24"/>
        </w:rPr>
        <w:t>s</w:t>
      </w:r>
      <w:r w:rsidR="00BA63BA">
        <w:rPr>
          <w:rFonts w:ascii="Times New Roman" w:hAnsi="Times New Roman" w:cs="Times New Roman"/>
          <w:sz w:val="24"/>
          <w:szCs w:val="24"/>
        </w:rPr>
        <w:t xml:space="preserve"> </w:t>
      </w:r>
      <w:r w:rsidR="00B753B4">
        <w:rPr>
          <w:rFonts w:ascii="Times New Roman" w:hAnsi="Times New Roman" w:cs="Times New Roman"/>
          <w:sz w:val="24"/>
          <w:szCs w:val="24"/>
        </w:rPr>
        <w:t>is</w:t>
      </w:r>
      <w:r w:rsidR="00BA63BA">
        <w:rPr>
          <w:rFonts w:ascii="Times New Roman" w:hAnsi="Times New Roman" w:cs="Times New Roman"/>
          <w:sz w:val="24"/>
          <w:szCs w:val="24"/>
        </w:rPr>
        <w:t xml:space="preserve"> </w:t>
      </w:r>
      <w:r w:rsidR="00AE5556">
        <w:rPr>
          <w:rFonts w:ascii="Times New Roman" w:hAnsi="Times New Roman" w:cs="Times New Roman"/>
          <w:sz w:val="24"/>
          <w:szCs w:val="24"/>
        </w:rPr>
        <w:t xml:space="preserve">associated with expectations of </w:t>
      </w:r>
      <w:r w:rsidR="0077447D">
        <w:rPr>
          <w:rFonts w:ascii="Times New Roman" w:hAnsi="Times New Roman" w:cs="Times New Roman"/>
          <w:sz w:val="24"/>
          <w:szCs w:val="24"/>
        </w:rPr>
        <w:t xml:space="preserve">an </w:t>
      </w:r>
      <w:r w:rsidR="00AE5556">
        <w:rPr>
          <w:rFonts w:ascii="Times New Roman" w:hAnsi="Times New Roman" w:cs="Times New Roman"/>
          <w:sz w:val="24"/>
          <w:szCs w:val="24"/>
        </w:rPr>
        <w:t xml:space="preserve">expansionary </w:t>
      </w:r>
      <w:r w:rsidR="007F1A0F">
        <w:rPr>
          <w:rFonts w:ascii="Times New Roman" w:hAnsi="Times New Roman" w:cs="Times New Roman"/>
          <w:sz w:val="24"/>
          <w:szCs w:val="24"/>
        </w:rPr>
        <w:t>cycle</w:t>
      </w:r>
      <w:r w:rsidR="00AE5556">
        <w:rPr>
          <w:rFonts w:ascii="Times New Roman" w:hAnsi="Times New Roman" w:cs="Times New Roman"/>
          <w:sz w:val="24"/>
          <w:szCs w:val="24"/>
        </w:rPr>
        <w:t xml:space="preserve">, </w:t>
      </w:r>
      <w:r w:rsidR="000E2640">
        <w:rPr>
          <w:rFonts w:ascii="Times New Roman" w:hAnsi="Times New Roman" w:cs="Times New Roman"/>
          <w:sz w:val="24"/>
          <w:szCs w:val="24"/>
        </w:rPr>
        <w:t xml:space="preserve">so </w:t>
      </w:r>
      <w:r w:rsidR="00AE5556">
        <w:rPr>
          <w:rFonts w:ascii="Times New Roman" w:hAnsi="Times New Roman" w:cs="Times New Roman"/>
          <w:sz w:val="24"/>
          <w:szCs w:val="24"/>
        </w:rPr>
        <w:t>stock correlation increases when financial markets anticipate economic growth</w:t>
      </w:r>
      <w:r w:rsidR="007C5BC5">
        <w:rPr>
          <w:rFonts w:ascii="Times New Roman" w:hAnsi="Times New Roman" w:cs="Times New Roman"/>
          <w:sz w:val="24"/>
          <w:szCs w:val="24"/>
        </w:rPr>
        <w:t>.</w:t>
      </w:r>
      <w:r w:rsidR="00BA63BA">
        <w:rPr>
          <w:rFonts w:ascii="Times New Roman" w:hAnsi="Times New Roman" w:cs="Times New Roman"/>
          <w:sz w:val="24"/>
          <w:szCs w:val="24"/>
        </w:rPr>
        <w:t xml:space="preserve"> </w:t>
      </w:r>
      <w:r w:rsidR="000E2640">
        <w:rPr>
          <w:rFonts w:ascii="Times New Roman" w:hAnsi="Times New Roman" w:cs="Times New Roman"/>
          <w:sz w:val="24"/>
          <w:szCs w:val="24"/>
        </w:rPr>
        <w:t xml:space="preserve">Like </w:t>
      </w:r>
      <w:r w:rsidR="00F00E00">
        <w:rPr>
          <w:rFonts w:ascii="Times New Roman" w:hAnsi="Times New Roman" w:cs="Times New Roman"/>
          <w:sz w:val="24"/>
          <w:szCs w:val="24"/>
        </w:rPr>
        <w:t>Ki</w:t>
      </w:r>
      <w:r w:rsidR="0056357F">
        <w:rPr>
          <w:rFonts w:ascii="Times New Roman" w:hAnsi="Times New Roman" w:cs="Times New Roman"/>
          <w:sz w:val="24"/>
          <w:szCs w:val="24"/>
        </w:rPr>
        <w:t xml:space="preserve">zys and Pierdziorch (2006), </w:t>
      </w:r>
      <w:r w:rsidR="000E2640">
        <w:rPr>
          <w:rFonts w:ascii="Times New Roman" w:hAnsi="Times New Roman" w:cs="Times New Roman"/>
          <w:sz w:val="24"/>
          <w:szCs w:val="24"/>
        </w:rPr>
        <w:t xml:space="preserve">we find </w:t>
      </w:r>
      <w:r w:rsidR="0056357F">
        <w:rPr>
          <w:rFonts w:ascii="Times New Roman" w:hAnsi="Times New Roman" w:cs="Times New Roman"/>
          <w:sz w:val="24"/>
          <w:szCs w:val="24"/>
        </w:rPr>
        <w:t>no link between stock market integration and business cycle convergence.</w:t>
      </w:r>
      <w:r w:rsidR="00BA63BA">
        <w:rPr>
          <w:rFonts w:ascii="Times New Roman" w:hAnsi="Times New Roman" w:cs="Times New Roman"/>
          <w:sz w:val="24"/>
          <w:szCs w:val="24"/>
        </w:rPr>
        <w:t xml:space="preserve"> </w:t>
      </w:r>
      <w:r w:rsidR="009E5354">
        <w:rPr>
          <w:rFonts w:ascii="Times New Roman" w:hAnsi="Times New Roman" w:cs="Times New Roman"/>
          <w:sz w:val="24"/>
          <w:szCs w:val="24"/>
        </w:rPr>
        <w:t>Also in this</w:t>
      </w:r>
      <w:r w:rsidR="00BA63BA">
        <w:rPr>
          <w:rFonts w:ascii="Times New Roman" w:hAnsi="Times New Roman" w:cs="Times New Roman"/>
          <w:sz w:val="24"/>
          <w:szCs w:val="24"/>
        </w:rPr>
        <w:t xml:space="preserve"> </w:t>
      </w:r>
      <w:r w:rsidR="000E2640">
        <w:rPr>
          <w:rFonts w:ascii="Times New Roman" w:hAnsi="Times New Roman" w:cs="Times New Roman"/>
          <w:sz w:val="24"/>
          <w:szCs w:val="24"/>
        </w:rPr>
        <w:t>subperiod</w:t>
      </w:r>
      <w:r w:rsidR="009E5354">
        <w:rPr>
          <w:rFonts w:ascii="Times New Roman" w:hAnsi="Times New Roman" w:cs="Times New Roman"/>
          <w:sz w:val="24"/>
          <w:szCs w:val="24"/>
        </w:rPr>
        <w:t xml:space="preserve">, we find that </w:t>
      </w:r>
      <w:r w:rsidR="005B33B9">
        <w:rPr>
          <w:rFonts w:ascii="Times New Roman" w:hAnsi="Times New Roman" w:cs="Times New Roman"/>
          <w:sz w:val="24"/>
          <w:szCs w:val="24"/>
        </w:rPr>
        <w:t xml:space="preserve">stock market volatility </w:t>
      </w:r>
      <w:r w:rsidR="007C5BC5">
        <w:rPr>
          <w:rFonts w:ascii="Times New Roman" w:hAnsi="Times New Roman" w:cs="Times New Roman"/>
          <w:sz w:val="24"/>
          <w:szCs w:val="24"/>
        </w:rPr>
        <w:t>is positively associated with stock market integration</w:t>
      </w:r>
      <w:r w:rsidR="00674053">
        <w:rPr>
          <w:rFonts w:ascii="Times New Roman" w:hAnsi="Times New Roman" w:cs="Times New Roman"/>
          <w:sz w:val="24"/>
          <w:szCs w:val="24"/>
        </w:rPr>
        <w:t>.</w:t>
      </w:r>
      <w:r w:rsidR="00BA63BA">
        <w:rPr>
          <w:rFonts w:ascii="Times New Roman" w:hAnsi="Times New Roman" w:cs="Times New Roman"/>
          <w:sz w:val="24"/>
          <w:szCs w:val="24"/>
        </w:rPr>
        <w:t xml:space="preserve"> </w:t>
      </w:r>
      <w:r w:rsidR="00853874">
        <w:rPr>
          <w:rFonts w:ascii="Times New Roman" w:hAnsi="Times New Roman" w:cs="Times New Roman"/>
          <w:sz w:val="24"/>
          <w:szCs w:val="24"/>
        </w:rPr>
        <w:t>Similar to the results for the full period</w:t>
      </w:r>
      <w:r w:rsidR="005B33B9">
        <w:rPr>
          <w:rFonts w:ascii="Times New Roman" w:hAnsi="Times New Roman" w:cs="Times New Roman"/>
          <w:sz w:val="24"/>
          <w:szCs w:val="24"/>
        </w:rPr>
        <w:t>, the Asian and Russia</w:t>
      </w:r>
      <w:r w:rsidR="000E2640">
        <w:rPr>
          <w:rFonts w:ascii="Times New Roman" w:hAnsi="Times New Roman" w:cs="Times New Roman"/>
          <w:sz w:val="24"/>
          <w:szCs w:val="24"/>
        </w:rPr>
        <w:t>n</w:t>
      </w:r>
      <w:r w:rsidR="00853874">
        <w:rPr>
          <w:rFonts w:ascii="Times New Roman" w:hAnsi="Times New Roman" w:cs="Times New Roman"/>
          <w:sz w:val="24"/>
          <w:szCs w:val="24"/>
        </w:rPr>
        <w:t xml:space="preserve"> </w:t>
      </w:r>
      <w:r w:rsidR="000E2640">
        <w:rPr>
          <w:rFonts w:ascii="Times New Roman" w:hAnsi="Times New Roman" w:cs="Times New Roman"/>
          <w:sz w:val="24"/>
          <w:szCs w:val="24"/>
        </w:rPr>
        <w:t>c</w:t>
      </w:r>
      <w:r w:rsidR="005B33B9">
        <w:rPr>
          <w:rFonts w:ascii="Times New Roman" w:hAnsi="Times New Roman" w:cs="Times New Roman"/>
          <w:sz w:val="24"/>
          <w:szCs w:val="24"/>
        </w:rPr>
        <w:t>risis,</w:t>
      </w:r>
      <w:r w:rsidR="00853874">
        <w:rPr>
          <w:rFonts w:ascii="Times New Roman" w:hAnsi="Times New Roman" w:cs="Times New Roman"/>
          <w:sz w:val="24"/>
          <w:szCs w:val="24"/>
        </w:rPr>
        <w:t xml:space="preserve"> </w:t>
      </w:r>
      <w:r w:rsidR="000E2640">
        <w:rPr>
          <w:rFonts w:ascii="Times New Roman" w:hAnsi="Times New Roman" w:cs="Times New Roman"/>
          <w:sz w:val="24"/>
          <w:szCs w:val="24"/>
        </w:rPr>
        <w:t>d</w:t>
      </w:r>
      <w:r w:rsidR="00D70F9A">
        <w:rPr>
          <w:rFonts w:ascii="Times New Roman" w:hAnsi="Times New Roman" w:cs="Times New Roman"/>
          <w:sz w:val="24"/>
          <w:szCs w:val="24"/>
        </w:rPr>
        <w:t>ot-</w:t>
      </w:r>
      <w:r w:rsidR="000E2640">
        <w:rPr>
          <w:rFonts w:ascii="Times New Roman" w:hAnsi="Times New Roman" w:cs="Times New Roman"/>
          <w:sz w:val="24"/>
          <w:szCs w:val="24"/>
        </w:rPr>
        <w:t>c</w:t>
      </w:r>
      <w:r w:rsidR="00D70F9A">
        <w:rPr>
          <w:rFonts w:ascii="Times New Roman" w:hAnsi="Times New Roman" w:cs="Times New Roman"/>
          <w:sz w:val="24"/>
          <w:szCs w:val="24"/>
        </w:rPr>
        <w:t>om</w:t>
      </w:r>
      <w:r w:rsidR="00853874">
        <w:rPr>
          <w:rFonts w:ascii="Times New Roman" w:hAnsi="Times New Roman" w:cs="Times New Roman"/>
          <w:sz w:val="24"/>
          <w:szCs w:val="24"/>
        </w:rPr>
        <w:t xml:space="preserve"> </w:t>
      </w:r>
      <w:r w:rsidR="00696DEF">
        <w:rPr>
          <w:rFonts w:ascii="Times New Roman" w:hAnsi="Times New Roman" w:cs="Times New Roman"/>
          <w:sz w:val="24"/>
          <w:szCs w:val="24"/>
        </w:rPr>
        <w:t>burst</w:t>
      </w:r>
      <w:r w:rsidR="00D70F9A">
        <w:rPr>
          <w:rFonts w:ascii="Times New Roman" w:hAnsi="Times New Roman" w:cs="Times New Roman"/>
          <w:sz w:val="24"/>
          <w:szCs w:val="24"/>
        </w:rPr>
        <w:t>,</w:t>
      </w:r>
      <w:r w:rsidR="005B33B9">
        <w:rPr>
          <w:rFonts w:ascii="Times New Roman" w:hAnsi="Times New Roman" w:cs="Times New Roman"/>
          <w:sz w:val="24"/>
          <w:szCs w:val="24"/>
        </w:rPr>
        <w:t xml:space="preserve"> Iraq War</w:t>
      </w:r>
      <w:r w:rsidR="00D70F9A">
        <w:rPr>
          <w:rFonts w:ascii="Times New Roman" w:hAnsi="Times New Roman" w:cs="Times New Roman"/>
          <w:sz w:val="24"/>
          <w:szCs w:val="24"/>
        </w:rPr>
        <w:t xml:space="preserve">, </w:t>
      </w:r>
      <w:r w:rsidR="000E2640">
        <w:rPr>
          <w:rFonts w:ascii="Times New Roman" w:hAnsi="Times New Roman" w:cs="Times New Roman"/>
          <w:sz w:val="24"/>
          <w:szCs w:val="24"/>
        </w:rPr>
        <w:t>g</w:t>
      </w:r>
      <w:r w:rsidR="00D70F9A">
        <w:rPr>
          <w:rFonts w:ascii="Times New Roman" w:hAnsi="Times New Roman" w:cs="Times New Roman"/>
          <w:sz w:val="24"/>
          <w:szCs w:val="24"/>
        </w:rPr>
        <w:t>lobal</w:t>
      </w:r>
      <w:r w:rsidR="00853874">
        <w:rPr>
          <w:rFonts w:ascii="Times New Roman" w:hAnsi="Times New Roman" w:cs="Times New Roman"/>
          <w:sz w:val="24"/>
          <w:szCs w:val="24"/>
        </w:rPr>
        <w:t xml:space="preserve"> </w:t>
      </w:r>
      <w:r w:rsidR="000E2640">
        <w:rPr>
          <w:rFonts w:ascii="Times New Roman" w:hAnsi="Times New Roman" w:cs="Times New Roman"/>
          <w:sz w:val="24"/>
          <w:szCs w:val="24"/>
        </w:rPr>
        <w:t>f</w:t>
      </w:r>
      <w:r w:rsidR="009503AF">
        <w:rPr>
          <w:rFonts w:ascii="Times New Roman" w:hAnsi="Times New Roman" w:cs="Times New Roman"/>
          <w:sz w:val="24"/>
          <w:szCs w:val="24"/>
        </w:rPr>
        <w:t xml:space="preserve">inancial </w:t>
      </w:r>
      <w:r w:rsidR="000E2640">
        <w:rPr>
          <w:rFonts w:ascii="Times New Roman" w:hAnsi="Times New Roman" w:cs="Times New Roman"/>
          <w:sz w:val="24"/>
          <w:szCs w:val="24"/>
        </w:rPr>
        <w:t>c</w:t>
      </w:r>
      <w:r w:rsidR="009503AF">
        <w:rPr>
          <w:rFonts w:ascii="Times New Roman" w:hAnsi="Times New Roman" w:cs="Times New Roman"/>
          <w:sz w:val="24"/>
          <w:szCs w:val="24"/>
        </w:rPr>
        <w:t>risis</w:t>
      </w:r>
      <w:r w:rsidR="000E2640">
        <w:rPr>
          <w:rFonts w:ascii="Times New Roman" w:hAnsi="Times New Roman" w:cs="Times New Roman"/>
          <w:sz w:val="24"/>
          <w:szCs w:val="24"/>
        </w:rPr>
        <w:t>,</w:t>
      </w:r>
      <w:r w:rsidR="009503AF">
        <w:rPr>
          <w:rFonts w:ascii="Times New Roman" w:hAnsi="Times New Roman" w:cs="Times New Roman"/>
          <w:sz w:val="24"/>
          <w:szCs w:val="24"/>
        </w:rPr>
        <w:t xml:space="preserve"> and Eurozone </w:t>
      </w:r>
      <w:r w:rsidR="000E2640">
        <w:rPr>
          <w:rFonts w:ascii="Times New Roman" w:hAnsi="Times New Roman" w:cs="Times New Roman"/>
          <w:sz w:val="24"/>
          <w:szCs w:val="24"/>
        </w:rPr>
        <w:t>d</w:t>
      </w:r>
      <w:r w:rsidR="009503AF">
        <w:rPr>
          <w:rFonts w:ascii="Times New Roman" w:hAnsi="Times New Roman" w:cs="Times New Roman"/>
          <w:sz w:val="24"/>
          <w:szCs w:val="24"/>
        </w:rPr>
        <w:t xml:space="preserve">ebt </w:t>
      </w:r>
      <w:r w:rsidR="000E2640">
        <w:rPr>
          <w:rFonts w:ascii="Times New Roman" w:hAnsi="Times New Roman" w:cs="Times New Roman"/>
          <w:sz w:val="24"/>
          <w:szCs w:val="24"/>
        </w:rPr>
        <w:t>c</w:t>
      </w:r>
      <w:r w:rsidR="00D70F9A">
        <w:rPr>
          <w:rFonts w:ascii="Times New Roman" w:hAnsi="Times New Roman" w:cs="Times New Roman"/>
          <w:sz w:val="24"/>
          <w:szCs w:val="24"/>
        </w:rPr>
        <w:t>risis</w:t>
      </w:r>
      <w:r w:rsidR="00853874">
        <w:rPr>
          <w:rFonts w:ascii="Times New Roman" w:hAnsi="Times New Roman" w:cs="Times New Roman"/>
          <w:sz w:val="24"/>
          <w:szCs w:val="24"/>
        </w:rPr>
        <w:t xml:space="preserve"> </w:t>
      </w:r>
      <w:r w:rsidR="005B33B9">
        <w:rPr>
          <w:rFonts w:ascii="Times New Roman" w:hAnsi="Times New Roman" w:cs="Times New Roman"/>
          <w:sz w:val="24"/>
          <w:szCs w:val="24"/>
        </w:rPr>
        <w:t>exerted</w:t>
      </w:r>
      <w:r w:rsidR="00853874">
        <w:rPr>
          <w:rFonts w:ascii="Times New Roman" w:hAnsi="Times New Roman" w:cs="Times New Roman"/>
          <w:sz w:val="24"/>
          <w:szCs w:val="24"/>
        </w:rPr>
        <w:t xml:space="preserve"> </w:t>
      </w:r>
      <w:r w:rsidR="005B33B9">
        <w:rPr>
          <w:rFonts w:ascii="Times New Roman" w:hAnsi="Times New Roman" w:cs="Times New Roman"/>
          <w:sz w:val="24"/>
          <w:szCs w:val="24"/>
        </w:rPr>
        <w:t>positive</w:t>
      </w:r>
      <w:r w:rsidR="00FD606B">
        <w:rPr>
          <w:rFonts w:ascii="Times New Roman" w:hAnsi="Times New Roman" w:cs="Times New Roman"/>
          <w:sz w:val="24"/>
          <w:szCs w:val="24"/>
        </w:rPr>
        <w:t xml:space="preserve"> and</w:t>
      </w:r>
      <w:r w:rsidR="005B33B9">
        <w:rPr>
          <w:rFonts w:ascii="Times New Roman" w:hAnsi="Times New Roman" w:cs="Times New Roman"/>
          <w:sz w:val="24"/>
          <w:szCs w:val="24"/>
        </w:rPr>
        <w:t xml:space="preserve"> significant imp</w:t>
      </w:r>
      <w:r w:rsidR="00D70F9A">
        <w:rPr>
          <w:rFonts w:ascii="Times New Roman" w:hAnsi="Times New Roman" w:cs="Times New Roman"/>
          <w:sz w:val="24"/>
          <w:szCs w:val="24"/>
        </w:rPr>
        <w:t>act</w:t>
      </w:r>
      <w:r w:rsidR="00B753B4">
        <w:rPr>
          <w:rFonts w:ascii="Times New Roman" w:hAnsi="Times New Roman" w:cs="Times New Roman"/>
          <w:sz w:val="24"/>
          <w:szCs w:val="24"/>
        </w:rPr>
        <w:t>s</w:t>
      </w:r>
      <w:r w:rsidR="00D70F9A">
        <w:rPr>
          <w:rFonts w:ascii="Times New Roman" w:hAnsi="Times New Roman" w:cs="Times New Roman"/>
          <w:sz w:val="24"/>
          <w:szCs w:val="24"/>
        </w:rPr>
        <w:t xml:space="preserve"> on stock market integration.</w:t>
      </w:r>
    </w:p>
    <w:p w:rsidR="001E73AD" w:rsidRDefault="001E73AD" w:rsidP="00AF6503">
      <w:pPr>
        <w:spacing w:after="0" w:line="480" w:lineRule="auto"/>
        <w:ind w:right="282" w:firstLine="720"/>
        <w:rPr>
          <w:rFonts w:ascii="Times New Roman" w:hAnsi="Times New Roman" w:cs="Times New Roman"/>
          <w:sz w:val="24"/>
          <w:szCs w:val="24"/>
        </w:rPr>
      </w:pPr>
      <w:r w:rsidRPr="006853EA">
        <w:rPr>
          <w:rFonts w:ascii="Times New Roman" w:hAnsi="Times New Roman" w:cs="Times New Roman"/>
          <w:sz w:val="24"/>
          <w:szCs w:val="24"/>
        </w:rPr>
        <w:t xml:space="preserve">In summary, </w:t>
      </w:r>
      <w:r>
        <w:rPr>
          <w:rFonts w:ascii="Times New Roman" w:hAnsi="Times New Roman" w:cs="Times New Roman"/>
          <w:sz w:val="24"/>
          <w:szCs w:val="24"/>
        </w:rPr>
        <w:t>our</w:t>
      </w:r>
      <w:r w:rsidRPr="006853EA">
        <w:rPr>
          <w:rFonts w:ascii="Times New Roman" w:hAnsi="Times New Roman" w:cs="Times New Roman"/>
          <w:sz w:val="24"/>
          <w:szCs w:val="24"/>
        </w:rPr>
        <w:t xml:space="preserve"> evidence</w:t>
      </w:r>
      <w:r>
        <w:rPr>
          <w:rFonts w:ascii="Times New Roman" w:hAnsi="Times New Roman" w:cs="Times New Roman"/>
          <w:sz w:val="24"/>
          <w:szCs w:val="24"/>
        </w:rPr>
        <w:t xml:space="preserve"> shows that</w:t>
      </w:r>
      <w:r w:rsidRPr="006853EA">
        <w:rPr>
          <w:rFonts w:ascii="Times New Roman" w:hAnsi="Times New Roman" w:cs="Times New Roman"/>
          <w:sz w:val="24"/>
          <w:szCs w:val="24"/>
        </w:rPr>
        <w:t xml:space="preserve"> macroeconomic fundamentals</w:t>
      </w:r>
      <w:r>
        <w:rPr>
          <w:rFonts w:ascii="Times New Roman" w:hAnsi="Times New Roman" w:cs="Times New Roman"/>
          <w:sz w:val="24"/>
          <w:szCs w:val="24"/>
        </w:rPr>
        <w:t>,</w:t>
      </w:r>
      <w:r w:rsidRPr="006853EA">
        <w:rPr>
          <w:rFonts w:ascii="Times New Roman" w:hAnsi="Times New Roman" w:cs="Times New Roman"/>
          <w:sz w:val="24"/>
          <w:szCs w:val="24"/>
        </w:rPr>
        <w:t xml:space="preserve"> financial </w:t>
      </w:r>
      <w:r>
        <w:rPr>
          <w:rFonts w:ascii="Times New Roman" w:hAnsi="Times New Roman" w:cs="Times New Roman"/>
          <w:sz w:val="24"/>
          <w:szCs w:val="24"/>
        </w:rPr>
        <w:t xml:space="preserve">volatility, </w:t>
      </w:r>
      <w:r w:rsidR="000E2640">
        <w:rPr>
          <w:rFonts w:ascii="Times New Roman" w:hAnsi="Times New Roman" w:cs="Times New Roman"/>
          <w:sz w:val="24"/>
          <w:szCs w:val="24"/>
        </w:rPr>
        <w:t xml:space="preserve">and </w:t>
      </w:r>
      <w:r w:rsidR="00664CDC">
        <w:rPr>
          <w:rFonts w:ascii="Times New Roman" w:hAnsi="Times New Roman" w:cs="Times New Roman"/>
          <w:sz w:val="24"/>
          <w:szCs w:val="24"/>
        </w:rPr>
        <w:t>cris</w:t>
      </w:r>
      <w:r w:rsidR="000E2640">
        <w:rPr>
          <w:rFonts w:ascii="Times New Roman" w:hAnsi="Times New Roman" w:cs="Times New Roman"/>
          <w:sz w:val="24"/>
          <w:szCs w:val="24"/>
        </w:rPr>
        <w:t>e</w:t>
      </w:r>
      <w:r w:rsidR="00664CDC">
        <w:rPr>
          <w:rFonts w:ascii="Times New Roman" w:hAnsi="Times New Roman" w:cs="Times New Roman"/>
          <w:sz w:val="24"/>
          <w:szCs w:val="24"/>
        </w:rPr>
        <w:t>s</w:t>
      </w:r>
      <w:r w:rsidR="00853874">
        <w:rPr>
          <w:rFonts w:ascii="Times New Roman" w:hAnsi="Times New Roman" w:cs="Times New Roman"/>
          <w:sz w:val="24"/>
          <w:szCs w:val="24"/>
        </w:rPr>
        <w:t xml:space="preserve"> episodes </w:t>
      </w:r>
      <w:r w:rsidRPr="006853EA">
        <w:rPr>
          <w:rFonts w:ascii="Times New Roman" w:hAnsi="Times New Roman" w:cs="Times New Roman"/>
          <w:sz w:val="24"/>
          <w:szCs w:val="24"/>
        </w:rPr>
        <w:t>have influenced the evolution of stock market integration</w:t>
      </w:r>
      <w:r>
        <w:rPr>
          <w:rFonts w:ascii="Times New Roman" w:hAnsi="Times New Roman" w:cs="Times New Roman"/>
          <w:sz w:val="24"/>
          <w:szCs w:val="24"/>
        </w:rPr>
        <w:t xml:space="preserve">. </w:t>
      </w:r>
      <w:r w:rsidR="000D0DD5">
        <w:rPr>
          <w:rFonts w:ascii="Times New Roman" w:hAnsi="Times New Roman" w:cs="Times New Roman"/>
          <w:sz w:val="24"/>
          <w:szCs w:val="24"/>
        </w:rPr>
        <w:t>Over time</w:t>
      </w:r>
      <w:r w:rsidR="00FD606B">
        <w:rPr>
          <w:rFonts w:ascii="Times New Roman" w:hAnsi="Times New Roman" w:cs="Times New Roman"/>
          <w:sz w:val="24"/>
          <w:szCs w:val="24"/>
        </w:rPr>
        <w:t>,</w:t>
      </w:r>
      <w:r w:rsidR="000D0DD5">
        <w:rPr>
          <w:rFonts w:ascii="Times New Roman" w:hAnsi="Times New Roman" w:cs="Times New Roman"/>
          <w:sz w:val="24"/>
          <w:szCs w:val="24"/>
        </w:rPr>
        <w:t xml:space="preserve"> the relative importance of the macroeconomic determinants of</w:t>
      </w:r>
      <w:r w:rsidR="00D2181B">
        <w:rPr>
          <w:rFonts w:ascii="Times New Roman" w:hAnsi="Times New Roman" w:cs="Times New Roman"/>
          <w:sz w:val="24"/>
          <w:szCs w:val="24"/>
        </w:rPr>
        <w:t xml:space="preserve"> stock</w:t>
      </w:r>
      <w:r w:rsidR="000D0DD5">
        <w:rPr>
          <w:rFonts w:ascii="Times New Roman" w:hAnsi="Times New Roman" w:cs="Times New Roman"/>
          <w:sz w:val="24"/>
          <w:szCs w:val="24"/>
        </w:rPr>
        <w:t xml:space="preserve"> market </w:t>
      </w:r>
      <w:r w:rsidR="00D2181B">
        <w:rPr>
          <w:rFonts w:ascii="Times New Roman" w:hAnsi="Times New Roman" w:cs="Times New Roman"/>
          <w:sz w:val="24"/>
          <w:szCs w:val="24"/>
        </w:rPr>
        <w:t>integration</w:t>
      </w:r>
      <w:r w:rsidR="000D0DD5">
        <w:rPr>
          <w:rFonts w:ascii="Times New Roman" w:hAnsi="Times New Roman" w:cs="Times New Roman"/>
          <w:sz w:val="24"/>
          <w:szCs w:val="24"/>
        </w:rPr>
        <w:t xml:space="preserve"> varies, with different indicators becom</w:t>
      </w:r>
      <w:r w:rsidR="000E2640">
        <w:rPr>
          <w:rFonts w:ascii="Times New Roman" w:hAnsi="Times New Roman" w:cs="Times New Roman"/>
          <w:sz w:val="24"/>
          <w:szCs w:val="24"/>
        </w:rPr>
        <w:t>ing</w:t>
      </w:r>
      <w:r w:rsidR="000D0DD5">
        <w:rPr>
          <w:rFonts w:ascii="Times New Roman" w:hAnsi="Times New Roman" w:cs="Times New Roman"/>
          <w:sz w:val="24"/>
          <w:szCs w:val="24"/>
        </w:rPr>
        <w:t xml:space="preserve"> more or less </w:t>
      </w:r>
      <w:r w:rsidR="000E2640">
        <w:rPr>
          <w:rFonts w:ascii="Times New Roman" w:hAnsi="Times New Roman" w:cs="Times New Roman"/>
          <w:sz w:val="24"/>
          <w:szCs w:val="24"/>
        </w:rPr>
        <w:t xml:space="preserve">influential </w:t>
      </w:r>
      <w:r w:rsidR="000D0DD5">
        <w:rPr>
          <w:rFonts w:ascii="Times New Roman" w:hAnsi="Times New Roman" w:cs="Times New Roman"/>
          <w:sz w:val="24"/>
          <w:szCs w:val="24"/>
        </w:rPr>
        <w:t xml:space="preserve">depending on the features of the underlying regimes.   </w:t>
      </w:r>
    </w:p>
    <w:p w:rsidR="004578C2" w:rsidRPr="00AF6503" w:rsidRDefault="00A8755D" w:rsidP="00AF6503">
      <w:pPr>
        <w:pStyle w:val="Heading2"/>
        <w:spacing w:before="0" w:line="480" w:lineRule="auto"/>
        <w:rPr>
          <w:rFonts w:ascii="Times New Roman" w:hAnsi="Times New Roman" w:cs="Times New Roman"/>
          <w:b w:val="0"/>
          <w:i/>
          <w:color w:val="auto"/>
          <w:sz w:val="24"/>
          <w:szCs w:val="24"/>
        </w:rPr>
      </w:pPr>
      <w:r w:rsidRPr="00AF6503">
        <w:rPr>
          <w:rFonts w:ascii="Times New Roman" w:hAnsi="Times New Roman" w:cs="Times New Roman"/>
          <w:b w:val="0"/>
          <w:i/>
          <w:color w:val="auto"/>
          <w:sz w:val="24"/>
          <w:szCs w:val="24"/>
        </w:rPr>
        <w:t>6.3</w:t>
      </w:r>
      <w:r w:rsidR="007F2EF3">
        <w:rPr>
          <w:rFonts w:ascii="Times New Roman" w:hAnsi="Times New Roman" w:cs="Times New Roman"/>
          <w:b w:val="0"/>
          <w:i/>
          <w:color w:val="auto"/>
          <w:sz w:val="24"/>
          <w:szCs w:val="24"/>
        </w:rPr>
        <w:t>.</w:t>
      </w:r>
      <w:r w:rsidRPr="00AF6503">
        <w:rPr>
          <w:rFonts w:ascii="Times New Roman" w:hAnsi="Times New Roman" w:cs="Times New Roman"/>
          <w:b w:val="0"/>
          <w:i/>
          <w:color w:val="auto"/>
          <w:sz w:val="24"/>
          <w:szCs w:val="24"/>
        </w:rPr>
        <w:tab/>
      </w:r>
      <w:r w:rsidR="004578C2" w:rsidRPr="00AF6503">
        <w:rPr>
          <w:rFonts w:ascii="Times New Roman" w:hAnsi="Times New Roman" w:cs="Times New Roman"/>
          <w:b w:val="0"/>
          <w:i/>
          <w:color w:val="auto"/>
          <w:sz w:val="24"/>
          <w:szCs w:val="24"/>
        </w:rPr>
        <w:t xml:space="preserve">Robustness </w:t>
      </w:r>
      <w:r w:rsidR="0075422D" w:rsidRPr="00AF6503">
        <w:rPr>
          <w:rFonts w:ascii="Times New Roman" w:hAnsi="Times New Roman" w:cs="Times New Roman"/>
          <w:b w:val="0"/>
          <w:i/>
          <w:color w:val="auto"/>
          <w:sz w:val="24"/>
          <w:szCs w:val="24"/>
        </w:rPr>
        <w:t>c</w:t>
      </w:r>
      <w:r w:rsidR="004578C2" w:rsidRPr="00AF6503">
        <w:rPr>
          <w:rFonts w:ascii="Times New Roman" w:hAnsi="Times New Roman" w:cs="Times New Roman"/>
          <w:b w:val="0"/>
          <w:i/>
          <w:color w:val="auto"/>
          <w:sz w:val="24"/>
          <w:szCs w:val="24"/>
        </w:rPr>
        <w:t>hecks</w:t>
      </w:r>
    </w:p>
    <w:p w:rsidR="00FD6DEF" w:rsidRPr="0097743D" w:rsidRDefault="00652FA0" w:rsidP="00AF6503">
      <w:pPr>
        <w:spacing w:after="0" w:line="480" w:lineRule="auto"/>
        <w:ind w:right="282" w:firstLine="720"/>
        <w:rPr>
          <w:rFonts w:ascii="Times New Roman" w:hAnsi="Times New Roman" w:cs="Times New Roman"/>
          <w:sz w:val="24"/>
          <w:szCs w:val="24"/>
        </w:rPr>
      </w:pPr>
      <w:r>
        <w:rPr>
          <w:rFonts w:ascii="Times New Roman" w:hAnsi="Times New Roman" w:cs="Times New Roman"/>
          <w:sz w:val="24"/>
          <w:szCs w:val="24"/>
        </w:rPr>
        <w:t>To investigate whether our results are driven by outliers in the correlation index, w</w:t>
      </w:r>
      <w:r w:rsidR="0002582A">
        <w:rPr>
          <w:rFonts w:ascii="Times New Roman" w:hAnsi="Times New Roman" w:cs="Times New Roman"/>
          <w:sz w:val="24"/>
          <w:szCs w:val="24"/>
        </w:rPr>
        <w:t>e</w:t>
      </w:r>
      <w:r w:rsidR="00484994">
        <w:rPr>
          <w:rFonts w:ascii="Times New Roman" w:hAnsi="Times New Roman" w:cs="Times New Roman"/>
          <w:sz w:val="24"/>
          <w:szCs w:val="24"/>
        </w:rPr>
        <w:t xml:space="preserve"> </w:t>
      </w:r>
      <w:r>
        <w:rPr>
          <w:rFonts w:ascii="Times New Roman" w:hAnsi="Times New Roman" w:cs="Times New Roman"/>
          <w:sz w:val="24"/>
          <w:szCs w:val="24"/>
        </w:rPr>
        <w:t>first re</w:t>
      </w:r>
      <w:r w:rsidR="009F1239">
        <w:rPr>
          <w:rFonts w:ascii="Times New Roman" w:hAnsi="Times New Roman" w:cs="Times New Roman"/>
          <w:sz w:val="24"/>
          <w:szCs w:val="24"/>
        </w:rPr>
        <w:t>-</w:t>
      </w:r>
      <w:r w:rsidR="00EA7584" w:rsidRPr="0097743D">
        <w:rPr>
          <w:rFonts w:ascii="Times New Roman" w:hAnsi="Times New Roman" w:cs="Times New Roman"/>
          <w:sz w:val="24"/>
          <w:szCs w:val="24"/>
        </w:rPr>
        <w:t>estimate eq</w:t>
      </w:r>
      <w:r w:rsidR="00AA2AE4">
        <w:rPr>
          <w:rFonts w:ascii="Times New Roman" w:hAnsi="Times New Roman" w:cs="Times New Roman"/>
          <w:sz w:val="24"/>
          <w:szCs w:val="24"/>
        </w:rPr>
        <w:t>uation</w:t>
      </w:r>
      <w:r w:rsidR="00EA7584" w:rsidRPr="0097743D">
        <w:rPr>
          <w:rFonts w:ascii="Times New Roman" w:hAnsi="Times New Roman" w:cs="Times New Roman"/>
          <w:sz w:val="24"/>
          <w:szCs w:val="24"/>
        </w:rPr>
        <w:t xml:space="preserve"> (5)</w:t>
      </w:r>
      <w:r w:rsidR="002D1B05">
        <w:rPr>
          <w:rFonts w:ascii="Times New Roman" w:hAnsi="Times New Roman" w:cs="Times New Roman"/>
          <w:sz w:val="24"/>
          <w:szCs w:val="24"/>
        </w:rPr>
        <w:t xml:space="preserve"> using alternative methods such as L</w:t>
      </w:r>
      <w:r w:rsidR="0082345D">
        <w:rPr>
          <w:rFonts w:ascii="Times New Roman" w:hAnsi="Times New Roman" w:cs="Times New Roman"/>
          <w:sz w:val="24"/>
          <w:szCs w:val="24"/>
        </w:rPr>
        <w:t xml:space="preserve">east </w:t>
      </w:r>
      <w:r w:rsidR="002D1B05">
        <w:rPr>
          <w:rFonts w:ascii="Times New Roman" w:hAnsi="Times New Roman" w:cs="Times New Roman"/>
          <w:sz w:val="24"/>
          <w:szCs w:val="24"/>
        </w:rPr>
        <w:t>A</w:t>
      </w:r>
      <w:r w:rsidR="0082345D">
        <w:rPr>
          <w:rFonts w:ascii="Times New Roman" w:hAnsi="Times New Roman" w:cs="Times New Roman"/>
          <w:sz w:val="24"/>
          <w:szCs w:val="24"/>
        </w:rPr>
        <w:t xml:space="preserve">bsolute </w:t>
      </w:r>
      <w:r w:rsidR="002D1B05">
        <w:rPr>
          <w:rFonts w:ascii="Times New Roman" w:hAnsi="Times New Roman" w:cs="Times New Roman"/>
          <w:sz w:val="24"/>
          <w:szCs w:val="24"/>
        </w:rPr>
        <w:t>D</w:t>
      </w:r>
      <w:r w:rsidR="0082345D">
        <w:rPr>
          <w:rFonts w:ascii="Times New Roman" w:hAnsi="Times New Roman" w:cs="Times New Roman"/>
          <w:sz w:val="24"/>
          <w:szCs w:val="24"/>
        </w:rPr>
        <w:t>eviations and</w:t>
      </w:r>
      <w:r w:rsidR="00484994">
        <w:rPr>
          <w:rFonts w:ascii="Times New Roman" w:hAnsi="Times New Roman" w:cs="Times New Roman"/>
          <w:sz w:val="24"/>
          <w:szCs w:val="24"/>
        </w:rPr>
        <w:t xml:space="preserve"> </w:t>
      </w:r>
      <w:r w:rsidR="002D1B05">
        <w:rPr>
          <w:rFonts w:ascii="Times New Roman" w:hAnsi="Times New Roman" w:cs="Times New Roman"/>
          <w:sz w:val="24"/>
          <w:szCs w:val="24"/>
        </w:rPr>
        <w:t>W</w:t>
      </w:r>
      <w:r w:rsidR="00383DFC">
        <w:rPr>
          <w:rFonts w:ascii="Times New Roman" w:hAnsi="Times New Roman" w:cs="Times New Roman"/>
          <w:sz w:val="24"/>
          <w:szCs w:val="24"/>
        </w:rPr>
        <w:t xml:space="preserve">eighted </w:t>
      </w:r>
      <w:r w:rsidR="002D1B05">
        <w:rPr>
          <w:rFonts w:ascii="Times New Roman" w:hAnsi="Times New Roman" w:cs="Times New Roman"/>
          <w:sz w:val="24"/>
          <w:szCs w:val="24"/>
        </w:rPr>
        <w:t>L</w:t>
      </w:r>
      <w:r w:rsidR="00383DFC">
        <w:rPr>
          <w:rFonts w:ascii="Times New Roman" w:hAnsi="Times New Roman" w:cs="Times New Roman"/>
          <w:sz w:val="24"/>
          <w:szCs w:val="24"/>
        </w:rPr>
        <w:t xml:space="preserve">east </w:t>
      </w:r>
      <w:r w:rsidR="002D1B05">
        <w:rPr>
          <w:rFonts w:ascii="Times New Roman" w:hAnsi="Times New Roman" w:cs="Times New Roman"/>
          <w:sz w:val="24"/>
          <w:szCs w:val="24"/>
        </w:rPr>
        <w:t>S</w:t>
      </w:r>
      <w:r w:rsidR="00383DFC">
        <w:rPr>
          <w:rFonts w:ascii="Times New Roman" w:hAnsi="Times New Roman" w:cs="Times New Roman"/>
          <w:sz w:val="24"/>
          <w:szCs w:val="24"/>
        </w:rPr>
        <w:t>quares</w:t>
      </w:r>
      <w:r w:rsidR="002D1B05">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D0DD5">
        <w:rPr>
          <w:rFonts w:ascii="Times New Roman" w:hAnsi="Times New Roman" w:cs="Times New Roman"/>
          <w:sz w:val="24"/>
          <w:szCs w:val="24"/>
        </w:rPr>
        <w:t xml:space="preserve">results </w:t>
      </w:r>
      <w:r w:rsidR="00EE7632">
        <w:rPr>
          <w:rFonts w:ascii="Times New Roman" w:hAnsi="Times New Roman" w:cs="Times New Roman"/>
          <w:sz w:val="24"/>
          <w:szCs w:val="24"/>
        </w:rPr>
        <w:t xml:space="preserve">obtained by applying such methods </w:t>
      </w:r>
      <w:r>
        <w:rPr>
          <w:rFonts w:ascii="Times New Roman" w:hAnsi="Times New Roman" w:cs="Times New Roman"/>
          <w:sz w:val="24"/>
          <w:szCs w:val="24"/>
        </w:rPr>
        <w:t xml:space="preserve">are </w:t>
      </w:r>
      <w:r w:rsidR="000D0DD5">
        <w:rPr>
          <w:rFonts w:ascii="Times New Roman" w:hAnsi="Times New Roman" w:cs="Times New Roman"/>
          <w:sz w:val="24"/>
          <w:szCs w:val="24"/>
        </w:rPr>
        <w:t>in line with</w:t>
      </w:r>
      <w:r w:rsidR="00484994">
        <w:rPr>
          <w:rFonts w:ascii="Times New Roman" w:hAnsi="Times New Roman" w:cs="Times New Roman"/>
          <w:sz w:val="24"/>
          <w:szCs w:val="24"/>
        </w:rPr>
        <w:t xml:space="preserve"> </w:t>
      </w:r>
      <w:r w:rsidR="000D0DD5">
        <w:rPr>
          <w:rFonts w:ascii="Times New Roman" w:hAnsi="Times New Roman" w:cs="Times New Roman"/>
          <w:sz w:val="24"/>
          <w:szCs w:val="24"/>
        </w:rPr>
        <w:t xml:space="preserve">those of </w:t>
      </w:r>
      <w:r w:rsidR="007E3809">
        <w:rPr>
          <w:rFonts w:ascii="Times New Roman" w:hAnsi="Times New Roman" w:cs="Times New Roman"/>
          <w:sz w:val="24"/>
          <w:szCs w:val="24"/>
        </w:rPr>
        <w:fldChar w:fldCharType="begin"/>
      </w:r>
      <w:r w:rsidR="00553425">
        <w:rPr>
          <w:rFonts w:ascii="Times New Roman" w:hAnsi="Times New Roman" w:cs="Times New Roman"/>
          <w:sz w:val="24"/>
          <w:szCs w:val="24"/>
        </w:rPr>
        <w:instrText xml:space="preserve"> REF _Ref464731296 \h </w:instrText>
      </w:r>
      <w:r w:rsidR="007E3809">
        <w:rPr>
          <w:rFonts w:ascii="Times New Roman" w:hAnsi="Times New Roman" w:cs="Times New Roman"/>
          <w:sz w:val="24"/>
          <w:szCs w:val="24"/>
        </w:rPr>
      </w:r>
      <w:r w:rsidR="007E3809">
        <w:rPr>
          <w:rFonts w:ascii="Times New Roman" w:hAnsi="Times New Roman" w:cs="Times New Roman"/>
          <w:sz w:val="24"/>
          <w:szCs w:val="24"/>
        </w:rPr>
        <w:fldChar w:fldCharType="separate"/>
      </w:r>
      <w:r w:rsidR="00553425" w:rsidRPr="006853EA">
        <w:rPr>
          <w:rFonts w:ascii="Times New Roman" w:hAnsi="Times New Roman" w:cs="Times New Roman"/>
          <w:sz w:val="24"/>
          <w:szCs w:val="24"/>
        </w:rPr>
        <w:t xml:space="preserve">Table </w:t>
      </w:r>
      <w:r w:rsidR="00553425">
        <w:rPr>
          <w:rFonts w:ascii="Times New Roman" w:hAnsi="Times New Roman" w:cs="Times New Roman"/>
          <w:noProof/>
          <w:sz w:val="24"/>
          <w:szCs w:val="24"/>
        </w:rPr>
        <w:t>6</w:t>
      </w:r>
      <w:r w:rsidR="007E3809">
        <w:rPr>
          <w:rFonts w:ascii="Times New Roman" w:hAnsi="Times New Roman" w:cs="Times New Roman"/>
          <w:sz w:val="24"/>
          <w:szCs w:val="24"/>
        </w:rPr>
        <w:fldChar w:fldCharType="end"/>
      </w:r>
      <w:r w:rsidR="00771C9C">
        <w:rPr>
          <w:rFonts w:ascii="Times New Roman" w:hAnsi="Times New Roman" w:cs="Times New Roman"/>
          <w:sz w:val="24"/>
          <w:szCs w:val="24"/>
        </w:rPr>
        <w:t>.</w:t>
      </w:r>
      <w:r w:rsidR="002006CC">
        <w:rPr>
          <w:rFonts w:ascii="Times New Roman" w:hAnsi="Times New Roman" w:cs="Times New Roman"/>
          <w:sz w:val="24"/>
          <w:szCs w:val="24"/>
        </w:rPr>
        <w:t xml:space="preserve"> </w:t>
      </w:r>
      <w:r w:rsidR="00FD6DEF">
        <w:rPr>
          <w:rFonts w:ascii="Times New Roman" w:hAnsi="Times New Roman" w:cs="Times New Roman"/>
          <w:sz w:val="24"/>
          <w:szCs w:val="24"/>
        </w:rPr>
        <w:t xml:space="preserve">Second, we </w:t>
      </w:r>
      <w:r>
        <w:rPr>
          <w:rFonts w:ascii="Times New Roman" w:hAnsi="Times New Roman" w:cs="Times New Roman"/>
          <w:sz w:val="24"/>
          <w:szCs w:val="24"/>
        </w:rPr>
        <w:t xml:space="preserve">restrict </w:t>
      </w:r>
      <w:r w:rsidR="00FD6DEF">
        <w:rPr>
          <w:rFonts w:ascii="Times New Roman" w:hAnsi="Times New Roman" w:cs="Times New Roman"/>
          <w:sz w:val="24"/>
          <w:szCs w:val="24"/>
        </w:rPr>
        <w:t xml:space="preserve">the dependent variable to values within its mean plus/minus three times its standard deviation. </w:t>
      </w:r>
      <w:r>
        <w:rPr>
          <w:rFonts w:ascii="Times New Roman" w:hAnsi="Times New Roman" w:cs="Times New Roman"/>
          <w:sz w:val="24"/>
          <w:szCs w:val="24"/>
        </w:rPr>
        <w:t>T</w:t>
      </w:r>
      <w:r w:rsidR="00FD6DEF">
        <w:rPr>
          <w:rFonts w:ascii="Times New Roman" w:hAnsi="Times New Roman" w:cs="Times New Roman"/>
          <w:sz w:val="24"/>
          <w:szCs w:val="24"/>
        </w:rPr>
        <w:t>he number of observations</w:t>
      </w:r>
      <w:r w:rsidR="00B42C02">
        <w:rPr>
          <w:rFonts w:ascii="Times New Roman" w:hAnsi="Times New Roman" w:cs="Times New Roman"/>
          <w:sz w:val="24"/>
          <w:szCs w:val="24"/>
        </w:rPr>
        <w:t xml:space="preserve"> available</w:t>
      </w:r>
      <w:r w:rsidR="00EE7632">
        <w:rPr>
          <w:rFonts w:ascii="Times New Roman" w:hAnsi="Times New Roman" w:cs="Times New Roman"/>
          <w:sz w:val="24"/>
          <w:szCs w:val="24"/>
        </w:rPr>
        <w:t>, in this case,</w:t>
      </w:r>
      <w:r w:rsidR="00B42C02">
        <w:rPr>
          <w:rFonts w:ascii="Times New Roman" w:hAnsi="Times New Roman" w:cs="Times New Roman"/>
          <w:sz w:val="24"/>
          <w:szCs w:val="24"/>
        </w:rPr>
        <w:t xml:space="preserve"> drops from 956 to 950</w:t>
      </w:r>
      <w:r w:rsidR="00FD6DEF">
        <w:rPr>
          <w:rFonts w:ascii="Times New Roman" w:hAnsi="Times New Roman" w:cs="Times New Roman"/>
          <w:sz w:val="24"/>
          <w:szCs w:val="24"/>
        </w:rPr>
        <w:t xml:space="preserve">. </w:t>
      </w:r>
      <w:r w:rsidR="00B94561">
        <w:rPr>
          <w:rFonts w:ascii="Times New Roman" w:hAnsi="Times New Roman" w:cs="Times New Roman"/>
          <w:sz w:val="24"/>
          <w:szCs w:val="24"/>
        </w:rPr>
        <w:t>Overall</w:t>
      </w:r>
      <w:r w:rsidR="00FD6DEF">
        <w:rPr>
          <w:rFonts w:ascii="Times New Roman" w:hAnsi="Times New Roman" w:cs="Times New Roman"/>
          <w:sz w:val="24"/>
          <w:szCs w:val="24"/>
        </w:rPr>
        <w:t>, the sign, magnitude</w:t>
      </w:r>
      <w:r>
        <w:rPr>
          <w:rFonts w:ascii="Times New Roman" w:hAnsi="Times New Roman" w:cs="Times New Roman"/>
          <w:sz w:val="24"/>
          <w:szCs w:val="24"/>
        </w:rPr>
        <w:t>,</w:t>
      </w:r>
      <w:r w:rsidR="00FD6DEF">
        <w:rPr>
          <w:rFonts w:ascii="Times New Roman" w:hAnsi="Times New Roman" w:cs="Times New Roman"/>
          <w:sz w:val="24"/>
          <w:szCs w:val="24"/>
        </w:rPr>
        <w:t xml:space="preserve"> and statistical significance of the estimated parameters are consistent </w:t>
      </w:r>
      <w:r w:rsidR="00FD6DEF">
        <w:rPr>
          <w:rFonts w:ascii="Times New Roman" w:hAnsi="Times New Roman" w:cs="Times New Roman"/>
          <w:sz w:val="24"/>
          <w:szCs w:val="24"/>
        </w:rPr>
        <w:lastRenderedPageBreak/>
        <w:t xml:space="preserve">with those set </w:t>
      </w:r>
      <w:r w:rsidR="00B753B4">
        <w:rPr>
          <w:rFonts w:ascii="Times New Roman" w:hAnsi="Times New Roman" w:cs="Times New Roman"/>
          <w:sz w:val="24"/>
          <w:szCs w:val="24"/>
        </w:rPr>
        <w:t xml:space="preserve">out </w:t>
      </w:r>
      <w:r w:rsidR="00FD6DEF">
        <w:rPr>
          <w:rFonts w:ascii="Times New Roman" w:hAnsi="Times New Roman" w:cs="Times New Roman"/>
          <w:sz w:val="24"/>
          <w:szCs w:val="24"/>
        </w:rPr>
        <w:t xml:space="preserve">in </w:t>
      </w:r>
      <w:r w:rsidR="007E3809">
        <w:rPr>
          <w:rFonts w:ascii="Times New Roman" w:hAnsi="Times New Roman" w:cs="Times New Roman"/>
          <w:sz w:val="24"/>
          <w:szCs w:val="24"/>
        </w:rPr>
        <w:fldChar w:fldCharType="begin"/>
      </w:r>
      <w:r w:rsidR="00FD6DEF">
        <w:rPr>
          <w:rFonts w:ascii="Times New Roman" w:hAnsi="Times New Roman" w:cs="Times New Roman"/>
          <w:sz w:val="24"/>
          <w:szCs w:val="24"/>
        </w:rPr>
        <w:instrText xml:space="preserve"> REF _Ref464731296 \h </w:instrText>
      </w:r>
      <w:r w:rsidR="007E3809">
        <w:rPr>
          <w:rFonts w:ascii="Times New Roman" w:hAnsi="Times New Roman" w:cs="Times New Roman"/>
          <w:sz w:val="24"/>
          <w:szCs w:val="24"/>
        </w:rPr>
      </w:r>
      <w:r w:rsidR="007E3809">
        <w:rPr>
          <w:rFonts w:ascii="Times New Roman" w:hAnsi="Times New Roman" w:cs="Times New Roman"/>
          <w:sz w:val="24"/>
          <w:szCs w:val="24"/>
        </w:rPr>
        <w:fldChar w:fldCharType="separate"/>
      </w:r>
      <w:r w:rsidR="00FD6DEF" w:rsidRPr="006853EA">
        <w:rPr>
          <w:rFonts w:ascii="Times New Roman" w:hAnsi="Times New Roman" w:cs="Times New Roman"/>
          <w:sz w:val="24"/>
          <w:szCs w:val="24"/>
        </w:rPr>
        <w:t xml:space="preserve">Table </w:t>
      </w:r>
      <w:r w:rsidR="00FD6DEF">
        <w:rPr>
          <w:rFonts w:ascii="Times New Roman" w:hAnsi="Times New Roman" w:cs="Times New Roman"/>
          <w:noProof/>
          <w:sz w:val="24"/>
          <w:szCs w:val="24"/>
        </w:rPr>
        <w:t>6</w:t>
      </w:r>
      <w:r w:rsidR="007E3809">
        <w:rPr>
          <w:rFonts w:ascii="Times New Roman" w:hAnsi="Times New Roman" w:cs="Times New Roman"/>
          <w:sz w:val="24"/>
          <w:szCs w:val="24"/>
        </w:rPr>
        <w:fldChar w:fldCharType="end"/>
      </w:r>
      <w:r w:rsidR="00FD6DEF">
        <w:rPr>
          <w:rFonts w:ascii="Times New Roman" w:hAnsi="Times New Roman" w:cs="Times New Roman"/>
          <w:sz w:val="24"/>
          <w:szCs w:val="24"/>
        </w:rPr>
        <w:t xml:space="preserve">. </w:t>
      </w:r>
      <w:r>
        <w:rPr>
          <w:rFonts w:ascii="Times New Roman" w:hAnsi="Times New Roman" w:cs="Times New Roman"/>
          <w:sz w:val="24"/>
          <w:szCs w:val="24"/>
        </w:rPr>
        <w:t xml:space="preserve">We </w:t>
      </w:r>
      <w:r w:rsidR="00B94561">
        <w:rPr>
          <w:rFonts w:ascii="Times New Roman" w:hAnsi="Times New Roman" w:cs="Times New Roman"/>
          <w:sz w:val="24"/>
          <w:szCs w:val="24"/>
        </w:rPr>
        <w:t xml:space="preserve">then </w:t>
      </w:r>
      <w:r>
        <w:rPr>
          <w:rFonts w:ascii="Times New Roman" w:hAnsi="Times New Roman" w:cs="Times New Roman"/>
          <w:sz w:val="24"/>
          <w:szCs w:val="24"/>
        </w:rPr>
        <w:t>repeat t</w:t>
      </w:r>
      <w:r w:rsidR="00FD6DEF">
        <w:rPr>
          <w:rFonts w:ascii="Times New Roman" w:hAnsi="Times New Roman" w:cs="Times New Roman"/>
          <w:sz w:val="24"/>
          <w:szCs w:val="24"/>
        </w:rPr>
        <w:t xml:space="preserve">he </w:t>
      </w:r>
      <w:r w:rsidR="00FD606B">
        <w:rPr>
          <w:rFonts w:ascii="Times New Roman" w:hAnsi="Times New Roman" w:cs="Times New Roman"/>
          <w:sz w:val="24"/>
          <w:szCs w:val="24"/>
        </w:rPr>
        <w:t xml:space="preserve">same </w:t>
      </w:r>
      <w:r w:rsidR="00FD6DEF">
        <w:rPr>
          <w:rFonts w:ascii="Times New Roman" w:hAnsi="Times New Roman" w:cs="Times New Roman"/>
          <w:sz w:val="24"/>
          <w:szCs w:val="24"/>
        </w:rPr>
        <w:t>exercises for the three par</w:t>
      </w:r>
      <w:r w:rsidR="000D0DD5">
        <w:rPr>
          <w:rFonts w:ascii="Times New Roman" w:hAnsi="Times New Roman" w:cs="Times New Roman"/>
          <w:sz w:val="24"/>
          <w:szCs w:val="24"/>
        </w:rPr>
        <w:t>titioned samples, obtaining</w:t>
      </w:r>
      <w:r w:rsidR="00FD6DEF">
        <w:rPr>
          <w:rFonts w:ascii="Times New Roman" w:hAnsi="Times New Roman" w:cs="Times New Roman"/>
          <w:sz w:val="24"/>
          <w:szCs w:val="24"/>
        </w:rPr>
        <w:t xml:space="preserve"> results </w:t>
      </w:r>
      <w:r w:rsidR="000D0DD5">
        <w:rPr>
          <w:rFonts w:ascii="Times New Roman" w:hAnsi="Times New Roman" w:cs="Times New Roman"/>
          <w:sz w:val="24"/>
          <w:szCs w:val="24"/>
        </w:rPr>
        <w:t xml:space="preserve">similar </w:t>
      </w:r>
      <w:r w:rsidR="00FD6DEF">
        <w:rPr>
          <w:rFonts w:ascii="Times New Roman" w:hAnsi="Times New Roman" w:cs="Times New Roman"/>
          <w:sz w:val="24"/>
          <w:szCs w:val="24"/>
        </w:rPr>
        <w:t>to those already reported.</w:t>
      </w:r>
    </w:p>
    <w:p w:rsidR="000935BF" w:rsidRDefault="009B28BC" w:rsidP="00AF6503">
      <w:pPr>
        <w:spacing w:after="0" w:line="480" w:lineRule="auto"/>
        <w:ind w:right="282" w:firstLine="720"/>
      </w:pPr>
      <w:r>
        <w:rPr>
          <w:rFonts w:ascii="Times New Roman" w:hAnsi="Times New Roman" w:cs="Times New Roman"/>
          <w:sz w:val="24"/>
          <w:szCs w:val="24"/>
        </w:rPr>
        <w:t>Finally, i</w:t>
      </w:r>
      <w:r w:rsidR="000D6D70" w:rsidRPr="0097743D">
        <w:rPr>
          <w:rFonts w:ascii="Times New Roman" w:hAnsi="Times New Roman" w:cs="Times New Roman"/>
          <w:sz w:val="24"/>
          <w:szCs w:val="24"/>
        </w:rPr>
        <w:t>n the reported analysis, we use</w:t>
      </w:r>
      <w:r w:rsidR="00A97152">
        <w:rPr>
          <w:rFonts w:ascii="Times New Roman" w:hAnsi="Times New Roman" w:cs="Times New Roman"/>
          <w:sz w:val="24"/>
          <w:szCs w:val="24"/>
        </w:rPr>
        <w:t>d</w:t>
      </w:r>
      <w:r w:rsidR="000D6D70" w:rsidRPr="0097743D">
        <w:rPr>
          <w:rFonts w:ascii="Times New Roman" w:hAnsi="Times New Roman" w:cs="Times New Roman"/>
          <w:sz w:val="24"/>
          <w:szCs w:val="24"/>
        </w:rPr>
        <w:t xml:space="preserve"> a VECM for modelling our mean equations, as </w:t>
      </w:r>
      <w:r w:rsidR="00063799">
        <w:rPr>
          <w:rFonts w:ascii="Times New Roman" w:hAnsi="Times New Roman" w:cs="Times New Roman"/>
          <w:sz w:val="24"/>
          <w:szCs w:val="24"/>
        </w:rPr>
        <w:t xml:space="preserve">specified </w:t>
      </w:r>
      <w:r w:rsidR="000D6D70" w:rsidRPr="0097743D">
        <w:rPr>
          <w:rFonts w:ascii="Times New Roman" w:hAnsi="Times New Roman" w:cs="Times New Roman"/>
          <w:sz w:val="24"/>
          <w:szCs w:val="24"/>
        </w:rPr>
        <w:t>in eq</w:t>
      </w:r>
      <w:r w:rsidR="00AA2AE4">
        <w:rPr>
          <w:rFonts w:ascii="Times New Roman" w:hAnsi="Times New Roman" w:cs="Times New Roman"/>
          <w:sz w:val="24"/>
          <w:szCs w:val="24"/>
        </w:rPr>
        <w:t>uation</w:t>
      </w:r>
      <w:r w:rsidR="000D6D70" w:rsidRPr="0097743D">
        <w:rPr>
          <w:rFonts w:ascii="Times New Roman" w:hAnsi="Times New Roman" w:cs="Times New Roman"/>
          <w:sz w:val="24"/>
          <w:szCs w:val="24"/>
        </w:rPr>
        <w:t>s (1) and (2). Given that the evidence of co</w:t>
      </w:r>
      <w:r w:rsidR="009F1239">
        <w:rPr>
          <w:rFonts w:ascii="Times New Roman" w:hAnsi="Times New Roman" w:cs="Times New Roman"/>
          <w:sz w:val="24"/>
          <w:szCs w:val="24"/>
        </w:rPr>
        <w:t>-</w:t>
      </w:r>
      <w:r w:rsidR="000D6D70" w:rsidRPr="0097743D">
        <w:rPr>
          <w:rFonts w:ascii="Times New Roman" w:hAnsi="Times New Roman" w:cs="Times New Roman"/>
          <w:sz w:val="24"/>
          <w:szCs w:val="24"/>
        </w:rPr>
        <w:t xml:space="preserve">integration is not </w:t>
      </w:r>
      <w:r w:rsidR="00EE6A1C">
        <w:rPr>
          <w:rFonts w:ascii="Times New Roman" w:hAnsi="Times New Roman" w:cs="Times New Roman"/>
          <w:sz w:val="24"/>
          <w:szCs w:val="24"/>
        </w:rPr>
        <w:t>unequivocal</w:t>
      </w:r>
      <w:r w:rsidR="00BE2A42" w:rsidRPr="0097743D">
        <w:rPr>
          <w:rFonts w:ascii="Times New Roman" w:hAnsi="Times New Roman" w:cs="Times New Roman"/>
          <w:sz w:val="24"/>
          <w:szCs w:val="24"/>
        </w:rPr>
        <w:t xml:space="preserve">, we take the opposite stance and model the mean equations </w:t>
      </w:r>
      <w:r w:rsidR="00EE7632">
        <w:rPr>
          <w:rFonts w:ascii="Times New Roman" w:hAnsi="Times New Roman" w:cs="Times New Roman"/>
          <w:sz w:val="24"/>
          <w:szCs w:val="24"/>
        </w:rPr>
        <w:t xml:space="preserve">by means of </w:t>
      </w:r>
      <w:r w:rsidR="00BE2A42" w:rsidRPr="0097743D">
        <w:rPr>
          <w:rFonts w:ascii="Times New Roman" w:hAnsi="Times New Roman" w:cs="Times New Roman"/>
          <w:sz w:val="24"/>
          <w:szCs w:val="24"/>
        </w:rPr>
        <w:t xml:space="preserve">VAR </w:t>
      </w:r>
      <w:r w:rsidR="00EE7632">
        <w:rPr>
          <w:rFonts w:ascii="Times New Roman" w:hAnsi="Times New Roman" w:cs="Times New Roman"/>
          <w:sz w:val="24"/>
          <w:szCs w:val="24"/>
        </w:rPr>
        <w:t xml:space="preserve">rather than VECM specifications. </w:t>
      </w:r>
      <w:r w:rsidR="00BE2A42" w:rsidRPr="0097743D">
        <w:rPr>
          <w:rFonts w:ascii="Times New Roman" w:hAnsi="Times New Roman" w:cs="Times New Roman"/>
          <w:sz w:val="24"/>
          <w:szCs w:val="24"/>
        </w:rPr>
        <w:t xml:space="preserve">We then feed the usual </w:t>
      </w:r>
      <w:r w:rsidR="00EE6A1C">
        <w:rPr>
          <w:rFonts w:ascii="Times New Roman" w:hAnsi="Times New Roman" w:cs="Times New Roman"/>
          <w:sz w:val="24"/>
          <w:szCs w:val="24"/>
        </w:rPr>
        <w:t xml:space="preserve">ASY </w:t>
      </w:r>
      <w:r w:rsidR="00BE2A42" w:rsidRPr="0097743D">
        <w:rPr>
          <w:rFonts w:ascii="Times New Roman" w:hAnsi="Times New Roman" w:cs="Times New Roman"/>
          <w:sz w:val="24"/>
          <w:szCs w:val="24"/>
        </w:rPr>
        <w:t xml:space="preserve">BEKK specification with the residuals </w:t>
      </w:r>
      <w:r w:rsidR="00063799">
        <w:rPr>
          <w:rFonts w:ascii="Times New Roman" w:hAnsi="Times New Roman" w:cs="Times New Roman"/>
          <w:sz w:val="24"/>
          <w:szCs w:val="24"/>
        </w:rPr>
        <w:t xml:space="preserve">obtained </w:t>
      </w:r>
      <w:r w:rsidR="00BE2A42" w:rsidRPr="0097743D">
        <w:rPr>
          <w:rFonts w:ascii="Times New Roman" w:hAnsi="Times New Roman" w:cs="Times New Roman"/>
          <w:sz w:val="24"/>
          <w:szCs w:val="24"/>
        </w:rPr>
        <w:t xml:space="preserve">from </w:t>
      </w:r>
      <w:r w:rsidR="00A97152">
        <w:rPr>
          <w:rFonts w:ascii="Times New Roman" w:hAnsi="Times New Roman" w:cs="Times New Roman"/>
          <w:sz w:val="24"/>
          <w:szCs w:val="24"/>
        </w:rPr>
        <w:t xml:space="preserve">the </w:t>
      </w:r>
      <w:r w:rsidR="00BE2A42" w:rsidRPr="0097743D">
        <w:rPr>
          <w:rFonts w:ascii="Times New Roman" w:hAnsi="Times New Roman" w:cs="Times New Roman"/>
          <w:sz w:val="24"/>
          <w:szCs w:val="24"/>
        </w:rPr>
        <w:t>VAR model and apply eq</w:t>
      </w:r>
      <w:r w:rsidR="00CE158B">
        <w:rPr>
          <w:rFonts w:ascii="Times New Roman" w:hAnsi="Times New Roman" w:cs="Times New Roman"/>
          <w:sz w:val="24"/>
          <w:szCs w:val="24"/>
        </w:rPr>
        <w:t>uation</w:t>
      </w:r>
      <w:r w:rsidR="00BE2A42" w:rsidRPr="0097743D">
        <w:rPr>
          <w:rFonts w:ascii="Times New Roman" w:hAnsi="Times New Roman" w:cs="Times New Roman"/>
          <w:sz w:val="24"/>
          <w:szCs w:val="24"/>
        </w:rPr>
        <w:t xml:space="preserve"> (4) in order to obtain an alternative measure of conditional correlation. </w:t>
      </w:r>
      <w:r w:rsidR="00E46EA4">
        <w:rPr>
          <w:rFonts w:ascii="Times New Roman" w:hAnsi="Times New Roman" w:cs="Times New Roman"/>
          <w:sz w:val="24"/>
          <w:szCs w:val="24"/>
        </w:rPr>
        <w:t>T</w:t>
      </w:r>
      <w:r w:rsidR="00BE2A42" w:rsidRPr="0097743D">
        <w:rPr>
          <w:rFonts w:ascii="Times New Roman" w:hAnsi="Times New Roman" w:cs="Times New Roman"/>
          <w:sz w:val="24"/>
          <w:szCs w:val="24"/>
        </w:rPr>
        <w:t xml:space="preserve">he </w:t>
      </w:r>
      <w:r w:rsidR="00063799">
        <w:rPr>
          <w:rFonts w:ascii="Times New Roman" w:hAnsi="Times New Roman" w:cs="Times New Roman"/>
          <w:sz w:val="24"/>
          <w:szCs w:val="24"/>
        </w:rPr>
        <w:t>correlation indices</w:t>
      </w:r>
      <w:r w:rsidR="00A97152">
        <w:rPr>
          <w:rFonts w:ascii="Times New Roman" w:hAnsi="Times New Roman" w:cs="Times New Roman"/>
          <w:sz w:val="24"/>
          <w:szCs w:val="24"/>
        </w:rPr>
        <w:t xml:space="preserve"> with and without ECM</w:t>
      </w:r>
      <w:r w:rsidR="00484994">
        <w:rPr>
          <w:rFonts w:ascii="Times New Roman" w:hAnsi="Times New Roman" w:cs="Times New Roman"/>
          <w:sz w:val="24"/>
          <w:szCs w:val="24"/>
        </w:rPr>
        <w:t xml:space="preserve"> </w:t>
      </w:r>
      <w:r w:rsidR="00BE2A42" w:rsidRPr="0097743D">
        <w:rPr>
          <w:rFonts w:ascii="Times New Roman" w:hAnsi="Times New Roman" w:cs="Times New Roman"/>
          <w:sz w:val="24"/>
          <w:szCs w:val="24"/>
        </w:rPr>
        <w:t>deliver similar results</w:t>
      </w:r>
      <w:r w:rsidR="00484994">
        <w:rPr>
          <w:rFonts w:ascii="Times New Roman" w:hAnsi="Times New Roman" w:cs="Times New Roman"/>
          <w:sz w:val="24"/>
          <w:szCs w:val="24"/>
        </w:rPr>
        <w:t xml:space="preserve"> </w:t>
      </w:r>
      <w:r w:rsidR="00A97152">
        <w:rPr>
          <w:rFonts w:ascii="Times New Roman" w:hAnsi="Times New Roman" w:cs="Times New Roman"/>
          <w:sz w:val="24"/>
          <w:szCs w:val="24"/>
        </w:rPr>
        <w:t xml:space="preserve">in </w:t>
      </w:r>
      <w:r w:rsidR="00063799">
        <w:rPr>
          <w:rFonts w:ascii="Times New Roman" w:hAnsi="Times New Roman" w:cs="Times New Roman"/>
          <w:sz w:val="24"/>
          <w:szCs w:val="24"/>
        </w:rPr>
        <w:t xml:space="preserve">tests for </w:t>
      </w:r>
      <w:r w:rsidR="00EE6A1C">
        <w:rPr>
          <w:rFonts w:ascii="Times New Roman" w:hAnsi="Times New Roman" w:cs="Times New Roman"/>
          <w:sz w:val="24"/>
          <w:szCs w:val="24"/>
        </w:rPr>
        <w:t xml:space="preserve">equality </w:t>
      </w:r>
      <w:r w:rsidR="002615F5">
        <w:rPr>
          <w:rFonts w:ascii="Times New Roman" w:hAnsi="Times New Roman" w:cs="Times New Roman"/>
          <w:sz w:val="24"/>
          <w:szCs w:val="24"/>
        </w:rPr>
        <w:t>of</w:t>
      </w:r>
      <w:r w:rsidR="00484994">
        <w:rPr>
          <w:rFonts w:ascii="Times New Roman" w:hAnsi="Times New Roman" w:cs="Times New Roman"/>
          <w:sz w:val="24"/>
          <w:szCs w:val="24"/>
        </w:rPr>
        <w:t xml:space="preserve"> </w:t>
      </w:r>
      <w:r w:rsidR="00EE6A1C">
        <w:rPr>
          <w:rFonts w:ascii="Times New Roman" w:hAnsi="Times New Roman" w:cs="Times New Roman"/>
          <w:sz w:val="24"/>
          <w:szCs w:val="24"/>
        </w:rPr>
        <w:t>mean</w:t>
      </w:r>
      <w:r w:rsidR="00484994">
        <w:rPr>
          <w:rFonts w:ascii="Times New Roman" w:hAnsi="Times New Roman" w:cs="Times New Roman"/>
          <w:sz w:val="24"/>
          <w:szCs w:val="24"/>
        </w:rPr>
        <w:t>s</w:t>
      </w:r>
      <w:r w:rsidR="00EE6A1C">
        <w:rPr>
          <w:rFonts w:ascii="Times New Roman" w:hAnsi="Times New Roman" w:cs="Times New Roman"/>
          <w:sz w:val="24"/>
          <w:szCs w:val="24"/>
        </w:rPr>
        <w:t>, median</w:t>
      </w:r>
      <w:r w:rsidR="00484994">
        <w:rPr>
          <w:rFonts w:ascii="Times New Roman" w:hAnsi="Times New Roman" w:cs="Times New Roman"/>
          <w:sz w:val="24"/>
          <w:szCs w:val="24"/>
        </w:rPr>
        <w:t>s</w:t>
      </w:r>
      <w:r w:rsidR="00EE6A1C">
        <w:rPr>
          <w:rFonts w:ascii="Times New Roman" w:hAnsi="Times New Roman" w:cs="Times New Roman"/>
          <w:sz w:val="24"/>
          <w:szCs w:val="24"/>
        </w:rPr>
        <w:t>, variance</w:t>
      </w:r>
      <w:r w:rsidR="00484994">
        <w:rPr>
          <w:rFonts w:ascii="Times New Roman" w:hAnsi="Times New Roman" w:cs="Times New Roman"/>
          <w:sz w:val="24"/>
          <w:szCs w:val="24"/>
        </w:rPr>
        <w:t>s</w:t>
      </w:r>
      <w:r w:rsidR="00A97152">
        <w:rPr>
          <w:rFonts w:ascii="Times New Roman" w:hAnsi="Times New Roman" w:cs="Times New Roman"/>
          <w:sz w:val="24"/>
          <w:szCs w:val="24"/>
        </w:rPr>
        <w:t>,</w:t>
      </w:r>
      <w:r w:rsidR="00EE6A1C">
        <w:rPr>
          <w:rFonts w:ascii="Times New Roman" w:hAnsi="Times New Roman" w:cs="Times New Roman"/>
          <w:sz w:val="24"/>
          <w:szCs w:val="24"/>
        </w:rPr>
        <w:t xml:space="preserve"> and distribution</w:t>
      </w:r>
      <w:r w:rsidR="00484994">
        <w:rPr>
          <w:rFonts w:ascii="Times New Roman" w:hAnsi="Times New Roman" w:cs="Times New Roman"/>
          <w:sz w:val="24"/>
          <w:szCs w:val="24"/>
        </w:rPr>
        <w:t>s</w:t>
      </w:r>
      <w:r w:rsidR="00BE2A42" w:rsidRPr="0097743D">
        <w:rPr>
          <w:rFonts w:ascii="Times New Roman" w:hAnsi="Times New Roman" w:cs="Times New Roman"/>
          <w:sz w:val="24"/>
          <w:szCs w:val="24"/>
        </w:rPr>
        <w:t xml:space="preserve">. </w:t>
      </w:r>
      <w:r w:rsidR="00E46EA4">
        <w:rPr>
          <w:rFonts w:ascii="Times New Roman" w:hAnsi="Times New Roman" w:cs="Times New Roman"/>
          <w:sz w:val="24"/>
          <w:szCs w:val="24"/>
        </w:rPr>
        <w:t>We then re</w:t>
      </w:r>
      <w:r w:rsidR="009F1239">
        <w:rPr>
          <w:rFonts w:ascii="Times New Roman" w:hAnsi="Times New Roman" w:cs="Times New Roman"/>
          <w:sz w:val="24"/>
          <w:szCs w:val="24"/>
        </w:rPr>
        <w:t>-</w:t>
      </w:r>
      <w:r w:rsidR="00E46EA4">
        <w:rPr>
          <w:rFonts w:ascii="Times New Roman" w:hAnsi="Times New Roman" w:cs="Times New Roman"/>
          <w:sz w:val="24"/>
          <w:szCs w:val="24"/>
        </w:rPr>
        <w:t xml:space="preserve">estimate </w:t>
      </w:r>
      <w:r w:rsidR="00EE7632">
        <w:rPr>
          <w:rFonts w:ascii="Times New Roman" w:hAnsi="Times New Roman" w:cs="Times New Roman"/>
          <w:sz w:val="24"/>
          <w:szCs w:val="24"/>
        </w:rPr>
        <w:t xml:space="preserve">equation (5) </w:t>
      </w:r>
      <w:r w:rsidR="00E46EA4">
        <w:rPr>
          <w:rFonts w:ascii="Times New Roman" w:hAnsi="Times New Roman" w:cs="Times New Roman"/>
          <w:sz w:val="24"/>
          <w:szCs w:val="24"/>
        </w:rPr>
        <w:t>using the no</w:t>
      </w:r>
      <w:r w:rsidR="00A97152">
        <w:rPr>
          <w:rFonts w:ascii="Times New Roman" w:hAnsi="Times New Roman" w:cs="Times New Roman"/>
          <w:sz w:val="24"/>
          <w:szCs w:val="24"/>
        </w:rPr>
        <w:t>-</w:t>
      </w:r>
      <w:r w:rsidR="00E46EA4">
        <w:rPr>
          <w:rFonts w:ascii="Times New Roman" w:hAnsi="Times New Roman" w:cs="Times New Roman"/>
          <w:sz w:val="24"/>
          <w:szCs w:val="24"/>
        </w:rPr>
        <w:t xml:space="preserve">ECM correlation index as </w:t>
      </w:r>
      <w:r w:rsidR="00B753B4">
        <w:rPr>
          <w:rFonts w:ascii="Times New Roman" w:hAnsi="Times New Roman" w:cs="Times New Roman"/>
          <w:sz w:val="24"/>
          <w:szCs w:val="24"/>
        </w:rPr>
        <w:t xml:space="preserve">the </w:t>
      </w:r>
      <w:r w:rsidR="00E46EA4">
        <w:rPr>
          <w:rFonts w:ascii="Times New Roman" w:hAnsi="Times New Roman" w:cs="Times New Roman"/>
          <w:sz w:val="24"/>
          <w:szCs w:val="24"/>
        </w:rPr>
        <w:t xml:space="preserve">dependent variable for the full sample, and we obtain results similar to those </w:t>
      </w:r>
      <w:r w:rsidR="00FD2148">
        <w:rPr>
          <w:rFonts w:ascii="Times New Roman" w:hAnsi="Times New Roman" w:cs="Times New Roman"/>
          <w:sz w:val="24"/>
          <w:szCs w:val="24"/>
        </w:rPr>
        <w:t>in</w:t>
      </w:r>
      <w:r w:rsidR="00E46EA4">
        <w:rPr>
          <w:rFonts w:ascii="Times New Roman" w:hAnsi="Times New Roman" w:cs="Times New Roman"/>
          <w:sz w:val="24"/>
          <w:szCs w:val="24"/>
        </w:rPr>
        <w:t xml:space="preserve"> Table 6.</w:t>
      </w:r>
      <w:r w:rsidR="00E67803">
        <w:rPr>
          <w:rStyle w:val="FootnoteReference"/>
          <w:rFonts w:ascii="Times New Roman" w:hAnsi="Times New Roman" w:cs="Times New Roman"/>
          <w:sz w:val="24"/>
          <w:szCs w:val="24"/>
        </w:rPr>
        <w:footnoteReference w:id="6"/>
      </w:r>
      <w:r w:rsidR="000935BF">
        <w:br w:type="page"/>
      </w:r>
    </w:p>
    <w:p w:rsidR="0075422D" w:rsidRDefault="00553395" w:rsidP="00667604">
      <w:pPr>
        <w:pStyle w:val="Caption"/>
        <w:keepNext/>
        <w:spacing w:after="0"/>
        <w:ind w:right="282"/>
        <w:rPr>
          <w:rFonts w:ascii="Times New Roman" w:hAnsi="Times New Roman" w:cs="Times New Roman"/>
          <w:color w:val="auto"/>
          <w:sz w:val="24"/>
          <w:szCs w:val="24"/>
        </w:rPr>
      </w:pPr>
      <w:bookmarkStart w:id="14" w:name="_Ref464731296"/>
      <w:bookmarkStart w:id="15" w:name="_Ref404008354"/>
      <w:r w:rsidRPr="006853EA">
        <w:rPr>
          <w:rFonts w:ascii="Times New Roman" w:hAnsi="Times New Roman" w:cs="Times New Roman"/>
          <w:color w:val="auto"/>
          <w:sz w:val="24"/>
          <w:szCs w:val="24"/>
        </w:rPr>
        <w:lastRenderedPageBreak/>
        <w:t xml:space="preserve">Table </w:t>
      </w:r>
      <w:r w:rsidR="007E3809" w:rsidRPr="006853EA">
        <w:rPr>
          <w:rFonts w:ascii="Times New Roman" w:hAnsi="Times New Roman" w:cs="Times New Roman"/>
          <w:color w:val="auto"/>
          <w:sz w:val="24"/>
          <w:szCs w:val="24"/>
        </w:rPr>
        <w:fldChar w:fldCharType="begin"/>
      </w:r>
      <w:r w:rsidRPr="006853EA">
        <w:rPr>
          <w:rFonts w:ascii="Times New Roman" w:hAnsi="Times New Roman" w:cs="Times New Roman"/>
          <w:color w:val="auto"/>
          <w:sz w:val="24"/>
          <w:szCs w:val="24"/>
        </w:rPr>
        <w:instrText xml:space="preserve"> SEQ Table \* ARABIC </w:instrText>
      </w:r>
      <w:r w:rsidR="007E3809" w:rsidRPr="006853EA">
        <w:rPr>
          <w:rFonts w:ascii="Times New Roman" w:hAnsi="Times New Roman" w:cs="Times New Roman"/>
          <w:color w:val="auto"/>
          <w:sz w:val="24"/>
          <w:szCs w:val="24"/>
        </w:rPr>
        <w:fldChar w:fldCharType="separate"/>
      </w:r>
      <w:r w:rsidR="00325A37">
        <w:rPr>
          <w:rFonts w:ascii="Times New Roman" w:hAnsi="Times New Roman" w:cs="Times New Roman"/>
          <w:noProof/>
          <w:color w:val="auto"/>
          <w:sz w:val="24"/>
          <w:szCs w:val="24"/>
        </w:rPr>
        <w:t>6</w:t>
      </w:r>
      <w:r w:rsidR="007E3809" w:rsidRPr="006853EA">
        <w:rPr>
          <w:rFonts w:ascii="Times New Roman" w:hAnsi="Times New Roman" w:cs="Times New Roman"/>
          <w:color w:val="auto"/>
          <w:sz w:val="24"/>
          <w:szCs w:val="24"/>
        </w:rPr>
        <w:fldChar w:fldCharType="end"/>
      </w:r>
      <w:bookmarkEnd w:id="14"/>
    </w:p>
    <w:p w:rsidR="00534524" w:rsidRPr="00AC1E6C" w:rsidRDefault="0046096F" w:rsidP="005A764A">
      <w:pPr>
        <w:pStyle w:val="Caption"/>
        <w:keepNext/>
        <w:spacing w:after="0"/>
        <w:rPr>
          <w:rFonts w:ascii="Times New Roman" w:hAnsi="Times New Roman" w:cs="Times New Roman"/>
          <w:b w:val="0"/>
          <w:color w:val="auto"/>
          <w:sz w:val="20"/>
          <w:szCs w:val="20"/>
        </w:rPr>
      </w:pPr>
      <w:r w:rsidRPr="00AC1E6C">
        <w:rPr>
          <w:rFonts w:ascii="Times New Roman" w:hAnsi="Times New Roman" w:cs="Times New Roman"/>
          <w:b w:val="0"/>
          <w:color w:val="auto"/>
          <w:sz w:val="20"/>
          <w:szCs w:val="20"/>
        </w:rPr>
        <w:t xml:space="preserve">Empirical </w:t>
      </w:r>
      <w:r w:rsidR="00E129E9" w:rsidRPr="00AC1E6C">
        <w:rPr>
          <w:rFonts w:ascii="Times New Roman" w:hAnsi="Times New Roman" w:cs="Times New Roman"/>
          <w:b w:val="0"/>
          <w:color w:val="auto"/>
          <w:sz w:val="20"/>
          <w:szCs w:val="20"/>
        </w:rPr>
        <w:t>e</w:t>
      </w:r>
      <w:r w:rsidR="00553395" w:rsidRPr="00AC1E6C">
        <w:rPr>
          <w:rFonts w:ascii="Times New Roman" w:hAnsi="Times New Roman" w:cs="Times New Roman"/>
          <w:b w:val="0"/>
          <w:color w:val="auto"/>
          <w:sz w:val="20"/>
          <w:szCs w:val="20"/>
        </w:rPr>
        <w:t>stimates</w:t>
      </w:r>
      <w:r w:rsidR="0007743F" w:rsidRPr="00AC1E6C">
        <w:rPr>
          <w:rFonts w:ascii="Times New Roman" w:hAnsi="Times New Roman" w:cs="Times New Roman"/>
          <w:b w:val="0"/>
          <w:color w:val="auto"/>
          <w:sz w:val="20"/>
          <w:szCs w:val="20"/>
        </w:rPr>
        <w:t xml:space="preserve"> of equation </w:t>
      </w:r>
      <w:r w:rsidRPr="00AC1E6C">
        <w:rPr>
          <w:rFonts w:ascii="Times New Roman" w:hAnsi="Times New Roman" w:cs="Times New Roman"/>
          <w:b w:val="0"/>
          <w:color w:val="auto"/>
          <w:sz w:val="20"/>
          <w:szCs w:val="20"/>
        </w:rPr>
        <w:t>(5) for the full sample (1935-2015), and the subperiods</w:t>
      </w:r>
      <w:r w:rsidR="0028681D" w:rsidRPr="00AC1E6C">
        <w:rPr>
          <w:rFonts w:ascii="Times New Roman" w:hAnsi="Times New Roman" w:cs="Times New Roman"/>
          <w:b w:val="0"/>
          <w:color w:val="auto"/>
          <w:sz w:val="20"/>
          <w:szCs w:val="20"/>
        </w:rPr>
        <w:t xml:space="preserve"> </w:t>
      </w:r>
      <w:r w:rsidRPr="00AC1E6C">
        <w:rPr>
          <w:rFonts w:ascii="Times New Roman" w:hAnsi="Times New Roman" w:cs="Times New Roman"/>
          <w:b w:val="0"/>
          <w:color w:val="auto"/>
          <w:sz w:val="20"/>
          <w:szCs w:val="20"/>
        </w:rPr>
        <w:t>1935-1945 (pre-BW), 1945-1971 (BW), and 1971-2015 (post-BW).</w:t>
      </w:r>
    </w:p>
    <w:tbl>
      <w:tblPr>
        <w:tblStyle w:val="LightShading1"/>
        <w:tblW w:w="9072" w:type="dxa"/>
        <w:tblLayout w:type="fixed"/>
        <w:tblLook w:val="04A0" w:firstRow="1" w:lastRow="0" w:firstColumn="1" w:lastColumn="0" w:noHBand="0" w:noVBand="1"/>
      </w:tblPr>
      <w:tblGrid>
        <w:gridCol w:w="3544"/>
        <w:gridCol w:w="1275"/>
        <w:gridCol w:w="1418"/>
        <w:gridCol w:w="1559"/>
        <w:gridCol w:w="1276"/>
      </w:tblGrid>
      <w:tr w:rsidR="009B28BC" w:rsidRPr="0075422D" w:rsidTr="001D28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rsidR="009B28BC" w:rsidRPr="00AF6503" w:rsidRDefault="009B28BC" w:rsidP="00AF6503">
            <w:pPr>
              <w:adjustRightInd w:val="0"/>
              <w:snapToGrid w:val="0"/>
              <w:spacing w:after="0" w:line="240" w:lineRule="auto"/>
              <w:contextualSpacing/>
              <w:rPr>
                <w:rFonts w:ascii="Times New Roman" w:hAnsi="Times New Roman" w:cs="Times New Roman"/>
                <w:sz w:val="20"/>
                <w:szCs w:val="20"/>
              </w:rPr>
            </w:pPr>
            <w:r w:rsidRPr="00AF6503">
              <w:rPr>
                <w:rFonts w:ascii="Times New Roman" w:hAnsi="Times New Roman" w:cs="Times New Roman"/>
                <w:sz w:val="20"/>
                <w:szCs w:val="20"/>
              </w:rPr>
              <w:t>Explanatory Variables</w:t>
            </w:r>
          </w:p>
        </w:tc>
        <w:tc>
          <w:tcPr>
            <w:tcW w:w="1275" w:type="dxa"/>
          </w:tcPr>
          <w:p w:rsidR="009B28BC" w:rsidRPr="00AF6503" w:rsidRDefault="000B32C8" w:rsidP="00AF6503">
            <w:pPr>
              <w:adjustRightInd w:val="0"/>
              <w:snapToGri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503">
              <w:rPr>
                <w:rFonts w:ascii="Times New Roman" w:hAnsi="Times New Roman" w:cs="Times New Roman"/>
                <w:sz w:val="20"/>
                <w:szCs w:val="20"/>
              </w:rPr>
              <w:t>Full</w:t>
            </w:r>
          </w:p>
        </w:tc>
        <w:tc>
          <w:tcPr>
            <w:tcW w:w="1418" w:type="dxa"/>
          </w:tcPr>
          <w:p w:rsidR="009B28BC" w:rsidRPr="00AF6503" w:rsidRDefault="00E33428" w:rsidP="00AF6503">
            <w:pPr>
              <w:adjustRightInd w:val="0"/>
              <w:snapToGri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503">
              <w:rPr>
                <w:rFonts w:ascii="Times New Roman" w:hAnsi="Times New Roman" w:cs="Times New Roman"/>
                <w:sz w:val="20"/>
                <w:szCs w:val="20"/>
              </w:rPr>
              <w:t>Pre-BW</w:t>
            </w:r>
          </w:p>
        </w:tc>
        <w:tc>
          <w:tcPr>
            <w:tcW w:w="1559" w:type="dxa"/>
          </w:tcPr>
          <w:p w:rsidR="009B28BC" w:rsidRPr="00AF6503" w:rsidRDefault="00E33428" w:rsidP="00AF6503">
            <w:pPr>
              <w:adjustRightInd w:val="0"/>
              <w:snapToGri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503">
              <w:rPr>
                <w:rFonts w:ascii="Times New Roman" w:hAnsi="Times New Roman" w:cs="Times New Roman"/>
                <w:sz w:val="20"/>
                <w:szCs w:val="20"/>
              </w:rPr>
              <w:t>BW</w:t>
            </w:r>
          </w:p>
        </w:tc>
        <w:tc>
          <w:tcPr>
            <w:tcW w:w="1276" w:type="dxa"/>
          </w:tcPr>
          <w:p w:rsidR="009B28BC" w:rsidRPr="00AF6503" w:rsidRDefault="00E33428" w:rsidP="0028681D">
            <w:pPr>
              <w:adjustRightInd w:val="0"/>
              <w:snapToGrid w:val="0"/>
              <w:spacing w:after="0" w:line="240"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AF6503">
              <w:rPr>
                <w:rFonts w:ascii="Times New Roman" w:hAnsi="Times New Roman" w:cs="Times New Roman"/>
                <w:sz w:val="20"/>
                <w:szCs w:val="20"/>
              </w:rPr>
              <w:t>Post-BW</w:t>
            </w:r>
          </w:p>
        </w:tc>
      </w:tr>
      <w:tr w:rsidR="009B28BC" w:rsidRPr="00CE158B" w:rsidTr="001D2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9B28BC" w:rsidRPr="00AF6503" w:rsidRDefault="0028681D" w:rsidP="00667604">
            <w:pPr>
              <w:adjustRightInd w:val="0"/>
              <w:snapToGrid w:val="0"/>
              <w:spacing w:after="0" w:line="240" w:lineRule="auto"/>
              <w:contextualSpacing/>
              <w:rPr>
                <w:rFonts w:ascii="Times New Roman" w:hAnsi="Times New Roman" w:cs="Times New Roman"/>
                <w:i/>
                <w:sz w:val="20"/>
                <w:szCs w:val="20"/>
              </w:rPr>
            </w:pPr>
            <w:r>
              <w:rPr>
                <w:rFonts w:ascii="Times New Roman" w:hAnsi="Times New Roman" w:cs="Times New Roman"/>
                <w:i/>
                <w:sz w:val="20"/>
                <w:szCs w:val="20"/>
              </w:rPr>
              <w:t>Mac</w:t>
            </w:r>
            <w:r w:rsidR="009B28BC" w:rsidRPr="00AF6503">
              <w:rPr>
                <w:rFonts w:ascii="Times New Roman" w:hAnsi="Times New Roman" w:cs="Times New Roman"/>
                <w:i/>
                <w:sz w:val="20"/>
                <w:szCs w:val="20"/>
              </w:rPr>
              <w:t xml:space="preserve">roeconomic Convergence </w:t>
            </w: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Output convergence</w:t>
            </w: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Inflation convergence</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Interest rate convergence</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Economic policy uncertainty convergence</w:t>
            </w:r>
          </w:p>
        </w:tc>
        <w:tc>
          <w:tcPr>
            <w:tcW w:w="1275" w:type="dxa"/>
            <w:shd w:val="clear" w:color="auto" w:fill="auto"/>
          </w:tcPr>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0.018</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(0.029)</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0.049</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(0.049)</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0.137</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(0.029)</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0.052</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(0.031)</w:t>
            </w:r>
          </w:p>
        </w:tc>
        <w:tc>
          <w:tcPr>
            <w:tcW w:w="1418" w:type="dxa"/>
            <w:shd w:val="clear" w:color="auto" w:fill="auto"/>
          </w:tcPr>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0.195***</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(0.064</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0.135</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(0.169</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-0.481*</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(0.275</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0.091</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(0.086</w:t>
            </w:r>
            <w:r w:rsidR="009B28BC" w:rsidRPr="00CE158B">
              <w:rPr>
                <w:rFonts w:ascii="Times New Roman" w:hAnsi="Times New Roman"/>
                <w:sz w:val="20"/>
                <w:szCs w:val="20"/>
              </w:rPr>
              <w:t>)</w:t>
            </w:r>
          </w:p>
        </w:tc>
        <w:tc>
          <w:tcPr>
            <w:tcW w:w="1559" w:type="dxa"/>
            <w:shd w:val="clear" w:color="auto" w:fill="auto"/>
          </w:tcPr>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0.040</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(0.051</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-0.006</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(0.07</w:t>
            </w:r>
            <w:r w:rsidR="009B28BC" w:rsidRPr="00CE158B">
              <w:rPr>
                <w:rFonts w:ascii="Times New Roman" w:hAnsi="Times New Roman"/>
                <w:sz w:val="20"/>
                <w:szCs w:val="20"/>
              </w:rPr>
              <w:t>2)</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-0.039</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(0.041</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0.055</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(0.042)</w:t>
            </w:r>
          </w:p>
        </w:tc>
        <w:tc>
          <w:tcPr>
            <w:tcW w:w="1276" w:type="dxa"/>
            <w:shd w:val="clear" w:color="auto" w:fill="auto"/>
          </w:tcPr>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-0.029</w:t>
            </w:r>
          </w:p>
          <w:p w:rsidR="009B28BC" w:rsidRPr="00CE158B" w:rsidRDefault="006B442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(0.041</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0.003</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(0.085)</w:t>
            </w:r>
          </w:p>
          <w:p w:rsidR="009B28BC" w:rsidRPr="00CE158B" w:rsidRDefault="002E079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0.135*</w:t>
            </w:r>
            <w:r w:rsidR="009B28BC" w:rsidRPr="00CE158B">
              <w:rPr>
                <w:rFonts w:ascii="Times New Roman" w:hAnsi="Times New Roman"/>
                <w:sz w:val="20"/>
                <w:szCs w:val="20"/>
              </w:rPr>
              <w:t>**</w:t>
            </w:r>
            <w:r w:rsidR="009B28BC" w:rsidRPr="00CE158B">
              <w:rPr>
                <w:rFonts w:ascii="Times New Roman" w:hAnsi="Times New Roman"/>
                <w:sz w:val="20"/>
                <w:szCs w:val="20"/>
              </w:rPr>
              <w:br/>
              <w:t>(0.047)</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0.04</w:t>
            </w:r>
            <w:r w:rsidR="0044540F">
              <w:rPr>
                <w:rFonts w:ascii="Times New Roman" w:hAnsi="Times New Roman"/>
                <w:sz w:val="20"/>
                <w:szCs w:val="20"/>
              </w:rPr>
              <w:t>1</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(0.049)</w:t>
            </w:r>
          </w:p>
        </w:tc>
      </w:tr>
      <w:tr w:rsidR="009B28BC" w:rsidRPr="00CE158B" w:rsidTr="001D286F">
        <w:tc>
          <w:tcPr>
            <w:cnfStyle w:val="001000000000" w:firstRow="0" w:lastRow="0" w:firstColumn="1" w:lastColumn="0" w:oddVBand="0" w:evenVBand="0" w:oddHBand="0" w:evenHBand="0" w:firstRowFirstColumn="0" w:firstRowLastColumn="0" w:lastRowFirstColumn="0" w:lastRowLastColumn="0"/>
            <w:tcW w:w="3544" w:type="dxa"/>
          </w:tcPr>
          <w:p w:rsidR="009B28BC" w:rsidRPr="00AF6503" w:rsidRDefault="009B28BC" w:rsidP="00667604">
            <w:pPr>
              <w:adjustRightInd w:val="0"/>
              <w:snapToGrid w:val="0"/>
              <w:spacing w:after="0" w:line="240" w:lineRule="auto"/>
              <w:rPr>
                <w:rFonts w:ascii="Times New Roman" w:hAnsi="Times New Roman" w:cs="Times New Roman"/>
                <w:i/>
                <w:sz w:val="20"/>
                <w:szCs w:val="20"/>
              </w:rPr>
            </w:pPr>
            <w:r w:rsidRPr="00AF6503">
              <w:rPr>
                <w:rFonts w:ascii="Times New Roman" w:hAnsi="Times New Roman" w:cs="Times New Roman"/>
                <w:i/>
                <w:sz w:val="20"/>
                <w:szCs w:val="20"/>
              </w:rPr>
              <w:t>Financial Volatility</w:t>
            </w:r>
          </w:p>
          <w:p w:rsidR="009B28BC" w:rsidRPr="00CE158B" w:rsidRDefault="009B28BC" w:rsidP="00505395">
            <w:pPr>
              <w:adjustRightInd w:val="0"/>
              <w:snapToGrid w:val="0"/>
              <w:spacing w:after="0" w:line="240" w:lineRule="auto"/>
              <w:rPr>
                <w:rFonts w:ascii="Times New Roman" w:hAnsi="Times New Roman" w:cs="Times New Roman"/>
                <w:sz w:val="20"/>
                <w:szCs w:val="20"/>
              </w:rPr>
            </w:pPr>
            <w:r w:rsidRPr="00CE158B">
              <w:rPr>
                <w:rFonts w:ascii="Times New Roman" w:hAnsi="Times New Roman" w:cs="Times New Roman"/>
                <w:sz w:val="20"/>
                <w:szCs w:val="20"/>
              </w:rPr>
              <w:t>Stock volatility</w:t>
            </w:r>
          </w:p>
          <w:p w:rsidR="009B28BC" w:rsidRPr="00CE158B" w:rsidRDefault="009B28BC" w:rsidP="00505395">
            <w:pPr>
              <w:adjustRightInd w:val="0"/>
              <w:snapToGrid w:val="0"/>
              <w:spacing w:after="0" w:line="240" w:lineRule="auto"/>
              <w:rPr>
                <w:rFonts w:ascii="Times New Roman" w:hAnsi="Times New Roman" w:cs="Times New Roman"/>
                <w:sz w:val="20"/>
                <w:szCs w:val="20"/>
              </w:rPr>
            </w:pP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Foreign </w:t>
            </w:r>
            <w:r w:rsidR="00A97152">
              <w:rPr>
                <w:rFonts w:ascii="Times New Roman" w:hAnsi="Times New Roman" w:cs="Times New Roman"/>
                <w:sz w:val="20"/>
                <w:szCs w:val="20"/>
              </w:rPr>
              <w:t>e</w:t>
            </w:r>
            <w:r w:rsidRPr="00CE158B">
              <w:rPr>
                <w:rFonts w:ascii="Times New Roman" w:hAnsi="Times New Roman" w:cs="Times New Roman"/>
                <w:sz w:val="20"/>
                <w:szCs w:val="20"/>
              </w:rPr>
              <w:t>xchange volatility</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Gold volatility</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rPr>
                <w:rFonts w:ascii="Times New Roman" w:hAnsi="Times New Roman" w:cs="Times New Roman"/>
                <w:sz w:val="20"/>
                <w:szCs w:val="20"/>
              </w:rPr>
            </w:pPr>
            <w:r w:rsidRPr="00CE158B">
              <w:rPr>
                <w:rFonts w:ascii="Times New Roman" w:hAnsi="Times New Roman" w:cs="Times New Roman"/>
                <w:sz w:val="20"/>
                <w:szCs w:val="20"/>
              </w:rPr>
              <w:t>Oil volatility</w:t>
            </w:r>
          </w:p>
          <w:p w:rsidR="009B28BC" w:rsidRPr="00CE158B" w:rsidRDefault="009B28BC">
            <w:pPr>
              <w:adjustRightInd w:val="0"/>
              <w:snapToGrid w:val="0"/>
              <w:spacing w:after="0" w:line="240" w:lineRule="auto"/>
              <w:rPr>
                <w:rFonts w:ascii="Times New Roman" w:hAnsi="Times New Roman" w:cs="Times New Roman"/>
                <w:sz w:val="20"/>
                <w:szCs w:val="20"/>
              </w:rPr>
            </w:pPr>
          </w:p>
        </w:tc>
        <w:tc>
          <w:tcPr>
            <w:tcW w:w="1275" w:type="dxa"/>
          </w:tcPr>
          <w:p w:rsidR="009B28BC" w:rsidRPr="00CE158B" w:rsidRDefault="009B28BC"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9B28BC" w:rsidRPr="00CE158B" w:rsidRDefault="009B28BC"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0.014***</w:t>
            </w:r>
            <w:r w:rsidRPr="00CE158B">
              <w:rPr>
                <w:rFonts w:ascii="Times New Roman" w:hAnsi="Times New Roman"/>
                <w:sz w:val="20"/>
                <w:szCs w:val="20"/>
              </w:rPr>
              <w:br/>
              <w:t>(0.004)</w:t>
            </w:r>
          </w:p>
          <w:p w:rsidR="009B28BC"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-0.042</w:t>
            </w:r>
          </w:p>
          <w:p w:rsidR="009B28BC"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(0.181</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0.246</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(0.077)</w:t>
            </w:r>
          </w:p>
          <w:p w:rsidR="009B28BC"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0.328***</w:t>
            </w:r>
            <w:r>
              <w:rPr>
                <w:rFonts w:ascii="Times New Roman" w:hAnsi="Times New Roman"/>
                <w:sz w:val="20"/>
                <w:szCs w:val="20"/>
              </w:rPr>
              <w:br/>
              <w:t>(0.100</w:t>
            </w:r>
            <w:r w:rsidR="009B28BC" w:rsidRPr="00CE158B">
              <w:rPr>
                <w:rFonts w:ascii="Times New Roman" w:hAnsi="Times New Roman"/>
                <w:sz w:val="20"/>
                <w:szCs w:val="20"/>
              </w:rPr>
              <w:t>)</w:t>
            </w:r>
          </w:p>
        </w:tc>
        <w:tc>
          <w:tcPr>
            <w:tcW w:w="1418" w:type="dxa"/>
          </w:tcPr>
          <w:p w:rsidR="009B28BC" w:rsidRPr="00CE158B" w:rsidRDefault="009B28BC"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9B28BC" w:rsidRPr="00CE158B"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0.163</w:t>
            </w:r>
            <w:r w:rsidR="009B28BC" w:rsidRPr="00CE158B">
              <w:rPr>
                <w:rFonts w:ascii="Times New Roman" w:hAnsi="Times New Roman"/>
                <w:sz w:val="20"/>
                <w:szCs w:val="20"/>
              </w:rPr>
              <w:t>***</w:t>
            </w:r>
          </w:p>
          <w:p w:rsidR="009B28BC" w:rsidRPr="00CE158B"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(0.042</w:t>
            </w:r>
            <w:r w:rsidR="009B28BC" w:rsidRPr="00CE158B">
              <w:rPr>
                <w:rFonts w:ascii="Times New Roman" w:hAnsi="Times New Roman"/>
                <w:sz w:val="20"/>
                <w:szCs w:val="20"/>
              </w:rPr>
              <w:t>)</w:t>
            </w:r>
          </w:p>
          <w:p w:rsidR="009B28BC"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Pr="00CE158B" w:rsidRDefault="002E079F" w:rsidP="00AF6503">
            <w:pPr>
              <w:adjustRightInd w:val="0"/>
              <w:snapToGrid w:val="0"/>
              <w:spacing w:after="0" w:line="24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559" w:type="dxa"/>
          </w:tcPr>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9B28BC"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0.025</w:t>
            </w:r>
            <w:r w:rsidR="009B28BC" w:rsidRPr="00CE158B">
              <w:rPr>
                <w:rFonts w:ascii="Times New Roman" w:hAnsi="Times New Roman"/>
                <w:sz w:val="20"/>
                <w:szCs w:val="20"/>
              </w:rPr>
              <w:t>***</w:t>
            </w:r>
            <w:r w:rsidR="009B28BC" w:rsidRPr="00CE158B">
              <w:rPr>
                <w:rFonts w:ascii="Times New Roman" w:hAnsi="Times New Roman"/>
                <w:sz w:val="20"/>
                <w:szCs w:val="20"/>
              </w:rPr>
              <w:br/>
              <w:t>(0.006)</w:t>
            </w:r>
          </w:p>
          <w:p w:rsidR="009B28BC"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p w:rsidR="002E079F"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1276" w:type="dxa"/>
          </w:tcPr>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0.009**</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(0.004)</w:t>
            </w:r>
          </w:p>
          <w:p w:rsidR="009B28BC" w:rsidRPr="00CE158B" w:rsidRDefault="0044540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-0.065</w:t>
            </w:r>
          </w:p>
          <w:p w:rsidR="009B28BC" w:rsidRPr="00CE158B" w:rsidRDefault="006B442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(0.163</w:t>
            </w:r>
            <w:r w:rsidR="009B28BC" w:rsidRPr="00CE158B">
              <w:rPr>
                <w:rFonts w:ascii="Times New Roman" w:hAnsi="Times New Roman"/>
                <w:sz w:val="20"/>
                <w:szCs w:val="20"/>
              </w:rPr>
              <w:t>)</w:t>
            </w:r>
          </w:p>
          <w:p w:rsidR="009B28BC" w:rsidRPr="00CE158B" w:rsidRDefault="0044540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-0.061</w:t>
            </w:r>
          </w:p>
          <w:p w:rsidR="009B28BC" w:rsidRPr="00CE158B" w:rsidRDefault="006B442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(0.109</w:t>
            </w:r>
            <w:r w:rsidR="009B28BC" w:rsidRPr="00CE158B">
              <w:rPr>
                <w:rFonts w:ascii="Times New Roman" w:hAnsi="Times New Roman"/>
                <w:sz w:val="20"/>
                <w:szCs w:val="20"/>
              </w:rPr>
              <w:t>)</w:t>
            </w:r>
          </w:p>
          <w:p w:rsidR="009B28BC" w:rsidRPr="00CE158B" w:rsidRDefault="0044540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0.297</w:t>
            </w:r>
            <w:r w:rsidR="009B28BC" w:rsidRPr="00CE158B">
              <w:rPr>
                <w:rFonts w:ascii="Times New Roman" w:hAnsi="Times New Roman"/>
                <w:sz w:val="20"/>
                <w:szCs w:val="20"/>
              </w:rPr>
              <w:t>***</w:t>
            </w:r>
          </w:p>
          <w:p w:rsidR="009B28BC" w:rsidRPr="00CE158B" w:rsidRDefault="0044540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(0.103</w:t>
            </w:r>
            <w:r w:rsidR="009B28BC" w:rsidRPr="00CE158B">
              <w:rPr>
                <w:rFonts w:ascii="Times New Roman" w:hAnsi="Times New Roman"/>
                <w:sz w:val="20"/>
                <w:szCs w:val="20"/>
              </w:rPr>
              <w:t>)</w:t>
            </w:r>
          </w:p>
        </w:tc>
      </w:tr>
      <w:tr w:rsidR="009B28BC" w:rsidRPr="00CE158B" w:rsidTr="001D286F">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9B28BC" w:rsidRPr="00AF6503" w:rsidRDefault="009B28BC" w:rsidP="00667604">
            <w:pPr>
              <w:adjustRightInd w:val="0"/>
              <w:snapToGrid w:val="0"/>
              <w:spacing w:after="0" w:line="240" w:lineRule="auto"/>
              <w:rPr>
                <w:rFonts w:ascii="Times New Roman" w:hAnsi="Times New Roman" w:cs="Times New Roman"/>
                <w:i/>
                <w:sz w:val="20"/>
                <w:szCs w:val="20"/>
              </w:rPr>
            </w:pPr>
            <w:r w:rsidRPr="00AF6503">
              <w:rPr>
                <w:rFonts w:ascii="Times New Roman" w:hAnsi="Times New Roman" w:cs="Times New Roman"/>
                <w:i/>
                <w:sz w:val="20"/>
                <w:szCs w:val="20"/>
              </w:rPr>
              <w:t>Crisis Episodes</w:t>
            </w: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World War II</w:t>
            </w: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Korean War</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Vietnam War</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First </w:t>
            </w:r>
            <w:r w:rsidR="00A97152">
              <w:rPr>
                <w:rFonts w:ascii="Times New Roman" w:hAnsi="Times New Roman" w:cs="Times New Roman"/>
                <w:sz w:val="20"/>
                <w:szCs w:val="20"/>
              </w:rPr>
              <w:t>g</w:t>
            </w:r>
            <w:r w:rsidRPr="00CE158B">
              <w:rPr>
                <w:rFonts w:ascii="Times New Roman" w:hAnsi="Times New Roman" w:cs="Times New Roman"/>
                <w:sz w:val="20"/>
                <w:szCs w:val="20"/>
              </w:rPr>
              <w:t xml:space="preserve">lobal </w:t>
            </w:r>
            <w:r w:rsidR="00A97152">
              <w:rPr>
                <w:rFonts w:ascii="Times New Roman" w:hAnsi="Times New Roman" w:cs="Times New Roman"/>
                <w:sz w:val="20"/>
                <w:szCs w:val="20"/>
              </w:rPr>
              <w:t>o</w:t>
            </w:r>
            <w:r w:rsidRPr="00CE158B">
              <w:rPr>
                <w:rFonts w:ascii="Times New Roman" w:hAnsi="Times New Roman" w:cs="Times New Roman"/>
                <w:sz w:val="20"/>
                <w:szCs w:val="20"/>
              </w:rPr>
              <w:t xml:space="preserve">il </w:t>
            </w:r>
            <w:r w:rsidR="00A97152">
              <w:rPr>
                <w:rFonts w:ascii="Times New Roman" w:hAnsi="Times New Roman" w:cs="Times New Roman"/>
                <w:sz w:val="20"/>
                <w:szCs w:val="20"/>
              </w:rPr>
              <w:t>s</w:t>
            </w:r>
            <w:r w:rsidRPr="00CE158B">
              <w:rPr>
                <w:rFonts w:ascii="Times New Roman" w:hAnsi="Times New Roman" w:cs="Times New Roman"/>
                <w:sz w:val="20"/>
                <w:szCs w:val="20"/>
              </w:rPr>
              <w:t xml:space="preserve">hock 1973/74 </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Second </w:t>
            </w:r>
            <w:r w:rsidR="00A97152">
              <w:rPr>
                <w:rFonts w:ascii="Times New Roman" w:hAnsi="Times New Roman" w:cs="Times New Roman"/>
                <w:sz w:val="20"/>
                <w:szCs w:val="20"/>
              </w:rPr>
              <w:t>g</w:t>
            </w:r>
            <w:r w:rsidRPr="00CE158B">
              <w:rPr>
                <w:rFonts w:ascii="Times New Roman" w:hAnsi="Times New Roman" w:cs="Times New Roman"/>
                <w:sz w:val="20"/>
                <w:szCs w:val="20"/>
              </w:rPr>
              <w:t xml:space="preserve">lobal </w:t>
            </w:r>
            <w:r w:rsidR="00A97152">
              <w:rPr>
                <w:rFonts w:ascii="Times New Roman" w:hAnsi="Times New Roman" w:cs="Times New Roman"/>
                <w:sz w:val="20"/>
                <w:szCs w:val="20"/>
              </w:rPr>
              <w:t>o</w:t>
            </w:r>
            <w:r w:rsidRPr="00CE158B">
              <w:rPr>
                <w:rFonts w:ascii="Times New Roman" w:hAnsi="Times New Roman" w:cs="Times New Roman"/>
                <w:sz w:val="20"/>
                <w:szCs w:val="20"/>
              </w:rPr>
              <w:t xml:space="preserve">il </w:t>
            </w:r>
            <w:r w:rsidR="00A97152">
              <w:rPr>
                <w:rFonts w:ascii="Times New Roman" w:hAnsi="Times New Roman" w:cs="Times New Roman"/>
                <w:sz w:val="20"/>
                <w:szCs w:val="20"/>
              </w:rPr>
              <w:t>s</w:t>
            </w:r>
            <w:r w:rsidRPr="00CE158B">
              <w:rPr>
                <w:rFonts w:ascii="Times New Roman" w:hAnsi="Times New Roman" w:cs="Times New Roman"/>
                <w:sz w:val="20"/>
                <w:szCs w:val="20"/>
              </w:rPr>
              <w:t>hock 1979/80</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1987 </w:t>
            </w:r>
            <w:r w:rsidR="00A97152">
              <w:rPr>
                <w:rFonts w:ascii="Times New Roman" w:hAnsi="Times New Roman" w:cs="Times New Roman"/>
                <w:sz w:val="20"/>
                <w:szCs w:val="20"/>
              </w:rPr>
              <w:t>m</w:t>
            </w:r>
            <w:r w:rsidRPr="00CE158B">
              <w:rPr>
                <w:rFonts w:ascii="Times New Roman" w:hAnsi="Times New Roman" w:cs="Times New Roman"/>
                <w:sz w:val="20"/>
                <w:szCs w:val="20"/>
              </w:rPr>
              <w:t xml:space="preserve">arket </w:t>
            </w:r>
            <w:r w:rsidR="00A97152">
              <w:rPr>
                <w:rFonts w:ascii="Times New Roman" w:hAnsi="Times New Roman" w:cs="Times New Roman"/>
                <w:sz w:val="20"/>
                <w:szCs w:val="20"/>
              </w:rPr>
              <w:t>c</w:t>
            </w:r>
            <w:r w:rsidRPr="00CE158B">
              <w:rPr>
                <w:rFonts w:ascii="Times New Roman" w:hAnsi="Times New Roman" w:cs="Times New Roman"/>
                <w:sz w:val="20"/>
                <w:szCs w:val="20"/>
              </w:rPr>
              <w:t>rash</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Iraq-Kuwait War</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European </w:t>
            </w:r>
            <w:r w:rsidR="00A97152">
              <w:rPr>
                <w:rFonts w:ascii="Times New Roman" w:hAnsi="Times New Roman" w:cs="Times New Roman"/>
                <w:sz w:val="20"/>
                <w:szCs w:val="20"/>
              </w:rPr>
              <w:t>m</w:t>
            </w:r>
            <w:r w:rsidRPr="00CE158B">
              <w:rPr>
                <w:rFonts w:ascii="Times New Roman" w:hAnsi="Times New Roman" w:cs="Times New Roman"/>
                <w:sz w:val="20"/>
                <w:szCs w:val="20"/>
              </w:rPr>
              <w:t xml:space="preserve">onetary </w:t>
            </w:r>
            <w:r w:rsidR="00A97152">
              <w:rPr>
                <w:rFonts w:ascii="Times New Roman" w:hAnsi="Times New Roman" w:cs="Times New Roman"/>
                <w:sz w:val="20"/>
                <w:szCs w:val="20"/>
              </w:rPr>
              <w:t>s</w:t>
            </w:r>
            <w:r w:rsidRPr="00CE158B">
              <w:rPr>
                <w:rFonts w:ascii="Times New Roman" w:hAnsi="Times New Roman" w:cs="Times New Roman"/>
                <w:sz w:val="20"/>
                <w:szCs w:val="20"/>
              </w:rPr>
              <w:t>ystem</w:t>
            </w:r>
            <w:r w:rsidR="0028681D">
              <w:rPr>
                <w:rFonts w:ascii="Times New Roman" w:hAnsi="Times New Roman" w:cs="Times New Roman"/>
                <w:sz w:val="20"/>
                <w:szCs w:val="20"/>
              </w:rPr>
              <w:t xml:space="preserve"> </w:t>
            </w:r>
            <w:r w:rsidR="00A97152">
              <w:rPr>
                <w:rFonts w:ascii="Times New Roman" w:hAnsi="Times New Roman" w:cs="Times New Roman"/>
                <w:sz w:val="20"/>
                <w:szCs w:val="20"/>
              </w:rPr>
              <w:t>c</w:t>
            </w:r>
            <w:r w:rsidRPr="00CE158B">
              <w:rPr>
                <w:rFonts w:ascii="Times New Roman" w:hAnsi="Times New Roman" w:cs="Times New Roman"/>
                <w:sz w:val="20"/>
                <w:szCs w:val="20"/>
              </w:rPr>
              <w:t>risis</w:t>
            </w:r>
          </w:p>
          <w:p w:rsidR="0082239F" w:rsidRPr="00CE158B" w:rsidRDefault="0082239F">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Mexican </w:t>
            </w:r>
            <w:r w:rsidR="00A97152">
              <w:rPr>
                <w:rFonts w:ascii="Times New Roman" w:hAnsi="Times New Roman" w:cs="Times New Roman"/>
                <w:sz w:val="20"/>
                <w:szCs w:val="20"/>
              </w:rPr>
              <w:t>c</w:t>
            </w:r>
            <w:r w:rsidRPr="00CE158B">
              <w:rPr>
                <w:rFonts w:ascii="Times New Roman" w:hAnsi="Times New Roman" w:cs="Times New Roman"/>
                <w:sz w:val="20"/>
                <w:szCs w:val="20"/>
              </w:rPr>
              <w:t xml:space="preserve">urrency </w:t>
            </w:r>
            <w:r w:rsidR="00A97152">
              <w:rPr>
                <w:rFonts w:ascii="Times New Roman" w:hAnsi="Times New Roman" w:cs="Times New Roman"/>
                <w:sz w:val="20"/>
                <w:szCs w:val="20"/>
              </w:rPr>
              <w:t>c</w:t>
            </w:r>
            <w:r w:rsidRPr="00CE158B">
              <w:rPr>
                <w:rFonts w:ascii="Times New Roman" w:hAnsi="Times New Roman" w:cs="Times New Roman"/>
                <w:sz w:val="20"/>
                <w:szCs w:val="20"/>
              </w:rPr>
              <w:t>risis</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Asian and Russian </w:t>
            </w:r>
            <w:r w:rsidR="00A97152">
              <w:rPr>
                <w:rFonts w:ascii="Times New Roman" w:hAnsi="Times New Roman" w:cs="Times New Roman"/>
                <w:sz w:val="20"/>
                <w:szCs w:val="20"/>
              </w:rPr>
              <w:t>c</w:t>
            </w:r>
            <w:r w:rsidRPr="00CE158B">
              <w:rPr>
                <w:rFonts w:ascii="Times New Roman" w:hAnsi="Times New Roman" w:cs="Times New Roman"/>
                <w:sz w:val="20"/>
                <w:szCs w:val="20"/>
              </w:rPr>
              <w:t>risis</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Dot-</w:t>
            </w:r>
            <w:r w:rsidR="00A97152">
              <w:rPr>
                <w:rFonts w:ascii="Times New Roman" w:hAnsi="Times New Roman" w:cs="Times New Roman"/>
                <w:sz w:val="20"/>
                <w:szCs w:val="20"/>
              </w:rPr>
              <w:t>c</w:t>
            </w:r>
            <w:r w:rsidRPr="00CE158B">
              <w:rPr>
                <w:rFonts w:ascii="Times New Roman" w:hAnsi="Times New Roman" w:cs="Times New Roman"/>
                <w:sz w:val="20"/>
                <w:szCs w:val="20"/>
              </w:rPr>
              <w:t xml:space="preserve">om </w:t>
            </w:r>
            <w:r w:rsidR="00696DEF">
              <w:rPr>
                <w:rFonts w:ascii="Times New Roman" w:hAnsi="Times New Roman" w:cs="Times New Roman"/>
                <w:sz w:val="20"/>
                <w:szCs w:val="20"/>
              </w:rPr>
              <w:t>burst</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Afghanistan War</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Iraq War </w:t>
            </w:r>
          </w:p>
          <w:p w:rsidR="009B28BC" w:rsidRPr="00CE158B" w:rsidRDefault="009B28BC">
            <w:pPr>
              <w:adjustRightInd w:val="0"/>
              <w:snapToGrid w:val="0"/>
              <w:spacing w:after="0" w:line="240" w:lineRule="auto"/>
              <w:contextualSpacing/>
              <w:rPr>
                <w:rFonts w:ascii="Times New Roman" w:hAnsi="Times New Roman" w:cs="Times New Roman"/>
                <w:sz w:val="20"/>
                <w:szCs w:val="20"/>
              </w:rPr>
            </w:pPr>
          </w:p>
          <w:p w:rsidR="009B28BC" w:rsidRPr="00CE158B" w:rsidRDefault="009B28BC">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 xml:space="preserve">Global </w:t>
            </w:r>
            <w:r w:rsidR="00A97152">
              <w:rPr>
                <w:rFonts w:ascii="Times New Roman" w:hAnsi="Times New Roman" w:cs="Times New Roman"/>
                <w:sz w:val="20"/>
                <w:szCs w:val="20"/>
              </w:rPr>
              <w:t>f</w:t>
            </w:r>
            <w:r w:rsidRPr="00CE158B">
              <w:rPr>
                <w:rFonts w:ascii="Times New Roman" w:hAnsi="Times New Roman" w:cs="Times New Roman"/>
                <w:sz w:val="20"/>
                <w:szCs w:val="20"/>
              </w:rPr>
              <w:t xml:space="preserve">inancial </w:t>
            </w:r>
            <w:r w:rsidR="00A97152">
              <w:rPr>
                <w:rFonts w:ascii="Times New Roman" w:hAnsi="Times New Roman" w:cs="Times New Roman"/>
                <w:sz w:val="20"/>
                <w:szCs w:val="20"/>
              </w:rPr>
              <w:t>c</w:t>
            </w:r>
            <w:r w:rsidRPr="00CE158B">
              <w:rPr>
                <w:rFonts w:ascii="Times New Roman" w:hAnsi="Times New Roman" w:cs="Times New Roman"/>
                <w:sz w:val="20"/>
                <w:szCs w:val="20"/>
              </w:rPr>
              <w:t>risis</w:t>
            </w:r>
          </w:p>
          <w:p w:rsidR="009B28BC" w:rsidRPr="00CE158B" w:rsidRDefault="009B28BC">
            <w:pPr>
              <w:adjustRightInd w:val="0"/>
              <w:snapToGrid w:val="0"/>
              <w:spacing w:after="0" w:line="240" w:lineRule="auto"/>
              <w:contextualSpacing/>
              <w:rPr>
                <w:rFonts w:ascii="Times New Roman" w:hAnsi="Times New Roman"/>
                <w:sz w:val="20"/>
                <w:szCs w:val="20"/>
              </w:rPr>
            </w:pPr>
          </w:p>
          <w:p w:rsidR="009B28BC" w:rsidRPr="00CE158B" w:rsidRDefault="009B28BC">
            <w:pPr>
              <w:adjustRightInd w:val="0"/>
              <w:snapToGrid w:val="0"/>
              <w:spacing w:after="0" w:line="240" w:lineRule="auto"/>
              <w:contextualSpacing/>
              <w:rPr>
                <w:rFonts w:ascii="Times New Roman" w:hAnsi="Times New Roman"/>
                <w:sz w:val="20"/>
                <w:szCs w:val="20"/>
              </w:rPr>
            </w:pPr>
            <w:r w:rsidRPr="00CE158B">
              <w:rPr>
                <w:rFonts w:ascii="Times New Roman" w:hAnsi="Times New Roman"/>
                <w:sz w:val="20"/>
                <w:szCs w:val="20"/>
              </w:rPr>
              <w:t xml:space="preserve">Eurozone </w:t>
            </w:r>
            <w:r w:rsidR="00A97152">
              <w:rPr>
                <w:rFonts w:ascii="Times New Roman" w:hAnsi="Times New Roman"/>
                <w:sz w:val="20"/>
                <w:szCs w:val="20"/>
              </w:rPr>
              <w:t>d</w:t>
            </w:r>
            <w:r w:rsidRPr="00CE158B">
              <w:rPr>
                <w:rFonts w:ascii="Times New Roman" w:hAnsi="Times New Roman"/>
                <w:sz w:val="20"/>
                <w:szCs w:val="20"/>
              </w:rPr>
              <w:t xml:space="preserve">ebt </w:t>
            </w:r>
            <w:r w:rsidR="00A97152">
              <w:rPr>
                <w:rFonts w:ascii="Times New Roman" w:hAnsi="Times New Roman"/>
                <w:sz w:val="20"/>
                <w:szCs w:val="20"/>
              </w:rPr>
              <w:t>c</w:t>
            </w:r>
            <w:r w:rsidRPr="00CE158B">
              <w:rPr>
                <w:rFonts w:ascii="Times New Roman" w:hAnsi="Times New Roman"/>
                <w:sz w:val="20"/>
                <w:szCs w:val="20"/>
              </w:rPr>
              <w:t>risis</w:t>
            </w:r>
          </w:p>
        </w:tc>
        <w:tc>
          <w:tcPr>
            <w:tcW w:w="1275" w:type="dxa"/>
            <w:shd w:val="clear" w:color="auto" w:fill="auto"/>
          </w:tcPr>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-0.001</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(0.023)</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-0.039*</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(0.022)</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-0.015</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(0.013)</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-0.064</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(0.047</w:t>
            </w:r>
            <w:r w:rsidR="009B28BC" w:rsidRPr="00CE158B">
              <w:rPr>
                <w:rFonts w:ascii="Times New Roman" w:hAnsi="Times New Roman" w:cs="Times New Roman"/>
                <w:sz w:val="20"/>
                <w:szCs w:val="20"/>
              </w:rPr>
              <w:t>)</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0.006</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(0.026)</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0.176*</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(0.106)</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0.019</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(0.062)</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0.066</w:t>
            </w:r>
            <w:r w:rsidR="009B28BC"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w:t>
            </w:r>
            <w:r w:rsidR="002E079F">
              <w:rPr>
                <w:rFonts w:ascii="Times New Roman" w:hAnsi="Times New Roman" w:cs="Times New Roman"/>
                <w:sz w:val="20"/>
                <w:szCs w:val="20"/>
              </w:rPr>
              <w:t>5</w:t>
            </w:r>
            <w:r w:rsidRPr="00CE158B">
              <w:rPr>
                <w:rFonts w:ascii="Times New Roman" w:hAnsi="Times New Roman" w:cs="Times New Roman"/>
                <w:sz w:val="20"/>
                <w:szCs w:val="20"/>
              </w:rPr>
              <w:t>)</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0.039</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(0.025)</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0.179</w:t>
            </w:r>
            <w:r w:rsidR="009B28BC"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(0.025)</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0.093</w:t>
            </w:r>
            <w:r w:rsidR="009B28BC"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(0.025)</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-0.002</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(0.029)</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0.110</w:t>
            </w:r>
            <w:r w:rsidR="009B28BC"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(0.027)</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0.095***</w:t>
            </w:r>
            <w:r w:rsidRPr="00CE158B">
              <w:rPr>
                <w:rFonts w:ascii="Times New Roman" w:hAnsi="Times New Roman" w:cs="Times New Roman"/>
                <w:sz w:val="20"/>
                <w:szCs w:val="20"/>
              </w:rPr>
              <w:br/>
              <w:t>(0.024)</w:t>
            </w:r>
          </w:p>
          <w:p w:rsidR="009B28BC" w:rsidRPr="00CE158B" w:rsidRDefault="002E079F"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0.094</w:t>
            </w:r>
            <w:r w:rsidR="009B28BC" w:rsidRPr="00CE158B">
              <w:rPr>
                <w:rFonts w:ascii="Times New Roman" w:hAnsi="Times New Roman" w:cs="Times New Roman"/>
                <w:sz w:val="20"/>
                <w:szCs w:val="20"/>
              </w:rPr>
              <w:t>***</w:t>
            </w:r>
            <w:r w:rsidR="009B28BC" w:rsidRPr="00CE158B">
              <w:rPr>
                <w:rFonts w:ascii="Times New Roman" w:hAnsi="Times New Roman" w:cs="Times New Roman"/>
                <w:sz w:val="20"/>
                <w:szCs w:val="20"/>
              </w:rPr>
              <w:br/>
              <w:t>(0.024)</w:t>
            </w:r>
          </w:p>
        </w:tc>
        <w:tc>
          <w:tcPr>
            <w:tcW w:w="1418" w:type="dxa"/>
            <w:shd w:val="clear" w:color="auto" w:fill="auto"/>
          </w:tcPr>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-0.053</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(0.055)</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BD4CE4" w:rsidRPr="00CE158B" w:rsidRDefault="00BD4CE4"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BD4CE4" w:rsidRPr="00CE158B" w:rsidRDefault="00BD4CE4"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tc>
        <w:tc>
          <w:tcPr>
            <w:tcW w:w="1559" w:type="dxa"/>
            <w:shd w:val="clear" w:color="auto" w:fill="auto"/>
          </w:tcPr>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-0.026</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(0.024)</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0.008</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(0.017)</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BD4CE4" w:rsidRPr="00CE158B" w:rsidRDefault="00BD4CE4"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BD4CE4" w:rsidRPr="00CE158B" w:rsidRDefault="00BD4CE4"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tc>
        <w:tc>
          <w:tcPr>
            <w:tcW w:w="1276" w:type="dxa"/>
            <w:shd w:val="clear" w:color="auto" w:fill="auto"/>
          </w:tcPr>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9B28BC" w:rsidP="00AF6503">
            <w:pPr>
              <w:adjustRightInd w:val="0"/>
              <w:snapToGrid w:val="0"/>
              <w:spacing w:after="0" w:line="24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-0.031</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(0.042</w:t>
            </w:r>
            <w:r w:rsidR="009B28BC" w:rsidRPr="00CE158B">
              <w:rPr>
                <w:rFonts w:ascii="Times New Roman" w:hAnsi="Times New Roman"/>
                <w:sz w:val="20"/>
                <w:szCs w:val="20"/>
              </w:rPr>
              <w:t>)</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0.002</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(0.027)</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0.143</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(0.106)</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0.016</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(0.063)</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0.031</w:t>
            </w:r>
          </w:p>
          <w:p w:rsidR="009B28BC" w:rsidRPr="00CE158B" w:rsidRDefault="006B442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(0.027</w:t>
            </w:r>
            <w:r w:rsidR="009B28BC" w:rsidRPr="00CE158B">
              <w:rPr>
                <w:rFonts w:ascii="Times New Roman" w:hAnsi="Times New Roman"/>
                <w:sz w:val="20"/>
                <w:szCs w:val="20"/>
              </w:rPr>
              <w:t>)</w:t>
            </w:r>
          </w:p>
          <w:p w:rsidR="009B28BC" w:rsidRPr="00CE158B" w:rsidRDefault="006B442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-0.016</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(0.028)</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0.140</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(0.025)</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0.069</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(0.026)</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-0.01</w:t>
            </w:r>
            <w:r w:rsidR="006B442F">
              <w:rPr>
                <w:rFonts w:ascii="Times New Roman" w:hAnsi="Times New Roman"/>
                <w:sz w:val="20"/>
                <w:szCs w:val="20"/>
              </w:rPr>
              <w:t>8</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(0.031)</w:t>
            </w:r>
          </w:p>
          <w:p w:rsidR="009B28BC" w:rsidRPr="00CE158B" w:rsidRDefault="006B442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w:t>
            </w:r>
            <w:r w:rsidR="0044540F">
              <w:rPr>
                <w:rFonts w:ascii="Times New Roman" w:hAnsi="Times New Roman"/>
                <w:sz w:val="20"/>
                <w:szCs w:val="20"/>
              </w:rPr>
              <w:t>.107</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(0.028)</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0.111</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(0.028)</w:t>
            </w:r>
          </w:p>
          <w:p w:rsidR="009B28BC" w:rsidRPr="00CE158B" w:rsidRDefault="0044540F"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0.092</w:t>
            </w:r>
            <w:r w:rsidR="009B28BC" w:rsidRPr="00CE158B">
              <w:rPr>
                <w:rFonts w:ascii="Times New Roman" w:hAnsi="Times New Roman"/>
                <w:sz w:val="20"/>
                <w:szCs w:val="20"/>
              </w:rPr>
              <w:t>***</w:t>
            </w:r>
          </w:p>
          <w:p w:rsidR="009B28BC" w:rsidRPr="00CE158B" w:rsidRDefault="009B28BC"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CE158B">
              <w:rPr>
                <w:rFonts w:ascii="Times New Roman" w:hAnsi="Times New Roman"/>
                <w:sz w:val="20"/>
                <w:szCs w:val="20"/>
              </w:rPr>
              <w:t>(0.025)</w:t>
            </w:r>
          </w:p>
        </w:tc>
      </w:tr>
      <w:tr w:rsidR="009B28BC" w:rsidRPr="00CE158B" w:rsidTr="001D286F">
        <w:tc>
          <w:tcPr>
            <w:cnfStyle w:val="001000000000" w:firstRow="0" w:lastRow="0" w:firstColumn="1" w:lastColumn="0" w:oddVBand="0" w:evenVBand="0" w:oddHBand="0" w:evenHBand="0" w:firstRowFirstColumn="0" w:firstRowLastColumn="0" w:lastRowFirstColumn="0" w:lastRowLastColumn="0"/>
            <w:tcW w:w="3544" w:type="dxa"/>
          </w:tcPr>
          <w:p w:rsidR="009B28BC" w:rsidRPr="00CE158B" w:rsidRDefault="009B28BC" w:rsidP="00667604">
            <w:pPr>
              <w:adjustRightInd w:val="0"/>
              <w:snapToGrid w:val="0"/>
              <w:spacing w:after="0" w:line="240" w:lineRule="auto"/>
              <w:contextualSpacing/>
              <w:rPr>
                <w:rFonts w:ascii="Times New Roman" w:hAnsi="Times New Roman" w:cs="Times New Roman"/>
                <w:sz w:val="20"/>
                <w:szCs w:val="20"/>
              </w:rPr>
            </w:pPr>
            <w:r w:rsidRPr="00CE158B">
              <w:rPr>
                <w:rFonts w:ascii="Times New Roman" w:hAnsi="Times New Roman" w:cs="Times New Roman"/>
                <w:sz w:val="20"/>
                <w:szCs w:val="20"/>
              </w:rPr>
              <w:t>Intercept</w:t>
            </w:r>
          </w:p>
          <w:p w:rsidR="009B28BC" w:rsidRPr="00CE158B" w:rsidRDefault="009B28BC" w:rsidP="00505395">
            <w:pPr>
              <w:adjustRightInd w:val="0"/>
              <w:snapToGrid w:val="0"/>
              <w:spacing w:after="0" w:line="240" w:lineRule="auto"/>
              <w:contextualSpacing/>
              <w:rPr>
                <w:rFonts w:ascii="Times New Roman" w:hAnsi="Times New Roman" w:cs="Times New Roman"/>
                <w:sz w:val="20"/>
                <w:szCs w:val="20"/>
              </w:rPr>
            </w:pPr>
          </w:p>
          <w:p w:rsidR="009B28BC" w:rsidRPr="00CE158B" w:rsidRDefault="002006CC" w:rsidP="0028681D">
            <w:pPr>
              <w:adjustRightInd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Adjusted </w:t>
            </w:r>
            <w:r w:rsidR="009B28BC" w:rsidRPr="00CE158B">
              <w:rPr>
                <w:rFonts w:ascii="Times New Roman" w:hAnsi="Times New Roman" w:cs="Times New Roman"/>
                <w:sz w:val="20"/>
                <w:szCs w:val="20"/>
              </w:rPr>
              <w:t>R</w:t>
            </w:r>
            <w:r w:rsidR="0028681D">
              <w:rPr>
                <w:rFonts w:ascii="Times New Roman" w:hAnsi="Times New Roman" w:cs="Times New Roman"/>
                <w:sz w:val="20"/>
                <w:szCs w:val="20"/>
              </w:rPr>
              <w:t>-squared</w:t>
            </w:r>
          </w:p>
        </w:tc>
        <w:tc>
          <w:tcPr>
            <w:tcW w:w="1275" w:type="dxa"/>
          </w:tcPr>
          <w:p w:rsidR="009B28BC" w:rsidRPr="00CE158B" w:rsidRDefault="002E079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0.157</w:t>
            </w:r>
            <w:r w:rsidR="009B28BC"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(0.02</w:t>
            </w:r>
            <w:r w:rsidR="002E079F">
              <w:rPr>
                <w:rFonts w:ascii="Times New Roman" w:hAnsi="Times New Roman" w:cs="Times New Roman"/>
                <w:sz w:val="20"/>
                <w:szCs w:val="20"/>
              </w:rPr>
              <w:t>4</w:t>
            </w:r>
            <w:r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0.4</w:t>
            </w:r>
            <w:r w:rsidR="002E079F">
              <w:rPr>
                <w:rFonts w:ascii="Times New Roman" w:hAnsi="Times New Roman" w:cs="Times New Roman"/>
                <w:sz w:val="20"/>
                <w:szCs w:val="20"/>
              </w:rPr>
              <w:t>57</w:t>
            </w:r>
          </w:p>
        </w:tc>
        <w:tc>
          <w:tcPr>
            <w:tcW w:w="1418" w:type="dxa"/>
          </w:tcPr>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0.898**</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(0.443)</w:t>
            </w:r>
            <w:r w:rsidRPr="00CE158B">
              <w:rPr>
                <w:rFonts w:ascii="Times New Roman" w:hAnsi="Times New Roman" w:cs="Times New Roman"/>
                <w:sz w:val="20"/>
                <w:szCs w:val="20"/>
              </w:rPr>
              <w:br/>
              <w:t>0.308</w:t>
            </w:r>
          </w:p>
        </w:tc>
        <w:tc>
          <w:tcPr>
            <w:tcW w:w="1559" w:type="dxa"/>
          </w:tcPr>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0.138**</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(0.053)</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0.246</w:t>
            </w:r>
          </w:p>
        </w:tc>
        <w:tc>
          <w:tcPr>
            <w:tcW w:w="1276" w:type="dxa"/>
          </w:tcPr>
          <w:p w:rsidR="009B28BC" w:rsidRPr="00CE158B" w:rsidRDefault="0044540F"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0.279</w:t>
            </w:r>
            <w:r w:rsidR="009B28BC" w:rsidRPr="00CE158B">
              <w:rPr>
                <w:rFonts w:ascii="Times New Roman" w:hAnsi="Times New Roman" w:cs="Times New Roman"/>
                <w:sz w:val="20"/>
                <w:szCs w:val="20"/>
              </w:rPr>
              <w:t>***</w:t>
            </w:r>
            <w:r w:rsidR="009B28BC" w:rsidRPr="00CE158B">
              <w:rPr>
                <w:rFonts w:ascii="Times New Roman" w:hAnsi="Times New Roman" w:cs="Times New Roman"/>
                <w:sz w:val="20"/>
                <w:szCs w:val="20"/>
              </w:rPr>
              <w:br/>
              <w:t>(0.0</w:t>
            </w:r>
            <w:r>
              <w:rPr>
                <w:rFonts w:ascii="Times New Roman" w:hAnsi="Times New Roman" w:cs="Times New Roman"/>
                <w:sz w:val="20"/>
                <w:szCs w:val="20"/>
              </w:rPr>
              <w:t>40</w:t>
            </w:r>
            <w:r w:rsidR="009B28BC" w:rsidRPr="00CE158B">
              <w:rPr>
                <w:rFonts w:ascii="Times New Roman" w:hAnsi="Times New Roman" w:cs="Times New Roman"/>
                <w:sz w:val="20"/>
                <w:szCs w:val="20"/>
              </w:rPr>
              <w:t>)</w:t>
            </w:r>
          </w:p>
          <w:p w:rsidR="009B28BC" w:rsidRPr="00CE158B" w:rsidRDefault="009B28BC" w:rsidP="00AF6503">
            <w:pPr>
              <w:adjustRightInd w:val="0"/>
              <w:snapToGri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E158B">
              <w:rPr>
                <w:rFonts w:ascii="Times New Roman" w:hAnsi="Times New Roman" w:cs="Times New Roman"/>
                <w:sz w:val="20"/>
                <w:szCs w:val="20"/>
              </w:rPr>
              <w:t>0.36</w:t>
            </w:r>
            <w:r w:rsidR="0044540F">
              <w:rPr>
                <w:rFonts w:ascii="Times New Roman" w:hAnsi="Times New Roman" w:cs="Times New Roman"/>
                <w:sz w:val="20"/>
                <w:szCs w:val="20"/>
              </w:rPr>
              <w:t>2</w:t>
            </w:r>
          </w:p>
        </w:tc>
      </w:tr>
      <w:tr w:rsidR="0028681D" w:rsidRPr="00CE158B" w:rsidTr="005A76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rsidR="0028681D" w:rsidRPr="00CE158B" w:rsidRDefault="0028681D" w:rsidP="00667604">
            <w:pPr>
              <w:adjustRightInd w:val="0"/>
              <w:snapToGrid w:val="0"/>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Observations</w:t>
            </w:r>
          </w:p>
        </w:tc>
        <w:tc>
          <w:tcPr>
            <w:tcW w:w="1275" w:type="dxa"/>
            <w:shd w:val="clear" w:color="auto" w:fill="auto"/>
          </w:tcPr>
          <w:p w:rsidR="0028681D" w:rsidRDefault="0028681D"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956</w:t>
            </w:r>
          </w:p>
        </w:tc>
        <w:tc>
          <w:tcPr>
            <w:tcW w:w="1418" w:type="dxa"/>
            <w:shd w:val="clear" w:color="auto" w:fill="auto"/>
          </w:tcPr>
          <w:p w:rsidR="0028681D" w:rsidRPr="00CE158B" w:rsidRDefault="0028681D"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122</w:t>
            </w:r>
          </w:p>
        </w:tc>
        <w:tc>
          <w:tcPr>
            <w:tcW w:w="1559" w:type="dxa"/>
            <w:shd w:val="clear" w:color="auto" w:fill="auto"/>
          </w:tcPr>
          <w:p w:rsidR="0028681D" w:rsidRPr="00CE158B" w:rsidRDefault="0028681D"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311</w:t>
            </w:r>
          </w:p>
        </w:tc>
        <w:tc>
          <w:tcPr>
            <w:tcW w:w="1276" w:type="dxa"/>
            <w:shd w:val="clear" w:color="auto" w:fill="auto"/>
          </w:tcPr>
          <w:p w:rsidR="0028681D" w:rsidRDefault="0028681D" w:rsidP="00AF6503">
            <w:pPr>
              <w:adjustRightInd w:val="0"/>
              <w:snapToGri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523</w:t>
            </w:r>
          </w:p>
        </w:tc>
      </w:tr>
    </w:tbl>
    <w:p w:rsidR="00553395" w:rsidRPr="007F005C" w:rsidRDefault="00553395" w:rsidP="00AF6503">
      <w:pPr>
        <w:spacing w:after="0" w:line="240" w:lineRule="auto"/>
        <w:ind w:right="282"/>
        <w:contextualSpacing/>
        <w:rPr>
          <w:rFonts w:ascii="Times New Roman" w:hAnsi="Times New Roman" w:cs="Times New Roman"/>
          <w:sz w:val="20"/>
          <w:szCs w:val="20"/>
        </w:rPr>
      </w:pPr>
      <w:r w:rsidRPr="00AF6503">
        <w:rPr>
          <w:rFonts w:ascii="Times New Roman" w:hAnsi="Times New Roman" w:cs="Times New Roman"/>
          <w:sz w:val="20"/>
          <w:szCs w:val="20"/>
        </w:rPr>
        <w:t>Notes:</w:t>
      </w:r>
      <w:r w:rsidR="0028681D">
        <w:rPr>
          <w:rFonts w:ascii="Times New Roman" w:hAnsi="Times New Roman" w:cs="Times New Roman"/>
          <w:sz w:val="20"/>
          <w:szCs w:val="20"/>
        </w:rPr>
        <w:t xml:space="preserve"> </w:t>
      </w:r>
      <w:r w:rsidR="0007743F">
        <w:rPr>
          <w:rFonts w:ascii="Times New Roman" w:hAnsi="Times New Roman" w:cs="Times New Roman"/>
          <w:sz w:val="20"/>
          <w:szCs w:val="20"/>
        </w:rPr>
        <w:t xml:space="preserve">The dependent variable in equation </w:t>
      </w:r>
      <w:r w:rsidR="0046096F">
        <w:rPr>
          <w:rFonts w:ascii="Times New Roman" w:hAnsi="Times New Roman" w:cs="Times New Roman"/>
          <w:sz w:val="20"/>
          <w:szCs w:val="20"/>
        </w:rPr>
        <w:t>(5)</w:t>
      </w:r>
      <w:r w:rsidR="00D50F7A">
        <w:rPr>
          <w:rFonts w:ascii="Times New Roman" w:hAnsi="Times New Roman" w:cs="Times New Roman"/>
          <w:sz w:val="20"/>
          <w:szCs w:val="20"/>
        </w:rPr>
        <w:t xml:space="preserve"> </w:t>
      </w:r>
      <w:r w:rsidR="007F487A" w:rsidRPr="007F005C">
        <w:rPr>
          <w:rFonts w:ascii="Times New Roman" w:hAnsi="Times New Roman" w:cs="Times New Roman"/>
          <w:sz w:val="20"/>
          <w:szCs w:val="20"/>
        </w:rPr>
        <w:t>is</w:t>
      </w:r>
      <w:r w:rsidR="007F005C" w:rsidRPr="007F005C">
        <w:rPr>
          <w:rFonts w:ascii="Times New Roman" w:hAnsi="Times New Roman" w:cs="Times New Roman"/>
          <w:sz w:val="20"/>
          <w:szCs w:val="20"/>
        </w:rPr>
        <w:t xml:space="preserve"> the </w:t>
      </w:r>
      <w:r w:rsidR="007F005C" w:rsidRPr="007F005C">
        <w:rPr>
          <w:rFonts w:ascii="Times New Roman" w:eastAsiaTheme="minorEastAsia" w:hAnsi="Times New Roman" w:cs="Times New Roman"/>
          <w:sz w:val="20"/>
          <w:szCs w:val="20"/>
        </w:rPr>
        <w:t>estimated monthly correlation between the UK and US stock markets</w:t>
      </w:r>
      <w:r w:rsidR="005D132C">
        <w:rPr>
          <w:rFonts w:ascii="Times New Roman" w:hAnsi="Times New Roman" w:cs="Times New Roman"/>
          <w:sz w:val="20"/>
          <w:szCs w:val="20"/>
        </w:rPr>
        <w:t>.</w:t>
      </w:r>
      <w:r w:rsidR="00C73AAD">
        <w:rPr>
          <w:rFonts w:ascii="Times New Roman" w:hAnsi="Times New Roman" w:cs="Times New Roman"/>
          <w:sz w:val="20"/>
          <w:szCs w:val="20"/>
        </w:rPr>
        <w:t xml:space="preserve"> </w:t>
      </w:r>
      <w:r w:rsidRPr="007F005C">
        <w:rPr>
          <w:rFonts w:ascii="Times New Roman" w:hAnsi="Times New Roman" w:cs="Times New Roman"/>
          <w:sz w:val="20"/>
          <w:szCs w:val="20"/>
        </w:rPr>
        <w:t>*, **</w:t>
      </w:r>
      <w:r w:rsidR="00A97152">
        <w:rPr>
          <w:rFonts w:ascii="Times New Roman" w:hAnsi="Times New Roman" w:cs="Times New Roman"/>
          <w:sz w:val="20"/>
          <w:szCs w:val="20"/>
        </w:rPr>
        <w:t>,</w:t>
      </w:r>
      <w:r w:rsidR="0007743F">
        <w:rPr>
          <w:rFonts w:ascii="Times New Roman" w:hAnsi="Times New Roman" w:cs="Times New Roman"/>
          <w:sz w:val="20"/>
          <w:szCs w:val="20"/>
        </w:rPr>
        <w:t xml:space="preserve"> </w:t>
      </w:r>
      <w:r w:rsidRPr="007F005C">
        <w:rPr>
          <w:rFonts w:ascii="Times New Roman" w:hAnsi="Times New Roman" w:cs="Times New Roman"/>
          <w:sz w:val="20"/>
          <w:szCs w:val="20"/>
        </w:rPr>
        <w:t>and *** denote significan</w:t>
      </w:r>
      <w:r w:rsidR="00137F28">
        <w:rPr>
          <w:rFonts w:ascii="Times New Roman" w:hAnsi="Times New Roman" w:cs="Times New Roman"/>
          <w:sz w:val="20"/>
          <w:szCs w:val="20"/>
        </w:rPr>
        <w:t>ce</w:t>
      </w:r>
      <w:r w:rsidR="0028681D">
        <w:rPr>
          <w:rFonts w:ascii="Times New Roman" w:hAnsi="Times New Roman" w:cs="Times New Roman"/>
          <w:sz w:val="20"/>
          <w:szCs w:val="20"/>
        </w:rPr>
        <w:t xml:space="preserve"> </w:t>
      </w:r>
      <w:r w:rsidRPr="007F005C">
        <w:rPr>
          <w:rFonts w:ascii="Times New Roman" w:hAnsi="Times New Roman" w:cs="Times New Roman"/>
          <w:sz w:val="20"/>
          <w:szCs w:val="20"/>
        </w:rPr>
        <w:t xml:space="preserve">at </w:t>
      </w:r>
      <w:r w:rsidR="007D0730">
        <w:rPr>
          <w:rFonts w:ascii="Times New Roman" w:hAnsi="Times New Roman" w:cs="Times New Roman"/>
          <w:sz w:val="20"/>
          <w:szCs w:val="20"/>
        </w:rPr>
        <w:t xml:space="preserve">the </w:t>
      </w:r>
      <w:r w:rsidRPr="007F005C">
        <w:rPr>
          <w:rFonts w:ascii="Times New Roman" w:hAnsi="Times New Roman" w:cs="Times New Roman"/>
          <w:sz w:val="20"/>
          <w:szCs w:val="20"/>
        </w:rPr>
        <w:t>10%, 5%</w:t>
      </w:r>
      <w:r w:rsidR="00A97152">
        <w:rPr>
          <w:rFonts w:ascii="Times New Roman" w:hAnsi="Times New Roman" w:cs="Times New Roman"/>
          <w:sz w:val="20"/>
          <w:szCs w:val="20"/>
        </w:rPr>
        <w:t>,</w:t>
      </w:r>
      <w:r w:rsidRPr="007F005C">
        <w:rPr>
          <w:rFonts w:ascii="Times New Roman" w:hAnsi="Times New Roman" w:cs="Times New Roman"/>
          <w:sz w:val="20"/>
          <w:szCs w:val="20"/>
        </w:rPr>
        <w:t xml:space="preserve"> and 1%</w:t>
      </w:r>
      <w:r w:rsidR="0028681D">
        <w:rPr>
          <w:rFonts w:ascii="Times New Roman" w:hAnsi="Times New Roman" w:cs="Times New Roman"/>
          <w:sz w:val="20"/>
          <w:szCs w:val="20"/>
        </w:rPr>
        <w:t xml:space="preserve"> </w:t>
      </w:r>
      <w:r w:rsidR="007D0730" w:rsidRPr="007F005C">
        <w:rPr>
          <w:rFonts w:ascii="Times New Roman" w:hAnsi="Times New Roman" w:cs="Times New Roman"/>
          <w:sz w:val="20"/>
          <w:szCs w:val="20"/>
        </w:rPr>
        <w:t>level</w:t>
      </w:r>
      <w:r w:rsidR="007D0730">
        <w:rPr>
          <w:rFonts w:ascii="Times New Roman" w:hAnsi="Times New Roman" w:cs="Times New Roman"/>
          <w:sz w:val="20"/>
          <w:szCs w:val="20"/>
        </w:rPr>
        <w:t>s,</w:t>
      </w:r>
      <w:r w:rsidR="00137F28">
        <w:rPr>
          <w:rFonts w:ascii="Times New Roman" w:hAnsi="Times New Roman" w:cs="Times New Roman"/>
          <w:sz w:val="20"/>
          <w:szCs w:val="20"/>
        </w:rPr>
        <w:t xml:space="preserve"> respectively</w:t>
      </w:r>
      <w:r w:rsidRPr="007F005C">
        <w:rPr>
          <w:rFonts w:ascii="Times New Roman" w:hAnsi="Times New Roman" w:cs="Times New Roman"/>
          <w:sz w:val="20"/>
          <w:szCs w:val="20"/>
        </w:rPr>
        <w:t>.</w:t>
      </w:r>
      <w:r w:rsidR="00D50F7A">
        <w:rPr>
          <w:rFonts w:ascii="Times New Roman" w:hAnsi="Times New Roman" w:cs="Times New Roman"/>
          <w:sz w:val="20"/>
          <w:szCs w:val="20"/>
        </w:rPr>
        <w:t xml:space="preserve"> The method used to carry out estimations of </w:t>
      </w:r>
      <w:r w:rsidR="0007743F">
        <w:rPr>
          <w:rFonts w:ascii="Times New Roman" w:hAnsi="Times New Roman" w:cs="Times New Roman"/>
          <w:sz w:val="20"/>
          <w:szCs w:val="20"/>
        </w:rPr>
        <w:t>the equation</w:t>
      </w:r>
      <w:r w:rsidR="00D50F7A">
        <w:rPr>
          <w:rFonts w:ascii="Times New Roman" w:hAnsi="Times New Roman" w:cs="Times New Roman"/>
          <w:sz w:val="20"/>
          <w:szCs w:val="20"/>
        </w:rPr>
        <w:t xml:space="preserve"> is OLS with White’s HAC covariance matrix.</w:t>
      </w:r>
      <w:r w:rsidRPr="007F005C">
        <w:rPr>
          <w:rFonts w:ascii="Times New Roman" w:hAnsi="Times New Roman" w:cs="Times New Roman"/>
          <w:sz w:val="20"/>
          <w:szCs w:val="20"/>
        </w:rPr>
        <w:t xml:space="preserve"> Standard errors in parenthes</w:t>
      </w:r>
      <w:r w:rsidR="00137F28">
        <w:rPr>
          <w:rFonts w:ascii="Times New Roman" w:hAnsi="Times New Roman" w:cs="Times New Roman"/>
          <w:sz w:val="20"/>
          <w:szCs w:val="20"/>
        </w:rPr>
        <w:t>e</w:t>
      </w:r>
      <w:r w:rsidRPr="007F005C">
        <w:rPr>
          <w:rFonts w:ascii="Times New Roman" w:hAnsi="Times New Roman" w:cs="Times New Roman"/>
          <w:sz w:val="20"/>
          <w:szCs w:val="20"/>
        </w:rPr>
        <w:t>s.</w:t>
      </w:r>
      <w:r w:rsidR="007174FF">
        <w:rPr>
          <w:rFonts w:ascii="Times New Roman" w:hAnsi="Times New Roman" w:cs="Times New Roman"/>
          <w:sz w:val="20"/>
          <w:szCs w:val="20"/>
        </w:rPr>
        <w:t xml:space="preserve"> Adjusted R</w:t>
      </w:r>
      <w:r w:rsidR="00E17EF6">
        <w:rPr>
          <w:rFonts w:ascii="Times New Roman" w:hAnsi="Times New Roman" w:cs="Times New Roman"/>
          <w:sz w:val="20"/>
          <w:szCs w:val="20"/>
        </w:rPr>
        <w:t>-squared</w:t>
      </w:r>
      <w:r w:rsidR="007174FF">
        <w:rPr>
          <w:rFonts w:ascii="Times New Roman" w:hAnsi="Times New Roman" w:cs="Times New Roman"/>
          <w:sz w:val="20"/>
          <w:szCs w:val="20"/>
        </w:rPr>
        <w:t xml:space="preserve"> computed as </w:t>
      </w:r>
      <m:oMath>
        <m:r>
          <w:rPr>
            <w:rFonts w:ascii="Cambria Math" w:hAnsi="Cambria Math" w:cs="Times New Roman"/>
            <w:sz w:val="20"/>
            <w:szCs w:val="20"/>
          </w:rPr>
          <m:t xml:space="preserve">1- </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ee</m:t>
                </m:r>
              </m:e>
              <m:sup>
                <m:r>
                  <w:rPr>
                    <w:rFonts w:ascii="Cambria Math" w:hAnsi="Cambria Math" w:cs="Times New Roman"/>
                    <w:sz w:val="20"/>
                    <w:szCs w:val="20"/>
                  </w:rPr>
                  <m:t>'</m:t>
                </m:r>
              </m:sup>
            </m:sSup>
          </m:num>
          <m:den>
            <m:r>
              <w:rPr>
                <w:rFonts w:ascii="Cambria Math" w:hAnsi="Cambria Math" w:cs="Times New Roman"/>
                <w:sz w:val="20"/>
                <w:szCs w:val="20"/>
              </w:rPr>
              <m:t>(N-k)</m:t>
            </m:r>
          </m:den>
        </m:f>
        <m:r>
          <w:rPr>
            <w:rFonts w:ascii="Cambria Math" w:hAnsi="Cambria Math" w:cs="Times New Roman"/>
            <w:sz w:val="20"/>
            <w:szCs w:val="20"/>
          </w:rPr>
          <m:t xml:space="preserve"> /</m:t>
        </m:r>
        <m:f>
          <m:fPr>
            <m:ctrlPr>
              <w:rPr>
                <w:rFonts w:ascii="Cambria Math" w:hAnsi="Cambria Math" w:cs="Times New Roman"/>
                <w:i/>
                <w:sz w:val="20"/>
                <w:szCs w:val="20"/>
              </w:rPr>
            </m:ctrlPr>
          </m:fPr>
          <m:num>
            <m:acc>
              <m:accPr>
                <m:ctrlPr>
                  <w:rPr>
                    <w:rFonts w:ascii="Cambria Math" w:hAnsi="Cambria Math" w:cs="Times New Roman"/>
                    <w:i/>
                    <w:sz w:val="20"/>
                    <w:szCs w:val="20"/>
                  </w:rPr>
                </m:ctrlPr>
              </m:accPr>
              <m:e>
                <m:r>
                  <w:rPr>
                    <w:rFonts w:ascii="Cambria Math" w:hAnsi="Cambria Math" w:cs="Times New Roman"/>
                    <w:sz w:val="20"/>
                    <w:szCs w:val="20"/>
                  </w:rPr>
                  <m:t>y</m:t>
                </m:r>
              </m:e>
            </m:acc>
            <m:sSup>
              <m:sSupPr>
                <m:ctrlPr>
                  <w:rPr>
                    <w:rFonts w:ascii="Cambria Math" w:hAnsi="Cambria Math" w:cs="Times New Roman"/>
                    <w:i/>
                    <w:sz w:val="20"/>
                    <w:szCs w:val="20"/>
                  </w:rPr>
                </m:ctrlPr>
              </m:sSupPr>
              <m:e>
                <m:acc>
                  <m:accPr>
                    <m:ctrlPr>
                      <w:rPr>
                        <w:rFonts w:ascii="Cambria Math" w:hAnsi="Cambria Math" w:cs="Times New Roman"/>
                        <w:i/>
                        <w:sz w:val="20"/>
                        <w:szCs w:val="20"/>
                      </w:rPr>
                    </m:ctrlPr>
                  </m:accPr>
                  <m:e>
                    <m:r>
                      <w:rPr>
                        <w:rFonts w:ascii="Cambria Math" w:hAnsi="Cambria Math" w:cs="Times New Roman"/>
                        <w:sz w:val="20"/>
                        <w:szCs w:val="20"/>
                      </w:rPr>
                      <m:t>y</m:t>
                    </m:r>
                  </m:e>
                </m:acc>
              </m:e>
              <m:sup>
                <m:r>
                  <w:rPr>
                    <w:rFonts w:ascii="Cambria Math" w:hAnsi="Cambria Math" w:cs="Times New Roman"/>
                    <w:sz w:val="20"/>
                    <w:szCs w:val="20"/>
                  </w:rPr>
                  <m:t>'</m:t>
                </m:r>
              </m:sup>
            </m:sSup>
          </m:num>
          <m:den>
            <m:r>
              <w:rPr>
                <w:rFonts w:ascii="Cambria Math" w:hAnsi="Cambria Math" w:cs="Times New Roman"/>
                <w:sz w:val="20"/>
                <w:szCs w:val="20"/>
              </w:rPr>
              <m:t>(N-1)</m:t>
            </m:r>
          </m:den>
        </m:f>
      </m:oMath>
      <w:r w:rsidR="00F17AAE">
        <w:rPr>
          <w:rFonts w:ascii="Times New Roman" w:eastAsiaTheme="minorEastAsia" w:hAnsi="Times New Roman" w:cs="Times New Roman"/>
          <w:sz w:val="20"/>
          <w:szCs w:val="20"/>
        </w:rPr>
        <w:t xml:space="preserve">, where </w:t>
      </w:r>
      <w:r w:rsidR="00F17AAE" w:rsidRPr="007C415D">
        <w:rPr>
          <w:rFonts w:ascii="Times New Roman" w:eastAsiaTheme="minorEastAsia" w:hAnsi="Times New Roman" w:cs="Times New Roman"/>
          <w:i/>
          <w:sz w:val="20"/>
          <w:szCs w:val="20"/>
        </w:rPr>
        <w:t>e</w:t>
      </w:r>
      <w:r w:rsidR="00F17AAE">
        <w:rPr>
          <w:rFonts w:ascii="Times New Roman" w:eastAsiaTheme="minorEastAsia" w:hAnsi="Times New Roman" w:cs="Times New Roman"/>
          <w:sz w:val="20"/>
          <w:szCs w:val="20"/>
        </w:rPr>
        <w:t xml:space="preserve"> and </w:t>
      </w:r>
      <w:r w:rsidR="00F17AAE" w:rsidRPr="007C415D">
        <w:rPr>
          <w:rFonts w:ascii="Times New Roman" w:eastAsiaTheme="minorEastAsia" w:hAnsi="Times New Roman" w:cs="Times New Roman"/>
          <w:i/>
          <w:sz w:val="20"/>
          <w:szCs w:val="20"/>
        </w:rPr>
        <w:t>ŷ</w:t>
      </w:r>
      <w:r w:rsidR="00F17AAE">
        <w:rPr>
          <w:rFonts w:ascii="Times New Roman" w:eastAsiaTheme="minorEastAsia" w:hAnsi="Times New Roman" w:cs="Times New Roman"/>
          <w:sz w:val="20"/>
          <w:szCs w:val="20"/>
        </w:rPr>
        <w:t xml:space="preserve"> represent the residual and interpolated terms.</w:t>
      </w:r>
    </w:p>
    <w:bookmarkEnd w:id="15"/>
    <w:p w:rsidR="00166050" w:rsidRPr="00340410" w:rsidRDefault="00340410" w:rsidP="00AF6503">
      <w:pPr>
        <w:pStyle w:val="Heading1"/>
        <w:numPr>
          <w:ilvl w:val="0"/>
          <w:numId w:val="42"/>
        </w:numPr>
        <w:spacing w:before="120" w:after="120" w:line="360" w:lineRule="auto"/>
        <w:ind w:left="0" w:right="282" w:firstLine="0"/>
        <w:rPr>
          <w:rFonts w:ascii="Times New Roman" w:hAnsi="Times New Roman" w:cs="Times New Roman"/>
          <w:color w:val="auto"/>
          <w:sz w:val="24"/>
          <w:szCs w:val="24"/>
        </w:rPr>
      </w:pPr>
      <w:r w:rsidRPr="00340410">
        <w:rPr>
          <w:rFonts w:ascii="Times New Roman" w:hAnsi="Times New Roman" w:cs="Times New Roman"/>
          <w:color w:val="auto"/>
          <w:sz w:val="24"/>
          <w:szCs w:val="24"/>
        </w:rPr>
        <w:lastRenderedPageBreak/>
        <w:t>Conclusions</w:t>
      </w:r>
      <w:r w:rsidR="00166050" w:rsidRPr="00340410">
        <w:rPr>
          <w:rFonts w:ascii="Times New Roman" w:hAnsi="Times New Roman" w:cs="Times New Roman"/>
          <w:color w:val="auto"/>
          <w:sz w:val="24"/>
          <w:szCs w:val="24"/>
        </w:rPr>
        <w:tab/>
      </w:r>
    </w:p>
    <w:p w:rsidR="008561BA" w:rsidRDefault="00166050" w:rsidP="00AF6503">
      <w:pPr>
        <w:spacing w:after="0" w:line="480" w:lineRule="auto"/>
        <w:ind w:right="288" w:firstLine="720"/>
        <w:rPr>
          <w:rFonts w:ascii="Times New Roman" w:hAnsi="Times New Roman" w:cs="Times New Roman"/>
          <w:sz w:val="24"/>
          <w:szCs w:val="24"/>
        </w:rPr>
      </w:pPr>
      <w:r w:rsidRPr="006853EA">
        <w:rPr>
          <w:rFonts w:ascii="Times New Roman" w:hAnsi="Times New Roman" w:cs="Times New Roman"/>
          <w:sz w:val="24"/>
          <w:szCs w:val="24"/>
        </w:rPr>
        <w:t xml:space="preserve">This study </w:t>
      </w:r>
      <w:r w:rsidR="00F6197E">
        <w:rPr>
          <w:rFonts w:ascii="Times New Roman" w:hAnsi="Times New Roman" w:cs="Times New Roman"/>
          <w:sz w:val="24"/>
          <w:szCs w:val="24"/>
        </w:rPr>
        <w:t xml:space="preserve">demonstrates </w:t>
      </w:r>
      <w:r w:rsidR="004023D1">
        <w:rPr>
          <w:rFonts w:ascii="Times New Roman" w:hAnsi="Times New Roman" w:cs="Times New Roman"/>
          <w:sz w:val="24"/>
          <w:szCs w:val="24"/>
        </w:rPr>
        <w:t xml:space="preserve">the influence of </w:t>
      </w:r>
      <w:r w:rsidR="00D83112">
        <w:rPr>
          <w:rFonts w:ascii="Times New Roman" w:hAnsi="Times New Roman" w:cs="Times New Roman"/>
          <w:sz w:val="24"/>
          <w:szCs w:val="24"/>
        </w:rPr>
        <w:t xml:space="preserve">the </w:t>
      </w:r>
      <w:r w:rsidR="00EF0CEA">
        <w:rPr>
          <w:rFonts w:ascii="Times New Roman" w:hAnsi="Times New Roman" w:cs="Times New Roman"/>
          <w:sz w:val="24"/>
          <w:szCs w:val="24"/>
        </w:rPr>
        <w:t>i</w:t>
      </w:r>
      <w:r w:rsidR="004023D1">
        <w:rPr>
          <w:rFonts w:ascii="Times New Roman" w:hAnsi="Times New Roman" w:cs="Times New Roman"/>
          <w:sz w:val="24"/>
          <w:szCs w:val="24"/>
        </w:rPr>
        <w:t xml:space="preserve">nternational </w:t>
      </w:r>
      <w:r w:rsidR="00EF0CEA">
        <w:rPr>
          <w:rFonts w:ascii="Times New Roman" w:hAnsi="Times New Roman" w:cs="Times New Roman"/>
          <w:sz w:val="24"/>
          <w:szCs w:val="24"/>
        </w:rPr>
        <w:t>m</w:t>
      </w:r>
      <w:r w:rsidR="004023D1">
        <w:rPr>
          <w:rFonts w:ascii="Times New Roman" w:hAnsi="Times New Roman" w:cs="Times New Roman"/>
          <w:sz w:val="24"/>
          <w:szCs w:val="24"/>
        </w:rPr>
        <w:t xml:space="preserve">onetary </w:t>
      </w:r>
      <w:r w:rsidR="00EF0CEA">
        <w:rPr>
          <w:rFonts w:ascii="Times New Roman" w:hAnsi="Times New Roman" w:cs="Times New Roman"/>
          <w:sz w:val="24"/>
          <w:szCs w:val="24"/>
        </w:rPr>
        <w:t>s</w:t>
      </w:r>
      <w:r w:rsidR="004023D1">
        <w:rPr>
          <w:rFonts w:ascii="Times New Roman" w:hAnsi="Times New Roman" w:cs="Times New Roman"/>
          <w:sz w:val="24"/>
          <w:szCs w:val="24"/>
        </w:rPr>
        <w:t xml:space="preserve">ystem on </w:t>
      </w:r>
      <w:r w:rsidR="00D83112">
        <w:rPr>
          <w:rFonts w:ascii="Times New Roman" w:hAnsi="Times New Roman" w:cs="Times New Roman"/>
          <w:sz w:val="24"/>
          <w:szCs w:val="24"/>
        </w:rPr>
        <w:t>s</w:t>
      </w:r>
      <w:r w:rsidR="004023D1">
        <w:rPr>
          <w:rFonts w:ascii="Times New Roman" w:hAnsi="Times New Roman" w:cs="Times New Roman"/>
          <w:sz w:val="24"/>
          <w:szCs w:val="24"/>
        </w:rPr>
        <w:t xml:space="preserve">tock </w:t>
      </w:r>
      <w:r w:rsidR="00D83112">
        <w:rPr>
          <w:rFonts w:ascii="Times New Roman" w:hAnsi="Times New Roman" w:cs="Times New Roman"/>
          <w:sz w:val="24"/>
          <w:szCs w:val="24"/>
        </w:rPr>
        <w:t>m</w:t>
      </w:r>
      <w:r w:rsidR="004023D1">
        <w:rPr>
          <w:rFonts w:ascii="Times New Roman" w:hAnsi="Times New Roman" w:cs="Times New Roman"/>
          <w:sz w:val="24"/>
          <w:szCs w:val="24"/>
        </w:rPr>
        <w:t xml:space="preserve">arket </w:t>
      </w:r>
      <w:r w:rsidR="00D83112">
        <w:rPr>
          <w:rFonts w:ascii="Times New Roman" w:hAnsi="Times New Roman" w:cs="Times New Roman"/>
          <w:sz w:val="24"/>
          <w:szCs w:val="24"/>
        </w:rPr>
        <w:t>i</w:t>
      </w:r>
      <w:r w:rsidR="004023D1">
        <w:rPr>
          <w:rFonts w:ascii="Times New Roman" w:hAnsi="Times New Roman" w:cs="Times New Roman"/>
          <w:sz w:val="24"/>
          <w:szCs w:val="24"/>
        </w:rPr>
        <w:t xml:space="preserve">ntegration between the UK and </w:t>
      </w:r>
      <w:r w:rsidR="0002582A">
        <w:rPr>
          <w:rFonts w:ascii="Times New Roman" w:hAnsi="Times New Roman" w:cs="Times New Roman"/>
          <w:sz w:val="24"/>
          <w:szCs w:val="24"/>
        </w:rPr>
        <w:t xml:space="preserve">the </w:t>
      </w:r>
      <w:r w:rsidR="004023D1">
        <w:rPr>
          <w:rFonts w:ascii="Times New Roman" w:hAnsi="Times New Roman" w:cs="Times New Roman"/>
          <w:sz w:val="24"/>
          <w:szCs w:val="24"/>
        </w:rPr>
        <w:t xml:space="preserve">US </w:t>
      </w:r>
      <w:r w:rsidR="00F6197E">
        <w:rPr>
          <w:rFonts w:ascii="Times New Roman" w:hAnsi="Times New Roman" w:cs="Times New Roman"/>
          <w:sz w:val="24"/>
          <w:szCs w:val="24"/>
        </w:rPr>
        <w:t xml:space="preserve">from </w:t>
      </w:r>
      <w:r w:rsidR="004023D1">
        <w:rPr>
          <w:rFonts w:ascii="Times New Roman" w:hAnsi="Times New Roman" w:cs="Times New Roman"/>
          <w:sz w:val="24"/>
          <w:szCs w:val="24"/>
        </w:rPr>
        <w:t>1935 to 2015 and</w:t>
      </w:r>
      <w:r w:rsidR="00F6197E">
        <w:rPr>
          <w:rFonts w:ascii="Times New Roman" w:hAnsi="Times New Roman" w:cs="Times New Roman"/>
          <w:sz w:val="24"/>
          <w:szCs w:val="24"/>
        </w:rPr>
        <w:t xml:space="preserve"> identifies</w:t>
      </w:r>
      <w:r w:rsidR="004023D1">
        <w:rPr>
          <w:rFonts w:ascii="Times New Roman" w:hAnsi="Times New Roman" w:cs="Times New Roman"/>
          <w:sz w:val="24"/>
          <w:szCs w:val="24"/>
        </w:rPr>
        <w:t xml:space="preserve"> the key drivers of this integration process</w:t>
      </w:r>
      <w:r w:rsidRPr="006853EA">
        <w:rPr>
          <w:rFonts w:ascii="Times New Roman" w:hAnsi="Times New Roman" w:cs="Times New Roman"/>
          <w:sz w:val="24"/>
          <w:szCs w:val="24"/>
        </w:rPr>
        <w:t xml:space="preserve">. </w:t>
      </w:r>
      <w:r w:rsidR="00191A84">
        <w:rPr>
          <w:rFonts w:ascii="Times New Roman" w:hAnsi="Times New Roman" w:cs="Times New Roman"/>
          <w:sz w:val="24"/>
          <w:szCs w:val="24"/>
        </w:rPr>
        <w:t>The evidence valid</w:t>
      </w:r>
      <w:r w:rsidR="00C80C7A">
        <w:rPr>
          <w:rFonts w:ascii="Times New Roman" w:hAnsi="Times New Roman" w:cs="Times New Roman"/>
          <w:sz w:val="24"/>
          <w:szCs w:val="24"/>
        </w:rPr>
        <w:t>ates our hypothesis that period</w:t>
      </w:r>
      <w:r w:rsidR="00EF0CEA">
        <w:rPr>
          <w:rFonts w:ascii="Times New Roman" w:hAnsi="Times New Roman" w:cs="Times New Roman"/>
          <w:sz w:val="24"/>
          <w:szCs w:val="24"/>
        </w:rPr>
        <w:t>s</w:t>
      </w:r>
      <w:r w:rsidR="00191A84">
        <w:rPr>
          <w:rFonts w:ascii="Times New Roman" w:hAnsi="Times New Roman" w:cs="Times New Roman"/>
          <w:sz w:val="24"/>
          <w:szCs w:val="24"/>
        </w:rPr>
        <w:t xml:space="preserve"> of </w:t>
      </w:r>
      <w:r w:rsidRPr="006853EA">
        <w:rPr>
          <w:rFonts w:ascii="Times New Roman" w:hAnsi="Times New Roman" w:cs="Times New Roman"/>
          <w:sz w:val="24"/>
          <w:szCs w:val="24"/>
        </w:rPr>
        <w:t>flexible exchange rate</w:t>
      </w:r>
      <w:r w:rsidR="00F6197E">
        <w:rPr>
          <w:rFonts w:ascii="Times New Roman" w:hAnsi="Times New Roman" w:cs="Times New Roman"/>
          <w:sz w:val="24"/>
          <w:szCs w:val="24"/>
        </w:rPr>
        <w:t>s</w:t>
      </w:r>
      <w:r w:rsidRPr="006853EA">
        <w:rPr>
          <w:rFonts w:ascii="Times New Roman" w:hAnsi="Times New Roman" w:cs="Times New Roman"/>
          <w:sz w:val="24"/>
          <w:szCs w:val="24"/>
        </w:rPr>
        <w:t>, deepening financial liberali</w:t>
      </w:r>
      <w:r w:rsidR="00056BAE">
        <w:rPr>
          <w:rFonts w:ascii="Times New Roman" w:hAnsi="Times New Roman" w:cs="Times New Roman"/>
          <w:sz w:val="24"/>
          <w:szCs w:val="24"/>
        </w:rPr>
        <w:t>z</w:t>
      </w:r>
      <w:r w:rsidRPr="006853EA">
        <w:rPr>
          <w:rFonts w:ascii="Times New Roman" w:hAnsi="Times New Roman" w:cs="Times New Roman"/>
          <w:sz w:val="24"/>
          <w:szCs w:val="24"/>
        </w:rPr>
        <w:t>ation</w:t>
      </w:r>
      <w:r w:rsidR="009C3F55">
        <w:rPr>
          <w:rFonts w:ascii="Times New Roman" w:hAnsi="Times New Roman" w:cs="Times New Roman"/>
          <w:sz w:val="24"/>
          <w:szCs w:val="24"/>
        </w:rPr>
        <w:t xml:space="preserve"> and </w:t>
      </w:r>
      <w:r w:rsidRPr="006853EA">
        <w:rPr>
          <w:rFonts w:ascii="Times New Roman" w:hAnsi="Times New Roman" w:cs="Times New Roman"/>
          <w:sz w:val="24"/>
          <w:szCs w:val="24"/>
        </w:rPr>
        <w:t>macroeconomic policy convergence</w:t>
      </w:r>
      <w:r w:rsidR="00F6197E">
        <w:rPr>
          <w:rFonts w:ascii="Times New Roman" w:hAnsi="Times New Roman" w:cs="Times New Roman"/>
          <w:sz w:val="24"/>
          <w:szCs w:val="24"/>
        </w:rPr>
        <w:t>,</w:t>
      </w:r>
      <w:r w:rsidR="00804B1A">
        <w:rPr>
          <w:rFonts w:ascii="Times New Roman" w:hAnsi="Times New Roman" w:cs="Times New Roman"/>
          <w:sz w:val="24"/>
          <w:szCs w:val="24"/>
        </w:rPr>
        <w:t xml:space="preserve"> </w:t>
      </w:r>
      <w:r w:rsidR="00F6197E">
        <w:rPr>
          <w:rFonts w:ascii="Times New Roman" w:hAnsi="Times New Roman" w:cs="Times New Roman"/>
          <w:sz w:val="24"/>
          <w:szCs w:val="24"/>
        </w:rPr>
        <w:t xml:space="preserve">and </w:t>
      </w:r>
      <w:r w:rsidRPr="006853EA">
        <w:rPr>
          <w:rFonts w:ascii="Times New Roman" w:hAnsi="Times New Roman" w:cs="Times New Roman"/>
          <w:sz w:val="24"/>
          <w:szCs w:val="24"/>
        </w:rPr>
        <w:t xml:space="preserve">the phase-in of </w:t>
      </w:r>
      <w:r w:rsidR="0002582A">
        <w:rPr>
          <w:rFonts w:ascii="Times New Roman" w:hAnsi="Times New Roman" w:cs="Times New Roman"/>
          <w:sz w:val="24"/>
          <w:szCs w:val="24"/>
        </w:rPr>
        <w:t xml:space="preserve">the </w:t>
      </w:r>
      <w:r w:rsidRPr="006853EA">
        <w:rPr>
          <w:rFonts w:ascii="Times New Roman" w:hAnsi="Times New Roman" w:cs="Times New Roman"/>
          <w:sz w:val="24"/>
          <w:szCs w:val="24"/>
        </w:rPr>
        <w:t>European monetary union</w:t>
      </w:r>
      <w:r w:rsidR="00804B1A">
        <w:rPr>
          <w:rFonts w:ascii="Times New Roman" w:hAnsi="Times New Roman" w:cs="Times New Roman"/>
          <w:sz w:val="24"/>
          <w:szCs w:val="24"/>
        </w:rPr>
        <w:t xml:space="preserve"> </w:t>
      </w:r>
      <w:r w:rsidR="00EF0CEA">
        <w:rPr>
          <w:rFonts w:ascii="Times New Roman" w:hAnsi="Times New Roman" w:cs="Times New Roman"/>
          <w:sz w:val="24"/>
          <w:szCs w:val="24"/>
        </w:rPr>
        <w:t xml:space="preserve">have </w:t>
      </w:r>
      <w:r w:rsidR="00191A84">
        <w:rPr>
          <w:rFonts w:ascii="Times New Roman" w:hAnsi="Times New Roman" w:cs="Times New Roman"/>
          <w:sz w:val="24"/>
          <w:szCs w:val="24"/>
        </w:rPr>
        <w:t>led to higher stock market integration</w:t>
      </w:r>
      <w:r w:rsidRPr="006853EA">
        <w:rPr>
          <w:rFonts w:ascii="Times New Roman" w:hAnsi="Times New Roman" w:cs="Times New Roman"/>
          <w:sz w:val="24"/>
          <w:szCs w:val="24"/>
        </w:rPr>
        <w:t xml:space="preserve">. </w:t>
      </w:r>
    </w:p>
    <w:p w:rsidR="00166050" w:rsidRPr="00585562" w:rsidRDefault="00F6197E" w:rsidP="00AF6503">
      <w:pPr>
        <w:spacing w:after="0" w:line="480" w:lineRule="auto"/>
        <w:ind w:right="288" w:firstLine="720"/>
        <w:rPr>
          <w:rFonts w:ascii="Times New Roman" w:hAnsi="Times New Roman" w:cs="Times New Roman"/>
          <w:sz w:val="24"/>
          <w:szCs w:val="24"/>
        </w:rPr>
      </w:pPr>
      <w:r>
        <w:rPr>
          <w:rFonts w:ascii="Times New Roman" w:hAnsi="Times New Roman" w:cs="Times New Roman"/>
          <w:sz w:val="24"/>
          <w:szCs w:val="24"/>
        </w:rPr>
        <w:t xml:space="preserve">Since the end of the Bretton Woods system, the key drivers of integration have been </w:t>
      </w:r>
      <w:r w:rsidR="009A5D40">
        <w:rPr>
          <w:rFonts w:ascii="Times New Roman" w:hAnsi="Times New Roman" w:cs="Times New Roman"/>
          <w:sz w:val="24"/>
          <w:szCs w:val="24"/>
        </w:rPr>
        <w:t>convergence in</w:t>
      </w:r>
      <w:r w:rsidR="00804B1A">
        <w:rPr>
          <w:rFonts w:ascii="Times New Roman" w:hAnsi="Times New Roman" w:cs="Times New Roman"/>
          <w:sz w:val="24"/>
          <w:szCs w:val="24"/>
        </w:rPr>
        <w:t xml:space="preserve"> </w:t>
      </w:r>
      <w:r w:rsidR="00053C44">
        <w:rPr>
          <w:rFonts w:ascii="Times New Roman" w:hAnsi="Times New Roman" w:cs="Times New Roman"/>
          <w:sz w:val="24"/>
          <w:szCs w:val="24"/>
        </w:rPr>
        <w:t>interest</w:t>
      </w:r>
      <w:r>
        <w:rPr>
          <w:rFonts w:ascii="Times New Roman" w:hAnsi="Times New Roman" w:cs="Times New Roman"/>
          <w:sz w:val="24"/>
          <w:szCs w:val="24"/>
        </w:rPr>
        <w:t xml:space="preserve"> rates</w:t>
      </w:r>
      <w:r w:rsidR="00053C44">
        <w:rPr>
          <w:rFonts w:ascii="Times New Roman" w:hAnsi="Times New Roman" w:cs="Times New Roman"/>
          <w:sz w:val="24"/>
          <w:szCs w:val="24"/>
        </w:rPr>
        <w:t xml:space="preserve">, oil </w:t>
      </w:r>
      <w:r>
        <w:rPr>
          <w:rFonts w:ascii="Times New Roman" w:hAnsi="Times New Roman" w:cs="Times New Roman"/>
          <w:sz w:val="24"/>
          <w:szCs w:val="24"/>
        </w:rPr>
        <w:t xml:space="preserve">price </w:t>
      </w:r>
      <w:r w:rsidR="009A5D40">
        <w:rPr>
          <w:rFonts w:ascii="Times New Roman" w:hAnsi="Times New Roman" w:cs="Times New Roman"/>
          <w:sz w:val="24"/>
          <w:szCs w:val="24"/>
        </w:rPr>
        <w:t>volatility</w:t>
      </w:r>
      <w:r>
        <w:rPr>
          <w:rFonts w:ascii="Times New Roman" w:hAnsi="Times New Roman" w:cs="Times New Roman"/>
          <w:sz w:val="24"/>
          <w:szCs w:val="24"/>
        </w:rPr>
        <w:t>,</w:t>
      </w:r>
      <w:r w:rsidR="009A5D40">
        <w:rPr>
          <w:rFonts w:ascii="Times New Roman" w:hAnsi="Times New Roman" w:cs="Times New Roman"/>
          <w:sz w:val="24"/>
          <w:szCs w:val="24"/>
        </w:rPr>
        <w:t xml:space="preserve"> and</w:t>
      </w:r>
      <w:r w:rsidR="00053C44">
        <w:rPr>
          <w:rFonts w:ascii="Times New Roman" w:hAnsi="Times New Roman" w:cs="Times New Roman"/>
          <w:sz w:val="24"/>
          <w:szCs w:val="24"/>
        </w:rPr>
        <w:t xml:space="preserve"> cris</w:t>
      </w:r>
      <w:r>
        <w:rPr>
          <w:rFonts w:ascii="Times New Roman" w:hAnsi="Times New Roman" w:cs="Times New Roman"/>
          <w:sz w:val="24"/>
          <w:szCs w:val="24"/>
        </w:rPr>
        <w:t>e</w:t>
      </w:r>
      <w:r w:rsidR="00053C44">
        <w:rPr>
          <w:rFonts w:ascii="Times New Roman" w:hAnsi="Times New Roman" w:cs="Times New Roman"/>
          <w:sz w:val="24"/>
          <w:szCs w:val="24"/>
        </w:rPr>
        <w:t>s</w:t>
      </w:r>
      <w:r>
        <w:rPr>
          <w:rFonts w:ascii="Times New Roman" w:hAnsi="Times New Roman" w:cs="Times New Roman"/>
          <w:sz w:val="24"/>
          <w:szCs w:val="24"/>
        </w:rPr>
        <w:t>;</w:t>
      </w:r>
      <w:r w:rsidR="00804B1A">
        <w:rPr>
          <w:rFonts w:ascii="Times New Roman" w:hAnsi="Times New Roman" w:cs="Times New Roman"/>
          <w:sz w:val="24"/>
          <w:szCs w:val="24"/>
        </w:rPr>
        <w:t xml:space="preserve"> </w:t>
      </w:r>
      <w:r>
        <w:rPr>
          <w:rFonts w:ascii="Times New Roman" w:hAnsi="Times New Roman" w:cs="Times New Roman"/>
          <w:sz w:val="24"/>
          <w:szCs w:val="24"/>
        </w:rPr>
        <w:t>only before that system</w:t>
      </w:r>
      <w:r w:rsidR="0002582A">
        <w:rPr>
          <w:rFonts w:ascii="Times New Roman" w:hAnsi="Times New Roman" w:cs="Times New Roman"/>
          <w:sz w:val="24"/>
          <w:szCs w:val="24"/>
        </w:rPr>
        <w:t xml:space="preserve"> existed</w:t>
      </w:r>
      <w:r>
        <w:rPr>
          <w:rFonts w:ascii="Times New Roman" w:hAnsi="Times New Roman" w:cs="Times New Roman"/>
          <w:sz w:val="24"/>
          <w:szCs w:val="24"/>
        </w:rPr>
        <w:t xml:space="preserve"> did</w:t>
      </w:r>
      <w:r w:rsidR="009A5D40">
        <w:rPr>
          <w:rFonts w:ascii="Times New Roman" w:hAnsi="Times New Roman" w:cs="Times New Roman"/>
          <w:sz w:val="24"/>
          <w:szCs w:val="24"/>
        </w:rPr>
        <w:t xml:space="preserve"> output</w:t>
      </w:r>
      <w:r w:rsidR="00053C44">
        <w:rPr>
          <w:rFonts w:ascii="Times New Roman" w:hAnsi="Times New Roman" w:cs="Times New Roman"/>
          <w:sz w:val="24"/>
          <w:szCs w:val="24"/>
        </w:rPr>
        <w:t xml:space="preserve"> convergence</w:t>
      </w:r>
      <w:r>
        <w:rPr>
          <w:rFonts w:ascii="Times New Roman" w:hAnsi="Times New Roman" w:cs="Times New Roman"/>
          <w:sz w:val="24"/>
          <w:szCs w:val="24"/>
        </w:rPr>
        <w:t xml:space="preserve"> contribute to</w:t>
      </w:r>
      <w:r w:rsidR="003667BC">
        <w:rPr>
          <w:rFonts w:ascii="Times New Roman" w:hAnsi="Times New Roman" w:cs="Times New Roman"/>
          <w:sz w:val="24"/>
          <w:szCs w:val="24"/>
        </w:rPr>
        <w:t xml:space="preserve"> integration</w:t>
      </w:r>
      <w:r w:rsidR="00E46EA4">
        <w:rPr>
          <w:rFonts w:ascii="Times New Roman" w:hAnsi="Times New Roman" w:cs="Times New Roman"/>
          <w:sz w:val="24"/>
          <w:szCs w:val="24"/>
        </w:rPr>
        <w:t xml:space="preserve">. </w:t>
      </w:r>
      <w:r w:rsidR="009A5D40">
        <w:rPr>
          <w:rFonts w:ascii="Times New Roman" w:hAnsi="Times New Roman" w:cs="Times New Roman"/>
          <w:sz w:val="24"/>
          <w:szCs w:val="24"/>
        </w:rPr>
        <w:t>S</w:t>
      </w:r>
      <w:r w:rsidR="00053C44">
        <w:rPr>
          <w:rFonts w:ascii="Times New Roman" w:hAnsi="Times New Roman" w:cs="Times New Roman"/>
          <w:sz w:val="24"/>
          <w:szCs w:val="24"/>
        </w:rPr>
        <w:t>tock volatility remain</w:t>
      </w:r>
      <w:r w:rsidR="009A5D40">
        <w:rPr>
          <w:rFonts w:ascii="Times New Roman" w:hAnsi="Times New Roman" w:cs="Times New Roman"/>
          <w:sz w:val="24"/>
          <w:szCs w:val="24"/>
        </w:rPr>
        <w:t>s</w:t>
      </w:r>
      <w:r w:rsidR="00053C44">
        <w:rPr>
          <w:rFonts w:ascii="Times New Roman" w:hAnsi="Times New Roman" w:cs="Times New Roman"/>
          <w:sz w:val="24"/>
          <w:szCs w:val="24"/>
        </w:rPr>
        <w:t xml:space="preserve"> a mai</w:t>
      </w:r>
      <w:r w:rsidR="00E665CA">
        <w:rPr>
          <w:rFonts w:ascii="Times New Roman" w:hAnsi="Times New Roman" w:cs="Times New Roman"/>
          <w:sz w:val="24"/>
          <w:szCs w:val="24"/>
        </w:rPr>
        <w:t xml:space="preserve">n driver across </w:t>
      </w:r>
      <w:r w:rsidR="002C0FFB">
        <w:rPr>
          <w:rFonts w:ascii="Times New Roman" w:hAnsi="Times New Roman" w:cs="Times New Roman"/>
          <w:sz w:val="24"/>
          <w:szCs w:val="24"/>
        </w:rPr>
        <w:t>all three</w:t>
      </w:r>
      <w:r w:rsidR="00804B1A">
        <w:rPr>
          <w:rFonts w:ascii="Times New Roman" w:hAnsi="Times New Roman" w:cs="Times New Roman"/>
          <w:sz w:val="24"/>
          <w:szCs w:val="24"/>
        </w:rPr>
        <w:t xml:space="preserve"> </w:t>
      </w:r>
      <w:r w:rsidR="00E46EA4">
        <w:rPr>
          <w:rFonts w:ascii="Times New Roman" w:hAnsi="Times New Roman" w:cs="Times New Roman"/>
          <w:sz w:val="24"/>
          <w:szCs w:val="24"/>
        </w:rPr>
        <w:t xml:space="preserve">regimes. </w:t>
      </w:r>
      <w:r w:rsidR="00151EEC">
        <w:rPr>
          <w:rFonts w:ascii="Times New Roman" w:hAnsi="Times New Roman" w:cs="Times New Roman"/>
          <w:sz w:val="24"/>
          <w:szCs w:val="24"/>
        </w:rPr>
        <w:t>Surprisingly, EPU convergence is significant only in the very long run</w:t>
      </w:r>
      <w:r w:rsidR="003667BC">
        <w:rPr>
          <w:rFonts w:ascii="Times New Roman" w:hAnsi="Times New Roman" w:cs="Times New Roman"/>
          <w:sz w:val="24"/>
          <w:szCs w:val="24"/>
        </w:rPr>
        <w:t>,</w:t>
      </w:r>
      <w:r w:rsidR="00151EEC">
        <w:rPr>
          <w:rFonts w:ascii="Times New Roman" w:hAnsi="Times New Roman" w:cs="Times New Roman"/>
          <w:sz w:val="24"/>
          <w:szCs w:val="24"/>
        </w:rPr>
        <w:t xml:space="preserve"> when </w:t>
      </w:r>
      <w:r w:rsidR="002C0FFB">
        <w:rPr>
          <w:rFonts w:ascii="Times New Roman" w:hAnsi="Times New Roman" w:cs="Times New Roman"/>
          <w:sz w:val="24"/>
          <w:szCs w:val="24"/>
        </w:rPr>
        <w:t xml:space="preserve">all </w:t>
      </w:r>
      <w:r w:rsidR="00151EEC">
        <w:rPr>
          <w:rFonts w:ascii="Times New Roman" w:hAnsi="Times New Roman" w:cs="Times New Roman"/>
          <w:sz w:val="24"/>
          <w:szCs w:val="24"/>
        </w:rPr>
        <w:t>80 years are considered</w:t>
      </w:r>
      <w:r w:rsidR="003667BC">
        <w:rPr>
          <w:rFonts w:ascii="Times New Roman" w:hAnsi="Times New Roman" w:cs="Times New Roman"/>
          <w:sz w:val="24"/>
          <w:szCs w:val="24"/>
        </w:rPr>
        <w:t xml:space="preserve">—perhaps because of </w:t>
      </w:r>
      <w:r w:rsidR="00E665CA">
        <w:rPr>
          <w:rFonts w:ascii="Times New Roman" w:hAnsi="Times New Roman" w:cs="Times New Roman"/>
          <w:sz w:val="24"/>
          <w:szCs w:val="24"/>
        </w:rPr>
        <w:t>increasing lack of autonomy in policy responses to level</w:t>
      </w:r>
      <w:r w:rsidR="002C0FFB">
        <w:rPr>
          <w:rFonts w:ascii="Times New Roman" w:hAnsi="Times New Roman" w:cs="Times New Roman"/>
          <w:sz w:val="24"/>
          <w:szCs w:val="24"/>
        </w:rPr>
        <w:t>s</w:t>
      </w:r>
      <w:r w:rsidR="00E665CA">
        <w:rPr>
          <w:rFonts w:ascii="Times New Roman" w:hAnsi="Times New Roman" w:cs="Times New Roman"/>
          <w:sz w:val="24"/>
          <w:szCs w:val="24"/>
        </w:rPr>
        <w:t xml:space="preserve"> of risk and uncertaint</w:t>
      </w:r>
      <w:r w:rsidR="002C0FFB">
        <w:rPr>
          <w:rFonts w:ascii="Times New Roman" w:hAnsi="Times New Roman" w:cs="Times New Roman"/>
          <w:sz w:val="24"/>
          <w:szCs w:val="24"/>
        </w:rPr>
        <w:t>y</w:t>
      </w:r>
      <w:r w:rsidR="00E665CA">
        <w:rPr>
          <w:rFonts w:ascii="Times New Roman" w:hAnsi="Times New Roman" w:cs="Times New Roman"/>
          <w:sz w:val="24"/>
          <w:szCs w:val="24"/>
        </w:rPr>
        <w:t xml:space="preserve"> in the global economy</w:t>
      </w:r>
      <w:r w:rsidR="0068128D">
        <w:rPr>
          <w:rFonts w:ascii="Times New Roman" w:hAnsi="Times New Roman" w:cs="Times New Roman"/>
          <w:sz w:val="24"/>
          <w:szCs w:val="24"/>
        </w:rPr>
        <w:t xml:space="preserve">. More interestingly, </w:t>
      </w:r>
      <w:r w:rsidR="00A75C0C">
        <w:rPr>
          <w:rFonts w:ascii="Times New Roman" w:hAnsi="Times New Roman" w:cs="Times New Roman"/>
          <w:sz w:val="24"/>
          <w:szCs w:val="24"/>
        </w:rPr>
        <w:t xml:space="preserve">interest rate convergence exerts the </w:t>
      </w:r>
      <w:r w:rsidR="005F7715">
        <w:rPr>
          <w:rFonts w:ascii="Times New Roman" w:hAnsi="Times New Roman" w:cs="Times New Roman"/>
          <w:sz w:val="24"/>
          <w:szCs w:val="24"/>
        </w:rPr>
        <w:t xml:space="preserve">greatest </w:t>
      </w:r>
      <w:r w:rsidR="0068128D">
        <w:rPr>
          <w:rFonts w:ascii="Times New Roman" w:hAnsi="Times New Roman" w:cs="Times New Roman"/>
          <w:sz w:val="24"/>
          <w:szCs w:val="24"/>
        </w:rPr>
        <w:t>impact</w:t>
      </w:r>
      <w:r w:rsidR="002671D6">
        <w:rPr>
          <w:rFonts w:ascii="Times New Roman" w:hAnsi="Times New Roman" w:cs="Times New Roman"/>
          <w:sz w:val="24"/>
          <w:szCs w:val="24"/>
        </w:rPr>
        <w:t xml:space="preserve"> probably because</w:t>
      </w:r>
      <w:r w:rsidR="003667BC">
        <w:rPr>
          <w:rFonts w:ascii="Times New Roman" w:hAnsi="Times New Roman" w:cs="Times New Roman"/>
          <w:sz w:val="24"/>
          <w:szCs w:val="24"/>
        </w:rPr>
        <w:t>—</w:t>
      </w:r>
      <w:r w:rsidR="005F7715">
        <w:rPr>
          <w:rFonts w:ascii="Times New Roman" w:hAnsi="Times New Roman" w:cs="Times New Roman"/>
          <w:sz w:val="24"/>
          <w:szCs w:val="24"/>
        </w:rPr>
        <w:t>as a proxy of co</w:t>
      </w:r>
      <w:r w:rsidR="002671D6">
        <w:rPr>
          <w:rFonts w:ascii="Times New Roman" w:hAnsi="Times New Roman" w:cs="Times New Roman"/>
          <w:sz w:val="24"/>
          <w:szCs w:val="24"/>
        </w:rPr>
        <w:t>-</w:t>
      </w:r>
      <w:r w:rsidR="005F7715">
        <w:rPr>
          <w:rFonts w:ascii="Times New Roman" w:hAnsi="Times New Roman" w:cs="Times New Roman"/>
          <w:sz w:val="24"/>
          <w:szCs w:val="24"/>
        </w:rPr>
        <w:t xml:space="preserve">movement in </w:t>
      </w:r>
      <w:r w:rsidR="00DB67C0">
        <w:rPr>
          <w:rFonts w:ascii="Times New Roman" w:hAnsi="Times New Roman" w:cs="Times New Roman"/>
          <w:sz w:val="24"/>
          <w:szCs w:val="24"/>
        </w:rPr>
        <w:t>the term structure</w:t>
      </w:r>
      <w:r w:rsidR="002671D6">
        <w:rPr>
          <w:rFonts w:ascii="Times New Roman" w:hAnsi="Times New Roman" w:cs="Times New Roman"/>
          <w:sz w:val="24"/>
          <w:szCs w:val="24"/>
        </w:rPr>
        <w:t xml:space="preserve"> of interest rates </w:t>
      </w:r>
      <w:r w:rsidR="002973E3">
        <w:rPr>
          <w:rFonts w:ascii="Times New Roman" w:hAnsi="Times New Roman" w:cs="Times New Roman"/>
          <w:sz w:val="24"/>
          <w:szCs w:val="24"/>
        </w:rPr>
        <w:t>in</w:t>
      </w:r>
      <w:r w:rsidR="00804B1A">
        <w:rPr>
          <w:rFonts w:ascii="Times New Roman" w:hAnsi="Times New Roman" w:cs="Times New Roman"/>
          <w:sz w:val="24"/>
          <w:szCs w:val="24"/>
        </w:rPr>
        <w:t xml:space="preserve"> </w:t>
      </w:r>
      <w:r w:rsidR="002C0FFB">
        <w:rPr>
          <w:rFonts w:ascii="Times New Roman" w:hAnsi="Times New Roman" w:cs="Times New Roman"/>
          <w:sz w:val="24"/>
          <w:szCs w:val="24"/>
        </w:rPr>
        <w:t xml:space="preserve">the </w:t>
      </w:r>
      <w:r w:rsidR="00DB67C0">
        <w:rPr>
          <w:rFonts w:ascii="Times New Roman" w:hAnsi="Times New Roman" w:cs="Times New Roman"/>
          <w:sz w:val="24"/>
          <w:szCs w:val="24"/>
        </w:rPr>
        <w:t>US and UK</w:t>
      </w:r>
      <w:r w:rsidR="003667BC">
        <w:rPr>
          <w:rFonts w:ascii="Times New Roman" w:hAnsi="Times New Roman" w:cs="Times New Roman"/>
          <w:sz w:val="24"/>
          <w:szCs w:val="24"/>
        </w:rPr>
        <w:t>—</w:t>
      </w:r>
      <w:r w:rsidR="005F7715">
        <w:rPr>
          <w:rFonts w:ascii="Times New Roman" w:hAnsi="Times New Roman" w:cs="Times New Roman"/>
          <w:sz w:val="24"/>
          <w:szCs w:val="24"/>
        </w:rPr>
        <w:t>it gauges co</w:t>
      </w:r>
      <w:r w:rsidR="001D286F">
        <w:rPr>
          <w:rFonts w:ascii="Times New Roman" w:hAnsi="Times New Roman" w:cs="Times New Roman"/>
          <w:sz w:val="24"/>
          <w:szCs w:val="24"/>
        </w:rPr>
        <w:t>-</w:t>
      </w:r>
      <w:r w:rsidR="00585562">
        <w:rPr>
          <w:rFonts w:ascii="Times New Roman" w:hAnsi="Times New Roman" w:cs="Times New Roman"/>
          <w:sz w:val="24"/>
          <w:szCs w:val="24"/>
        </w:rPr>
        <w:t>movement</w:t>
      </w:r>
      <w:r w:rsidR="005F7715">
        <w:rPr>
          <w:rFonts w:ascii="Times New Roman" w:hAnsi="Times New Roman" w:cs="Times New Roman"/>
          <w:sz w:val="24"/>
          <w:szCs w:val="24"/>
        </w:rPr>
        <w:t xml:space="preserve"> in expectation of future economic growth and inflation.</w:t>
      </w:r>
      <w:r w:rsidR="00804B1A">
        <w:rPr>
          <w:rFonts w:ascii="Times New Roman" w:hAnsi="Times New Roman" w:cs="Times New Roman"/>
          <w:sz w:val="24"/>
          <w:szCs w:val="24"/>
        </w:rPr>
        <w:t xml:space="preserve"> </w:t>
      </w:r>
      <w:r w:rsidR="0064385B">
        <w:rPr>
          <w:rFonts w:ascii="Times New Roman" w:eastAsiaTheme="minorEastAsia" w:hAnsi="Times New Roman" w:cs="Times New Roman"/>
          <w:sz w:val="24"/>
          <w:szCs w:val="24"/>
        </w:rPr>
        <w:t>T</w:t>
      </w:r>
      <w:r w:rsidR="00676312">
        <w:rPr>
          <w:rFonts w:ascii="Times New Roman" w:eastAsiaTheme="minorEastAsia" w:hAnsi="Times New Roman" w:cs="Times New Roman"/>
          <w:sz w:val="24"/>
          <w:szCs w:val="24"/>
        </w:rPr>
        <w:t>he BW fixed exchange rate regime was supposed to be the most stable monetary regime</w:t>
      </w:r>
      <w:r w:rsidR="002C0FFB">
        <w:rPr>
          <w:rFonts w:ascii="Times New Roman" w:eastAsiaTheme="minorEastAsia" w:hAnsi="Times New Roman" w:cs="Times New Roman"/>
          <w:sz w:val="24"/>
          <w:szCs w:val="24"/>
        </w:rPr>
        <w:t xml:space="preserve"> and thus</w:t>
      </w:r>
      <w:r w:rsidR="00676312">
        <w:rPr>
          <w:rFonts w:ascii="Times New Roman" w:eastAsiaTheme="minorEastAsia" w:hAnsi="Times New Roman" w:cs="Times New Roman"/>
          <w:sz w:val="24"/>
          <w:szCs w:val="24"/>
        </w:rPr>
        <w:t xml:space="preserve"> to facilitate higher stock market integration, yet its macroeconomic fragility did otherwise.</w:t>
      </w:r>
      <w:r w:rsidR="00804B1A">
        <w:rPr>
          <w:rFonts w:ascii="Times New Roman" w:eastAsiaTheme="minorEastAsia" w:hAnsi="Times New Roman" w:cs="Times New Roman"/>
          <w:sz w:val="24"/>
          <w:szCs w:val="24"/>
        </w:rPr>
        <w:t xml:space="preserve"> </w:t>
      </w:r>
      <w:r w:rsidR="000A49D2">
        <w:rPr>
          <w:rFonts w:ascii="Times New Roman" w:eastAsiaTheme="minorEastAsia" w:hAnsi="Times New Roman" w:cs="Times New Roman"/>
          <w:sz w:val="24"/>
          <w:szCs w:val="24"/>
        </w:rPr>
        <w:t xml:space="preserve">During this period, </w:t>
      </w:r>
      <w:r w:rsidR="009C3F55">
        <w:rPr>
          <w:rFonts w:ascii="Times New Roman" w:eastAsiaTheme="minorEastAsia" w:hAnsi="Times New Roman" w:cs="Times New Roman"/>
          <w:sz w:val="24"/>
          <w:szCs w:val="24"/>
        </w:rPr>
        <w:t xml:space="preserve">in fact, </w:t>
      </w:r>
      <w:r w:rsidR="000A49D2">
        <w:rPr>
          <w:rFonts w:ascii="Times New Roman" w:eastAsiaTheme="minorEastAsia" w:hAnsi="Times New Roman" w:cs="Times New Roman"/>
          <w:sz w:val="24"/>
          <w:szCs w:val="24"/>
        </w:rPr>
        <w:t>n</w:t>
      </w:r>
      <w:r w:rsidR="00DB67C0">
        <w:rPr>
          <w:rFonts w:ascii="Times New Roman" w:eastAsiaTheme="minorEastAsia" w:hAnsi="Times New Roman" w:cs="Times New Roman"/>
          <w:sz w:val="24"/>
          <w:szCs w:val="24"/>
        </w:rPr>
        <w:t>one of the convergence measures</w:t>
      </w:r>
      <w:r w:rsidR="00804B1A">
        <w:rPr>
          <w:rFonts w:ascii="Times New Roman" w:eastAsiaTheme="minorEastAsia" w:hAnsi="Times New Roman" w:cs="Times New Roman"/>
          <w:sz w:val="24"/>
          <w:szCs w:val="24"/>
        </w:rPr>
        <w:t xml:space="preserve"> </w:t>
      </w:r>
      <w:r w:rsidR="00DB67C0">
        <w:rPr>
          <w:rFonts w:ascii="Times New Roman" w:eastAsiaTheme="minorEastAsia" w:hAnsi="Times New Roman" w:cs="Times New Roman"/>
          <w:sz w:val="24"/>
          <w:szCs w:val="24"/>
        </w:rPr>
        <w:t>play</w:t>
      </w:r>
      <w:r w:rsidR="002C0FFB">
        <w:rPr>
          <w:rFonts w:ascii="Times New Roman" w:eastAsiaTheme="minorEastAsia" w:hAnsi="Times New Roman" w:cs="Times New Roman"/>
          <w:sz w:val="24"/>
          <w:szCs w:val="24"/>
        </w:rPr>
        <w:t>ed</w:t>
      </w:r>
      <w:r w:rsidR="00804B1A">
        <w:rPr>
          <w:rFonts w:ascii="Times New Roman" w:eastAsiaTheme="minorEastAsia" w:hAnsi="Times New Roman" w:cs="Times New Roman"/>
          <w:sz w:val="24"/>
          <w:szCs w:val="24"/>
        </w:rPr>
        <w:t xml:space="preserve"> </w:t>
      </w:r>
      <w:r w:rsidR="00DB67C0">
        <w:rPr>
          <w:rFonts w:ascii="Times New Roman" w:eastAsiaTheme="minorEastAsia" w:hAnsi="Times New Roman" w:cs="Times New Roman"/>
          <w:sz w:val="24"/>
          <w:szCs w:val="24"/>
        </w:rPr>
        <w:t xml:space="preserve">a role in the process of market integration. </w:t>
      </w:r>
      <w:r w:rsidR="00166050" w:rsidRPr="006853EA">
        <w:rPr>
          <w:rFonts w:ascii="Times New Roman" w:hAnsi="Times New Roman" w:cs="Times New Roman"/>
          <w:b/>
          <w:sz w:val="24"/>
          <w:szCs w:val="24"/>
        </w:rPr>
        <w:br w:type="page"/>
      </w:r>
    </w:p>
    <w:p w:rsidR="00166050" w:rsidRPr="004A76D8" w:rsidRDefault="00166050" w:rsidP="00AF6503">
      <w:pPr>
        <w:spacing w:before="120" w:after="120" w:line="360" w:lineRule="auto"/>
        <w:ind w:right="282"/>
        <w:rPr>
          <w:rFonts w:ascii="Times New Roman" w:hAnsi="Times New Roman" w:cs="Times New Roman"/>
          <w:b/>
          <w:sz w:val="24"/>
          <w:szCs w:val="24"/>
        </w:rPr>
      </w:pPr>
      <w:r w:rsidRPr="004A76D8">
        <w:rPr>
          <w:rFonts w:ascii="Times New Roman" w:hAnsi="Times New Roman" w:cs="Times New Roman"/>
          <w:b/>
          <w:sz w:val="24"/>
          <w:szCs w:val="24"/>
        </w:rPr>
        <w:lastRenderedPageBreak/>
        <w:t>R</w:t>
      </w:r>
      <w:r w:rsidR="00667604">
        <w:rPr>
          <w:rFonts w:ascii="Times New Roman" w:hAnsi="Times New Roman" w:cs="Times New Roman"/>
          <w:b/>
          <w:sz w:val="24"/>
          <w:szCs w:val="24"/>
        </w:rPr>
        <w:t>eferences</w:t>
      </w:r>
    </w:p>
    <w:p w:rsidR="00127C0D" w:rsidRPr="00C43FE6" w:rsidRDefault="00127C0D" w:rsidP="00AF6503">
      <w:pPr>
        <w:autoSpaceDE w:val="0"/>
        <w:autoSpaceDN w:val="0"/>
        <w:adjustRightInd w:val="0"/>
        <w:spacing w:after="0" w:line="480" w:lineRule="auto"/>
        <w:ind w:left="720" w:hanging="720"/>
        <w:rPr>
          <w:rFonts w:ascii="Times New Roman" w:hAnsi="Times New Roman" w:cs="Times New Roman"/>
          <w:sz w:val="24"/>
          <w:szCs w:val="24"/>
        </w:rPr>
      </w:pPr>
      <w:r w:rsidRPr="00C43FE6">
        <w:rPr>
          <w:rFonts w:ascii="Times New Roman" w:hAnsi="Times New Roman" w:cs="Times New Roman"/>
          <w:sz w:val="24"/>
          <w:szCs w:val="24"/>
        </w:rPr>
        <w:t xml:space="preserve">Ang, A., </w:t>
      </w:r>
      <w:r w:rsidR="00A84F32">
        <w:rPr>
          <w:rFonts w:ascii="Times New Roman" w:hAnsi="Times New Roman" w:cs="Times New Roman"/>
          <w:sz w:val="24"/>
          <w:szCs w:val="24"/>
        </w:rPr>
        <w:t>&amp;</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Bekaert, G. (2002)</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 xml:space="preserve">International </w:t>
      </w:r>
      <w:r w:rsidR="00A84F32">
        <w:rPr>
          <w:rFonts w:ascii="Times New Roman" w:hAnsi="Times New Roman" w:cs="Times New Roman"/>
          <w:sz w:val="24"/>
          <w:szCs w:val="24"/>
        </w:rPr>
        <w:t>a</w:t>
      </w:r>
      <w:r w:rsidRPr="00C43FE6">
        <w:rPr>
          <w:rFonts w:ascii="Times New Roman" w:hAnsi="Times New Roman" w:cs="Times New Roman"/>
          <w:sz w:val="24"/>
          <w:szCs w:val="24"/>
        </w:rPr>
        <w:t xml:space="preserve">sset </w:t>
      </w:r>
      <w:r w:rsidR="00A84F32">
        <w:rPr>
          <w:rFonts w:ascii="Times New Roman" w:hAnsi="Times New Roman" w:cs="Times New Roman"/>
          <w:sz w:val="24"/>
          <w:szCs w:val="24"/>
        </w:rPr>
        <w:t>a</w:t>
      </w:r>
      <w:r w:rsidRPr="00C43FE6">
        <w:rPr>
          <w:rFonts w:ascii="Times New Roman" w:hAnsi="Times New Roman" w:cs="Times New Roman"/>
          <w:sz w:val="24"/>
          <w:szCs w:val="24"/>
        </w:rPr>
        <w:t xml:space="preserve">llocation with </w:t>
      </w:r>
      <w:r w:rsidR="00A84F32">
        <w:rPr>
          <w:rFonts w:ascii="Times New Roman" w:hAnsi="Times New Roman" w:cs="Times New Roman"/>
          <w:sz w:val="24"/>
          <w:szCs w:val="24"/>
        </w:rPr>
        <w:t>r</w:t>
      </w:r>
      <w:r w:rsidRPr="00C43FE6">
        <w:rPr>
          <w:rFonts w:ascii="Times New Roman" w:hAnsi="Times New Roman" w:cs="Times New Roman"/>
          <w:sz w:val="24"/>
          <w:szCs w:val="24"/>
        </w:rPr>
        <w:t xml:space="preserve">egime </w:t>
      </w:r>
      <w:r w:rsidR="00A84F32">
        <w:rPr>
          <w:rFonts w:ascii="Times New Roman" w:hAnsi="Times New Roman" w:cs="Times New Roman"/>
          <w:sz w:val="24"/>
          <w:szCs w:val="24"/>
        </w:rPr>
        <w:t>s</w:t>
      </w:r>
      <w:r w:rsidRPr="00C43FE6">
        <w:rPr>
          <w:rFonts w:ascii="Times New Roman" w:hAnsi="Times New Roman" w:cs="Times New Roman"/>
          <w:sz w:val="24"/>
          <w:szCs w:val="24"/>
        </w:rPr>
        <w:t>hifts</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i/>
          <w:sz w:val="24"/>
          <w:szCs w:val="24"/>
        </w:rPr>
        <w:t>Review of Financial Studies</w:t>
      </w:r>
      <w:r w:rsidRPr="00C43FE6">
        <w:rPr>
          <w:rFonts w:ascii="Times New Roman" w:hAnsi="Times New Roman" w:cs="Times New Roman"/>
          <w:sz w:val="24"/>
          <w:szCs w:val="24"/>
        </w:rPr>
        <w:t xml:space="preserve">, </w:t>
      </w:r>
      <w:r w:rsidR="00B12241" w:rsidRPr="00B12241">
        <w:rPr>
          <w:rFonts w:ascii="Times New Roman" w:hAnsi="Times New Roman" w:cs="Times New Roman"/>
          <w:i/>
          <w:sz w:val="24"/>
          <w:szCs w:val="24"/>
        </w:rPr>
        <w:t>15</w:t>
      </w:r>
      <w:r w:rsidRPr="00C43FE6">
        <w:rPr>
          <w:rFonts w:ascii="Times New Roman" w:hAnsi="Times New Roman" w:cs="Times New Roman"/>
          <w:sz w:val="24"/>
          <w:szCs w:val="24"/>
        </w:rPr>
        <w:t>(4)</w:t>
      </w:r>
      <w:r w:rsidR="00A84F32">
        <w:rPr>
          <w:rFonts w:ascii="Times New Roman" w:hAnsi="Times New Roman" w:cs="Times New Roman"/>
          <w:sz w:val="24"/>
          <w:szCs w:val="24"/>
        </w:rPr>
        <w:t>,</w:t>
      </w:r>
      <w:r w:rsidRPr="00C43FE6">
        <w:rPr>
          <w:rFonts w:ascii="Times New Roman" w:hAnsi="Times New Roman" w:cs="Times New Roman"/>
          <w:sz w:val="24"/>
          <w:szCs w:val="24"/>
        </w:rPr>
        <w:t xml:space="preserve"> 1137</w:t>
      </w:r>
      <w:r w:rsidR="00334BE1">
        <w:rPr>
          <w:rFonts w:ascii="Times New Roman" w:hAnsi="Times New Roman" w:cs="Times New Roman"/>
          <w:sz w:val="24"/>
          <w:szCs w:val="24"/>
        </w:rPr>
        <w:t>–</w:t>
      </w:r>
      <w:r w:rsidRPr="00C43FE6">
        <w:rPr>
          <w:rFonts w:ascii="Times New Roman" w:hAnsi="Times New Roman" w:cs="Times New Roman"/>
          <w:sz w:val="24"/>
          <w:szCs w:val="24"/>
        </w:rPr>
        <w:t>1187.</w:t>
      </w:r>
    </w:p>
    <w:p w:rsidR="00565494" w:rsidRPr="00945099" w:rsidRDefault="00565494" w:rsidP="00AF6503">
      <w:pPr>
        <w:autoSpaceDE w:val="0"/>
        <w:autoSpaceDN w:val="0"/>
        <w:adjustRightInd w:val="0"/>
        <w:spacing w:after="0" w:line="480" w:lineRule="auto"/>
        <w:ind w:left="720" w:hanging="720"/>
        <w:rPr>
          <w:rFonts w:ascii="Times New Roman" w:hAnsi="Times New Roman" w:cs="Times New Roman"/>
          <w:sz w:val="24"/>
          <w:szCs w:val="24"/>
        </w:rPr>
      </w:pPr>
      <w:r w:rsidRPr="00945099">
        <w:rPr>
          <w:rFonts w:ascii="Times New Roman" w:hAnsi="Times New Roman" w:cs="Times New Roman"/>
          <w:sz w:val="24"/>
          <w:szCs w:val="24"/>
        </w:rPr>
        <w:t xml:space="preserve">Antonakakis, N., Chatziantoniou, I., </w:t>
      </w:r>
      <w:r w:rsidR="00A84F32">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Filis, G. (2013)</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Dynamic </w:t>
      </w:r>
      <w:r w:rsidR="00A84F32">
        <w:rPr>
          <w:rFonts w:ascii="Times New Roman" w:hAnsi="Times New Roman" w:cs="Times New Roman"/>
          <w:sz w:val="24"/>
          <w:szCs w:val="24"/>
        </w:rPr>
        <w:t>c</w:t>
      </w:r>
      <w:r w:rsidRPr="00945099">
        <w:rPr>
          <w:rFonts w:ascii="Times New Roman" w:hAnsi="Times New Roman" w:cs="Times New Roman"/>
          <w:sz w:val="24"/>
          <w:szCs w:val="24"/>
        </w:rPr>
        <w:t xml:space="preserve">o-movements of </w:t>
      </w:r>
      <w:r w:rsidR="00A84F32">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A84F32">
        <w:rPr>
          <w:rFonts w:ascii="Times New Roman" w:hAnsi="Times New Roman" w:cs="Times New Roman"/>
          <w:sz w:val="24"/>
          <w:szCs w:val="24"/>
        </w:rPr>
        <w:t>m</w:t>
      </w:r>
      <w:r w:rsidRPr="00945099">
        <w:rPr>
          <w:rFonts w:ascii="Times New Roman" w:hAnsi="Times New Roman" w:cs="Times New Roman"/>
          <w:sz w:val="24"/>
          <w:szCs w:val="24"/>
        </w:rPr>
        <w:t xml:space="preserve">arket </w:t>
      </w:r>
      <w:r w:rsidR="00A84F32">
        <w:rPr>
          <w:rFonts w:ascii="Times New Roman" w:hAnsi="Times New Roman" w:cs="Times New Roman"/>
          <w:sz w:val="24"/>
          <w:szCs w:val="24"/>
        </w:rPr>
        <w:t>r</w:t>
      </w:r>
      <w:r w:rsidRPr="00945099">
        <w:rPr>
          <w:rFonts w:ascii="Times New Roman" w:hAnsi="Times New Roman" w:cs="Times New Roman"/>
          <w:sz w:val="24"/>
          <w:szCs w:val="24"/>
        </w:rPr>
        <w:t xml:space="preserve">eturns, </w:t>
      </w:r>
      <w:r w:rsidR="00A84F32">
        <w:rPr>
          <w:rFonts w:ascii="Times New Roman" w:hAnsi="Times New Roman" w:cs="Times New Roman"/>
          <w:sz w:val="24"/>
          <w:szCs w:val="24"/>
        </w:rPr>
        <w:t>i</w:t>
      </w:r>
      <w:r w:rsidRPr="00945099">
        <w:rPr>
          <w:rFonts w:ascii="Times New Roman" w:hAnsi="Times New Roman" w:cs="Times New Roman"/>
          <w:sz w:val="24"/>
          <w:szCs w:val="24"/>
        </w:rPr>
        <w:t xml:space="preserve">mplied </w:t>
      </w:r>
      <w:r w:rsidR="00A84F32">
        <w:rPr>
          <w:rFonts w:ascii="Times New Roman" w:hAnsi="Times New Roman" w:cs="Times New Roman"/>
          <w:sz w:val="24"/>
          <w:szCs w:val="24"/>
        </w:rPr>
        <w:t>v</w:t>
      </w:r>
      <w:r w:rsidRPr="00945099">
        <w:rPr>
          <w:rFonts w:ascii="Times New Roman" w:hAnsi="Times New Roman" w:cs="Times New Roman"/>
          <w:sz w:val="24"/>
          <w:szCs w:val="24"/>
        </w:rPr>
        <w:t xml:space="preserve">olatility and </w:t>
      </w:r>
      <w:r w:rsidR="00A84F32">
        <w:rPr>
          <w:rFonts w:ascii="Times New Roman" w:hAnsi="Times New Roman" w:cs="Times New Roman"/>
          <w:sz w:val="24"/>
          <w:szCs w:val="24"/>
        </w:rPr>
        <w:t>p</w:t>
      </w:r>
      <w:r w:rsidRPr="00945099">
        <w:rPr>
          <w:rFonts w:ascii="Times New Roman" w:hAnsi="Times New Roman" w:cs="Times New Roman"/>
          <w:sz w:val="24"/>
          <w:szCs w:val="24"/>
        </w:rPr>
        <w:t xml:space="preserve">olicy </w:t>
      </w:r>
      <w:r w:rsidR="00A84F32">
        <w:rPr>
          <w:rFonts w:ascii="Times New Roman" w:hAnsi="Times New Roman" w:cs="Times New Roman"/>
          <w:sz w:val="24"/>
          <w:szCs w:val="24"/>
        </w:rPr>
        <w:t>u</w:t>
      </w:r>
      <w:r w:rsidRPr="00945099">
        <w:rPr>
          <w:rFonts w:ascii="Times New Roman" w:hAnsi="Times New Roman" w:cs="Times New Roman"/>
          <w:sz w:val="24"/>
          <w:szCs w:val="24"/>
        </w:rPr>
        <w:t>ncertainty</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Economic Letters</w:t>
      </w:r>
      <w:r w:rsidRPr="00945099">
        <w:rPr>
          <w:rFonts w:ascii="Times New Roman" w:hAnsi="Times New Roman" w:cs="Times New Roman"/>
          <w:sz w:val="24"/>
          <w:szCs w:val="24"/>
        </w:rPr>
        <w:t xml:space="preserve">, </w:t>
      </w:r>
      <w:r w:rsidR="00B12241" w:rsidRPr="00B12241">
        <w:rPr>
          <w:rFonts w:ascii="Times New Roman" w:hAnsi="Times New Roman" w:cs="Times New Roman"/>
          <w:i/>
          <w:sz w:val="24"/>
          <w:szCs w:val="24"/>
        </w:rPr>
        <w:t>120</w:t>
      </w:r>
      <w:r w:rsidR="00A84F32">
        <w:rPr>
          <w:rFonts w:ascii="Times New Roman" w:hAnsi="Times New Roman" w:cs="Times New Roman"/>
          <w:sz w:val="24"/>
          <w:szCs w:val="24"/>
        </w:rPr>
        <w:t>,</w:t>
      </w:r>
      <w:r w:rsidRPr="00945099">
        <w:rPr>
          <w:rFonts w:ascii="Times New Roman" w:hAnsi="Times New Roman" w:cs="Times New Roman"/>
          <w:sz w:val="24"/>
          <w:szCs w:val="24"/>
        </w:rPr>
        <w:t xml:space="preserve"> 87–92.</w:t>
      </w:r>
    </w:p>
    <w:p w:rsidR="00166050" w:rsidRDefault="00B12241"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B12241">
        <w:rPr>
          <w:rFonts w:ascii="Times New Roman" w:hAnsi="Times New Roman" w:cs="Times New Roman"/>
          <w:sz w:val="24"/>
          <w:szCs w:val="24"/>
          <w:lang w:val="de-DE"/>
        </w:rPr>
        <w:t>Aslanidis, N., Osborn, D., &amp;</w:t>
      </w:r>
      <w:r w:rsidR="004974A3">
        <w:rPr>
          <w:rFonts w:ascii="Times New Roman" w:hAnsi="Times New Roman" w:cs="Times New Roman"/>
          <w:sz w:val="24"/>
          <w:szCs w:val="24"/>
          <w:lang w:val="de-DE"/>
        </w:rPr>
        <w:t xml:space="preserve"> </w:t>
      </w:r>
      <w:r w:rsidRPr="00B12241">
        <w:rPr>
          <w:rFonts w:ascii="Times New Roman" w:hAnsi="Times New Roman" w:cs="Times New Roman"/>
          <w:sz w:val="24"/>
          <w:szCs w:val="24"/>
          <w:lang w:val="de-DE"/>
        </w:rPr>
        <w:t>Sensier, M. (2010).</w:t>
      </w:r>
      <w:r w:rsidR="004974A3">
        <w:rPr>
          <w:rFonts w:ascii="Times New Roman" w:hAnsi="Times New Roman" w:cs="Times New Roman"/>
          <w:sz w:val="24"/>
          <w:szCs w:val="24"/>
          <w:lang w:val="de-DE"/>
        </w:rPr>
        <w:t xml:space="preserve"> </w:t>
      </w:r>
      <w:r w:rsidR="00166050" w:rsidRPr="00C43FE6">
        <w:rPr>
          <w:rFonts w:ascii="Times New Roman" w:hAnsi="Times New Roman" w:cs="Times New Roman"/>
          <w:sz w:val="24"/>
          <w:szCs w:val="24"/>
        </w:rPr>
        <w:t xml:space="preserve">Co-movements between US and UK </w:t>
      </w:r>
      <w:r w:rsidR="00A84F32">
        <w:rPr>
          <w:rFonts w:ascii="Times New Roman" w:hAnsi="Times New Roman" w:cs="Times New Roman"/>
          <w:sz w:val="24"/>
          <w:szCs w:val="24"/>
        </w:rPr>
        <w:t>s</w:t>
      </w:r>
      <w:r w:rsidR="00166050" w:rsidRPr="00C43FE6">
        <w:rPr>
          <w:rFonts w:ascii="Times New Roman" w:hAnsi="Times New Roman" w:cs="Times New Roman"/>
          <w:sz w:val="24"/>
          <w:szCs w:val="24"/>
        </w:rPr>
        <w:t xml:space="preserve">tock </w:t>
      </w:r>
      <w:r w:rsidR="00A84F32">
        <w:rPr>
          <w:rFonts w:ascii="Times New Roman" w:hAnsi="Times New Roman" w:cs="Times New Roman"/>
          <w:sz w:val="24"/>
          <w:szCs w:val="24"/>
        </w:rPr>
        <w:t>p</w:t>
      </w:r>
      <w:r w:rsidR="00166050" w:rsidRPr="00C43FE6">
        <w:rPr>
          <w:rFonts w:ascii="Times New Roman" w:hAnsi="Times New Roman" w:cs="Times New Roman"/>
          <w:sz w:val="24"/>
          <w:szCs w:val="24"/>
        </w:rPr>
        <w:t xml:space="preserve">rices: The </w:t>
      </w:r>
      <w:r w:rsidR="00A84F32">
        <w:rPr>
          <w:rFonts w:ascii="Times New Roman" w:hAnsi="Times New Roman" w:cs="Times New Roman"/>
          <w:sz w:val="24"/>
          <w:szCs w:val="24"/>
        </w:rPr>
        <w:t>r</w:t>
      </w:r>
      <w:r w:rsidR="00166050" w:rsidRPr="00C43FE6">
        <w:rPr>
          <w:rFonts w:ascii="Times New Roman" w:hAnsi="Times New Roman" w:cs="Times New Roman"/>
          <w:sz w:val="24"/>
          <w:szCs w:val="24"/>
        </w:rPr>
        <w:t xml:space="preserve">ole of </w:t>
      </w:r>
      <w:r w:rsidR="00A84F32">
        <w:rPr>
          <w:rFonts w:ascii="Times New Roman" w:hAnsi="Times New Roman" w:cs="Times New Roman"/>
          <w:sz w:val="24"/>
          <w:szCs w:val="24"/>
        </w:rPr>
        <w:t>t</w:t>
      </w:r>
      <w:r w:rsidR="00166050" w:rsidRPr="00C43FE6">
        <w:rPr>
          <w:rFonts w:ascii="Times New Roman" w:hAnsi="Times New Roman" w:cs="Times New Roman"/>
          <w:sz w:val="24"/>
          <w:szCs w:val="24"/>
        </w:rPr>
        <w:t>ime-</w:t>
      </w:r>
      <w:r w:rsidR="00A84F32">
        <w:rPr>
          <w:rFonts w:ascii="Times New Roman" w:hAnsi="Times New Roman" w:cs="Times New Roman"/>
          <w:sz w:val="24"/>
          <w:szCs w:val="24"/>
        </w:rPr>
        <w:t>v</w:t>
      </w:r>
      <w:r w:rsidR="00166050" w:rsidRPr="00C43FE6">
        <w:rPr>
          <w:rFonts w:ascii="Times New Roman" w:hAnsi="Times New Roman" w:cs="Times New Roman"/>
          <w:sz w:val="24"/>
          <w:szCs w:val="24"/>
        </w:rPr>
        <w:t xml:space="preserve">arying </w:t>
      </w:r>
      <w:r w:rsidR="00A84F32">
        <w:rPr>
          <w:rFonts w:ascii="Times New Roman" w:hAnsi="Times New Roman" w:cs="Times New Roman"/>
          <w:sz w:val="24"/>
          <w:szCs w:val="24"/>
        </w:rPr>
        <w:t>c</w:t>
      </w:r>
      <w:r w:rsidR="00166050" w:rsidRPr="00C43FE6">
        <w:rPr>
          <w:rFonts w:ascii="Times New Roman" w:hAnsi="Times New Roman" w:cs="Times New Roman"/>
          <w:sz w:val="24"/>
          <w:szCs w:val="24"/>
        </w:rPr>
        <w:t xml:space="preserve">onditional </w:t>
      </w:r>
      <w:r w:rsidR="00A84F32">
        <w:rPr>
          <w:rFonts w:ascii="Times New Roman" w:hAnsi="Times New Roman" w:cs="Times New Roman"/>
          <w:sz w:val="24"/>
          <w:szCs w:val="24"/>
        </w:rPr>
        <w:t>c</w:t>
      </w:r>
      <w:r w:rsidR="00166050" w:rsidRPr="00C43FE6">
        <w:rPr>
          <w:rFonts w:ascii="Times New Roman" w:hAnsi="Times New Roman" w:cs="Times New Roman"/>
          <w:sz w:val="24"/>
          <w:szCs w:val="24"/>
        </w:rPr>
        <w:t>orrelations</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00166050" w:rsidRPr="00C43FE6">
        <w:rPr>
          <w:rFonts w:ascii="Times New Roman" w:hAnsi="Times New Roman" w:cs="Times New Roman"/>
          <w:i/>
          <w:sz w:val="24"/>
          <w:szCs w:val="24"/>
        </w:rPr>
        <w:t>International Journal of Finance and Economics</w:t>
      </w:r>
      <w:r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Pr="00B12241">
        <w:rPr>
          <w:rFonts w:ascii="Times New Roman" w:hAnsi="Times New Roman" w:cs="Times New Roman"/>
          <w:i/>
          <w:sz w:val="24"/>
          <w:szCs w:val="24"/>
        </w:rPr>
        <w:t>15</w:t>
      </w:r>
      <w:r w:rsidR="00A84F32">
        <w:rPr>
          <w:rFonts w:ascii="Times New Roman" w:hAnsi="Times New Roman" w:cs="Times New Roman"/>
          <w:sz w:val="24"/>
          <w:szCs w:val="24"/>
        </w:rPr>
        <w:t>,</w:t>
      </w:r>
      <w:r w:rsidR="00166050" w:rsidRPr="00C43FE6">
        <w:rPr>
          <w:rFonts w:ascii="Times New Roman" w:hAnsi="Times New Roman" w:cs="Times New Roman"/>
          <w:sz w:val="24"/>
          <w:szCs w:val="24"/>
        </w:rPr>
        <w:t xml:space="preserve"> 366–380.</w:t>
      </w:r>
    </w:p>
    <w:p w:rsidR="00377D12" w:rsidRPr="008529E4" w:rsidRDefault="00377D12" w:rsidP="00AF6503">
      <w:pPr>
        <w:autoSpaceDE w:val="0"/>
        <w:autoSpaceDN w:val="0"/>
        <w:adjustRightInd w:val="0"/>
        <w:spacing w:after="0" w:line="480" w:lineRule="auto"/>
        <w:ind w:left="720" w:hanging="720"/>
        <w:rPr>
          <w:rFonts w:ascii="Times New Roman" w:hAnsi="Times New Roman" w:cs="Times New Roman"/>
          <w:sz w:val="24"/>
          <w:szCs w:val="24"/>
        </w:rPr>
      </w:pPr>
      <w:r w:rsidRPr="008529E4">
        <w:rPr>
          <w:rFonts w:ascii="Times New Roman" w:hAnsi="Times New Roman" w:cs="Times New Roman"/>
          <w:sz w:val="24"/>
          <w:szCs w:val="24"/>
        </w:rPr>
        <w:t>Baele</w:t>
      </w:r>
      <w:r w:rsidR="00166CA0">
        <w:rPr>
          <w:rFonts w:ascii="Times New Roman" w:hAnsi="Times New Roman" w:cs="Times New Roman"/>
          <w:sz w:val="24"/>
          <w:szCs w:val="24"/>
        </w:rPr>
        <w:t>,</w:t>
      </w:r>
      <w:r w:rsidRPr="008529E4">
        <w:rPr>
          <w:rFonts w:ascii="Times New Roman" w:hAnsi="Times New Roman" w:cs="Times New Roman"/>
          <w:sz w:val="24"/>
          <w:szCs w:val="24"/>
        </w:rPr>
        <w:t xml:space="preserve"> L. (2005)</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8529E4">
        <w:rPr>
          <w:rFonts w:ascii="Times New Roman" w:hAnsi="Times New Roman" w:cs="Times New Roman"/>
          <w:sz w:val="24"/>
          <w:szCs w:val="24"/>
        </w:rPr>
        <w:t xml:space="preserve">Volatility </w:t>
      </w:r>
      <w:r w:rsidR="00A84F32">
        <w:rPr>
          <w:rFonts w:ascii="Times New Roman" w:hAnsi="Times New Roman" w:cs="Times New Roman"/>
          <w:sz w:val="24"/>
          <w:szCs w:val="24"/>
        </w:rPr>
        <w:t>s</w:t>
      </w:r>
      <w:r w:rsidRPr="008529E4">
        <w:rPr>
          <w:rFonts w:ascii="Times New Roman" w:hAnsi="Times New Roman" w:cs="Times New Roman"/>
          <w:sz w:val="24"/>
          <w:szCs w:val="24"/>
        </w:rPr>
        <w:t>pillover</w:t>
      </w:r>
      <w:r w:rsidR="004974A3">
        <w:rPr>
          <w:rFonts w:ascii="Times New Roman" w:hAnsi="Times New Roman" w:cs="Times New Roman"/>
          <w:sz w:val="24"/>
          <w:szCs w:val="24"/>
        </w:rPr>
        <w:t xml:space="preserve"> </w:t>
      </w:r>
      <w:r w:rsidR="00A84F32">
        <w:rPr>
          <w:rFonts w:ascii="Times New Roman" w:hAnsi="Times New Roman" w:cs="Times New Roman"/>
          <w:sz w:val="24"/>
          <w:szCs w:val="24"/>
        </w:rPr>
        <w:t>e</w:t>
      </w:r>
      <w:r w:rsidRPr="008529E4">
        <w:rPr>
          <w:rFonts w:ascii="Times New Roman" w:hAnsi="Times New Roman" w:cs="Times New Roman"/>
          <w:sz w:val="24"/>
          <w:szCs w:val="24"/>
        </w:rPr>
        <w:t xml:space="preserve">ffects in European </w:t>
      </w:r>
      <w:r w:rsidR="00A84F32">
        <w:rPr>
          <w:rFonts w:ascii="Times New Roman" w:hAnsi="Times New Roman" w:cs="Times New Roman"/>
          <w:sz w:val="24"/>
          <w:szCs w:val="24"/>
        </w:rPr>
        <w:t>e</w:t>
      </w:r>
      <w:r w:rsidRPr="008529E4">
        <w:rPr>
          <w:rFonts w:ascii="Times New Roman" w:hAnsi="Times New Roman" w:cs="Times New Roman"/>
          <w:sz w:val="24"/>
          <w:szCs w:val="24"/>
        </w:rPr>
        <w:t xml:space="preserve">quity </w:t>
      </w:r>
      <w:r w:rsidR="00A84F32">
        <w:rPr>
          <w:rFonts w:ascii="Times New Roman" w:hAnsi="Times New Roman" w:cs="Times New Roman"/>
          <w:sz w:val="24"/>
          <w:szCs w:val="24"/>
        </w:rPr>
        <w:t>m</w:t>
      </w:r>
      <w:r w:rsidRPr="008529E4">
        <w:rPr>
          <w:rFonts w:ascii="Times New Roman" w:hAnsi="Times New Roman" w:cs="Times New Roman"/>
          <w:sz w:val="24"/>
          <w:szCs w:val="24"/>
        </w:rPr>
        <w:t>arkets</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8529E4">
        <w:rPr>
          <w:rFonts w:ascii="Times New Roman" w:hAnsi="Times New Roman" w:cs="Times New Roman"/>
          <w:i/>
          <w:sz w:val="24"/>
          <w:szCs w:val="24"/>
        </w:rPr>
        <w:t>Journal of Financial and Quantitative Analysis</w:t>
      </w:r>
      <w:r w:rsidRPr="008529E4">
        <w:rPr>
          <w:rFonts w:ascii="Times New Roman" w:hAnsi="Times New Roman" w:cs="Times New Roman"/>
          <w:sz w:val="24"/>
          <w:szCs w:val="24"/>
        </w:rPr>
        <w:t xml:space="preserve">, </w:t>
      </w:r>
      <w:r w:rsidR="00B12241" w:rsidRPr="00B12241">
        <w:rPr>
          <w:rFonts w:ascii="Times New Roman" w:hAnsi="Times New Roman" w:cs="Times New Roman"/>
          <w:i/>
          <w:sz w:val="24"/>
          <w:szCs w:val="24"/>
        </w:rPr>
        <w:t>40</w:t>
      </w:r>
      <w:r w:rsidR="00A84F32">
        <w:rPr>
          <w:rFonts w:ascii="Times New Roman" w:hAnsi="Times New Roman" w:cs="Times New Roman"/>
          <w:sz w:val="24"/>
          <w:szCs w:val="24"/>
        </w:rPr>
        <w:t>,</w:t>
      </w:r>
      <w:r w:rsidRPr="008529E4">
        <w:rPr>
          <w:rFonts w:ascii="Times New Roman" w:hAnsi="Times New Roman" w:cs="Times New Roman"/>
          <w:sz w:val="24"/>
          <w:szCs w:val="24"/>
        </w:rPr>
        <w:t xml:space="preserve"> 373–401.</w:t>
      </w:r>
    </w:p>
    <w:p w:rsidR="000039CB" w:rsidRPr="009B4945" w:rsidRDefault="00160987" w:rsidP="00AF6503">
      <w:pPr>
        <w:autoSpaceDE w:val="0"/>
        <w:autoSpaceDN w:val="0"/>
        <w:adjustRightInd w:val="0"/>
        <w:spacing w:after="0" w:line="480" w:lineRule="auto"/>
        <w:ind w:left="720" w:hanging="720"/>
        <w:rPr>
          <w:rFonts w:ascii="Times New Roman" w:hAnsi="Times New Roman" w:cs="Times New Roman"/>
          <w:sz w:val="24"/>
          <w:szCs w:val="24"/>
        </w:rPr>
      </w:pPr>
      <w:r w:rsidRPr="009B4945">
        <w:rPr>
          <w:rFonts w:ascii="Times New Roman" w:hAnsi="Times New Roman" w:cs="Times New Roman"/>
          <w:sz w:val="24"/>
          <w:szCs w:val="24"/>
        </w:rPr>
        <w:t>Baker,</w:t>
      </w:r>
      <w:r w:rsidR="00A81E51" w:rsidRPr="009B4945">
        <w:rPr>
          <w:rFonts w:ascii="Times New Roman" w:hAnsi="Times New Roman" w:cs="Times New Roman"/>
          <w:sz w:val="24"/>
          <w:szCs w:val="24"/>
        </w:rPr>
        <w:t xml:space="preserve"> S.,</w:t>
      </w:r>
      <w:r w:rsidRPr="009B4945">
        <w:rPr>
          <w:rFonts w:ascii="Times New Roman" w:hAnsi="Times New Roman" w:cs="Times New Roman"/>
          <w:sz w:val="24"/>
          <w:szCs w:val="24"/>
        </w:rPr>
        <w:t xml:space="preserve"> Bloom</w:t>
      </w:r>
      <w:r w:rsidR="00A81E51" w:rsidRPr="009B4945">
        <w:rPr>
          <w:rFonts w:ascii="Times New Roman" w:hAnsi="Times New Roman" w:cs="Times New Roman"/>
          <w:sz w:val="24"/>
          <w:szCs w:val="24"/>
        </w:rPr>
        <w:t>, N.</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00A84F32">
        <w:rPr>
          <w:rFonts w:ascii="Times New Roman" w:hAnsi="Times New Roman" w:cs="Times New Roman"/>
          <w:sz w:val="24"/>
          <w:szCs w:val="24"/>
        </w:rPr>
        <w:t>&amp;</w:t>
      </w:r>
      <w:r w:rsidRPr="009B4945">
        <w:rPr>
          <w:rFonts w:ascii="Times New Roman" w:hAnsi="Times New Roman" w:cs="Times New Roman"/>
          <w:sz w:val="24"/>
          <w:szCs w:val="24"/>
        </w:rPr>
        <w:t xml:space="preserve"> Davis</w:t>
      </w:r>
      <w:r w:rsidR="00A81E51" w:rsidRPr="009B4945">
        <w:rPr>
          <w:rFonts w:ascii="Times New Roman" w:hAnsi="Times New Roman" w:cs="Times New Roman"/>
          <w:sz w:val="24"/>
          <w:szCs w:val="24"/>
        </w:rPr>
        <w:t>, S. (2016)</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Measuring economic policy uncertainty</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00A84F32">
        <w:rPr>
          <w:rFonts w:ascii="Times New Roman" w:hAnsi="Times New Roman" w:cs="Times New Roman"/>
          <w:sz w:val="24"/>
          <w:szCs w:val="24"/>
        </w:rPr>
        <w:t>Retrieved from</w:t>
      </w:r>
      <w:r w:rsidRPr="009B4945">
        <w:rPr>
          <w:rFonts w:ascii="Times New Roman" w:hAnsi="Times New Roman" w:cs="Times New Roman"/>
          <w:sz w:val="24"/>
          <w:szCs w:val="24"/>
        </w:rPr>
        <w:t xml:space="preserve"> www.PolicyUncertainty.com.</w:t>
      </w:r>
    </w:p>
    <w:p w:rsidR="002A150D" w:rsidRPr="008B7911" w:rsidRDefault="002A150D" w:rsidP="00AF6503">
      <w:pPr>
        <w:autoSpaceDE w:val="0"/>
        <w:autoSpaceDN w:val="0"/>
        <w:adjustRightInd w:val="0"/>
        <w:spacing w:after="0" w:line="480" w:lineRule="auto"/>
        <w:ind w:left="720" w:hanging="720"/>
        <w:rPr>
          <w:rFonts w:ascii="Times New Roman" w:hAnsi="Times New Roman" w:cs="Times New Roman"/>
          <w:sz w:val="24"/>
          <w:szCs w:val="24"/>
        </w:rPr>
      </w:pPr>
      <w:r w:rsidRPr="008B7911">
        <w:rPr>
          <w:rFonts w:ascii="Times New Roman" w:hAnsi="Times New Roman" w:cs="Times New Roman"/>
          <w:sz w:val="24"/>
          <w:szCs w:val="24"/>
        </w:rPr>
        <w:t>Bekaert, G., Harvey, C.R.</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00A84F32">
        <w:rPr>
          <w:rFonts w:ascii="Times New Roman" w:hAnsi="Times New Roman" w:cs="Times New Roman"/>
          <w:sz w:val="24"/>
          <w:szCs w:val="24"/>
        </w:rPr>
        <w:t>&amp;</w:t>
      </w:r>
      <w:r w:rsidR="004974A3">
        <w:rPr>
          <w:rFonts w:ascii="Times New Roman" w:hAnsi="Times New Roman" w:cs="Times New Roman"/>
          <w:sz w:val="24"/>
          <w:szCs w:val="24"/>
        </w:rPr>
        <w:t xml:space="preserve"> </w:t>
      </w:r>
      <w:r w:rsidRPr="008B7911">
        <w:rPr>
          <w:rFonts w:ascii="Times New Roman" w:hAnsi="Times New Roman" w:cs="Times New Roman"/>
          <w:sz w:val="24"/>
          <w:szCs w:val="24"/>
        </w:rPr>
        <w:t>Ng</w:t>
      </w:r>
      <w:r w:rsidR="00166CA0">
        <w:rPr>
          <w:rFonts w:ascii="Times New Roman" w:hAnsi="Times New Roman" w:cs="Times New Roman"/>
          <w:sz w:val="24"/>
          <w:szCs w:val="24"/>
        </w:rPr>
        <w:t>,</w:t>
      </w:r>
      <w:r w:rsidRPr="008B7911">
        <w:rPr>
          <w:rFonts w:ascii="Times New Roman" w:hAnsi="Times New Roman" w:cs="Times New Roman"/>
          <w:sz w:val="24"/>
          <w:szCs w:val="24"/>
        </w:rPr>
        <w:t xml:space="preserve"> A. (2005)</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8B7911">
        <w:rPr>
          <w:rFonts w:ascii="Times New Roman" w:hAnsi="Times New Roman" w:cs="Times New Roman"/>
          <w:sz w:val="24"/>
          <w:szCs w:val="24"/>
        </w:rPr>
        <w:t xml:space="preserve">Market </w:t>
      </w:r>
      <w:r w:rsidR="00A84F32">
        <w:rPr>
          <w:rFonts w:ascii="Times New Roman" w:hAnsi="Times New Roman" w:cs="Times New Roman"/>
          <w:sz w:val="24"/>
          <w:szCs w:val="24"/>
        </w:rPr>
        <w:t>i</w:t>
      </w:r>
      <w:r w:rsidRPr="008B7911">
        <w:rPr>
          <w:rFonts w:ascii="Times New Roman" w:hAnsi="Times New Roman" w:cs="Times New Roman"/>
          <w:sz w:val="24"/>
          <w:szCs w:val="24"/>
        </w:rPr>
        <w:t xml:space="preserve">ntegration and </w:t>
      </w:r>
      <w:r w:rsidR="00A84F32">
        <w:rPr>
          <w:rFonts w:ascii="Times New Roman" w:hAnsi="Times New Roman" w:cs="Times New Roman"/>
          <w:sz w:val="24"/>
          <w:szCs w:val="24"/>
        </w:rPr>
        <w:t>c</w:t>
      </w:r>
      <w:r w:rsidRPr="008B7911">
        <w:rPr>
          <w:rFonts w:ascii="Times New Roman" w:hAnsi="Times New Roman" w:cs="Times New Roman"/>
          <w:sz w:val="24"/>
          <w:szCs w:val="24"/>
        </w:rPr>
        <w:t>ontagion</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8B7911">
        <w:rPr>
          <w:rFonts w:ascii="Times New Roman" w:hAnsi="Times New Roman" w:cs="Times New Roman"/>
          <w:i/>
          <w:sz w:val="24"/>
          <w:szCs w:val="24"/>
        </w:rPr>
        <w:t>Journal of Business</w:t>
      </w:r>
      <w:r w:rsidRPr="008B7911">
        <w:rPr>
          <w:rFonts w:ascii="Times New Roman" w:hAnsi="Times New Roman" w:cs="Times New Roman"/>
          <w:sz w:val="24"/>
          <w:szCs w:val="24"/>
        </w:rPr>
        <w:t xml:space="preserve">, </w:t>
      </w:r>
      <w:r w:rsidR="00B12241" w:rsidRPr="00B12241">
        <w:rPr>
          <w:rFonts w:ascii="Times New Roman" w:hAnsi="Times New Roman" w:cs="Times New Roman"/>
          <w:i/>
          <w:sz w:val="24"/>
          <w:szCs w:val="24"/>
        </w:rPr>
        <w:t>78</w:t>
      </w:r>
      <w:r w:rsidR="00A84F32">
        <w:rPr>
          <w:rFonts w:ascii="Times New Roman" w:hAnsi="Times New Roman" w:cs="Times New Roman"/>
          <w:sz w:val="24"/>
          <w:szCs w:val="24"/>
        </w:rPr>
        <w:t>,</w:t>
      </w:r>
      <w:r w:rsidRPr="008B7911">
        <w:rPr>
          <w:rFonts w:ascii="Times New Roman" w:hAnsi="Times New Roman" w:cs="Times New Roman"/>
          <w:sz w:val="24"/>
          <w:szCs w:val="24"/>
        </w:rPr>
        <w:t xml:space="preserve"> 1–31.</w:t>
      </w:r>
    </w:p>
    <w:p w:rsidR="00166050" w:rsidRPr="00945099" w:rsidRDefault="00166050" w:rsidP="00AF6503">
      <w:pPr>
        <w:autoSpaceDE w:val="0"/>
        <w:autoSpaceDN w:val="0"/>
        <w:adjustRightInd w:val="0"/>
        <w:spacing w:after="0" w:line="480" w:lineRule="auto"/>
        <w:ind w:left="720" w:right="282" w:hanging="720"/>
        <w:rPr>
          <w:rFonts w:ascii="Times New Roman" w:hAnsi="Times New Roman" w:cs="Times New Roman"/>
          <w:i/>
          <w:sz w:val="24"/>
          <w:szCs w:val="24"/>
        </w:rPr>
      </w:pPr>
      <w:r w:rsidRPr="00945099">
        <w:rPr>
          <w:rFonts w:ascii="Times New Roman" w:hAnsi="Times New Roman" w:cs="Times New Roman"/>
          <w:sz w:val="24"/>
          <w:szCs w:val="24"/>
        </w:rPr>
        <w:t>Baur, D.</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00A84F32">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Lucey, B. (2010)</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Is </w:t>
      </w:r>
      <w:r w:rsidR="00A84F32">
        <w:rPr>
          <w:rFonts w:ascii="Times New Roman" w:hAnsi="Times New Roman" w:cs="Times New Roman"/>
          <w:sz w:val="24"/>
          <w:szCs w:val="24"/>
        </w:rPr>
        <w:t>g</w:t>
      </w:r>
      <w:r w:rsidRPr="00945099">
        <w:rPr>
          <w:rFonts w:ascii="Times New Roman" w:hAnsi="Times New Roman" w:cs="Times New Roman"/>
          <w:sz w:val="24"/>
          <w:szCs w:val="24"/>
        </w:rPr>
        <w:t xml:space="preserve">old a </w:t>
      </w:r>
      <w:r w:rsidR="00F5587E">
        <w:rPr>
          <w:rFonts w:ascii="Times New Roman" w:hAnsi="Times New Roman" w:cs="Times New Roman"/>
          <w:sz w:val="24"/>
          <w:szCs w:val="24"/>
        </w:rPr>
        <w:t>h</w:t>
      </w:r>
      <w:r w:rsidRPr="00945099">
        <w:rPr>
          <w:rFonts w:ascii="Times New Roman" w:hAnsi="Times New Roman" w:cs="Times New Roman"/>
          <w:sz w:val="24"/>
          <w:szCs w:val="24"/>
        </w:rPr>
        <w:t xml:space="preserve">edge or a </w:t>
      </w:r>
      <w:r w:rsidR="00F5587E">
        <w:rPr>
          <w:rFonts w:ascii="Times New Roman" w:hAnsi="Times New Roman" w:cs="Times New Roman"/>
          <w:sz w:val="24"/>
          <w:szCs w:val="24"/>
        </w:rPr>
        <w:t>s</w:t>
      </w:r>
      <w:r w:rsidRPr="00945099">
        <w:rPr>
          <w:rFonts w:ascii="Times New Roman" w:hAnsi="Times New Roman" w:cs="Times New Roman"/>
          <w:sz w:val="24"/>
          <w:szCs w:val="24"/>
        </w:rPr>
        <w:t xml:space="preserve">afe </w:t>
      </w:r>
      <w:r w:rsidR="00F5587E">
        <w:rPr>
          <w:rFonts w:ascii="Times New Roman" w:hAnsi="Times New Roman" w:cs="Times New Roman"/>
          <w:sz w:val="24"/>
          <w:szCs w:val="24"/>
        </w:rPr>
        <w:t>h</w:t>
      </w:r>
      <w:r w:rsidRPr="00945099">
        <w:rPr>
          <w:rFonts w:ascii="Times New Roman" w:hAnsi="Times New Roman" w:cs="Times New Roman"/>
          <w:sz w:val="24"/>
          <w:szCs w:val="24"/>
        </w:rPr>
        <w:t xml:space="preserve">aven? An </w:t>
      </w:r>
      <w:r w:rsidR="00F5587E">
        <w:rPr>
          <w:rFonts w:ascii="Times New Roman" w:hAnsi="Times New Roman" w:cs="Times New Roman"/>
          <w:sz w:val="24"/>
          <w:szCs w:val="24"/>
        </w:rPr>
        <w:t>a</w:t>
      </w:r>
      <w:r w:rsidRPr="00945099">
        <w:rPr>
          <w:rFonts w:ascii="Times New Roman" w:hAnsi="Times New Roman" w:cs="Times New Roman"/>
          <w:sz w:val="24"/>
          <w:szCs w:val="24"/>
        </w:rPr>
        <w:t xml:space="preserve">nalysis of </w:t>
      </w:r>
      <w:r w:rsidR="00F5587E">
        <w:rPr>
          <w:rFonts w:ascii="Times New Roman" w:hAnsi="Times New Roman" w:cs="Times New Roman"/>
          <w:sz w:val="24"/>
          <w:szCs w:val="24"/>
        </w:rPr>
        <w:t>s</w:t>
      </w:r>
      <w:r w:rsidRPr="00945099">
        <w:rPr>
          <w:rFonts w:ascii="Times New Roman" w:hAnsi="Times New Roman" w:cs="Times New Roman"/>
          <w:sz w:val="24"/>
          <w:szCs w:val="24"/>
        </w:rPr>
        <w:t xml:space="preserve">tocks, </w:t>
      </w:r>
      <w:r w:rsidR="00F5587E">
        <w:rPr>
          <w:rFonts w:ascii="Times New Roman" w:hAnsi="Times New Roman" w:cs="Times New Roman"/>
          <w:sz w:val="24"/>
          <w:szCs w:val="24"/>
        </w:rPr>
        <w:t>b</w:t>
      </w:r>
      <w:r w:rsidRPr="00945099">
        <w:rPr>
          <w:rFonts w:ascii="Times New Roman" w:hAnsi="Times New Roman" w:cs="Times New Roman"/>
          <w:sz w:val="24"/>
          <w:szCs w:val="24"/>
        </w:rPr>
        <w:t xml:space="preserve">onds and </w:t>
      </w:r>
      <w:r w:rsidR="00F5587E">
        <w:rPr>
          <w:rFonts w:ascii="Times New Roman" w:hAnsi="Times New Roman" w:cs="Times New Roman"/>
          <w:sz w:val="24"/>
          <w:szCs w:val="24"/>
        </w:rPr>
        <w:t>g</w:t>
      </w:r>
      <w:r w:rsidRPr="00945099">
        <w:rPr>
          <w:rFonts w:ascii="Times New Roman" w:hAnsi="Times New Roman" w:cs="Times New Roman"/>
          <w:sz w:val="24"/>
          <w:szCs w:val="24"/>
        </w:rPr>
        <w:t>old</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Financial Review</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45</w:t>
      </w:r>
      <w:r w:rsidR="00F5587E">
        <w:rPr>
          <w:rFonts w:ascii="Times New Roman" w:hAnsi="Times New Roman" w:cs="Times New Roman"/>
          <w:sz w:val="24"/>
          <w:szCs w:val="24"/>
        </w:rPr>
        <w:t>,</w:t>
      </w:r>
      <w:r w:rsidRPr="00945099">
        <w:rPr>
          <w:rFonts w:ascii="Times New Roman" w:hAnsi="Times New Roman" w:cs="Times New Roman"/>
          <w:sz w:val="24"/>
          <w:szCs w:val="24"/>
        </w:rPr>
        <w:t xml:space="preserve"> 217–229</w:t>
      </w:r>
      <w:r w:rsidRPr="00945099">
        <w:rPr>
          <w:rFonts w:ascii="Times New Roman" w:hAnsi="Times New Roman" w:cs="Times New Roman"/>
          <w:i/>
          <w:sz w:val="24"/>
          <w:szCs w:val="24"/>
        </w:rPr>
        <w:t>.</w:t>
      </w:r>
    </w:p>
    <w:p w:rsidR="00127C0D" w:rsidRDefault="00127C0D"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C43FE6">
        <w:rPr>
          <w:rFonts w:ascii="Times New Roman" w:hAnsi="Times New Roman" w:cs="Times New Roman"/>
          <w:sz w:val="24"/>
          <w:szCs w:val="24"/>
        </w:rPr>
        <w:t>Baur</w:t>
      </w:r>
      <w:r w:rsidR="00334BE1">
        <w:rPr>
          <w:rFonts w:ascii="Times New Roman" w:hAnsi="Times New Roman" w:cs="Times New Roman"/>
          <w:sz w:val="24"/>
          <w:szCs w:val="24"/>
        </w:rPr>
        <w:t xml:space="preserve">, </w:t>
      </w:r>
      <w:r w:rsidRPr="00C43FE6">
        <w:rPr>
          <w:rFonts w:ascii="Times New Roman" w:hAnsi="Times New Roman" w:cs="Times New Roman"/>
          <w:sz w:val="24"/>
          <w:szCs w:val="24"/>
        </w:rPr>
        <w:t>D. (2012)</w:t>
      </w:r>
      <w:r w:rsidR="00A84F32">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 xml:space="preserve">Financial </w:t>
      </w:r>
      <w:r w:rsidR="00F5587E">
        <w:rPr>
          <w:rFonts w:ascii="Times New Roman" w:hAnsi="Times New Roman" w:cs="Times New Roman"/>
          <w:sz w:val="24"/>
          <w:szCs w:val="24"/>
        </w:rPr>
        <w:t>c</w:t>
      </w:r>
      <w:r w:rsidRPr="00C43FE6">
        <w:rPr>
          <w:rFonts w:ascii="Times New Roman" w:hAnsi="Times New Roman" w:cs="Times New Roman"/>
          <w:sz w:val="24"/>
          <w:szCs w:val="24"/>
        </w:rPr>
        <w:t xml:space="preserve">ontagion and the </w:t>
      </w:r>
      <w:r w:rsidR="00F5587E">
        <w:rPr>
          <w:rFonts w:ascii="Times New Roman" w:hAnsi="Times New Roman" w:cs="Times New Roman"/>
          <w:sz w:val="24"/>
          <w:szCs w:val="24"/>
        </w:rPr>
        <w:t>r</w:t>
      </w:r>
      <w:r w:rsidRPr="00C43FE6">
        <w:rPr>
          <w:rFonts w:ascii="Times New Roman" w:hAnsi="Times New Roman" w:cs="Times New Roman"/>
          <w:sz w:val="24"/>
          <w:szCs w:val="24"/>
        </w:rPr>
        <w:t xml:space="preserve">eal </w:t>
      </w:r>
      <w:r w:rsidR="00F5587E">
        <w:rPr>
          <w:rFonts w:ascii="Times New Roman" w:hAnsi="Times New Roman" w:cs="Times New Roman"/>
          <w:sz w:val="24"/>
          <w:szCs w:val="24"/>
        </w:rPr>
        <w:t>e</w:t>
      </w:r>
      <w:r w:rsidRPr="00C43FE6">
        <w:rPr>
          <w:rFonts w:ascii="Times New Roman" w:hAnsi="Times New Roman" w:cs="Times New Roman"/>
          <w:sz w:val="24"/>
          <w:szCs w:val="24"/>
        </w:rPr>
        <w:t>conomy</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i/>
          <w:sz w:val="24"/>
          <w:szCs w:val="24"/>
        </w:rPr>
        <w:t>Journal of Banking and Finance</w:t>
      </w:r>
      <w:r w:rsidRPr="00C43FE6">
        <w:rPr>
          <w:rFonts w:ascii="Times New Roman" w:hAnsi="Times New Roman" w:cs="Times New Roman"/>
          <w:sz w:val="24"/>
          <w:szCs w:val="24"/>
        </w:rPr>
        <w:t xml:space="preserve">, </w:t>
      </w:r>
      <w:r w:rsidR="00B12241" w:rsidRPr="00B12241">
        <w:rPr>
          <w:rFonts w:ascii="Times New Roman" w:hAnsi="Times New Roman" w:cs="Times New Roman"/>
          <w:i/>
          <w:sz w:val="24"/>
          <w:szCs w:val="24"/>
        </w:rPr>
        <w:t>36</w:t>
      </w:r>
      <w:r w:rsidR="00F5587E">
        <w:rPr>
          <w:rFonts w:ascii="Times New Roman" w:hAnsi="Times New Roman" w:cs="Times New Roman"/>
          <w:sz w:val="24"/>
          <w:szCs w:val="24"/>
        </w:rPr>
        <w:t>,</w:t>
      </w:r>
      <w:r w:rsidRPr="00C43FE6">
        <w:rPr>
          <w:rFonts w:ascii="Times New Roman" w:hAnsi="Times New Roman" w:cs="Times New Roman"/>
          <w:sz w:val="24"/>
          <w:szCs w:val="24"/>
        </w:rPr>
        <w:t xml:space="preserve"> 2680–2692.</w:t>
      </w:r>
    </w:p>
    <w:p w:rsidR="005D2842" w:rsidRPr="00C43FE6" w:rsidRDefault="005D2842" w:rsidP="00AF6503">
      <w:pPr>
        <w:autoSpaceDE w:val="0"/>
        <w:autoSpaceDN w:val="0"/>
        <w:adjustRightInd w:val="0"/>
        <w:spacing w:after="0" w:line="480" w:lineRule="auto"/>
        <w:ind w:left="720" w:right="282" w:hanging="720"/>
        <w:rPr>
          <w:rFonts w:ascii="Times New Roman" w:hAnsi="Times New Roman" w:cs="Times New Roman"/>
          <w:sz w:val="24"/>
          <w:szCs w:val="24"/>
        </w:rPr>
      </w:pPr>
      <w:r>
        <w:rPr>
          <w:rFonts w:ascii="Times New Roman" w:hAnsi="Times New Roman" w:cs="Times New Roman"/>
          <w:sz w:val="24"/>
          <w:szCs w:val="24"/>
        </w:rPr>
        <w:t>Bayoumi, T.</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Pr>
          <w:rFonts w:ascii="Times New Roman" w:hAnsi="Times New Roman" w:cs="Times New Roman"/>
          <w:sz w:val="24"/>
          <w:szCs w:val="24"/>
        </w:rPr>
        <w:t>Eichengreen, B. (1992)</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Macroeconomic adjustment under Bretton Woods and the post-Bretton Woods float: An impulse-response analysis</w:t>
      </w:r>
      <w:r w:rsidR="004974A3">
        <w:rPr>
          <w:rFonts w:ascii="Times New Roman" w:hAnsi="Times New Roman" w:cs="Times New Roman"/>
          <w:i/>
          <w:sz w:val="24"/>
          <w:szCs w:val="24"/>
        </w:rPr>
        <w:t xml:space="preserve"> </w:t>
      </w:r>
      <w:r w:rsidR="00DB5914">
        <w:rPr>
          <w:rFonts w:ascii="Times New Roman" w:hAnsi="Times New Roman" w:cs="Times New Roman"/>
          <w:sz w:val="24"/>
          <w:szCs w:val="24"/>
        </w:rPr>
        <w:t>(</w:t>
      </w:r>
      <w:r>
        <w:rPr>
          <w:rFonts w:ascii="Times New Roman" w:hAnsi="Times New Roman" w:cs="Times New Roman"/>
          <w:sz w:val="24"/>
          <w:szCs w:val="24"/>
        </w:rPr>
        <w:t>NBER Working Paper No. 4169</w:t>
      </w:r>
      <w:r w:rsidR="00DB5914">
        <w:rPr>
          <w:rFonts w:ascii="Times New Roman" w:hAnsi="Times New Roman" w:cs="Times New Roman"/>
          <w:sz w:val="24"/>
          <w:szCs w:val="24"/>
        </w:rPr>
        <w:t>)</w:t>
      </w:r>
      <w:r>
        <w:rPr>
          <w:rFonts w:ascii="Times New Roman" w:hAnsi="Times New Roman" w:cs="Times New Roman"/>
          <w:sz w:val="24"/>
          <w:szCs w:val="24"/>
        </w:rPr>
        <w:t>.</w:t>
      </w:r>
      <w:r w:rsidR="00DB5914">
        <w:rPr>
          <w:rFonts w:ascii="Times New Roman" w:hAnsi="Times New Roman" w:cs="Times New Roman"/>
          <w:sz w:val="24"/>
          <w:szCs w:val="24"/>
        </w:rPr>
        <w:t xml:space="preserve"> Cambridge, MA: National Bureau of Economic Research.</w:t>
      </w:r>
    </w:p>
    <w:p w:rsidR="00166050" w:rsidRPr="009B4945" w:rsidRDefault="00B12241"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B12241">
        <w:rPr>
          <w:rFonts w:ascii="Times New Roman" w:hAnsi="Times New Roman" w:cs="Times New Roman"/>
          <w:sz w:val="24"/>
          <w:szCs w:val="24"/>
          <w:lang w:val="de-DE"/>
        </w:rPr>
        <w:t>Beine, M., Cosma, A., &amp;</w:t>
      </w:r>
      <w:r w:rsidR="005C1B06">
        <w:rPr>
          <w:rFonts w:ascii="Times New Roman" w:hAnsi="Times New Roman" w:cs="Times New Roman"/>
          <w:sz w:val="24"/>
          <w:szCs w:val="24"/>
          <w:lang w:val="de-DE"/>
        </w:rPr>
        <w:t xml:space="preserve"> </w:t>
      </w:r>
      <w:r w:rsidRPr="00B12241">
        <w:rPr>
          <w:rFonts w:ascii="Times New Roman" w:hAnsi="Times New Roman" w:cs="Times New Roman"/>
          <w:sz w:val="24"/>
          <w:szCs w:val="24"/>
          <w:lang w:val="de-DE"/>
        </w:rPr>
        <w:t>Vermulen, R. (2010).</w:t>
      </w:r>
      <w:r w:rsidR="004974A3">
        <w:rPr>
          <w:rFonts w:ascii="Times New Roman" w:hAnsi="Times New Roman" w:cs="Times New Roman"/>
          <w:sz w:val="24"/>
          <w:szCs w:val="24"/>
          <w:lang w:val="de-DE"/>
        </w:rPr>
        <w:t xml:space="preserve"> </w:t>
      </w:r>
      <w:r w:rsidR="00166050" w:rsidRPr="009B4945">
        <w:rPr>
          <w:rFonts w:ascii="Times New Roman" w:hAnsi="Times New Roman" w:cs="Times New Roman"/>
          <w:sz w:val="24"/>
          <w:szCs w:val="24"/>
        </w:rPr>
        <w:t xml:space="preserve">The </w:t>
      </w:r>
      <w:r w:rsidR="00D32F2A">
        <w:rPr>
          <w:rFonts w:ascii="Times New Roman" w:hAnsi="Times New Roman" w:cs="Times New Roman"/>
          <w:sz w:val="24"/>
          <w:szCs w:val="24"/>
        </w:rPr>
        <w:t>d</w:t>
      </w:r>
      <w:r w:rsidR="00166050" w:rsidRPr="009B4945">
        <w:rPr>
          <w:rFonts w:ascii="Times New Roman" w:hAnsi="Times New Roman" w:cs="Times New Roman"/>
          <w:sz w:val="24"/>
          <w:szCs w:val="24"/>
        </w:rPr>
        <w:t xml:space="preserve">ark </w:t>
      </w:r>
      <w:r w:rsidR="00D32F2A">
        <w:rPr>
          <w:rFonts w:ascii="Times New Roman" w:hAnsi="Times New Roman" w:cs="Times New Roman"/>
          <w:sz w:val="24"/>
          <w:szCs w:val="24"/>
        </w:rPr>
        <w:t>s</w:t>
      </w:r>
      <w:r w:rsidR="00166050" w:rsidRPr="009B4945">
        <w:rPr>
          <w:rFonts w:ascii="Times New Roman" w:hAnsi="Times New Roman" w:cs="Times New Roman"/>
          <w:sz w:val="24"/>
          <w:szCs w:val="24"/>
        </w:rPr>
        <w:t xml:space="preserve">ide of </w:t>
      </w:r>
      <w:r w:rsidR="00D32F2A">
        <w:rPr>
          <w:rFonts w:ascii="Times New Roman" w:hAnsi="Times New Roman" w:cs="Times New Roman"/>
          <w:sz w:val="24"/>
          <w:szCs w:val="24"/>
        </w:rPr>
        <w:t>g</w:t>
      </w:r>
      <w:r w:rsidR="00166050" w:rsidRPr="009B4945">
        <w:rPr>
          <w:rFonts w:ascii="Times New Roman" w:hAnsi="Times New Roman" w:cs="Times New Roman"/>
          <w:sz w:val="24"/>
          <w:szCs w:val="24"/>
        </w:rPr>
        <w:t xml:space="preserve">lobal </w:t>
      </w:r>
      <w:r w:rsidR="00D32F2A">
        <w:rPr>
          <w:rFonts w:ascii="Times New Roman" w:hAnsi="Times New Roman" w:cs="Times New Roman"/>
          <w:sz w:val="24"/>
          <w:szCs w:val="24"/>
        </w:rPr>
        <w:t>i</w:t>
      </w:r>
      <w:r w:rsidR="00166050" w:rsidRPr="009B4945">
        <w:rPr>
          <w:rFonts w:ascii="Times New Roman" w:hAnsi="Times New Roman" w:cs="Times New Roman"/>
          <w:sz w:val="24"/>
          <w:szCs w:val="24"/>
        </w:rPr>
        <w:t xml:space="preserve">ntegration: Increasing </w:t>
      </w:r>
      <w:r w:rsidR="00D32F2A">
        <w:rPr>
          <w:rFonts w:ascii="Times New Roman" w:hAnsi="Times New Roman" w:cs="Times New Roman"/>
          <w:sz w:val="24"/>
          <w:szCs w:val="24"/>
        </w:rPr>
        <w:t>t</w:t>
      </w:r>
      <w:r w:rsidR="00166050" w:rsidRPr="009B4945">
        <w:rPr>
          <w:rFonts w:ascii="Times New Roman" w:hAnsi="Times New Roman" w:cs="Times New Roman"/>
          <w:sz w:val="24"/>
          <w:szCs w:val="24"/>
        </w:rPr>
        <w:t xml:space="preserve">ail </w:t>
      </w:r>
      <w:r w:rsidR="00D32F2A">
        <w:rPr>
          <w:rFonts w:ascii="Times New Roman" w:hAnsi="Times New Roman" w:cs="Times New Roman"/>
          <w:sz w:val="24"/>
          <w:szCs w:val="24"/>
        </w:rPr>
        <w:t>d</w:t>
      </w:r>
      <w:r w:rsidR="00166050" w:rsidRPr="009B4945">
        <w:rPr>
          <w:rFonts w:ascii="Times New Roman" w:hAnsi="Times New Roman" w:cs="Times New Roman"/>
          <w:sz w:val="24"/>
          <w:szCs w:val="24"/>
        </w:rPr>
        <w:t>ependence</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00166050" w:rsidRPr="009B4945">
        <w:rPr>
          <w:rFonts w:ascii="Times New Roman" w:hAnsi="Times New Roman" w:cs="Times New Roman"/>
          <w:i/>
          <w:sz w:val="24"/>
          <w:szCs w:val="24"/>
        </w:rPr>
        <w:t>Journal of Banking and Finance</w:t>
      </w:r>
      <w:r w:rsidR="00166050" w:rsidRPr="009B4945">
        <w:rPr>
          <w:rFonts w:ascii="Times New Roman" w:hAnsi="Times New Roman" w:cs="Times New Roman"/>
          <w:sz w:val="24"/>
          <w:szCs w:val="24"/>
        </w:rPr>
        <w:t xml:space="preserve">, </w:t>
      </w:r>
      <w:r w:rsidRPr="00B12241">
        <w:rPr>
          <w:rFonts w:ascii="Times New Roman" w:hAnsi="Times New Roman" w:cs="Times New Roman"/>
          <w:i/>
          <w:sz w:val="24"/>
          <w:szCs w:val="24"/>
        </w:rPr>
        <w:t>34</w:t>
      </w:r>
      <w:r w:rsidR="00166050" w:rsidRPr="009B4945">
        <w:rPr>
          <w:rFonts w:ascii="Times New Roman" w:hAnsi="Times New Roman" w:cs="Times New Roman"/>
          <w:sz w:val="24"/>
          <w:szCs w:val="24"/>
        </w:rPr>
        <w:t>(1)</w:t>
      </w:r>
      <w:r w:rsidR="00D32F2A">
        <w:rPr>
          <w:rFonts w:ascii="Times New Roman" w:hAnsi="Times New Roman" w:cs="Times New Roman"/>
          <w:sz w:val="24"/>
          <w:szCs w:val="24"/>
        </w:rPr>
        <w:t>,</w:t>
      </w:r>
      <w:r w:rsidR="00166050" w:rsidRPr="009B4945">
        <w:rPr>
          <w:rFonts w:ascii="Times New Roman" w:hAnsi="Times New Roman" w:cs="Times New Roman"/>
          <w:sz w:val="24"/>
          <w:szCs w:val="24"/>
        </w:rPr>
        <w:t xml:space="preserve"> 184–192.</w:t>
      </w:r>
    </w:p>
    <w:p w:rsidR="00166050" w:rsidRPr="00945099"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Bodart, V.</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Reding, P. (1999)</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Exchange </w:t>
      </w:r>
      <w:r w:rsidR="00D32F2A">
        <w:rPr>
          <w:rFonts w:ascii="Times New Roman" w:hAnsi="Times New Roman" w:cs="Times New Roman"/>
          <w:sz w:val="24"/>
          <w:szCs w:val="24"/>
        </w:rPr>
        <w:t>r</w:t>
      </w:r>
      <w:r w:rsidRPr="00945099">
        <w:rPr>
          <w:rFonts w:ascii="Times New Roman" w:hAnsi="Times New Roman" w:cs="Times New Roman"/>
          <w:sz w:val="24"/>
          <w:szCs w:val="24"/>
        </w:rPr>
        <w:t xml:space="preserve">ate </w:t>
      </w:r>
      <w:r w:rsidR="00D32F2A">
        <w:rPr>
          <w:rFonts w:ascii="Times New Roman" w:hAnsi="Times New Roman" w:cs="Times New Roman"/>
          <w:sz w:val="24"/>
          <w:szCs w:val="24"/>
        </w:rPr>
        <w:t>r</w:t>
      </w:r>
      <w:r w:rsidRPr="00945099">
        <w:rPr>
          <w:rFonts w:ascii="Times New Roman" w:hAnsi="Times New Roman" w:cs="Times New Roman"/>
          <w:sz w:val="24"/>
          <w:szCs w:val="24"/>
        </w:rPr>
        <w:t xml:space="preserve">egime, </w:t>
      </w:r>
      <w:r w:rsidR="00D32F2A">
        <w:rPr>
          <w:rFonts w:ascii="Times New Roman" w:hAnsi="Times New Roman" w:cs="Times New Roman"/>
          <w:sz w:val="24"/>
          <w:szCs w:val="24"/>
        </w:rPr>
        <w:t>v</w:t>
      </w:r>
      <w:r w:rsidRPr="00945099">
        <w:rPr>
          <w:rFonts w:ascii="Times New Roman" w:hAnsi="Times New Roman" w:cs="Times New Roman"/>
          <w:sz w:val="24"/>
          <w:szCs w:val="24"/>
        </w:rPr>
        <w:t xml:space="preserve">olatility and </w:t>
      </w:r>
      <w:r w:rsidR="00D32F2A">
        <w:rPr>
          <w:rFonts w:ascii="Times New Roman" w:hAnsi="Times New Roman" w:cs="Times New Roman"/>
          <w:sz w:val="24"/>
          <w:szCs w:val="24"/>
        </w:rPr>
        <w:t>i</w:t>
      </w:r>
      <w:r w:rsidRPr="00945099">
        <w:rPr>
          <w:rFonts w:ascii="Times New Roman" w:hAnsi="Times New Roman" w:cs="Times New Roman"/>
          <w:sz w:val="24"/>
          <w:szCs w:val="24"/>
        </w:rPr>
        <w:t xml:space="preserve">nternational </w:t>
      </w:r>
      <w:r w:rsidR="00D32F2A">
        <w:rPr>
          <w:rFonts w:ascii="Times New Roman" w:hAnsi="Times New Roman" w:cs="Times New Roman"/>
          <w:sz w:val="24"/>
          <w:szCs w:val="24"/>
        </w:rPr>
        <w:t>c</w:t>
      </w:r>
      <w:r w:rsidRPr="00945099">
        <w:rPr>
          <w:rFonts w:ascii="Times New Roman" w:hAnsi="Times New Roman" w:cs="Times New Roman"/>
          <w:sz w:val="24"/>
          <w:szCs w:val="24"/>
        </w:rPr>
        <w:t xml:space="preserve">orrelations of </w:t>
      </w:r>
      <w:r w:rsidR="00D32F2A">
        <w:rPr>
          <w:rFonts w:ascii="Times New Roman" w:hAnsi="Times New Roman" w:cs="Times New Roman"/>
          <w:sz w:val="24"/>
          <w:szCs w:val="24"/>
        </w:rPr>
        <w:t>b</w:t>
      </w:r>
      <w:r w:rsidRPr="00945099">
        <w:rPr>
          <w:rFonts w:ascii="Times New Roman" w:hAnsi="Times New Roman" w:cs="Times New Roman"/>
          <w:sz w:val="24"/>
          <w:szCs w:val="24"/>
        </w:rPr>
        <w:t xml:space="preserve">ond and </w:t>
      </w:r>
      <w:r w:rsidR="00D32F2A">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D32F2A">
        <w:rPr>
          <w:rFonts w:ascii="Times New Roman" w:hAnsi="Times New Roman" w:cs="Times New Roman"/>
          <w:sz w:val="24"/>
          <w:szCs w:val="24"/>
        </w:rPr>
        <w:t>m</w:t>
      </w:r>
      <w:r w:rsidRPr="00945099">
        <w:rPr>
          <w:rFonts w:ascii="Times New Roman" w:hAnsi="Times New Roman" w:cs="Times New Roman"/>
          <w:sz w:val="24"/>
          <w:szCs w:val="24"/>
        </w:rPr>
        <w:t>arkets</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Journal of International Money and Finance</w:t>
      </w:r>
      <w:r w:rsidRPr="00945099">
        <w:rPr>
          <w:rFonts w:ascii="Times New Roman" w:hAnsi="Times New Roman" w:cs="Times New Roman"/>
          <w:sz w:val="24"/>
          <w:szCs w:val="24"/>
        </w:rPr>
        <w:t xml:space="preserve">, </w:t>
      </w:r>
      <w:r w:rsidR="00B12241" w:rsidRPr="00B12241">
        <w:rPr>
          <w:rFonts w:ascii="Times New Roman" w:hAnsi="Times New Roman" w:cs="Times New Roman"/>
          <w:i/>
          <w:sz w:val="24"/>
          <w:szCs w:val="24"/>
        </w:rPr>
        <w:t>18</w:t>
      </w:r>
      <w:r w:rsidR="00D32F2A">
        <w:rPr>
          <w:rFonts w:ascii="Times New Roman" w:hAnsi="Times New Roman" w:cs="Times New Roman"/>
          <w:sz w:val="24"/>
          <w:szCs w:val="24"/>
        </w:rPr>
        <w:t>,</w:t>
      </w:r>
      <w:r w:rsidRPr="00945099">
        <w:rPr>
          <w:rFonts w:ascii="Times New Roman" w:hAnsi="Times New Roman" w:cs="Times New Roman"/>
          <w:sz w:val="24"/>
          <w:szCs w:val="24"/>
        </w:rPr>
        <w:t xml:space="preserve"> 133–151.</w:t>
      </w:r>
    </w:p>
    <w:p w:rsidR="003D4FF8" w:rsidRPr="00F30995" w:rsidRDefault="003D4FF8" w:rsidP="00AF6503">
      <w:pPr>
        <w:spacing w:after="0" w:line="480" w:lineRule="auto"/>
        <w:ind w:left="720" w:right="282" w:hanging="720"/>
        <w:rPr>
          <w:rFonts w:ascii="Times New Roman" w:hAnsi="Times New Roman" w:cs="Times New Roman"/>
          <w:sz w:val="24"/>
          <w:szCs w:val="24"/>
        </w:rPr>
      </w:pPr>
      <w:r w:rsidRPr="00086A7F">
        <w:rPr>
          <w:rFonts w:ascii="Times New Roman" w:hAnsi="Times New Roman" w:cs="Times New Roman"/>
          <w:sz w:val="24"/>
          <w:szCs w:val="24"/>
        </w:rPr>
        <w:lastRenderedPageBreak/>
        <w:t>Bordo, M.</w:t>
      </w:r>
      <w:r w:rsidR="00D32F2A" w:rsidRPr="00086A7F">
        <w:rPr>
          <w:rFonts w:ascii="Times New Roman" w:hAnsi="Times New Roman" w:cs="Times New Roman"/>
          <w:sz w:val="24"/>
          <w:szCs w:val="24"/>
        </w:rPr>
        <w:t>D.</w:t>
      </w:r>
      <w:r w:rsidR="00F5587E" w:rsidRPr="00086A7F">
        <w:rPr>
          <w:rFonts w:ascii="Times New Roman" w:hAnsi="Times New Roman" w:cs="Times New Roman"/>
          <w:sz w:val="24"/>
          <w:szCs w:val="24"/>
        </w:rPr>
        <w:t>,</w:t>
      </w:r>
      <w:r w:rsidR="004974A3">
        <w:rPr>
          <w:rFonts w:ascii="Times New Roman" w:hAnsi="Times New Roman" w:cs="Times New Roman"/>
          <w:sz w:val="24"/>
          <w:szCs w:val="24"/>
        </w:rPr>
        <w:t xml:space="preserve"> </w:t>
      </w:r>
      <w:r w:rsidRPr="00A5475D">
        <w:rPr>
          <w:rFonts w:ascii="Times New Roman" w:hAnsi="Times New Roman" w:cs="Times New Roman"/>
          <w:sz w:val="24"/>
          <w:szCs w:val="24"/>
        </w:rPr>
        <w:t>Schwart</w:t>
      </w:r>
      <w:r w:rsidR="00D32F2A" w:rsidRPr="00B52D06">
        <w:rPr>
          <w:rFonts w:ascii="Times New Roman" w:hAnsi="Times New Roman" w:cs="Times New Roman"/>
          <w:sz w:val="24"/>
          <w:szCs w:val="24"/>
        </w:rPr>
        <w:t>z</w:t>
      </w:r>
      <w:r w:rsidR="000A335F">
        <w:rPr>
          <w:rFonts w:ascii="Times New Roman" w:hAnsi="Times New Roman" w:cs="Times New Roman"/>
          <w:sz w:val="24"/>
          <w:szCs w:val="24"/>
        </w:rPr>
        <w:t>,</w:t>
      </w:r>
      <w:r w:rsidR="004974A3">
        <w:rPr>
          <w:rFonts w:ascii="Times New Roman" w:hAnsi="Times New Roman" w:cs="Times New Roman"/>
          <w:sz w:val="24"/>
          <w:szCs w:val="24"/>
        </w:rPr>
        <w:t xml:space="preserve"> </w:t>
      </w:r>
      <w:r w:rsidR="00D32F2A" w:rsidRPr="00CE4933">
        <w:rPr>
          <w:rFonts w:ascii="Times New Roman" w:hAnsi="Times New Roman" w:cs="Times New Roman"/>
          <w:sz w:val="24"/>
          <w:szCs w:val="24"/>
        </w:rPr>
        <w:t>A.</w:t>
      </w:r>
      <w:r w:rsidRPr="00CE4933">
        <w:rPr>
          <w:rFonts w:ascii="Times New Roman" w:hAnsi="Times New Roman" w:cs="Times New Roman"/>
          <w:sz w:val="24"/>
          <w:szCs w:val="24"/>
        </w:rPr>
        <w:t>J.</w:t>
      </w:r>
      <w:r w:rsidR="00B12241" w:rsidRPr="00B12241">
        <w:rPr>
          <w:rFonts w:ascii="Times New Roman" w:hAnsi="Times New Roman" w:cs="Times New Roman"/>
          <w:sz w:val="24"/>
          <w:szCs w:val="24"/>
        </w:rPr>
        <w:t>, &amp; Darby, M.R.</w:t>
      </w:r>
      <w:r w:rsidR="007D4657">
        <w:rPr>
          <w:rFonts w:ascii="Times New Roman" w:hAnsi="Times New Roman" w:cs="Times New Roman"/>
          <w:sz w:val="24"/>
          <w:szCs w:val="24"/>
        </w:rPr>
        <w:t xml:space="preserve"> </w:t>
      </w:r>
      <w:r w:rsidRPr="00F30995">
        <w:rPr>
          <w:rFonts w:ascii="Times New Roman" w:hAnsi="Times New Roman" w:cs="Times New Roman"/>
          <w:sz w:val="24"/>
          <w:szCs w:val="24"/>
        </w:rPr>
        <w:t>(1989)</w:t>
      </w:r>
      <w:r w:rsidR="00DB5914">
        <w:rPr>
          <w:rFonts w:ascii="Times New Roman" w:hAnsi="Times New Roman" w:cs="Times New Roman"/>
          <w:sz w:val="24"/>
          <w:szCs w:val="24"/>
        </w:rPr>
        <w:t>.</w:t>
      </w:r>
      <w:r w:rsidR="004974A3">
        <w:rPr>
          <w:rFonts w:ascii="Times New Roman" w:hAnsi="Times New Roman" w:cs="Times New Roman"/>
          <w:sz w:val="24"/>
          <w:szCs w:val="24"/>
        </w:rPr>
        <w:t xml:space="preserve"> </w:t>
      </w:r>
      <w:r w:rsidRPr="00F30995">
        <w:rPr>
          <w:rFonts w:ascii="Times New Roman" w:hAnsi="Times New Roman" w:cs="Times New Roman"/>
          <w:sz w:val="24"/>
          <w:szCs w:val="24"/>
        </w:rPr>
        <w:t>Transmission of</w:t>
      </w:r>
      <w:r w:rsidR="004974A3">
        <w:rPr>
          <w:rFonts w:ascii="Times New Roman" w:hAnsi="Times New Roman" w:cs="Times New Roman"/>
          <w:sz w:val="24"/>
          <w:szCs w:val="24"/>
        </w:rPr>
        <w:t xml:space="preserve"> </w:t>
      </w:r>
      <w:r w:rsidR="00D32F2A">
        <w:rPr>
          <w:rFonts w:ascii="Times New Roman" w:hAnsi="Times New Roman" w:cs="Times New Roman"/>
          <w:sz w:val="24"/>
          <w:szCs w:val="24"/>
        </w:rPr>
        <w:t>r</w:t>
      </w:r>
      <w:r w:rsidR="005B3E45">
        <w:rPr>
          <w:rFonts w:ascii="Times New Roman" w:hAnsi="Times New Roman" w:cs="Times New Roman"/>
          <w:sz w:val="24"/>
          <w:szCs w:val="24"/>
        </w:rPr>
        <w:t xml:space="preserve">eal and </w:t>
      </w:r>
      <w:r w:rsidR="00D32F2A">
        <w:rPr>
          <w:rFonts w:ascii="Times New Roman" w:hAnsi="Times New Roman" w:cs="Times New Roman"/>
          <w:sz w:val="24"/>
          <w:szCs w:val="24"/>
        </w:rPr>
        <w:t>m</w:t>
      </w:r>
      <w:r w:rsidR="005B3E45">
        <w:rPr>
          <w:rFonts w:ascii="Times New Roman" w:hAnsi="Times New Roman" w:cs="Times New Roman"/>
          <w:sz w:val="24"/>
          <w:szCs w:val="24"/>
        </w:rPr>
        <w:t xml:space="preserve">onetary </w:t>
      </w:r>
      <w:r w:rsidR="00D32F2A">
        <w:rPr>
          <w:rFonts w:ascii="Times New Roman" w:hAnsi="Times New Roman" w:cs="Times New Roman"/>
          <w:sz w:val="24"/>
          <w:szCs w:val="24"/>
        </w:rPr>
        <w:t>d</w:t>
      </w:r>
      <w:r w:rsidR="005B3E45">
        <w:rPr>
          <w:rFonts w:ascii="Times New Roman" w:hAnsi="Times New Roman" w:cs="Times New Roman"/>
          <w:sz w:val="24"/>
          <w:szCs w:val="24"/>
        </w:rPr>
        <w:t>isturbance u</w:t>
      </w:r>
      <w:r w:rsidRPr="00F30995">
        <w:rPr>
          <w:rFonts w:ascii="Times New Roman" w:hAnsi="Times New Roman" w:cs="Times New Roman"/>
          <w:sz w:val="24"/>
          <w:szCs w:val="24"/>
        </w:rPr>
        <w:t xml:space="preserve">nder </w:t>
      </w:r>
      <w:r w:rsidR="00D32F2A">
        <w:rPr>
          <w:rFonts w:ascii="Times New Roman" w:hAnsi="Times New Roman" w:cs="Times New Roman"/>
          <w:sz w:val="24"/>
          <w:szCs w:val="24"/>
        </w:rPr>
        <w:t>f</w:t>
      </w:r>
      <w:r w:rsidRPr="00F30995">
        <w:rPr>
          <w:rFonts w:ascii="Times New Roman" w:hAnsi="Times New Roman" w:cs="Times New Roman"/>
          <w:sz w:val="24"/>
          <w:szCs w:val="24"/>
        </w:rPr>
        <w:t xml:space="preserve">ixed and </w:t>
      </w:r>
      <w:r w:rsidR="00D32F2A">
        <w:rPr>
          <w:rFonts w:ascii="Times New Roman" w:hAnsi="Times New Roman" w:cs="Times New Roman"/>
          <w:sz w:val="24"/>
          <w:szCs w:val="24"/>
        </w:rPr>
        <w:t>f</w:t>
      </w:r>
      <w:r w:rsidRPr="00F30995">
        <w:rPr>
          <w:rFonts w:ascii="Times New Roman" w:hAnsi="Times New Roman" w:cs="Times New Roman"/>
          <w:sz w:val="24"/>
          <w:szCs w:val="24"/>
        </w:rPr>
        <w:t xml:space="preserve">loating </w:t>
      </w:r>
      <w:r w:rsidR="00DC1115">
        <w:rPr>
          <w:rFonts w:ascii="Times New Roman" w:hAnsi="Times New Roman" w:cs="Times New Roman"/>
          <w:sz w:val="24"/>
          <w:szCs w:val="24"/>
        </w:rPr>
        <w:t xml:space="preserve">exchange </w:t>
      </w:r>
      <w:r w:rsidR="00D32F2A">
        <w:rPr>
          <w:rFonts w:ascii="Times New Roman" w:hAnsi="Times New Roman" w:cs="Times New Roman"/>
          <w:sz w:val="24"/>
          <w:szCs w:val="24"/>
        </w:rPr>
        <w:t>r</w:t>
      </w:r>
      <w:r w:rsidR="000A335F">
        <w:rPr>
          <w:rFonts w:ascii="Times New Roman" w:hAnsi="Times New Roman" w:cs="Times New Roman"/>
          <w:sz w:val="24"/>
          <w:szCs w:val="24"/>
        </w:rPr>
        <w:t xml:space="preserve">ates. </w:t>
      </w:r>
      <w:r w:rsidR="00DC1115">
        <w:rPr>
          <w:rFonts w:ascii="Times New Roman" w:hAnsi="Times New Roman" w:cs="Times New Roman"/>
          <w:sz w:val="24"/>
          <w:szCs w:val="24"/>
        </w:rPr>
        <w:t>In</w:t>
      </w:r>
      <w:r w:rsidRPr="00F30995">
        <w:rPr>
          <w:rFonts w:ascii="Times New Roman" w:hAnsi="Times New Roman" w:cs="Times New Roman"/>
          <w:sz w:val="24"/>
          <w:szCs w:val="24"/>
        </w:rPr>
        <w:t xml:space="preserve"> J</w:t>
      </w:r>
      <w:r w:rsidR="00DC1115">
        <w:rPr>
          <w:rFonts w:ascii="Times New Roman" w:hAnsi="Times New Roman" w:cs="Times New Roman"/>
          <w:sz w:val="24"/>
          <w:szCs w:val="24"/>
        </w:rPr>
        <w:t>.</w:t>
      </w:r>
      <w:r w:rsidRPr="00F30995">
        <w:rPr>
          <w:rFonts w:ascii="Times New Roman" w:hAnsi="Times New Roman" w:cs="Times New Roman"/>
          <w:sz w:val="24"/>
          <w:szCs w:val="24"/>
        </w:rPr>
        <w:t>A</w:t>
      </w:r>
      <w:r w:rsidR="00DC1115">
        <w:rPr>
          <w:rFonts w:ascii="Times New Roman" w:hAnsi="Times New Roman" w:cs="Times New Roman"/>
          <w:sz w:val="24"/>
          <w:szCs w:val="24"/>
        </w:rPr>
        <w:t>.</w:t>
      </w:r>
      <w:r w:rsidRPr="00F30995">
        <w:rPr>
          <w:rFonts w:ascii="Times New Roman" w:hAnsi="Times New Roman" w:cs="Times New Roman"/>
          <w:sz w:val="24"/>
          <w:szCs w:val="24"/>
        </w:rPr>
        <w:t xml:space="preserve"> Dora </w:t>
      </w:r>
      <w:r w:rsidR="00DC1115">
        <w:rPr>
          <w:rFonts w:ascii="Times New Roman" w:hAnsi="Times New Roman" w:cs="Times New Roman"/>
          <w:sz w:val="24"/>
          <w:szCs w:val="24"/>
        </w:rPr>
        <w:t>&amp;</w:t>
      </w:r>
      <w:r w:rsidRPr="00F30995">
        <w:rPr>
          <w:rFonts w:ascii="Times New Roman" w:hAnsi="Times New Roman" w:cs="Times New Roman"/>
          <w:sz w:val="24"/>
          <w:szCs w:val="24"/>
        </w:rPr>
        <w:t>W</w:t>
      </w:r>
      <w:r w:rsidR="00DC1115">
        <w:rPr>
          <w:rFonts w:ascii="Times New Roman" w:hAnsi="Times New Roman" w:cs="Times New Roman"/>
          <w:sz w:val="24"/>
          <w:szCs w:val="24"/>
        </w:rPr>
        <w:t>.</w:t>
      </w:r>
      <w:r w:rsidRPr="00F30995">
        <w:rPr>
          <w:rFonts w:ascii="Times New Roman" w:hAnsi="Times New Roman" w:cs="Times New Roman"/>
          <w:sz w:val="24"/>
          <w:szCs w:val="24"/>
        </w:rPr>
        <w:t>A. Niskanen</w:t>
      </w:r>
      <w:r w:rsidR="00DC1115">
        <w:rPr>
          <w:rFonts w:ascii="Times New Roman" w:hAnsi="Times New Roman" w:cs="Times New Roman"/>
          <w:sz w:val="24"/>
          <w:szCs w:val="24"/>
        </w:rPr>
        <w:t xml:space="preserve"> (Eds.)</w:t>
      </w:r>
      <w:r w:rsidR="004A6705">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 xml:space="preserve">Dollars, </w:t>
      </w:r>
      <w:r w:rsidR="004A6705">
        <w:rPr>
          <w:rFonts w:ascii="Times New Roman" w:hAnsi="Times New Roman" w:cs="Times New Roman"/>
          <w:i/>
          <w:sz w:val="24"/>
          <w:szCs w:val="24"/>
        </w:rPr>
        <w:t>d</w:t>
      </w:r>
      <w:r w:rsidR="00B12241" w:rsidRPr="00B12241">
        <w:rPr>
          <w:rFonts w:ascii="Times New Roman" w:hAnsi="Times New Roman" w:cs="Times New Roman"/>
          <w:i/>
          <w:sz w:val="24"/>
          <w:szCs w:val="24"/>
        </w:rPr>
        <w:t xml:space="preserve">eficits and </w:t>
      </w:r>
      <w:r w:rsidR="004A6705">
        <w:rPr>
          <w:rFonts w:ascii="Times New Roman" w:hAnsi="Times New Roman" w:cs="Times New Roman"/>
          <w:i/>
          <w:sz w:val="24"/>
          <w:szCs w:val="24"/>
        </w:rPr>
        <w:t>t</w:t>
      </w:r>
      <w:r w:rsidR="00B12241" w:rsidRPr="00B12241">
        <w:rPr>
          <w:rFonts w:ascii="Times New Roman" w:hAnsi="Times New Roman" w:cs="Times New Roman"/>
          <w:i/>
          <w:sz w:val="24"/>
          <w:szCs w:val="24"/>
        </w:rPr>
        <w:t>rade</w:t>
      </w:r>
      <w:r w:rsidR="004974A3">
        <w:rPr>
          <w:rFonts w:ascii="Times New Roman" w:hAnsi="Times New Roman" w:cs="Times New Roman"/>
          <w:i/>
          <w:sz w:val="24"/>
          <w:szCs w:val="24"/>
        </w:rPr>
        <w:t xml:space="preserve"> </w:t>
      </w:r>
      <w:r w:rsidR="00DC1115">
        <w:rPr>
          <w:rFonts w:ascii="Times New Roman" w:hAnsi="Times New Roman" w:cs="Times New Roman"/>
          <w:sz w:val="24"/>
          <w:szCs w:val="24"/>
        </w:rPr>
        <w:t xml:space="preserve">(pp. </w:t>
      </w:r>
      <w:r w:rsidRPr="00F30995">
        <w:rPr>
          <w:rFonts w:ascii="Times New Roman" w:hAnsi="Times New Roman" w:cs="Times New Roman"/>
          <w:sz w:val="24"/>
          <w:szCs w:val="24"/>
        </w:rPr>
        <w:t>237–258</w:t>
      </w:r>
      <w:r w:rsidR="00DC1115">
        <w:rPr>
          <w:rFonts w:ascii="Times New Roman" w:hAnsi="Times New Roman" w:cs="Times New Roman"/>
          <w:sz w:val="24"/>
          <w:szCs w:val="24"/>
        </w:rPr>
        <w:t>)</w:t>
      </w:r>
      <w:r w:rsidRPr="00F30995">
        <w:rPr>
          <w:rFonts w:ascii="Times New Roman" w:hAnsi="Times New Roman" w:cs="Times New Roman"/>
          <w:sz w:val="24"/>
          <w:szCs w:val="24"/>
        </w:rPr>
        <w:t>. Boston: Kluwer Academic Publishers.</w:t>
      </w:r>
    </w:p>
    <w:p w:rsidR="009B4945" w:rsidRPr="005D2842" w:rsidRDefault="009B4945" w:rsidP="00AF6503">
      <w:pPr>
        <w:spacing w:after="0" w:line="480" w:lineRule="auto"/>
        <w:ind w:left="720" w:right="282" w:hanging="720"/>
        <w:rPr>
          <w:rFonts w:ascii="Times New Roman" w:hAnsi="Times New Roman" w:cs="Times New Roman"/>
          <w:sz w:val="24"/>
          <w:szCs w:val="24"/>
        </w:rPr>
      </w:pPr>
      <w:r w:rsidRPr="005D2842">
        <w:rPr>
          <w:rFonts w:ascii="Times New Roman" w:hAnsi="Times New Roman" w:cs="Times New Roman"/>
          <w:sz w:val="24"/>
          <w:szCs w:val="24"/>
        </w:rPr>
        <w:t>Bordo, M. (1993)</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The gold standard, Bretton Woods and other monetary regimes: An historical appraisal</w:t>
      </w:r>
      <w:r w:rsidR="007D4657">
        <w:rPr>
          <w:rFonts w:ascii="Times New Roman" w:hAnsi="Times New Roman" w:cs="Times New Roman"/>
          <w:i/>
          <w:sz w:val="24"/>
          <w:szCs w:val="24"/>
        </w:rPr>
        <w:t xml:space="preserve"> </w:t>
      </w:r>
      <w:r w:rsidR="00DB5914">
        <w:rPr>
          <w:rFonts w:ascii="Times New Roman" w:hAnsi="Times New Roman" w:cs="Times New Roman"/>
          <w:sz w:val="24"/>
          <w:szCs w:val="24"/>
        </w:rPr>
        <w:t>(</w:t>
      </w:r>
      <w:r w:rsidRPr="005D2842">
        <w:rPr>
          <w:rFonts w:ascii="Times New Roman" w:hAnsi="Times New Roman" w:cs="Times New Roman"/>
          <w:sz w:val="24"/>
          <w:szCs w:val="24"/>
        </w:rPr>
        <w:t>NBER Working Paper N. 4310</w:t>
      </w:r>
      <w:r w:rsidR="00DB5914">
        <w:rPr>
          <w:rFonts w:ascii="Times New Roman" w:hAnsi="Times New Roman" w:cs="Times New Roman"/>
          <w:sz w:val="24"/>
          <w:szCs w:val="24"/>
        </w:rPr>
        <w:t>)</w:t>
      </w:r>
      <w:r w:rsidRPr="005D2842">
        <w:rPr>
          <w:rFonts w:ascii="Times New Roman" w:hAnsi="Times New Roman" w:cs="Times New Roman"/>
          <w:sz w:val="24"/>
          <w:szCs w:val="24"/>
        </w:rPr>
        <w:t>.</w:t>
      </w:r>
      <w:r w:rsidR="00DB5914">
        <w:rPr>
          <w:rFonts w:ascii="Times New Roman" w:hAnsi="Times New Roman" w:cs="Times New Roman"/>
          <w:sz w:val="24"/>
          <w:szCs w:val="24"/>
        </w:rPr>
        <w:t xml:space="preserve"> Cambridge, MA: National Bureau of Economic Research.</w:t>
      </w:r>
    </w:p>
    <w:p w:rsidR="006F12A6" w:rsidRPr="00945099" w:rsidRDefault="006F12A6"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Brogaard, J.</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Detzel, A. (2015)</w:t>
      </w:r>
      <w:r w:rsidR="00DB5914">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The </w:t>
      </w:r>
      <w:r w:rsidR="00DB5914">
        <w:rPr>
          <w:rFonts w:ascii="Times New Roman" w:hAnsi="Times New Roman" w:cs="Times New Roman"/>
          <w:sz w:val="24"/>
          <w:szCs w:val="24"/>
        </w:rPr>
        <w:t>a</w:t>
      </w:r>
      <w:r w:rsidRPr="00945099">
        <w:rPr>
          <w:rFonts w:ascii="Times New Roman" w:hAnsi="Times New Roman" w:cs="Times New Roman"/>
          <w:sz w:val="24"/>
          <w:szCs w:val="24"/>
        </w:rPr>
        <w:t xml:space="preserve">sset </w:t>
      </w:r>
      <w:r w:rsidR="00DB5914">
        <w:rPr>
          <w:rFonts w:ascii="Times New Roman" w:hAnsi="Times New Roman" w:cs="Times New Roman"/>
          <w:sz w:val="24"/>
          <w:szCs w:val="24"/>
        </w:rPr>
        <w:t>p</w:t>
      </w:r>
      <w:r w:rsidRPr="00945099">
        <w:rPr>
          <w:rFonts w:ascii="Times New Roman" w:hAnsi="Times New Roman" w:cs="Times New Roman"/>
          <w:sz w:val="24"/>
          <w:szCs w:val="24"/>
        </w:rPr>
        <w:t xml:space="preserve">ricing </w:t>
      </w:r>
      <w:r w:rsidR="00DB5914">
        <w:rPr>
          <w:rFonts w:ascii="Times New Roman" w:hAnsi="Times New Roman" w:cs="Times New Roman"/>
          <w:sz w:val="24"/>
          <w:szCs w:val="24"/>
        </w:rPr>
        <w:t>i</w:t>
      </w:r>
      <w:r w:rsidRPr="00945099">
        <w:rPr>
          <w:rFonts w:ascii="Times New Roman" w:hAnsi="Times New Roman" w:cs="Times New Roman"/>
          <w:sz w:val="24"/>
          <w:szCs w:val="24"/>
        </w:rPr>
        <w:t xml:space="preserve">mplications of </w:t>
      </w:r>
      <w:r w:rsidR="00DB5914">
        <w:rPr>
          <w:rFonts w:ascii="Times New Roman" w:hAnsi="Times New Roman" w:cs="Times New Roman"/>
          <w:sz w:val="24"/>
          <w:szCs w:val="24"/>
        </w:rPr>
        <w:t>g</w:t>
      </w:r>
      <w:r w:rsidRPr="00945099">
        <w:rPr>
          <w:rFonts w:ascii="Times New Roman" w:hAnsi="Times New Roman" w:cs="Times New Roman"/>
          <w:sz w:val="24"/>
          <w:szCs w:val="24"/>
        </w:rPr>
        <w:t xml:space="preserve">overnment </w:t>
      </w:r>
      <w:r w:rsidR="00DB5914">
        <w:rPr>
          <w:rFonts w:ascii="Times New Roman" w:hAnsi="Times New Roman" w:cs="Times New Roman"/>
          <w:sz w:val="24"/>
          <w:szCs w:val="24"/>
        </w:rPr>
        <w:t>e</w:t>
      </w:r>
      <w:r w:rsidRPr="00945099">
        <w:rPr>
          <w:rFonts w:ascii="Times New Roman" w:hAnsi="Times New Roman" w:cs="Times New Roman"/>
          <w:sz w:val="24"/>
          <w:szCs w:val="24"/>
        </w:rPr>
        <w:t xml:space="preserve">conomic </w:t>
      </w:r>
      <w:r w:rsidR="00DB5914">
        <w:rPr>
          <w:rFonts w:ascii="Times New Roman" w:hAnsi="Times New Roman" w:cs="Times New Roman"/>
          <w:sz w:val="24"/>
          <w:szCs w:val="24"/>
        </w:rPr>
        <w:t>p</w:t>
      </w:r>
      <w:r w:rsidRPr="00945099">
        <w:rPr>
          <w:rFonts w:ascii="Times New Roman" w:hAnsi="Times New Roman" w:cs="Times New Roman"/>
          <w:sz w:val="24"/>
          <w:szCs w:val="24"/>
        </w:rPr>
        <w:t xml:space="preserve">olicy </w:t>
      </w:r>
      <w:r w:rsidR="00DB5914">
        <w:rPr>
          <w:rFonts w:ascii="Times New Roman" w:hAnsi="Times New Roman" w:cs="Times New Roman"/>
          <w:sz w:val="24"/>
          <w:szCs w:val="24"/>
        </w:rPr>
        <w:t>u</w:t>
      </w:r>
      <w:r w:rsidRPr="00945099">
        <w:rPr>
          <w:rFonts w:ascii="Times New Roman" w:hAnsi="Times New Roman" w:cs="Times New Roman"/>
          <w:sz w:val="24"/>
          <w:szCs w:val="24"/>
        </w:rPr>
        <w:t>ncertainty</w:t>
      </w:r>
      <w:r w:rsidR="00DB5914">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Management Science</w:t>
      </w:r>
      <w:r w:rsidRPr="00945099">
        <w:rPr>
          <w:rFonts w:ascii="Times New Roman" w:hAnsi="Times New Roman" w:cs="Times New Roman"/>
          <w:sz w:val="24"/>
          <w:szCs w:val="24"/>
        </w:rPr>
        <w:t xml:space="preserve">, </w:t>
      </w:r>
      <w:r w:rsidR="00B12241" w:rsidRPr="00B12241">
        <w:rPr>
          <w:rFonts w:ascii="Times New Roman" w:hAnsi="Times New Roman" w:cs="Times New Roman"/>
          <w:i/>
          <w:sz w:val="24"/>
          <w:szCs w:val="24"/>
        </w:rPr>
        <w:t>61</w:t>
      </w:r>
      <w:r w:rsidRPr="00945099">
        <w:rPr>
          <w:rFonts w:ascii="Times New Roman" w:hAnsi="Times New Roman" w:cs="Times New Roman"/>
          <w:sz w:val="24"/>
          <w:szCs w:val="24"/>
        </w:rPr>
        <w:t>(1)</w:t>
      </w:r>
      <w:r w:rsidR="00DB5914">
        <w:rPr>
          <w:rFonts w:ascii="Times New Roman" w:hAnsi="Times New Roman" w:cs="Times New Roman"/>
          <w:sz w:val="24"/>
          <w:szCs w:val="24"/>
        </w:rPr>
        <w:t>,</w:t>
      </w:r>
      <w:r w:rsidRPr="00945099">
        <w:rPr>
          <w:rFonts w:ascii="Times New Roman" w:hAnsi="Times New Roman" w:cs="Times New Roman"/>
          <w:sz w:val="24"/>
          <w:szCs w:val="24"/>
        </w:rPr>
        <w:t xml:space="preserve"> 3–18.</w:t>
      </w:r>
    </w:p>
    <w:p w:rsidR="00166050" w:rsidRPr="009B4945"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B4945">
        <w:rPr>
          <w:rFonts w:ascii="Times New Roman" w:hAnsi="Times New Roman" w:cs="Times New Roman"/>
          <w:sz w:val="24"/>
          <w:szCs w:val="24"/>
        </w:rPr>
        <w:t>Büttner, D.</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B4945">
        <w:rPr>
          <w:rFonts w:ascii="Times New Roman" w:hAnsi="Times New Roman" w:cs="Times New Roman"/>
          <w:sz w:val="24"/>
          <w:szCs w:val="24"/>
        </w:rPr>
        <w:t>Hayo, B. (2011)</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9B4945">
        <w:rPr>
          <w:rFonts w:ascii="Times New Roman" w:hAnsi="Times New Roman" w:cs="Times New Roman"/>
          <w:sz w:val="24"/>
          <w:szCs w:val="24"/>
        </w:rPr>
        <w:t xml:space="preserve">Determinants of European </w:t>
      </w:r>
      <w:r w:rsidR="00D32F2A">
        <w:rPr>
          <w:rFonts w:ascii="Times New Roman" w:hAnsi="Times New Roman" w:cs="Times New Roman"/>
          <w:sz w:val="24"/>
          <w:szCs w:val="24"/>
        </w:rPr>
        <w:t>s</w:t>
      </w:r>
      <w:r w:rsidRPr="009B4945">
        <w:rPr>
          <w:rFonts w:ascii="Times New Roman" w:hAnsi="Times New Roman" w:cs="Times New Roman"/>
          <w:sz w:val="24"/>
          <w:szCs w:val="24"/>
        </w:rPr>
        <w:t xml:space="preserve">tock </w:t>
      </w:r>
      <w:r w:rsidR="00D32F2A">
        <w:rPr>
          <w:rFonts w:ascii="Times New Roman" w:hAnsi="Times New Roman" w:cs="Times New Roman"/>
          <w:sz w:val="24"/>
          <w:szCs w:val="24"/>
        </w:rPr>
        <w:t>m</w:t>
      </w:r>
      <w:r w:rsidRPr="009B4945">
        <w:rPr>
          <w:rFonts w:ascii="Times New Roman" w:hAnsi="Times New Roman" w:cs="Times New Roman"/>
          <w:sz w:val="24"/>
          <w:szCs w:val="24"/>
        </w:rPr>
        <w:t xml:space="preserve">arket </w:t>
      </w:r>
      <w:r w:rsidR="00D32F2A">
        <w:rPr>
          <w:rFonts w:ascii="Times New Roman" w:hAnsi="Times New Roman" w:cs="Times New Roman"/>
          <w:sz w:val="24"/>
          <w:szCs w:val="24"/>
        </w:rPr>
        <w:t>i</w:t>
      </w:r>
      <w:r w:rsidRPr="009B4945">
        <w:rPr>
          <w:rFonts w:ascii="Times New Roman" w:hAnsi="Times New Roman" w:cs="Times New Roman"/>
          <w:sz w:val="24"/>
          <w:szCs w:val="24"/>
        </w:rPr>
        <w:t>ntegration</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9B4945">
        <w:rPr>
          <w:rFonts w:ascii="Times New Roman" w:hAnsi="Times New Roman" w:cs="Times New Roman"/>
          <w:i/>
          <w:sz w:val="24"/>
          <w:szCs w:val="24"/>
        </w:rPr>
        <w:t>Economic Systems</w:t>
      </w:r>
      <w:r w:rsidRPr="009B4945">
        <w:rPr>
          <w:rFonts w:ascii="Times New Roman" w:hAnsi="Times New Roman" w:cs="Times New Roman"/>
          <w:sz w:val="24"/>
          <w:szCs w:val="24"/>
        </w:rPr>
        <w:t xml:space="preserve">, </w:t>
      </w:r>
      <w:r w:rsidR="00B12241" w:rsidRPr="00B12241">
        <w:rPr>
          <w:rFonts w:ascii="Times New Roman" w:hAnsi="Times New Roman" w:cs="Times New Roman"/>
          <w:i/>
          <w:sz w:val="24"/>
          <w:szCs w:val="24"/>
        </w:rPr>
        <w:t>35</w:t>
      </w:r>
      <w:r w:rsidR="00D32F2A">
        <w:rPr>
          <w:rFonts w:ascii="Times New Roman" w:hAnsi="Times New Roman" w:cs="Times New Roman"/>
          <w:sz w:val="24"/>
          <w:szCs w:val="24"/>
        </w:rPr>
        <w:t>,</w:t>
      </w:r>
      <w:r w:rsidRPr="009B4945">
        <w:rPr>
          <w:rFonts w:ascii="Times New Roman" w:hAnsi="Times New Roman" w:cs="Times New Roman"/>
          <w:sz w:val="24"/>
          <w:szCs w:val="24"/>
        </w:rPr>
        <w:t xml:space="preserve"> 574–585.</w:t>
      </w:r>
    </w:p>
    <w:p w:rsidR="00166050"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D20C4C">
        <w:rPr>
          <w:rFonts w:ascii="Times New Roman" w:hAnsi="Times New Roman" w:cs="Times New Roman"/>
          <w:sz w:val="24"/>
          <w:szCs w:val="24"/>
        </w:rPr>
        <w:t xml:space="preserve">Cai, Y., Chou, R.,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Li, D. (2009)</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 xml:space="preserve">Explaining </w:t>
      </w:r>
      <w:r w:rsidR="00D32F2A">
        <w:rPr>
          <w:rFonts w:ascii="Times New Roman" w:hAnsi="Times New Roman" w:cs="Times New Roman"/>
          <w:sz w:val="24"/>
          <w:szCs w:val="24"/>
        </w:rPr>
        <w:t>i</w:t>
      </w:r>
      <w:r w:rsidRPr="00D20C4C">
        <w:rPr>
          <w:rFonts w:ascii="Times New Roman" w:hAnsi="Times New Roman" w:cs="Times New Roman"/>
          <w:sz w:val="24"/>
          <w:szCs w:val="24"/>
        </w:rPr>
        <w:t xml:space="preserve">nternational </w:t>
      </w:r>
      <w:r w:rsidR="00D32F2A">
        <w:rPr>
          <w:rFonts w:ascii="Times New Roman" w:hAnsi="Times New Roman" w:cs="Times New Roman"/>
          <w:sz w:val="24"/>
          <w:szCs w:val="24"/>
        </w:rPr>
        <w:t>s</w:t>
      </w:r>
      <w:r w:rsidRPr="00D20C4C">
        <w:rPr>
          <w:rFonts w:ascii="Times New Roman" w:hAnsi="Times New Roman" w:cs="Times New Roman"/>
          <w:sz w:val="24"/>
          <w:szCs w:val="24"/>
        </w:rPr>
        <w:t xml:space="preserve">tock </w:t>
      </w:r>
      <w:r w:rsidR="00D32F2A">
        <w:rPr>
          <w:rFonts w:ascii="Times New Roman" w:hAnsi="Times New Roman" w:cs="Times New Roman"/>
          <w:sz w:val="24"/>
          <w:szCs w:val="24"/>
        </w:rPr>
        <w:t>c</w:t>
      </w:r>
      <w:r w:rsidRPr="00D20C4C">
        <w:rPr>
          <w:rFonts w:ascii="Times New Roman" w:hAnsi="Times New Roman" w:cs="Times New Roman"/>
          <w:sz w:val="24"/>
          <w:szCs w:val="24"/>
        </w:rPr>
        <w:t xml:space="preserve">orrelations with CPI </w:t>
      </w:r>
      <w:r w:rsidR="00D32F2A">
        <w:rPr>
          <w:rFonts w:ascii="Times New Roman" w:hAnsi="Times New Roman" w:cs="Times New Roman"/>
          <w:sz w:val="24"/>
          <w:szCs w:val="24"/>
        </w:rPr>
        <w:t>f</w:t>
      </w:r>
      <w:r w:rsidRPr="00D20C4C">
        <w:rPr>
          <w:rFonts w:ascii="Times New Roman" w:hAnsi="Times New Roman" w:cs="Times New Roman"/>
          <w:sz w:val="24"/>
          <w:szCs w:val="24"/>
        </w:rPr>
        <w:t xml:space="preserve">luctuations and </w:t>
      </w:r>
      <w:r w:rsidR="00D32F2A">
        <w:rPr>
          <w:rFonts w:ascii="Times New Roman" w:hAnsi="Times New Roman" w:cs="Times New Roman"/>
          <w:sz w:val="24"/>
          <w:szCs w:val="24"/>
        </w:rPr>
        <w:t>m</w:t>
      </w:r>
      <w:r w:rsidRPr="00D20C4C">
        <w:rPr>
          <w:rFonts w:ascii="Times New Roman" w:hAnsi="Times New Roman" w:cs="Times New Roman"/>
          <w:sz w:val="24"/>
          <w:szCs w:val="24"/>
        </w:rPr>
        <w:t xml:space="preserve">arket </w:t>
      </w:r>
      <w:r w:rsidR="00D32F2A">
        <w:rPr>
          <w:rFonts w:ascii="Times New Roman" w:hAnsi="Times New Roman" w:cs="Times New Roman"/>
          <w:sz w:val="24"/>
          <w:szCs w:val="24"/>
        </w:rPr>
        <w:t>v</w:t>
      </w:r>
      <w:r w:rsidRPr="00D20C4C">
        <w:rPr>
          <w:rFonts w:ascii="Times New Roman" w:hAnsi="Times New Roman" w:cs="Times New Roman"/>
          <w:sz w:val="24"/>
          <w:szCs w:val="24"/>
        </w:rPr>
        <w:t>olatility</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i/>
          <w:sz w:val="24"/>
          <w:szCs w:val="24"/>
        </w:rPr>
        <w:t>Journal of Banking and Finance</w:t>
      </w:r>
      <w:r w:rsidRPr="00D20C4C">
        <w:rPr>
          <w:rFonts w:ascii="Times New Roman" w:hAnsi="Times New Roman" w:cs="Times New Roman"/>
          <w:sz w:val="24"/>
          <w:szCs w:val="24"/>
        </w:rPr>
        <w:t xml:space="preserve">, </w:t>
      </w:r>
      <w:r w:rsidR="00B12241" w:rsidRPr="00B12241">
        <w:rPr>
          <w:rFonts w:ascii="Times New Roman" w:hAnsi="Times New Roman" w:cs="Times New Roman"/>
          <w:i/>
          <w:sz w:val="24"/>
          <w:szCs w:val="24"/>
        </w:rPr>
        <w:t>33</w:t>
      </w:r>
      <w:r w:rsidR="00D32F2A">
        <w:rPr>
          <w:rFonts w:ascii="Times New Roman" w:hAnsi="Times New Roman" w:cs="Times New Roman"/>
          <w:sz w:val="24"/>
          <w:szCs w:val="24"/>
        </w:rPr>
        <w:t>,</w:t>
      </w:r>
      <w:r w:rsidRPr="00D20C4C">
        <w:rPr>
          <w:rFonts w:ascii="Times New Roman" w:hAnsi="Times New Roman" w:cs="Times New Roman"/>
          <w:sz w:val="24"/>
          <w:szCs w:val="24"/>
        </w:rPr>
        <w:t xml:space="preserve"> 2026–2035.</w:t>
      </w:r>
    </w:p>
    <w:p w:rsidR="004E0793" w:rsidRPr="008529E4" w:rsidRDefault="004E0793" w:rsidP="00AF6503">
      <w:pPr>
        <w:autoSpaceDE w:val="0"/>
        <w:autoSpaceDN w:val="0"/>
        <w:adjustRightInd w:val="0"/>
        <w:spacing w:after="0" w:line="480" w:lineRule="auto"/>
        <w:ind w:left="720" w:hanging="720"/>
        <w:rPr>
          <w:rFonts w:ascii="Times New Roman" w:hAnsi="Times New Roman" w:cs="Times New Roman"/>
          <w:sz w:val="24"/>
          <w:szCs w:val="24"/>
        </w:rPr>
      </w:pPr>
      <w:r w:rsidRPr="00796D17">
        <w:rPr>
          <w:rFonts w:ascii="Times New Roman" w:hAnsi="Times New Roman" w:cs="Times New Roman"/>
          <w:sz w:val="24"/>
          <w:szCs w:val="24"/>
          <w:lang w:val="fr-FR"/>
        </w:rPr>
        <w:t>Caporale, G., Pittis, N.</w:t>
      </w:r>
      <w:r w:rsidR="00BA624A" w:rsidRPr="00796D17">
        <w:rPr>
          <w:rFonts w:ascii="Times New Roman" w:hAnsi="Times New Roman" w:cs="Times New Roman"/>
          <w:sz w:val="24"/>
          <w:szCs w:val="24"/>
          <w:lang w:val="fr-FR"/>
        </w:rPr>
        <w:t>,</w:t>
      </w:r>
      <w:r w:rsidR="00CB40F4">
        <w:rPr>
          <w:rFonts w:ascii="Times New Roman" w:hAnsi="Times New Roman" w:cs="Times New Roman"/>
          <w:sz w:val="24"/>
          <w:szCs w:val="24"/>
          <w:lang w:val="fr-FR"/>
        </w:rPr>
        <w:t xml:space="preserve"> </w:t>
      </w:r>
      <w:r w:rsidR="00BA624A" w:rsidRPr="00796D17">
        <w:rPr>
          <w:rFonts w:ascii="Times New Roman" w:hAnsi="Times New Roman" w:cs="Times New Roman"/>
          <w:sz w:val="24"/>
          <w:szCs w:val="24"/>
          <w:lang w:val="fr-FR"/>
        </w:rPr>
        <w:t>&amp;</w:t>
      </w:r>
      <w:r w:rsidR="00CB40F4">
        <w:rPr>
          <w:rFonts w:ascii="Times New Roman" w:hAnsi="Times New Roman" w:cs="Times New Roman"/>
          <w:sz w:val="24"/>
          <w:szCs w:val="24"/>
          <w:lang w:val="fr-FR"/>
        </w:rPr>
        <w:t xml:space="preserve"> </w:t>
      </w:r>
      <w:r w:rsidRPr="00796D17">
        <w:rPr>
          <w:rFonts w:ascii="Times New Roman" w:hAnsi="Times New Roman" w:cs="Times New Roman"/>
          <w:sz w:val="24"/>
          <w:szCs w:val="24"/>
          <w:lang w:val="fr-FR"/>
        </w:rPr>
        <w:t>Sp</w:t>
      </w:r>
      <w:r w:rsidR="00CB40F4">
        <w:rPr>
          <w:rFonts w:ascii="Times New Roman" w:hAnsi="Times New Roman" w:cs="Times New Roman"/>
          <w:sz w:val="24"/>
          <w:szCs w:val="24"/>
          <w:lang w:val="fr-FR"/>
        </w:rPr>
        <w:t>agno</w:t>
      </w:r>
      <w:r w:rsidR="00BA624A" w:rsidRPr="00796D17">
        <w:rPr>
          <w:rFonts w:ascii="Times New Roman" w:hAnsi="Times New Roman" w:cs="Times New Roman"/>
          <w:sz w:val="24"/>
          <w:szCs w:val="24"/>
          <w:lang w:val="fr-FR"/>
        </w:rPr>
        <w:t>lo, N. (2</w:t>
      </w:r>
      <w:r w:rsidR="00520C74" w:rsidRPr="00796D17">
        <w:rPr>
          <w:rFonts w:ascii="Times New Roman" w:hAnsi="Times New Roman" w:cs="Times New Roman"/>
          <w:sz w:val="24"/>
          <w:szCs w:val="24"/>
          <w:lang w:val="fr-FR"/>
        </w:rPr>
        <w:t xml:space="preserve">006). </w:t>
      </w:r>
      <w:r w:rsidR="00BA624A">
        <w:rPr>
          <w:rFonts w:ascii="Times New Roman" w:hAnsi="Times New Roman" w:cs="Times New Roman"/>
          <w:sz w:val="24"/>
          <w:szCs w:val="24"/>
        </w:rPr>
        <w:t>Volatility transmission and financial c</w:t>
      </w:r>
      <w:r w:rsidRPr="008529E4">
        <w:rPr>
          <w:rFonts w:ascii="Times New Roman" w:hAnsi="Times New Roman" w:cs="Times New Roman"/>
          <w:sz w:val="24"/>
          <w:szCs w:val="24"/>
        </w:rPr>
        <w:t>rises</w:t>
      </w:r>
      <w:r w:rsidR="00520C74">
        <w:rPr>
          <w:rFonts w:ascii="Times New Roman" w:hAnsi="Times New Roman" w:cs="Times New Roman"/>
          <w:sz w:val="24"/>
          <w:szCs w:val="24"/>
        </w:rPr>
        <w:t xml:space="preserve">. </w:t>
      </w:r>
      <w:r w:rsidRPr="008529E4">
        <w:rPr>
          <w:rFonts w:ascii="Times New Roman" w:hAnsi="Times New Roman" w:cs="Times New Roman"/>
          <w:i/>
          <w:sz w:val="24"/>
          <w:szCs w:val="24"/>
        </w:rPr>
        <w:t>Journal of Economics and Finance</w:t>
      </w:r>
      <w:r w:rsidRPr="00AF6503">
        <w:rPr>
          <w:rFonts w:ascii="Times New Roman" w:hAnsi="Times New Roman" w:cs="Times New Roman"/>
          <w:sz w:val="24"/>
          <w:szCs w:val="24"/>
        </w:rPr>
        <w:t>,</w:t>
      </w:r>
      <w:r w:rsidR="004974A3">
        <w:rPr>
          <w:rFonts w:ascii="Times New Roman" w:hAnsi="Times New Roman" w:cs="Times New Roman"/>
          <w:sz w:val="24"/>
          <w:szCs w:val="24"/>
        </w:rPr>
        <w:t xml:space="preserve"> </w:t>
      </w:r>
      <w:r w:rsidRPr="00AF6503">
        <w:rPr>
          <w:rFonts w:ascii="Times New Roman" w:hAnsi="Times New Roman" w:cs="Times New Roman"/>
          <w:i/>
          <w:sz w:val="24"/>
          <w:szCs w:val="24"/>
        </w:rPr>
        <w:t>30</w:t>
      </w:r>
      <w:r w:rsidR="00166CA0">
        <w:rPr>
          <w:rFonts w:ascii="Times New Roman" w:hAnsi="Times New Roman" w:cs="Times New Roman"/>
          <w:sz w:val="24"/>
          <w:szCs w:val="24"/>
        </w:rPr>
        <w:t>,</w:t>
      </w:r>
      <w:r w:rsidRPr="008529E4">
        <w:rPr>
          <w:rFonts w:ascii="Times New Roman" w:hAnsi="Times New Roman" w:cs="Times New Roman"/>
          <w:sz w:val="24"/>
          <w:szCs w:val="24"/>
        </w:rPr>
        <w:t xml:space="preserve"> 376–390.</w:t>
      </w:r>
    </w:p>
    <w:p w:rsidR="00166050" w:rsidRPr="00C43FE6"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C43FE6">
        <w:rPr>
          <w:rFonts w:ascii="Times New Roman" w:hAnsi="Times New Roman" w:cs="Times New Roman"/>
          <w:sz w:val="24"/>
          <w:szCs w:val="24"/>
        </w:rPr>
        <w:t>Casalin, F.</w:t>
      </w:r>
      <w:r w:rsidR="00F5587E">
        <w:rPr>
          <w:rFonts w:ascii="Times New Roman" w:hAnsi="Times New Roman" w:cs="Times New Roman"/>
          <w:sz w:val="24"/>
          <w:szCs w:val="24"/>
        </w:rPr>
        <w:t>,</w:t>
      </w:r>
      <w:r w:rsidR="00CB40F4">
        <w:rPr>
          <w:rFonts w:ascii="Times New Roman" w:hAnsi="Times New Roman" w:cs="Times New Roman"/>
          <w:sz w:val="24"/>
          <w:szCs w:val="24"/>
        </w:rPr>
        <w:t xml:space="preserve"> </w:t>
      </w:r>
      <w:r w:rsidR="00F5587E">
        <w:rPr>
          <w:rFonts w:ascii="Times New Roman" w:hAnsi="Times New Roman" w:cs="Times New Roman"/>
          <w:sz w:val="24"/>
          <w:szCs w:val="24"/>
        </w:rPr>
        <w:t>&amp;</w:t>
      </w:r>
      <w:r w:rsidR="00CB40F4">
        <w:rPr>
          <w:rFonts w:ascii="Times New Roman" w:hAnsi="Times New Roman" w:cs="Times New Roman"/>
          <w:sz w:val="24"/>
          <w:szCs w:val="24"/>
        </w:rPr>
        <w:t xml:space="preserve"> </w:t>
      </w:r>
      <w:r w:rsidRPr="00C43FE6">
        <w:rPr>
          <w:rFonts w:ascii="Times New Roman" w:hAnsi="Times New Roman" w:cs="Times New Roman"/>
          <w:sz w:val="24"/>
          <w:szCs w:val="24"/>
        </w:rPr>
        <w:t>Dia, E. (2016)</w:t>
      </w:r>
      <w:r w:rsidR="00DB5914">
        <w:rPr>
          <w:rFonts w:ascii="Times New Roman" w:hAnsi="Times New Roman" w:cs="Times New Roman"/>
          <w:sz w:val="24"/>
          <w:szCs w:val="24"/>
        </w:rPr>
        <w:t>.</w:t>
      </w:r>
      <w:r w:rsidR="00CB40F4">
        <w:rPr>
          <w:rFonts w:ascii="Times New Roman" w:hAnsi="Times New Roman" w:cs="Times New Roman"/>
          <w:sz w:val="24"/>
          <w:szCs w:val="24"/>
        </w:rPr>
        <w:t xml:space="preserve"> </w:t>
      </w:r>
      <w:r w:rsidRPr="00C43FE6">
        <w:rPr>
          <w:rFonts w:ascii="Times New Roman" w:hAnsi="Times New Roman" w:cs="Times New Roman"/>
          <w:sz w:val="24"/>
          <w:szCs w:val="24"/>
        </w:rPr>
        <w:t xml:space="preserve">The </w:t>
      </w:r>
      <w:r w:rsidR="00D32F2A">
        <w:rPr>
          <w:rFonts w:ascii="Times New Roman" w:hAnsi="Times New Roman" w:cs="Times New Roman"/>
          <w:sz w:val="24"/>
          <w:szCs w:val="24"/>
        </w:rPr>
        <w:t>d</w:t>
      </w:r>
      <w:r w:rsidRPr="00C43FE6">
        <w:rPr>
          <w:rFonts w:ascii="Times New Roman" w:hAnsi="Times New Roman" w:cs="Times New Roman"/>
          <w:sz w:val="24"/>
          <w:szCs w:val="24"/>
        </w:rPr>
        <w:t xml:space="preserve">ynamic </w:t>
      </w:r>
      <w:r w:rsidR="00D32F2A">
        <w:rPr>
          <w:rFonts w:ascii="Times New Roman" w:hAnsi="Times New Roman" w:cs="Times New Roman"/>
          <w:sz w:val="24"/>
          <w:szCs w:val="24"/>
        </w:rPr>
        <w:t>i</w:t>
      </w:r>
      <w:r w:rsidRPr="00C43FE6">
        <w:rPr>
          <w:rFonts w:ascii="Times New Roman" w:hAnsi="Times New Roman" w:cs="Times New Roman"/>
          <w:sz w:val="24"/>
          <w:szCs w:val="24"/>
        </w:rPr>
        <w:t xml:space="preserve">nterrelation between </w:t>
      </w:r>
      <w:r w:rsidR="00D32F2A">
        <w:rPr>
          <w:rFonts w:ascii="Times New Roman" w:hAnsi="Times New Roman" w:cs="Times New Roman"/>
          <w:sz w:val="24"/>
          <w:szCs w:val="24"/>
        </w:rPr>
        <w:t>e</w:t>
      </w:r>
      <w:r w:rsidRPr="00C43FE6">
        <w:rPr>
          <w:rFonts w:ascii="Times New Roman" w:hAnsi="Times New Roman" w:cs="Times New Roman"/>
          <w:sz w:val="24"/>
          <w:szCs w:val="24"/>
        </w:rPr>
        <w:t xml:space="preserve">xternal </w:t>
      </w:r>
      <w:r w:rsidR="00D32F2A">
        <w:rPr>
          <w:rFonts w:ascii="Times New Roman" w:hAnsi="Times New Roman" w:cs="Times New Roman"/>
          <w:sz w:val="24"/>
          <w:szCs w:val="24"/>
        </w:rPr>
        <w:t>f</w:t>
      </w:r>
      <w:r w:rsidRPr="00C43FE6">
        <w:rPr>
          <w:rFonts w:ascii="Times New Roman" w:hAnsi="Times New Roman" w:cs="Times New Roman"/>
          <w:sz w:val="24"/>
          <w:szCs w:val="24"/>
        </w:rPr>
        <w:t xml:space="preserve">inance and </w:t>
      </w:r>
      <w:r w:rsidR="00D32F2A">
        <w:rPr>
          <w:rFonts w:ascii="Times New Roman" w:hAnsi="Times New Roman" w:cs="Times New Roman"/>
          <w:sz w:val="24"/>
          <w:szCs w:val="24"/>
        </w:rPr>
        <w:t>b</w:t>
      </w:r>
      <w:r w:rsidRPr="00C43FE6">
        <w:rPr>
          <w:rFonts w:ascii="Times New Roman" w:hAnsi="Times New Roman" w:cs="Times New Roman"/>
          <w:sz w:val="24"/>
          <w:szCs w:val="24"/>
        </w:rPr>
        <w:t xml:space="preserve">ank </w:t>
      </w:r>
      <w:r w:rsidR="00D32F2A">
        <w:rPr>
          <w:rFonts w:ascii="Times New Roman" w:hAnsi="Times New Roman" w:cs="Times New Roman"/>
          <w:sz w:val="24"/>
          <w:szCs w:val="24"/>
        </w:rPr>
        <w:t>c</w:t>
      </w:r>
      <w:r w:rsidRPr="00C43FE6">
        <w:rPr>
          <w:rFonts w:ascii="Times New Roman" w:hAnsi="Times New Roman" w:cs="Times New Roman"/>
          <w:sz w:val="24"/>
          <w:szCs w:val="24"/>
        </w:rPr>
        <w:t>redit</w:t>
      </w:r>
      <w:r w:rsidR="00D32F2A">
        <w:rPr>
          <w:rFonts w:ascii="Times New Roman" w:hAnsi="Times New Roman" w:cs="Times New Roman"/>
          <w:sz w:val="24"/>
          <w:szCs w:val="24"/>
        </w:rPr>
        <w:t>.</w:t>
      </w:r>
      <w:r w:rsidR="00CB40F4">
        <w:rPr>
          <w:rFonts w:ascii="Times New Roman" w:hAnsi="Times New Roman" w:cs="Times New Roman"/>
          <w:sz w:val="24"/>
          <w:szCs w:val="24"/>
        </w:rPr>
        <w:t xml:space="preserve"> </w:t>
      </w:r>
      <w:r w:rsidRPr="00C43FE6">
        <w:rPr>
          <w:rFonts w:ascii="Times New Roman" w:hAnsi="Times New Roman" w:cs="Times New Roman"/>
          <w:i/>
          <w:sz w:val="24"/>
          <w:szCs w:val="24"/>
        </w:rPr>
        <w:t>Applied Economics</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48</w:t>
      </w:r>
      <w:r w:rsidRPr="00C43FE6">
        <w:rPr>
          <w:rFonts w:ascii="Times New Roman" w:hAnsi="Times New Roman" w:cs="Times New Roman"/>
          <w:sz w:val="24"/>
          <w:szCs w:val="24"/>
        </w:rPr>
        <w:t>(3)</w:t>
      </w:r>
      <w:r w:rsidR="00D32F2A">
        <w:rPr>
          <w:rFonts w:ascii="Times New Roman" w:hAnsi="Times New Roman" w:cs="Times New Roman"/>
          <w:sz w:val="24"/>
          <w:szCs w:val="24"/>
        </w:rPr>
        <w:t>,</w:t>
      </w:r>
      <w:r w:rsidRPr="00C43FE6">
        <w:rPr>
          <w:rFonts w:ascii="Times New Roman" w:hAnsi="Times New Roman" w:cs="Times New Roman"/>
          <w:sz w:val="24"/>
          <w:szCs w:val="24"/>
        </w:rPr>
        <w:t xml:space="preserve"> 243–259.   </w:t>
      </w:r>
    </w:p>
    <w:p w:rsidR="00166050" w:rsidRPr="00C43FE6" w:rsidRDefault="002A150D" w:rsidP="00AF6503">
      <w:pPr>
        <w:spacing w:after="0" w:line="480" w:lineRule="auto"/>
        <w:ind w:left="720" w:hanging="720"/>
        <w:rPr>
          <w:rFonts w:ascii="Times New Roman" w:hAnsi="Times New Roman" w:cs="Times New Roman"/>
          <w:sz w:val="24"/>
          <w:szCs w:val="24"/>
        </w:rPr>
      </w:pPr>
      <w:r w:rsidRPr="00C43FE6">
        <w:rPr>
          <w:rFonts w:ascii="Times New Roman" w:hAnsi="Times New Roman" w:cs="Times New Roman"/>
          <w:sz w:val="24"/>
          <w:szCs w:val="24"/>
        </w:rPr>
        <w:t>Chiang, T.</w:t>
      </w:r>
      <w:r w:rsidR="00F5587E">
        <w:rPr>
          <w:rFonts w:ascii="Times New Roman" w:hAnsi="Times New Roman" w:cs="Times New Roman"/>
          <w:sz w:val="24"/>
          <w:szCs w:val="24"/>
        </w:rPr>
        <w:t>,</w:t>
      </w:r>
      <w:r w:rsidRPr="00C43FE6">
        <w:rPr>
          <w:rFonts w:ascii="Times New Roman" w:hAnsi="Times New Roman" w:cs="Times New Roman"/>
          <w:sz w:val="24"/>
          <w:szCs w:val="24"/>
        </w:rPr>
        <w:t xml:space="preserve"> Jeon, B.</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Pr="00C43FE6">
        <w:rPr>
          <w:rFonts w:ascii="Times New Roman" w:hAnsi="Times New Roman" w:cs="Times New Roman"/>
          <w:sz w:val="24"/>
          <w:szCs w:val="24"/>
        </w:rPr>
        <w:t xml:space="preserve"> Li, H. (2007)</w:t>
      </w:r>
      <w:r w:rsidR="00DB5914">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 xml:space="preserve">Dynamic </w:t>
      </w:r>
      <w:r w:rsidR="00D32F2A">
        <w:rPr>
          <w:rFonts w:ascii="Times New Roman" w:hAnsi="Times New Roman" w:cs="Times New Roman"/>
          <w:sz w:val="24"/>
          <w:szCs w:val="24"/>
        </w:rPr>
        <w:t>c</w:t>
      </w:r>
      <w:r w:rsidRPr="00C43FE6">
        <w:rPr>
          <w:rFonts w:ascii="Times New Roman" w:hAnsi="Times New Roman" w:cs="Times New Roman"/>
          <w:sz w:val="24"/>
          <w:szCs w:val="24"/>
        </w:rPr>
        <w:t xml:space="preserve">orrelation </w:t>
      </w:r>
      <w:r w:rsidR="00D32F2A">
        <w:rPr>
          <w:rFonts w:ascii="Times New Roman" w:hAnsi="Times New Roman" w:cs="Times New Roman"/>
          <w:sz w:val="24"/>
          <w:szCs w:val="24"/>
        </w:rPr>
        <w:t>a</w:t>
      </w:r>
      <w:r w:rsidRPr="00C43FE6">
        <w:rPr>
          <w:rFonts w:ascii="Times New Roman" w:hAnsi="Times New Roman" w:cs="Times New Roman"/>
          <w:sz w:val="24"/>
          <w:szCs w:val="24"/>
        </w:rPr>
        <w:t xml:space="preserve">nalysis of </w:t>
      </w:r>
      <w:r w:rsidR="00D32F2A">
        <w:rPr>
          <w:rFonts w:ascii="Times New Roman" w:hAnsi="Times New Roman" w:cs="Times New Roman"/>
          <w:sz w:val="24"/>
          <w:szCs w:val="24"/>
        </w:rPr>
        <w:t>f</w:t>
      </w:r>
      <w:r w:rsidRPr="00C43FE6">
        <w:rPr>
          <w:rFonts w:ascii="Times New Roman" w:hAnsi="Times New Roman" w:cs="Times New Roman"/>
          <w:sz w:val="24"/>
          <w:szCs w:val="24"/>
        </w:rPr>
        <w:t xml:space="preserve">inancial </w:t>
      </w:r>
      <w:r w:rsidR="00D32F2A">
        <w:rPr>
          <w:rFonts w:ascii="Times New Roman" w:hAnsi="Times New Roman" w:cs="Times New Roman"/>
          <w:sz w:val="24"/>
          <w:szCs w:val="24"/>
        </w:rPr>
        <w:t>c</w:t>
      </w:r>
      <w:r w:rsidRPr="00C43FE6">
        <w:rPr>
          <w:rFonts w:ascii="Times New Roman" w:hAnsi="Times New Roman" w:cs="Times New Roman"/>
          <w:sz w:val="24"/>
          <w:szCs w:val="24"/>
        </w:rPr>
        <w:t xml:space="preserve">ontagion: Evidence from Asian </w:t>
      </w:r>
      <w:r w:rsidR="00D32F2A">
        <w:rPr>
          <w:rFonts w:ascii="Times New Roman" w:hAnsi="Times New Roman" w:cs="Times New Roman"/>
          <w:sz w:val="24"/>
          <w:szCs w:val="24"/>
        </w:rPr>
        <w:t>m</w:t>
      </w:r>
      <w:r w:rsidRPr="00C43FE6">
        <w:rPr>
          <w:rFonts w:ascii="Times New Roman" w:hAnsi="Times New Roman" w:cs="Times New Roman"/>
          <w:sz w:val="24"/>
          <w:szCs w:val="24"/>
        </w:rPr>
        <w:t>arkets</w:t>
      </w:r>
      <w:r w:rsidR="00D32F2A">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i/>
          <w:sz w:val="24"/>
          <w:szCs w:val="24"/>
        </w:rPr>
        <w:t>Journal of International Money and Finance</w:t>
      </w:r>
      <w:r w:rsidRPr="00C43FE6">
        <w:rPr>
          <w:rFonts w:ascii="Times New Roman" w:hAnsi="Times New Roman" w:cs="Times New Roman"/>
          <w:sz w:val="24"/>
          <w:szCs w:val="24"/>
        </w:rPr>
        <w:t xml:space="preserve">, </w:t>
      </w:r>
      <w:r w:rsidR="00B12241" w:rsidRPr="00B12241">
        <w:rPr>
          <w:rFonts w:ascii="Times New Roman" w:hAnsi="Times New Roman" w:cs="Times New Roman"/>
          <w:i/>
          <w:sz w:val="24"/>
          <w:szCs w:val="24"/>
        </w:rPr>
        <w:t>26</w:t>
      </w:r>
      <w:r w:rsidRPr="00C43FE6">
        <w:rPr>
          <w:rFonts w:ascii="Times New Roman" w:hAnsi="Times New Roman" w:cs="Times New Roman"/>
          <w:sz w:val="24"/>
          <w:szCs w:val="24"/>
        </w:rPr>
        <w:t>(7)</w:t>
      </w:r>
      <w:r w:rsidR="00D32F2A">
        <w:rPr>
          <w:rFonts w:ascii="Times New Roman" w:hAnsi="Times New Roman" w:cs="Times New Roman"/>
          <w:sz w:val="24"/>
          <w:szCs w:val="24"/>
        </w:rPr>
        <w:t>,</w:t>
      </w:r>
      <w:r w:rsidRPr="00C43FE6">
        <w:rPr>
          <w:rFonts w:ascii="Times New Roman" w:hAnsi="Times New Roman" w:cs="Times New Roman"/>
          <w:sz w:val="24"/>
          <w:szCs w:val="24"/>
        </w:rPr>
        <w:t xml:space="preserve"> 1206–1228.</w:t>
      </w:r>
    </w:p>
    <w:p w:rsidR="007E63B8" w:rsidRPr="008529E4" w:rsidRDefault="007E63B8" w:rsidP="00AF6503">
      <w:pPr>
        <w:autoSpaceDE w:val="0"/>
        <w:autoSpaceDN w:val="0"/>
        <w:adjustRightInd w:val="0"/>
        <w:spacing w:after="0" w:line="480" w:lineRule="auto"/>
        <w:ind w:left="720" w:hanging="720"/>
        <w:rPr>
          <w:rFonts w:ascii="Times New Roman" w:hAnsi="Times New Roman" w:cs="Times New Roman"/>
          <w:sz w:val="24"/>
          <w:szCs w:val="24"/>
        </w:rPr>
      </w:pPr>
      <w:r w:rsidRPr="008529E4">
        <w:rPr>
          <w:rFonts w:ascii="Times New Roman" w:hAnsi="Times New Roman" w:cs="Times New Roman"/>
          <w:sz w:val="24"/>
          <w:szCs w:val="24"/>
        </w:rPr>
        <w:t>Dimitriou, D., Kenourgios, D.,</w:t>
      </w:r>
      <w:r w:rsidR="004974A3">
        <w:rPr>
          <w:rFonts w:ascii="Times New Roman" w:hAnsi="Times New Roman" w:cs="Times New Roman"/>
          <w:sz w:val="24"/>
          <w:szCs w:val="24"/>
        </w:rPr>
        <w:t xml:space="preserve"> </w:t>
      </w:r>
      <w:r w:rsidR="00520C74">
        <w:rPr>
          <w:rFonts w:ascii="Times New Roman" w:hAnsi="Times New Roman" w:cs="Times New Roman"/>
          <w:sz w:val="24"/>
          <w:szCs w:val="24"/>
        </w:rPr>
        <w:t>&amp; Simos, T. (2013). G</w:t>
      </w:r>
      <w:r w:rsidR="00BA624A">
        <w:rPr>
          <w:rFonts w:ascii="Times New Roman" w:hAnsi="Times New Roman" w:cs="Times New Roman"/>
          <w:sz w:val="24"/>
          <w:szCs w:val="24"/>
        </w:rPr>
        <w:t>lobal financial crisis and emerging stock market c</w:t>
      </w:r>
      <w:r w:rsidRPr="008529E4">
        <w:rPr>
          <w:rFonts w:ascii="Times New Roman" w:hAnsi="Times New Roman" w:cs="Times New Roman"/>
          <w:sz w:val="24"/>
          <w:szCs w:val="24"/>
        </w:rPr>
        <w:t xml:space="preserve">ontagion: A </w:t>
      </w:r>
      <w:r w:rsidR="00BA624A">
        <w:rPr>
          <w:rFonts w:ascii="Times New Roman" w:hAnsi="Times New Roman" w:cs="Times New Roman"/>
          <w:sz w:val="24"/>
          <w:szCs w:val="24"/>
        </w:rPr>
        <w:t>multivariate FIAPARCH-DCC a</w:t>
      </w:r>
      <w:r w:rsidR="00520C74">
        <w:rPr>
          <w:rFonts w:ascii="Times New Roman" w:hAnsi="Times New Roman" w:cs="Times New Roman"/>
          <w:sz w:val="24"/>
          <w:szCs w:val="24"/>
        </w:rPr>
        <w:t>pproach.</w:t>
      </w:r>
      <w:r w:rsidR="004974A3">
        <w:rPr>
          <w:rFonts w:ascii="Times New Roman" w:hAnsi="Times New Roman" w:cs="Times New Roman"/>
          <w:sz w:val="24"/>
          <w:szCs w:val="24"/>
        </w:rPr>
        <w:t xml:space="preserve"> </w:t>
      </w:r>
      <w:r w:rsidRPr="008529E4">
        <w:rPr>
          <w:rFonts w:ascii="Times New Roman" w:hAnsi="Times New Roman" w:cs="Times New Roman"/>
          <w:i/>
          <w:sz w:val="24"/>
          <w:szCs w:val="24"/>
        </w:rPr>
        <w:t>International Review of Financial Analysts</w:t>
      </w:r>
      <w:r w:rsidRPr="008529E4">
        <w:rPr>
          <w:rFonts w:ascii="Times New Roman" w:hAnsi="Times New Roman" w:cs="Times New Roman"/>
          <w:sz w:val="24"/>
          <w:szCs w:val="24"/>
        </w:rPr>
        <w:t xml:space="preserve">, </w:t>
      </w:r>
      <w:r w:rsidRPr="00AF6503">
        <w:rPr>
          <w:rFonts w:ascii="Times New Roman" w:hAnsi="Times New Roman" w:cs="Times New Roman"/>
          <w:i/>
          <w:sz w:val="24"/>
          <w:szCs w:val="24"/>
        </w:rPr>
        <w:t>30</w:t>
      </w:r>
      <w:r w:rsidR="00166CA0">
        <w:rPr>
          <w:rFonts w:ascii="Times New Roman" w:hAnsi="Times New Roman" w:cs="Times New Roman"/>
          <w:sz w:val="24"/>
          <w:szCs w:val="24"/>
        </w:rPr>
        <w:t>,</w:t>
      </w:r>
      <w:r w:rsidRPr="008529E4">
        <w:rPr>
          <w:rFonts w:ascii="Times New Roman" w:hAnsi="Times New Roman" w:cs="Times New Roman"/>
          <w:sz w:val="24"/>
          <w:szCs w:val="24"/>
        </w:rPr>
        <w:t xml:space="preserve"> 46–56.</w:t>
      </w:r>
    </w:p>
    <w:p w:rsidR="00E73278" w:rsidRDefault="00E73278" w:rsidP="00AF6503">
      <w:pPr>
        <w:autoSpaceDE w:val="0"/>
        <w:autoSpaceDN w:val="0"/>
        <w:adjustRightInd w:val="0"/>
        <w:spacing w:after="0" w:line="480" w:lineRule="auto"/>
        <w:ind w:left="720" w:hanging="720"/>
        <w:rPr>
          <w:rFonts w:ascii="Times New Roman" w:hAnsi="Times New Roman" w:cs="Times New Roman"/>
          <w:sz w:val="24"/>
          <w:szCs w:val="24"/>
        </w:rPr>
      </w:pPr>
      <w:r w:rsidRPr="00F30995">
        <w:rPr>
          <w:rFonts w:ascii="Times New Roman" w:hAnsi="Times New Roman" w:cs="Times New Roman"/>
          <w:sz w:val="24"/>
          <w:szCs w:val="24"/>
        </w:rPr>
        <w:t>Eichengreen, B.</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F30995">
        <w:rPr>
          <w:rFonts w:ascii="Times New Roman" w:hAnsi="Times New Roman" w:cs="Times New Roman"/>
          <w:sz w:val="24"/>
          <w:szCs w:val="24"/>
        </w:rPr>
        <w:t>Sussman, N. (2000)</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F30995">
        <w:rPr>
          <w:rFonts w:ascii="Times New Roman" w:hAnsi="Times New Roman" w:cs="Times New Roman"/>
          <w:sz w:val="24"/>
          <w:szCs w:val="24"/>
        </w:rPr>
        <w:t xml:space="preserve">The </w:t>
      </w:r>
      <w:r w:rsidR="00892FA6">
        <w:rPr>
          <w:rFonts w:ascii="Times New Roman" w:hAnsi="Times New Roman" w:cs="Times New Roman"/>
          <w:sz w:val="24"/>
          <w:szCs w:val="24"/>
        </w:rPr>
        <w:t>i</w:t>
      </w:r>
      <w:r w:rsidRPr="00F30995">
        <w:rPr>
          <w:rFonts w:ascii="Times New Roman" w:hAnsi="Times New Roman" w:cs="Times New Roman"/>
          <w:sz w:val="24"/>
          <w:szCs w:val="24"/>
        </w:rPr>
        <w:t xml:space="preserve">nternational </w:t>
      </w:r>
      <w:r w:rsidR="00892FA6">
        <w:rPr>
          <w:rFonts w:ascii="Times New Roman" w:hAnsi="Times New Roman" w:cs="Times New Roman"/>
          <w:sz w:val="24"/>
          <w:szCs w:val="24"/>
        </w:rPr>
        <w:t>m</w:t>
      </w:r>
      <w:r w:rsidRPr="00F30995">
        <w:rPr>
          <w:rFonts w:ascii="Times New Roman" w:hAnsi="Times New Roman" w:cs="Times New Roman"/>
          <w:sz w:val="24"/>
          <w:szCs w:val="24"/>
        </w:rPr>
        <w:t xml:space="preserve">onetary </w:t>
      </w:r>
      <w:r w:rsidR="00892FA6">
        <w:rPr>
          <w:rFonts w:ascii="Times New Roman" w:hAnsi="Times New Roman" w:cs="Times New Roman"/>
          <w:sz w:val="24"/>
          <w:szCs w:val="24"/>
        </w:rPr>
        <w:t>s</w:t>
      </w:r>
      <w:r w:rsidRPr="00F30995">
        <w:rPr>
          <w:rFonts w:ascii="Times New Roman" w:hAnsi="Times New Roman" w:cs="Times New Roman"/>
          <w:sz w:val="24"/>
          <w:szCs w:val="24"/>
        </w:rPr>
        <w:t>ystem in the (</w:t>
      </w:r>
      <w:r w:rsidR="00892FA6">
        <w:rPr>
          <w:rFonts w:ascii="Times New Roman" w:hAnsi="Times New Roman" w:cs="Times New Roman"/>
          <w:sz w:val="24"/>
          <w:szCs w:val="24"/>
        </w:rPr>
        <w:t>v</w:t>
      </w:r>
      <w:r w:rsidRPr="00F30995">
        <w:rPr>
          <w:rFonts w:ascii="Times New Roman" w:hAnsi="Times New Roman" w:cs="Times New Roman"/>
          <w:sz w:val="24"/>
          <w:szCs w:val="24"/>
        </w:rPr>
        <w:t xml:space="preserve">ery) </w:t>
      </w:r>
      <w:r w:rsidR="00892FA6">
        <w:rPr>
          <w:rFonts w:ascii="Times New Roman" w:hAnsi="Times New Roman" w:cs="Times New Roman"/>
          <w:sz w:val="24"/>
          <w:szCs w:val="24"/>
        </w:rPr>
        <w:t>l</w:t>
      </w:r>
      <w:r w:rsidRPr="00F30995">
        <w:rPr>
          <w:rFonts w:ascii="Times New Roman" w:hAnsi="Times New Roman" w:cs="Times New Roman"/>
          <w:sz w:val="24"/>
          <w:szCs w:val="24"/>
        </w:rPr>
        <w:t xml:space="preserve">ong </w:t>
      </w:r>
      <w:r w:rsidR="00892FA6">
        <w:rPr>
          <w:rFonts w:ascii="Times New Roman" w:hAnsi="Times New Roman" w:cs="Times New Roman"/>
          <w:sz w:val="24"/>
          <w:szCs w:val="24"/>
        </w:rPr>
        <w:t>run</w:t>
      </w:r>
      <w:r w:rsidR="004974A3">
        <w:rPr>
          <w:rFonts w:ascii="Times New Roman" w:hAnsi="Times New Roman" w:cs="Times New Roman"/>
          <w:sz w:val="24"/>
          <w:szCs w:val="24"/>
        </w:rPr>
        <w:t xml:space="preserve"> </w:t>
      </w:r>
      <w:r w:rsidR="00DB5914">
        <w:rPr>
          <w:rFonts w:ascii="Times New Roman" w:hAnsi="Times New Roman" w:cs="Times New Roman"/>
          <w:sz w:val="24"/>
          <w:szCs w:val="24"/>
        </w:rPr>
        <w:t>(</w:t>
      </w:r>
      <w:r w:rsidRPr="00F30995">
        <w:rPr>
          <w:rFonts w:ascii="Times New Roman" w:hAnsi="Times New Roman" w:cs="Times New Roman"/>
          <w:sz w:val="24"/>
          <w:szCs w:val="24"/>
        </w:rPr>
        <w:t>IMF Working Paper</w:t>
      </w:r>
      <w:r w:rsidR="00892FA6">
        <w:rPr>
          <w:rFonts w:ascii="Times New Roman" w:hAnsi="Times New Roman" w:cs="Times New Roman"/>
          <w:sz w:val="24"/>
          <w:szCs w:val="24"/>
        </w:rPr>
        <w:t xml:space="preserve"> No. 00/43</w:t>
      </w:r>
      <w:r w:rsidR="00DB5914">
        <w:rPr>
          <w:rFonts w:ascii="Times New Roman" w:hAnsi="Times New Roman" w:cs="Times New Roman"/>
          <w:sz w:val="24"/>
          <w:szCs w:val="24"/>
        </w:rPr>
        <w:t>)</w:t>
      </w:r>
      <w:r w:rsidR="00892FA6">
        <w:rPr>
          <w:rFonts w:ascii="Times New Roman" w:hAnsi="Times New Roman" w:cs="Times New Roman"/>
          <w:sz w:val="24"/>
          <w:szCs w:val="24"/>
        </w:rPr>
        <w:t xml:space="preserve">. </w:t>
      </w:r>
      <w:r w:rsidR="004A6705">
        <w:rPr>
          <w:rFonts w:ascii="Times New Roman" w:hAnsi="Times New Roman" w:cs="Times New Roman"/>
          <w:sz w:val="24"/>
          <w:szCs w:val="24"/>
        </w:rPr>
        <w:t xml:space="preserve">Retrieved from </w:t>
      </w:r>
      <w:hyperlink r:id="rId17" w:history="1">
        <w:r w:rsidR="0087698B" w:rsidRPr="00C82BA6">
          <w:rPr>
            <w:rStyle w:val="Hyperlink"/>
            <w:rFonts w:ascii="Times New Roman" w:hAnsi="Times New Roman" w:cs="Times New Roman"/>
            <w:sz w:val="24"/>
            <w:szCs w:val="24"/>
          </w:rPr>
          <w:t>https://www.imf.org/en/Publications/WP/Issues/2016/12/30/The-International-Monetary-System-In-The-Very-Long-Run-3466</w:t>
        </w:r>
      </w:hyperlink>
      <w:r w:rsidRPr="00F30995">
        <w:rPr>
          <w:rFonts w:ascii="Times New Roman" w:hAnsi="Times New Roman" w:cs="Times New Roman"/>
          <w:sz w:val="24"/>
          <w:szCs w:val="24"/>
        </w:rPr>
        <w:t>.</w:t>
      </w:r>
    </w:p>
    <w:p w:rsidR="0087698B" w:rsidRPr="007E3DFD" w:rsidRDefault="0087698B" w:rsidP="0087698B">
      <w:pPr>
        <w:spacing w:after="0" w:line="480" w:lineRule="auto"/>
        <w:ind w:left="720" w:hanging="720"/>
        <w:rPr>
          <w:rFonts w:ascii="Times New Roman" w:hAnsi="Times New Roman" w:cs="Times New Roman"/>
          <w:sz w:val="24"/>
          <w:szCs w:val="24"/>
        </w:rPr>
      </w:pPr>
      <w:r w:rsidRPr="007E3DFD">
        <w:rPr>
          <w:rFonts w:ascii="Times New Roman" w:hAnsi="Times New Roman" w:cs="Times New Roman"/>
          <w:sz w:val="24"/>
          <w:szCs w:val="24"/>
        </w:rPr>
        <w:lastRenderedPageBreak/>
        <w:t xml:space="preserve">Engle, R. (2002), “Dynamic Conditional Correlation: A Simple Class of Multivariate Generalised Autoregressive Conditional Heteroskedasticity Models,” </w:t>
      </w:r>
      <w:r w:rsidRPr="0087698B">
        <w:rPr>
          <w:rFonts w:ascii="Times New Roman" w:hAnsi="Times New Roman" w:cs="Times New Roman"/>
          <w:sz w:val="24"/>
          <w:szCs w:val="24"/>
        </w:rPr>
        <w:t>Journal of Business and Economic Statistics</w:t>
      </w:r>
      <w:r w:rsidRPr="007E3DFD">
        <w:rPr>
          <w:rFonts w:ascii="Times New Roman" w:hAnsi="Times New Roman" w:cs="Times New Roman"/>
          <w:sz w:val="24"/>
          <w:szCs w:val="24"/>
        </w:rPr>
        <w:t>, 20: 339 – 350.</w:t>
      </w:r>
    </w:p>
    <w:p w:rsidR="000B55CD" w:rsidRPr="00D20C4C" w:rsidRDefault="000B55CD" w:rsidP="00AF6503">
      <w:pPr>
        <w:spacing w:after="0" w:line="480" w:lineRule="auto"/>
        <w:ind w:left="720" w:hanging="720"/>
        <w:rPr>
          <w:rFonts w:ascii="Times New Roman" w:hAnsi="Times New Roman" w:cs="Times New Roman"/>
          <w:sz w:val="24"/>
          <w:szCs w:val="24"/>
        </w:rPr>
      </w:pPr>
      <w:r w:rsidRPr="00D20C4C">
        <w:rPr>
          <w:rFonts w:ascii="Times New Roman" w:hAnsi="Times New Roman" w:cs="Times New Roman"/>
          <w:sz w:val="24"/>
          <w:szCs w:val="24"/>
        </w:rPr>
        <w:t>Engle, R.</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Pr="00D20C4C">
        <w:rPr>
          <w:rFonts w:ascii="Times New Roman" w:hAnsi="Times New Roman" w:cs="Times New Roman"/>
          <w:sz w:val="24"/>
          <w:szCs w:val="24"/>
        </w:rPr>
        <w:t xml:space="preserve"> Granger, C. (1987)</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 xml:space="preserve">Co-integration and </w:t>
      </w:r>
      <w:r w:rsidR="00892FA6">
        <w:rPr>
          <w:rFonts w:ascii="Times New Roman" w:hAnsi="Times New Roman" w:cs="Times New Roman"/>
          <w:sz w:val="24"/>
          <w:szCs w:val="24"/>
        </w:rPr>
        <w:t>e</w:t>
      </w:r>
      <w:r w:rsidRPr="00D20C4C">
        <w:rPr>
          <w:rFonts w:ascii="Times New Roman" w:hAnsi="Times New Roman" w:cs="Times New Roman"/>
          <w:sz w:val="24"/>
          <w:szCs w:val="24"/>
        </w:rPr>
        <w:t xml:space="preserve">rror </w:t>
      </w:r>
      <w:r w:rsidR="00892FA6">
        <w:rPr>
          <w:rFonts w:ascii="Times New Roman" w:hAnsi="Times New Roman" w:cs="Times New Roman"/>
          <w:sz w:val="24"/>
          <w:szCs w:val="24"/>
        </w:rPr>
        <w:t>c</w:t>
      </w:r>
      <w:r w:rsidRPr="00D20C4C">
        <w:rPr>
          <w:rFonts w:ascii="Times New Roman" w:hAnsi="Times New Roman" w:cs="Times New Roman"/>
          <w:sz w:val="24"/>
          <w:szCs w:val="24"/>
        </w:rPr>
        <w:t xml:space="preserve">orrection: Representation, </w:t>
      </w:r>
      <w:r w:rsidR="00892FA6">
        <w:rPr>
          <w:rFonts w:ascii="Times New Roman" w:hAnsi="Times New Roman" w:cs="Times New Roman"/>
          <w:sz w:val="24"/>
          <w:szCs w:val="24"/>
        </w:rPr>
        <w:t>e</w:t>
      </w:r>
      <w:r w:rsidRPr="00D20C4C">
        <w:rPr>
          <w:rFonts w:ascii="Times New Roman" w:hAnsi="Times New Roman" w:cs="Times New Roman"/>
          <w:sz w:val="24"/>
          <w:szCs w:val="24"/>
        </w:rPr>
        <w:t xml:space="preserve">stimation, and </w:t>
      </w:r>
      <w:r w:rsidR="00892FA6">
        <w:rPr>
          <w:rFonts w:ascii="Times New Roman" w:hAnsi="Times New Roman" w:cs="Times New Roman"/>
          <w:sz w:val="24"/>
          <w:szCs w:val="24"/>
        </w:rPr>
        <w:t>t</w:t>
      </w:r>
      <w:r w:rsidRPr="00D20C4C">
        <w:rPr>
          <w:rFonts w:ascii="Times New Roman" w:hAnsi="Times New Roman" w:cs="Times New Roman"/>
          <w:sz w:val="24"/>
          <w:szCs w:val="24"/>
        </w:rPr>
        <w:t>esting</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i/>
          <w:sz w:val="24"/>
          <w:szCs w:val="24"/>
        </w:rPr>
        <w:t>Econometrica</w:t>
      </w:r>
      <w:r w:rsidRPr="00086A7F">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55</w:t>
      </w:r>
      <w:r w:rsidRPr="00D20C4C">
        <w:rPr>
          <w:rFonts w:ascii="Times New Roman" w:hAnsi="Times New Roman" w:cs="Times New Roman"/>
          <w:sz w:val="24"/>
          <w:szCs w:val="24"/>
        </w:rPr>
        <w:t>(2)</w:t>
      </w:r>
      <w:r w:rsidR="00892FA6">
        <w:rPr>
          <w:rFonts w:ascii="Times New Roman" w:hAnsi="Times New Roman" w:cs="Times New Roman"/>
          <w:sz w:val="24"/>
          <w:szCs w:val="24"/>
        </w:rPr>
        <w:t>,</w:t>
      </w:r>
      <w:r w:rsidRPr="00D20C4C">
        <w:rPr>
          <w:rFonts w:ascii="Times New Roman" w:hAnsi="Times New Roman" w:cs="Times New Roman"/>
          <w:sz w:val="24"/>
          <w:szCs w:val="24"/>
        </w:rPr>
        <w:t xml:space="preserve"> 251–276.</w:t>
      </w:r>
    </w:p>
    <w:p w:rsidR="00B27D88" w:rsidRPr="00D20C4C" w:rsidRDefault="00B27D88" w:rsidP="00AF6503">
      <w:pPr>
        <w:autoSpaceDE w:val="0"/>
        <w:autoSpaceDN w:val="0"/>
        <w:adjustRightInd w:val="0"/>
        <w:spacing w:after="0" w:line="480" w:lineRule="auto"/>
        <w:ind w:left="720" w:hanging="720"/>
        <w:rPr>
          <w:rFonts w:ascii="Times New Roman" w:hAnsi="Times New Roman" w:cs="Times New Roman"/>
          <w:sz w:val="24"/>
          <w:szCs w:val="24"/>
        </w:rPr>
      </w:pPr>
      <w:r w:rsidRPr="00D20C4C">
        <w:rPr>
          <w:rFonts w:ascii="Times New Roman" w:hAnsi="Times New Roman" w:cs="Times New Roman"/>
          <w:sz w:val="24"/>
          <w:szCs w:val="24"/>
        </w:rPr>
        <w:t>Floros, C. (2005)</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 xml:space="preserve">Price </w:t>
      </w:r>
      <w:r w:rsidR="00892FA6">
        <w:rPr>
          <w:rFonts w:ascii="Times New Roman" w:hAnsi="Times New Roman" w:cs="Times New Roman"/>
          <w:sz w:val="24"/>
          <w:szCs w:val="24"/>
        </w:rPr>
        <w:t>l</w:t>
      </w:r>
      <w:r w:rsidRPr="00D20C4C">
        <w:rPr>
          <w:rFonts w:ascii="Times New Roman" w:hAnsi="Times New Roman" w:cs="Times New Roman"/>
          <w:sz w:val="24"/>
          <w:szCs w:val="24"/>
        </w:rPr>
        <w:t xml:space="preserve">inkages between the US, Japan and UK </w:t>
      </w:r>
      <w:r w:rsidR="00892FA6">
        <w:rPr>
          <w:rFonts w:ascii="Times New Roman" w:hAnsi="Times New Roman" w:cs="Times New Roman"/>
          <w:sz w:val="24"/>
          <w:szCs w:val="24"/>
        </w:rPr>
        <w:t>s</w:t>
      </w:r>
      <w:r w:rsidRPr="00D20C4C">
        <w:rPr>
          <w:rFonts w:ascii="Times New Roman" w:hAnsi="Times New Roman" w:cs="Times New Roman"/>
          <w:sz w:val="24"/>
          <w:szCs w:val="24"/>
        </w:rPr>
        <w:t xml:space="preserve">tock </w:t>
      </w:r>
      <w:r w:rsidR="00892FA6">
        <w:rPr>
          <w:rFonts w:ascii="Times New Roman" w:hAnsi="Times New Roman" w:cs="Times New Roman"/>
          <w:sz w:val="24"/>
          <w:szCs w:val="24"/>
        </w:rPr>
        <w:t>m</w:t>
      </w:r>
      <w:r w:rsidRPr="00D20C4C">
        <w:rPr>
          <w:rFonts w:ascii="Times New Roman" w:hAnsi="Times New Roman" w:cs="Times New Roman"/>
          <w:sz w:val="24"/>
          <w:szCs w:val="24"/>
        </w:rPr>
        <w:t>arkets</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i/>
          <w:sz w:val="24"/>
          <w:szCs w:val="24"/>
        </w:rPr>
        <w:t>Swiss Society for Financial Market Research</w:t>
      </w:r>
      <w:r w:rsidRPr="00D20C4C">
        <w:rPr>
          <w:rFonts w:ascii="Times New Roman" w:hAnsi="Times New Roman" w:cs="Times New Roman"/>
          <w:sz w:val="24"/>
          <w:szCs w:val="24"/>
        </w:rPr>
        <w:t xml:space="preserve">, </w:t>
      </w:r>
      <w:r w:rsidR="00B12241" w:rsidRPr="00B12241">
        <w:rPr>
          <w:rFonts w:ascii="Times New Roman" w:hAnsi="Times New Roman" w:cs="Times New Roman"/>
          <w:i/>
          <w:sz w:val="24"/>
          <w:szCs w:val="24"/>
        </w:rPr>
        <w:t>19</w:t>
      </w:r>
      <w:r w:rsidRPr="00D20C4C">
        <w:rPr>
          <w:rFonts w:ascii="Times New Roman" w:hAnsi="Times New Roman" w:cs="Times New Roman"/>
          <w:sz w:val="24"/>
          <w:szCs w:val="24"/>
        </w:rPr>
        <w:t>(2)</w:t>
      </w:r>
      <w:r w:rsidR="00892FA6">
        <w:rPr>
          <w:rFonts w:ascii="Times New Roman" w:hAnsi="Times New Roman" w:cs="Times New Roman"/>
          <w:sz w:val="24"/>
          <w:szCs w:val="24"/>
        </w:rPr>
        <w:t>,</w:t>
      </w:r>
      <w:r w:rsidRPr="00D20C4C">
        <w:rPr>
          <w:rFonts w:ascii="Times New Roman" w:hAnsi="Times New Roman" w:cs="Times New Roman"/>
          <w:sz w:val="24"/>
          <w:szCs w:val="24"/>
        </w:rPr>
        <w:t xml:space="preserve"> 169–178.</w:t>
      </w:r>
    </w:p>
    <w:p w:rsidR="00B27D88" w:rsidRPr="00C43FE6" w:rsidRDefault="00B12241" w:rsidP="00AF6503">
      <w:pPr>
        <w:spacing w:after="0" w:line="480" w:lineRule="auto"/>
        <w:ind w:left="720" w:hanging="720"/>
        <w:rPr>
          <w:rFonts w:ascii="Times New Roman" w:hAnsi="Times New Roman" w:cs="Times New Roman"/>
          <w:sz w:val="24"/>
          <w:szCs w:val="24"/>
        </w:rPr>
      </w:pPr>
      <w:r w:rsidRPr="00B12241">
        <w:rPr>
          <w:rFonts w:ascii="Times New Roman" w:hAnsi="Times New Roman" w:cs="Times New Roman"/>
          <w:sz w:val="24"/>
          <w:szCs w:val="24"/>
          <w:lang w:val="de-DE"/>
        </w:rPr>
        <w:t>Forbes, K.J.,</w:t>
      </w:r>
      <w:r w:rsidR="004974A3">
        <w:rPr>
          <w:rFonts w:ascii="Times New Roman" w:hAnsi="Times New Roman" w:cs="Times New Roman"/>
          <w:sz w:val="24"/>
          <w:szCs w:val="24"/>
          <w:lang w:val="de-DE"/>
        </w:rPr>
        <w:t xml:space="preserve"> </w:t>
      </w:r>
      <w:r w:rsidRPr="00B12241">
        <w:rPr>
          <w:rFonts w:ascii="Times New Roman" w:hAnsi="Times New Roman" w:cs="Times New Roman"/>
          <w:sz w:val="24"/>
          <w:szCs w:val="24"/>
          <w:lang w:val="de-DE"/>
        </w:rPr>
        <w:t>&amp; Rigobon, R. (2002).</w:t>
      </w:r>
      <w:r w:rsidR="004974A3">
        <w:rPr>
          <w:rFonts w:ascii="Times New Roman" w:hAnsi="Times New Roman" w:cs="Times New Roman"/>
          <w:sz w:val="24"/>
          <w:szCs w:val="24"/>
          <w:lang w:val="de-DE"/>
        </w:rPr>
        <w:t xml:space="preserve"> </w:t>
      </w:r>
      <w:r w:rsidR="00B27D88" w:rsidRPr="00C43FE6">
        <w:rPr>
          <w:rFonts w:ascii="Times New Roman" w:hAnsi="Times New Roman" w:cs="Times New Roman"/>
          <w:sz w:val="24"/>
          <w:szCs w:val="24"/>
        </w:rPr>
        <w:t xml:space="preserve">No </w:t>
      </w:r>
      <w:r w:rsidR="00892FA6">
        <w:rPr>
          <w:rFonts w:ascii="Times New Roman" w:hAnsi="Times New Roman" w:cs="Times New Roman"/>
          <w:sz w:val="24"/>
          <w:szCs w:val="24"/>
        </w:rPr>
        <w:t>c</w:t>
      </w:r>
      <w:r w:rsidR="00B27D88" w:rsidRPr="00C43FE6">
        <w:rPr>
          <w:rFonts w:ascii="Times New Roman" w:hAnsi="Times New Roman" w:cs="Times New Roman"/>
          <w:sz w:val="24"/>
          <w:szCs w:val="24"/>
        </w:rPr>
        <w:t xml:space="preserve">ontagion, </w:t>
      </w:r>
      <w:r w:rsidR="00892FA6">
        <w:rPr>
          <w:rFonts w:ascii="Times New Roman" w:hAnsi="Times New Roman" w:cs="Times New Roman"/>
          <w:sz w:val="24"/>
          <w:szCs w:val="24"/>
        </w:rPr>
        <w:t>o</w:t>
      </w:r>
      <w:r w:rsidR="00B27D88" w:rsidRPr="00C43FE6">
        <w:rPr>
          <w:rFonts w:ascii="Times New Roman" w:hAnsi="Times New Roman" w:cs="Times New Roman"/>
          <w:sz w:val="24"/>
          <w:szCs w:val="24"/>
        </w:rPr>
        <w:t xml:space="preserve">nly </w:t>
      </w:r>
      <w:r w:rsidR="00892FA6">
        <w:rPr>
          <w:rFonts w:ascii="Times New Roman" w:hAnsi="Times New Roman" w:cs="Times New Roman"/>
          <w:sz w:val="24"/>
          <w:szCs w:val="24"/>
        </w:rPr>
        <w:t>i</w:t>
      </w:r>
      <w:r w:rsidR="00B27D88" w:rsidRPr="00C43FE6">
        <w:rPr>
          <w:rFonts w:ascii="Times New Roman" w:hAnsi="Times New Roman" w:cs="Times New Roman"/>
          <w:sz w:val="24"/>
          <w:szCs w:val="24"/>
        </w:rPr>
        <w:t xml:space="preserve">nterdependence: Measuring </w:t>
      </w:r>
      <w:r w:rsidR="00892FA6">
        <w:rPr>
          <w:rFonts w:ascii="Times New Roman" w:hAnsi="Times New Roman" w:cs="Times New Roman"/>
          <w:sz w:val="24"/>
          <w:szCs w:val="24"/>
        </w:rPr>
        <w:t>s</w:t>
      </w:r>
      <w:r w:rsidR="00B27D88" w:rsidRPr="00C43FE6">
        <w:rPr>
          <w:rFonts w:ascii="Times New Roman" w:hAnsi="Times New Roman" w:cs="Times New Roman"/>
          <w:sz w:val="24"/>
          <w:szCs w:val="24"/>
        </w:rPr>
        <w:t xml:space="preserve">tock </w:t>
      </w:r>
      <w:r w:rsidR="00892FA6">
        <w:rPr>
          <w:rFonts w:ascii="Times New Roman" w:hAnsi="Times New Roman" w:cs="Times New Roman"/>
          <w:sz w:val="24"/>
          <w:szCs w:val="24"/>
        </w:rPr>
        <w:t>m</w:t>
      </w:r>
      <w:r w:rsidR="00B27D88" w:rsidRPr="00C43FE6">
        <w:rPr>
          <w:rFonts w:ascii="Times New Roman" w:hAnsi="Times New Roman" w:cs="Times New Roman"/>
          <w:sz w:val="24"/>
          <w:szCs w:val="24"/>
        </w:rPr>
        <w:t xml:space="preserve">arket </w:t>
      </w:r>
      <w:r w:rsidR="00892FA6">
        <w:rPr>
          <w:rFonts w:ascii="Times New Roman" w:hAnsi="Times New Roman" w:cs="Times New Roman"/>
          <w:sz w:val="24"/>
          <w:szCs w:val="24"/>
        </w:rPr>
        <w:t>c</w:t>
      </w:r>
      <w:r w:rsidR="00B27D88" w:rsidRPr="00C43FE6">
        <w:rPr>
          <w:rFonts w:ascii="Times New Roman" w:hAnsi="Times New Roman" w:cs="Times New Roman"/>
          <w:sz w:val="24"/>
          <w:szCs w:val="24"/>
        </w:rPr>
        <w:t>omovements</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005C1B06">
        <w:rPr>
          <w:rFonts w:ascii="Times New Roman" w:hAnsi="Times New Roman" w:cs="Times New Roman"/>
          <w:sz w:val="24"/>
          <w:szCs w:val="24"/>
        </w:rPr>
        <w:t xml:space="preserve"> </w:t>
      </w:r>
      <w:r w:rsidR="00B27D88" w:rsidRPr="00C43FE6">
        <w:rPr>
          <w:rFonts w:ascii="Times New Roman" w:hAnsi="Times New Roman" w:cs="Times New Roman"/>
          <w:i/>
          <w:iCs/>
          <w:sz w:val="24"/>
          <w:szCs w:val="24"/>
        </w:rPr>
        <w:t>Journal of Finance</w:t>
      </w:r>
      <w:r w:rsidRPr="00B12241">
        <w:rPr>
          <w:rFonts w:ascii="Times New Roman" w:hAnsi="Times New Roman" w:cs="Times New Roman"/>
          <w:iCs/>
          <w:sz w:val="24"/>
          <w:szCs w:val="24"/>
        </w:rPr>
        <w:t>,</w:t>
      </w:r>
      <w:r w:rsidR="004974A3">
        <w:rPr>
          <w:rFonts w:ascii="Times New Roman" w:hAnsi="Times New Roman" w:cs="Times New Roman"/>
          <w:iCs/>
          <w:sz w:val="24"/>
          <w:szCs w:val="24"/>
        </w:rPr>
        <w:t xml:space="preserve"> </w:t>
      </w:r>
      <w:r w:rsidRPr="00B12241">
        <w:rPr>
          <w:rFonts w:ascii="Times New Roman" w:hAnsi="Times New Roman" w:cs="Times New Roman"/>
          <w:i/>
          <w:sz w:val="24"/>
          <w:szCs w:val="24"/>
        </w:rPr>
        <w:t>57</w:t>
      </w:r>
      <w:r w:rsidR="00B27D88" w:rsidRPr="00C43FE6">
        <w:rPr>
          <w:rFonts w:ascii="Times New Roman" w:hAnsi="Times New Roman" w:cs="Times New Roman"/>
          <w:sz w:val="24"/>
          <w:szCs w:val="24"/>
        </w:rPr>
        <w:t>(5)</w:t>
      </w:r>
      <w:r w:rsidR="00892FA6">
        <w:rPr>
          <w:rFonts w:ascii="Times New Roman" w:hAnsi="Times New Roman" w:cs="Times New Roman"/>
          <w:sz w:val="24"/>
          <w:szCs w:val="24"/>
        </w:rPr>
        <w:t>,</w:t>
      </w:r>
      <w:r w:rsidR="00B27D88" w:rsidRPr="00C43FE6">
        <w:rPr>
          <w:rFonts w:ascii="Times New Roman" w:hAnsi="Times New Roman" w:cs="Times New Roman"/>
          <w:sz w:val="24"/>
          <w:szCs w:val="24"/>
        </w:rPr>
        <w:t xml:space="preserve"> 2223–2261.    </w:t>
      </w:r>
    </w:p>
    <w:p w:rsidR="00166050" w:rsidRPr="00945099"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Fratzscher, M. (2002)</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Financial </w:t>
      </w:r>
      <w:r w:rsidR="00892FA6">
        <w:rPr>
          <w:rFonts w:ascii="Times New Roman" w:hAnsi="Times New Roman" w:cs="Times New Roman"/>
          <w:sz w:val="24"/>
          <w:szCs w:val="24"/>
        </w:rPr>
        <w:t>m</w:t>
      </w:r>
      <w:r w:rsidRPr="00945099">
        <w:rPr>
          <w:rFonts w:ascii="Times New Roman" w:hAnsi="Times New Roman" w:cs="Times New Roman"/>
          <w:sz w:val="24"/>
          <w:szCs w:val="24"/>
        </w:rPr>
        <w:t xml:space="preserve">arket </w:t>
      </w:r>
      <w:r w:rsidR="00892FA6">
        <w:rPr>
          <w:rFonts w:ascii="Times New Roman" w:hAnsi="Times New Roman" w:cs="Times New Roman"/>
          <w:sz w:val="24"/>
          <w:szCs w:val="24"/>
        </w:rPr>
        <w:t>i</w:t>
      </w:r>
      <w:r w:rsidRPr="00945099">
        <w:rPr>
          <w:rFonts w:ascii="Times New Roman" w:hAnsi="Times New Roman" w:cs="Times New Roman"/>
          <w:sz w:val="24"/>
          <w:szCs w:val="24"/>
        </w:rPr>
        <w:t xml:space="preserve">ntegration in Europe: On the effects of EMU on </w:t>
      </w:r>
      <w:r w:rsidR="00892FA6">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892FA6">
        <w:rPr>
          <w:rFonts w:ascii="Times New Roman" w:hAnsi="Times New Roman" w:cs="Times New Roman"/>
          <w:sz w:val="24"/>
          <w:szCs w:val="24"/>
        </w:rPr>
        <w:t>m</w:t>
      </w:r>
      <w:r w:rsidRPr="00945099">
        <w:rPr>
          <w:rFonts w:ascii="Times New Roman" w:hAnsi="Times New Roman" w:cs="Times New Roman"/>
          <w:sz w:val="24"/>
          <w:szCs w:val="24"/>
        </w:rPr>
        <w:t>arkets</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International Journal of Finance and Economics</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7</w:t>
      </w:r>
      <w:r w:rsidR="00892FA6">
        <w:rPr>
          <w:rFonts w:ascii="Times New Roman" w:hAnsi="Times New Roman" w:cs="Times New Roman"/>
          <w:sz w:val="24"/>
          <w:szCs w:val="24"/>
        </w:rPr>
        <w:t>,</w:t>
      </w:r>
      <w:r w:rsidRPr="00945099">
        <w:rPr>
          <w:rFonts w:ascii="Times New Roman" w:hAnsi="Times New Roman" w:cs="Times New Roman"/>
          <w:sz w:val="24"/>
          <w:szCs w:val="24"/>
        </w:rPr>
        <w:t xml:space="preserve"> 165–193. </w:t>
      </w:r>
    </w:p>
    <w:p w:rsidR="00340410" w:rsidRPr="00D20C4C" w:rsidRDefault="00340410" w:rsidP="00AF6503">
      <w:pPr>
        <w:spacing w:after="0" w:line="480" w:lineRule="auto"/>
        <w:ind w:left="720" w:hanging="720"/>
        <w:rPr>
          <w:rFonts w:ascii="Times New Roman" w:hAnsi="Times New Roman" w:cs="Times New Roman"/>
          <w:sz w:val="24"/>
          <w:szCs w:val="24"/>
        </w:rPr>
      </w:pPr>
      <w:r w:rsidRPr="00D20C4C">
        <w:rPr>
          <w:rFonts w:ascii="Times New Roman" w:hAnsi="Times New Roman" w:cs="Times New Roman"/>
          <w:sz w:val="24"/>
          <w:szCs w:val="24"/>
        </w:rPr>
        <w:t>Goetzmann, W.</w:t>
      </w:r>
      <w:r w:rsidR="00334BE1">
        <w:rPr>
          <w:rFonts w:ascii="Times New Roman" w:hAnsi="Times New Roman" w:cs="Times New Roman"/>
          <w:sz w:val="24"/>
          <w:szCs w:val="24"/>
        </w:rPr>
        <w:t>N.</w:t>
      </w:r>
      <w:r w:rsidRPr="00D20C4C">
        <w:rPr>
          <w:rFonts w:ascii="Times New Roman" w:hAnsi="Times New Roman" w:cs="Times New Roman"/>
          <w:sz w:val="24"/>
          <w:szCs w:val="24"/>
        </w:rPr>
        <w:t>, Lingfeng, L.</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Rouwenh</w:t>
      </w:r>
      <w:r w:rsidR="00DA393B" w:rsidRPr="00D20C4C">
        <w:rPr>
          <w:rFonts w:ascii="Times New Roman" w:hAnsi="Times New Roman" w:cs="Times New Roman"/>
          <w:sz w:val="24"/>
          <w:szCs w:val="24"/>
        </w:rPr>
        <w:t>o</w:t>
      </w:r>
      <w:r w:rsidRPr="00D20C4C">
        <w:rPr>
          <w:rFonts w:ascii="Times New Roman" w:hAnsi="Times New Roman" w:cs="Times New Roman"/>
          <w:sz w:val="24"/>
          <w:szCs w:val="24"/>
        </w:rPr>
        <w:t>rst, K. (2005)</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Long-</w:t>
      </w:r>
      <w:r w:rsidR="00892FA6">
        <w:rPr>
          <w:rFonts w:ascii="Times New Roman" w:hAnsi="Times New Roman" w:cs="Times New Roman"/>
          <w:sz w:val="24"/>
          <w:szCs w:val="24"/>
        </w:rPr>
        <w:t>t</w:t>
      </w:r>
      <w:r w:rsidRPr="00D20C4C">
        <w:rPr>
          <w:rFonts w:ascii="Times New Roman" w:hAnsi="Times New Roman" w:cs="Times New Roman"/>
          <w:sz w:val="24"/>
          <w:szCs w:val="24"/>
        </w:rPr>
        <w:t xml:space="preserve">erm </w:t>
      </w:r>
      <w:r w:rsidR="00892FA6">
        <w:rPr>
          <w:rFonts w:ascii="Times New Roman" w:hAnsi="Times New Roman" w:cs="Times New Roman"/>
          <w:sz w:val="24"/>
          <w:szCs w:val="24"/>
        </w:rPr>
        <w:t>g</w:t>
      </w:r>
      <w:r w:rsidRPr="00D20C4C">
        <w:rPr>
          <w:rFonts w:ascii="Times New Roman" w:hAnsi="Times New Roman" w:cs="Times New Roman"/>
          <w:sz w:val="24"/>
          <w:szCs w:val="24"/>
        </w:rPr>
        <w:t xml:space="preserve">lobal </w:t>
      </w:r>
      <w:r w:rsidR="00892FA6">
        <w:rPr>
          <w:rFonts w:ascii="Times New Roman" w:hAnsi="Times New Roman" w:cs="Times New Roman"/>
          <w:sz w:val="24"/>
          <w:szCs w:val="24"/>
        </w:rPr>
        <w:t>m</w:t>
      </w:r>
      <w:r w:rsidRPr="00D20C4C">
        <w:rPr>
          <w:rFonts w:ascii="Times New Roman" w:hAnsi="Times New Roman" w:cs="Times New Roman"/>
          <w:sz w:val="24"/>
          <w:szCs w:val="24"/>
        </w:rPr>
        <w:t xml:space="preserve">arket </w:t>
      </w:r>
      <w:r w:rsidR="00892FA6">
        <w:rPr>
          <w:rFonts w:ascii="Times New Roman" w:hAnsi="Times New Roman" w:cs="Times New Roman"/>
          <w:sz w:val="24"/>
          <w:szCs w:val="24"/>
        </w:rPr>
        <w:t>c</w:t>
      </w:r>
      <w:r w:rsidRPr="00D20C4C">
        <w:rPr>
          <w:rFonts w:ascii="Times New Roman" w:hAnsi="Times New Roman" w:cs="Times New Roman"/>
          <w:sz w:val="24"/>
          <w:szCs w:val="24"/>
        </w:rPr>
        <w:t>orrelations</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i/>
          <w:sz w:val="24"/>
          <w:szCs w:val="24"/>
        </w:rPr>
        <w:t>Journal of Business</w:t>
      </w:r>
      <w:r w:rsidRPr="00D20C4C">
        <w:rPr>
          <w:rFonts w:ascii="Times New Roman" w:hAnsi="Times New Roman" w:cs="Times New Roman"/>
          <w:sz w:val="24"/>
          <w:szCs w:val="24"/>
        </w:rPr>
        <w:t xml:space="preserve">, </w:t>
      </w:r>
      <w:r w:rsidR="00B12241" w:rsidRPr="00B12241">
        <w:rPr>
          <w:rFonts w:ascii="Times New Roman" w:hAnsi="Times New Roman" w:cs="Times New Roman"/>
          <w:i/>
          <w:sz w:val="24"/>
          <w:szCs w:val="24"/>
        </w:rPr>
        <w:t>78</w:t>
      </w:r>
      <w:r w:rsidRPr="00D20C4C">
        <w:rPr>
          <w:rFonts w:ascii="Times New Roman" w:hAnsi="Times New Roman" w:cs="Times New Roman"/>
          <w:sz w:val="24"/>
          <w:szCs w:val="24"/>
        </w:rPr>
        <w:t>(1)</w:t>
      </w:r>
      <w:r w:rsidR="00892FA6">
        <w:rPr>
          <w:rFonts w:ascii="Times New Roman" w:hAnsi="Times New Roman" w:cs="Times New Roman"/>
          <w:sz w:val="24"/>
          <w:szCs w:val="24"/>
        </w:rPr>
        <w:t>,</w:t>
      </w:r>
      <w:r w:rsidRPr="00D20C4C">
        <w:rPr>
          <w:rFonts w:ascii="Times New Roman" w:hAnsi="Times New Roman" w:cs="Times New Roman"/>
          <w:sz w:val="24"/>
          <w:szCs w:val="24"/>
        </w:rPr>
        <w:t xml:space="preserve"> 1–38.</w:t>
      </w:r>
    </w:p>
    <w:p w:rsidR="008A538D" w:rsidRPr="00377D12" w:rsidRDefault="008A538D" w:rsidP="00AF6503">
      <w:pPr>
        <w:spacing w:after="0" w:line="480" w:lineRule="auto"/>
        <w:ind w:left="720" w:hanging="720"/>
        <w:rPr>
          <w:rFonts w:ascii="Times New Roman" w:hAnsi="Times New Roman" w:cs="Times New Roman"/>
          <w:sz w:val="24"/>
          <w:szCs w:val="24"/>
        </w:rPr>
      </w:pPr>
      <w:r w:rsidRPr="00377D12">
        <w:rPr>
          <w:rFonts w:ascii="Times New Roman" w:hAnsi="Times New Roman" w:cs="Times New Roman"/>
          <w:sz w:val="24"/>
          <w:szCs w:val="24"/>
        </w:rPr>
        <w:t xml:space="preserve">Gregory, A., </w:t>
      </w:r>
      <w:r w:rsidR="00F5587E">
        <w:rPr>
          <w:rFonts w:ascii="Times New Roman" w:hAnsi="Times New Roman" w:cs="Times New Roman"/>
          <w:sz w:val="24"/>
          <w:szCs w:val="24"/>
        </w:rPr>
        <w:t>&amp;</w:t>
      </w:r>
      <w:r w:rsidR="0063642B">
        <w:rPr>
          <w:rFonts w:ascii="Times New Roman" w:hAnsi="Times New Roman" w:cs="Times New Roman"/>
          <w:sz w:val="24"/>
          <w:szCs w:val="24"/>
        </w:rPr>
        <w:t xml:space="preserve"> </w:t>
      </w:r>
      <w:r w:rsidRPr="00377D12">
        <w:rPr>
          <w:rFonts w:ascii="Times New Roman" w:hAnsi="Times New Roman" w:cs="Times New Roman"/>
          <w:sz w:val="24"/>
          <w:szCs w:val="24"/>
        </w:rPr>
        <w:t>Hansen, B. (1996)</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sz w:val="24"/>
          <w:szCs w:val="24"/>
        </w:rPr>
        <w:t>Residual-</w:t>
      </w:r>
      <w:r w:rsidR="00892FA6">
        <w:rPr>
          <w:rFonts w:ascii="Times New Roman" w:hAnsi="Times New Roman" w:cs="Times New Roman"/>
          <w:sz w:val="24"/>
          <w:szCs w:val="24"/>
        </w:rPr>
        <w:t>b</w:t>
      </w:r>
      <w:r w:rsidRPr="00377D12">
        <w:rPr>
          <w:rFonts w:ascii="Times New Roman" w:hAnsi="Times New Roman" w:cs="Times New Roman"/>
          <w:sz w:val="24"/>
          <w:szCs w:val="24"/>
        </w:rPr>
        <w:t xml:space="preserve">ased </w:t>
      </w:r>
      <w:r w:rsidR="00892FA6">
        <w:rPr>
          <w:rFonts w:ascii="Times New Roman" w:hAnsi="Times New Roman" w:cs="Times New Roman"/>
          <w:sz w:val="24"/>
          <w:szCs w:val="24"/>
        </w:rPr>
        <w:t>t</w:t>
      </w:r>
      <w:r w:rsidRPr="00377D12">
        <w:rPr>
          <w:rFonts w:ascii="Times New Roman" w:hAnsi="Times New Roman" w:cs="Times New Roman"/>
          <w:sz w:val="24"/>
          <w:szCs w:val="24"/>
        </w:rPr>
        <w:t xml:space="preserve">ests for </w:t>
      </w:r>
      <w:r w:rsidR="00892FA6">
        <w:rPr>
          <w:rFonts w:ascii="Times New Roman" w:hAnsi="Times New Roman" w:cs="Times New Roman"/>
          <w:sz w:val="24"/>
          <w:szCs w:val="24"/>
        </w:rPr>
        <w:t>c</w:t>
      </w:r>
      <w:r w:rsidRPr="00377D12">
        <w:rPr>
          <w:rFonts w:ascii="Times New Roman" w:hAnsi="Times New Roman" w:cs="Times New Roman"/>
          <w:sz w:val="24"/>
          <w:szCs w:val="24"/>
        </w:rPr>
        <w:t xml:space="preserve">ointegration in </w:t>
      </w:r>
      <w:r w:rsidR="00892FA6">
        <w:rPr>
          <w:rFonts w:ascii="Times New Roman" w:hAnsi="Times New Roman" w:cs="Times New Roman"/>
          <w:sz w:val="24"/>
          <w:szCs w:val="24"/>
        </w:rPr>
        <w:t>m</w:t>
      </w:r>
      <w:r w:rsidRPr="00377D12">
        <w:rPr>
          <w:rFonts w:ascii="Times New Roman" w:hAnsi="Times New Roman" w:cs="Times New Roman"/>
          <w:sz w:val="24"/>
          <w:szCs w:val="24"/>
        </w:rPr>
        <w:t xml:space="preserve">odels with </w:t>
      </w:r>
      <w:r w:rsidR="00892FA6">
        <w:rPr>
          <w:rFonts w:ascii="Times New Roman" w:hAnsi="Times New Roman" w:cs="Times New Roman"/>
          <w:sz w:val="24"/>
          <w:szCs w:val="24"/>
        </w:rPr>
        <w:t>r</w:t>
      </w:r>
      <w:r w:rsidRPr="00377D12">
        <w:rPr>
          <w:rFonts w:ascii="Times New Roman" w:hAnsi="Times New Roman" w:cs="Times New Roman"/>
          <w:sz w:val="24"/>
          <w:szCs w:val="24"/>
        </w:rPr>
        <w:t xml:space="preserve">egime </w:t>
      </w:r>
      <w:r w:rsidR="00892FA6">
        <w:rPr>
          <w:rFonts w:ascii="Times New Roman" w:hAnsi="Times New Roman" w:cs="Times New Roman"/>
          <w:sz w:val="24"/>
          <w:szCs w:val="24"/>
        </w:rPr>
        <w:t>s</w:t>
      </w:r>
      <w:r w:rsidRPr="00377D12">
        <w:rPr>
          <w:rFonts w:ascii="Times New Roman" w:hAnsi="Times New Roman" w:cs="Times New Roman"/>
          <w:sz w:val="24"/>
          <w:szCs w:val="24"/>
        </w:rPr>
        <w:t>hifts</w:t>
      </w:r>
      <w:r w:rsidR="00892FA6">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i/>
          <w:sz w:val="24"/>
          <w:szCs w:val="24"/>
        </w:rPr>
        <w:t>Journal of Econometrics</w:t>
      </w:r>
      <w:r w:rsidR="00B12241" w:rsidRPr="00B12241">
        <w:rPr>
          <w:rFonts w:ascii="Times New Roman" w:hAnsi="Times New Roman" w:cs="Times New Roman"/>
          <w:sz w:val="24"/>
          <w:szCs w:val="24"/>
        </w:rPr>
        <w:t>,</w:t>
      </w:r>
      <w:r w:rsidR="00B12241" w:rsidRPr="00B12241">
        <w:rPr>
          <w:rFonts w:ascii="Times New Roman" w:hAnsi="Times New Roman" w:cs="Times New Roman"/>
          <w:i/>
          <w:sz w:val="24"/>
          <w:szCs w:val="24"/>
        </w:rPr>
        <w:t>70</w:t>
      </w:r>
      <w:r w:rsidR="00892FA6">
        <w:rPr>
          <w:rFonts w:ascii="Times New Roman" w:hAnsi="Times New Roman" w:cs="Times New Roman"/>
          <w:sz w:val="24"/>
          <w:szCs w:val="24"/>
        </w:rPr>
        <w:t>,</w:t>
      </w:r>
      <w:r w:rsidRPr="00377D12">
        <w:rPr>
          <w:rFonts w:ascii="Times New Roman" w:hAnsi="Times New Roman" w:cs="Times New Roman"/>
          <w:sz w:val="24"/>
          <w:szCs w:val="24"/>
        </w:rPr>
        <w:t xml:space="preserve"> 99–126.</w:t>
      </w:r>
    </w:p>
    <w:p w:rsidR="00340410" w:rsidRPr="00D20C4C" w:rsidRDefault="00340410" w:rsidP="00AF6503">
      <w:pPr>
        <w:spacing w:after="0" w:line="480" w:lineRule="auto"/>
        <w:ind w:left="720" w:hanging="720"/>
        <w:rPr>
          <w:rFonts w:ascii="Times New Roman" w:hAnsi="Times New Roman" w:cs="Times New Roman"/>
          <w:sz w:val="24"/>
          <w:szCs w:val="24"/>
        </w:rPr>
      </w:pPr>
      <w:r w:rsidRPr="00D20C4C">
        <w:rPr>
          <w:rFonts w:ascii="Times New Roman" w:hAnsi="Times New Roman" w:cs="Times New Roman"/>
          <w:sz w:val="24"/>
          <w:szCs w:val="24"/>
        </w:rPr>
        <w:t>Hatemi, A. (2008)</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sz w:val="24"/>
          <w:szCs w:val="24"/>
        </w:rPr>
        <w:t xml:space="preserve">Tests for </w:t>
      </w:r>
      <w:r w:rsidR="00BC5471">
        <w:rPr>
          <w:rFonts w:ascii="Times New Roman" w:hAnsi="Times New Roman" w:cs="Times New Roman"/>
          <w:sz w:val="24"/>
          <w:szCs w:val="24"/>
        </w:rPr>
        <w:t>c</w:t>
      </w:r>
      <w:r w:rsidRPr="00D20C4C">
        <w:rPr>
          <w:rFonts w:ascii="Times New Roman" w:hAnsi="Times New Roman" w:cs="Times New Roman"/>
          <w:sz w:val="24"/>
          <w:szCs w:val="24"/>
        </w:rPr>
        <w:t xml:space="preserve">ointegration with </w:t>
      </w:r>
      <w:r w:rsidR="00BC5471">
        <w:rPr>
          <w:rFonts w:ascii="Times New Roman" w:hAnsi="Times New Roman" w:cs="Times New Roman"/>
          <w:sz w:val="24"/>
          <w:szCs w:val="24"/>
        </w:rPr>
        <w:t>t</w:t>
      </w:r>
      <w:r w:rsidRPr="00D20C4C">
        <w:rPr>
          <w:rFonts w:ascii="Times New Roman" w:hAnsi="Times New Roman" w:cs="Times New Roman"/>
          <w:sz w:val="24"/>
          <w:szCs w:val="24"/>
        </w:rPr>
        <w:t xml:space="preserve">wo </w:t>
      </w:r>
      <w:r w:rsidR="00BC5471">
        <w:rPr>
          <w:rFonts w:ascii="Times New Roman" w:hAnsi="Times New Roman" w:cs="Times New Roman"/>
          <w:sz w:val="24"/>
          <w:szCs w:val="24"/>
        </w:rPr>
        <w:t>u</w:t>
      </w:r>
      <w:r w:rsidRPr="00D20C4C">
        <w:rPr>
          <w:rFonts w:ascii="Times New Roman" w:hAnsi="Times New Roman" w:cs="Times New Roman"/>
          <w:sz w:val="24"/>
          <w:szCs w:val="24"/>
        </w:rPr>
        <w:t xml:space="preserve">nknown </w:t>
      </w:r>
      <w:r w:rsidR="00BC5471">
        <w:rPr>
          <w:rFonts w:ascii="Times New Roman" w:hAnsi="Times New Roman" w:cs="Times New Roman"/>
          <w:sz w:val="24"/>
          <w:szCs w:val="24"/>
        </w:rPr>
        <w:t>r</w:t>
      </w:r>
      <w:r w:rsidRPr="00D20C4C">
        <w:rPr>
          <w:rFonts w:ascii="Times New Roman" w:hAnsi="Times New Roman" w:cs="Times New Roman"/>
          <w:sz w:val="24"/>
          <w:szCs w:val="24"/>
        </w:rPr>
        <w:t xml:space="preserve">egime </w:t>
      </w:r>
      <w:r w:rsidR="00BC5471">
        <w:rPr>
          <w:rFonts w:ascii="Times New Roman" w:hAnsi="Times New Roman" w:cs="Times New Roman"/>
          <w:sz w:val="24"/>
          <w:szCs w:val="24"/>
        </w:rPr>
        <w:t>s</w:t>
      </w:r>
      <w:r w:rsidRPr="00D20C4C">
        <w:rPr>
          <w:rFonts w:ascii="Times New Roman" w:hAnsi="Times New Roman" w:cs="Times New Roman"/>
          <w:sz w:val="24"/>
          <w:szCs w:val="24"/>
        </w:rPr>
        <w:t xml:space="preserve">hifts with an </w:t>
      </w:r>
      <w:r w:rsidR="00BC5471">
        <w:rPr>
          <w:rFonts w:ascii="Times New Roman" w:hAnsi="Times New Roman" w:cs="Times New Roman"/>
          <w:sz w:val="24"/>
          <w:szCs w:val="24"/>
        </w:rPr>
        <w:t>a</w:t>
      </w:r>
      <w:r w:rsidRPr="00D20C4C">
        <w:rPr>
          <w:rFonts w:ascii="Times New Roman" w:hAnsi="Times New Roman" w:cs="Times New Roman"/>
          <w:sz w:val="24"/>
          <w:szCs w:val="24"/>
        </w:rPr>
        <w:t xml:space="preserve">pplication to </w:t>
      </w:r>
      <w:r w:rsidR="00BC5471">
        <w:rPr>
          <w:rFonts w:ascii="Times New Roman" w:hAnsi="Times New Roman" w:cs="Times New Roman"/>
          <w:sz w:val="24"/>
          <w:szCs w:val="24"/>
        </w:rPr>
        <w:t>f</w:t>
      </w:r>
      <w:r w:rsidRPr="00D20C4C">
        <w:rPr>
          <w:rFonts w:ascii="Times New Roman" w:hAnsi="Times New Roman" w:cs="Times New Roman"/>
          <w:sz w:val="24"/>
          <w:szCs w:val="24"/>
        </w:rPr>
        <w:t xml:space="preserve">inancial </w:t>
      </w:r>
      <w:r w:rsidR="00BC5471">
        <w:rPr>
          <w:rFonts w:ascii="Times New Roman" w:hAnsi="Times New Roman" w:cs="Times New Roman"/>
          <w:sz w:val="24"/>
          <w:szCs w:val="24"/>
        </w:rPr>
        <w:t>m</w:t>
      </w:r>
      <w:r w:rsidRPr="00D20C4C">
        <w:rPr>
          <w:rFonts w:ascii="Times New Roman" w:hAnsi="Times New Roman" w:cs="Times New Roman"/>
          <w:sz w:val="24"/>
          <w:szCs w:val="24"/>
        </w:rPr>
        <w:t xml:space="preserve">arket </w:t>
      </w:r>
      <w:r w:rsidR="00BC5471">
        <w:rPr>
          <w:rFonts w:ascii="Times New Roman" w:hAnsi="Times New Roman" w:cs="Times New Roman"/>
          <w:sz w:val="24"/>
          <w:szCs w:val="24"/>
        </w:rPr>
        <w:t>i</w:t>
      </w:r>
      <w:r w:rsidRPr="00D20C4C">
        <w:rPr>
          <w:rFonts w:ascii="Times New Roman" w:hAnsi="Times New Roman" w:cs="Times New Roman"/>
          <w:sz w:val="24"/>
          <w:szCs w:val="24"/>
        </w:rPr>
        <w:t>ntegration</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D20C4C">
        <w:rPr>
          <w:rFonts w:ascii="Times New Roman" w:hAnsi="Times New Roman" w:cs="Times New Roman"/>
          <w:i/>
          <w:sz w:val="24"/>
          <w:szCs w:val="24"/>
        </w:rPr>
        <w:t>Empirical Economics</w:t>
      </w:r>
      <w:r w:rsidRPr="00D20C4C">
        <w:rPr>
          <w:rFonts w:ascii="Times New Roman" w:hAnsi="Times New Roman" w:cs="Times New Roman"/>
          <w:sz w:val="24"/>
          <w:szCs w:val="24"/>
        </w:rPr>
        <w:t xml:space="preserve">, </w:t>
      </w:r>
      <w:r w:rsidR="00B12241" w:rsidRPr="00B12241">
        <w:rPr>
          <w:rFonts w:ascii="Times New Roman" w:hAnsi="Times New Roman" w:cs="Times New Roman"/>
          <w:i/>
          <w:sz w:val="24"/>
          <w:szCs w:val="24"/>
        </w:rPr>
        <w:t>35</w:t>
      </w:r>
      <w:r w:rsidR="00892FA6">
        <w:rPr>
          <w:rFonts w:ascii="Times New Roman" w:hAnsi="Times New Roman" w:cs="Times New Roman"/>
          <w:sz w:val="24"/>
          <w:szCs w:val="24"/>
        </w:rPr>
        <w:t>,</w:t>
      </w:r>
      <w:r w:rsidRPr="00D20C4C">
        <w:rPr>
          <w:rFonts w:ascii="Times New Roman" w:hAnsi="Times New Roman" w:cs="Times New Roman"/>
          <w:sz w:val="24"/>
          <w:szCs w:val="24"/>
        </w:rPr>
        <w:t xml:space="preserve"> 497–505.</w:t>
      </w:r>
    </w:p>
    <w:p w:rsidR="00C43FE6" w:rsidRPr="00C43FE6" w:rsidRDefault="00C43FE6" w:rsidP="00AF6503">
      <w:pPr>
        <w:spacing w:after="0" w:line="480" w:lineRule="auto"/>
        <w:ind w:left="720" w:hanging="720"/>
        <w:rPr>
          <w:rFonts w:ascii="Times New Roman" w:hAnsi="Times New Roman" w:cs="Times New Roman"/>
          <w:sz w:val="24"/>
          <w:szCs w:val="24"/>
        </w:rPr>
      </w:pPr>
      <w:r w:rsidRPr="00C43FE6">
        <w:rPr>
          <w:rFonts w:ascii="Times New Roman" w:hAnsi="Times New Roman" w:cs="Times New Roman"/>
          <w:sz w:val="24"/>
          <w:szCs w:val="24"/>
        </w:rPr>
        <w:t>Kearney, C.</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Lucey, B. (2004)</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 xml:space="preserve">International </w:t>
      </w:r>
      <w:r w:rsidR="00BC5471">
        <w:rPr>
          <w:rFonts w:ascii="Times New Roman" w:hAnsi="Times New Roman" w:cs="Times New Roman"/>
          <w:sz w:val="24"/>
          <w:szCs w:val="24"/>
        </w:rPr>
        <w:t>e</w:t>
      </w:r>
      <w:r w:rsidRPr="00C43FE6">
        <w:rPr>
          <w:rFonts w:ascii="Times New Roman" w:hAnsi="Times New Roman" w:cs="Times New Roman"/>
          <w:sz w:val="24"/>
          <w:szCs w:val="24"/>
        </w:rPr>
        <w:t xml:space="preserve">quity </w:t>
      </w:r>
      <w:r w:rsidR="00BC5471">
        <w:rPr>
          <w:rFonts w:ascii="Times New Roman" w:hAnsi="Times New Roman" w:cs="Times New Roman"/>
          <w:sz w:val="24"/>
          <w:szCs w:val="24"/>
        </w:rPr>
        <w:t>m</w:t>
      </w:r>
      <w:r w:rsidRPr="00C43FE6">
        <w:rPr>
          <w:rFonts w:ascii="Times New Roman" w:hAnsi="Times New Roman" w:cs="Times New Roman"/>
          <w:sz w:val="24"/>
          <w:szCs w:val="24"/>
        </w:rPr>
        <w:t xml:space="preserve">arket </w:t>
      </w:r>
      <w:r w:rsidR="00BC5471">
        <w:rPr>
          <w:rFonts w:ascii="Times New Roman" w:hAnsi="Times New Roman" w:cs="Times New Roman"/>
          <w:sz w:val="24"/>
          <w:szCs w:val="24"/>
        </w:rPr>
        <w:t>i</w:t>
      </w:r>
      <w:r w:rsidRPr="00C43FE6">
        <w:rPr>
          <w:rFonts w:ascii="Times New Roman" w:hAnsi="Times New Roman" w:cs="Times New Roman"/>
          <w:sz w:val="24"/>
          <w:szCs w:val="24"/>
        </w:rPr>
        <w:t xml:space="preserve">ntegration: Theory, </w:t>
      </w:r>
      <w:r w:rsidR="00BC5471">
        <w:rPr>
          <w:rFonts w:ascii="Times New Roman" w:hAnsi="Times New Roman" w:cs="Times New Roman"/>
          <w:sz w:val="24"/>
          <w:szCs w:val="24"/>
        </w:rPr>
        <w:t>e</w:t>
      </w:r>
      <w:r w:rsidRPr="00C43FE6">
        <w:rPr>
          <w:rFonts w:ascii="Times New Roman" w:hAnsi="Times New Roman" w:cs="Times New Roman"/>
          <w:sz w:val="24"/>
          <w:szCs w:val="24"/>
        </w:rPr>
        <w:t xml:space="preserve">vidence and </w:t>
      </w:r>
      <w:r w:rsidR="00BC5471">
        <w:rPr>
          <w:rFonts w:ascii="Times New Roman" w:hAnsi="Times New Roman" w:cs="Times New Roman"/>
          <w:sz w:val="24"/>
          <w:szCs w:val="24"/>
        </w:rPr>
        <w:t>i</w:t>
      </w:r>
      <w:r w:rsidRPr="00C43FE6">
        <w:rPr>
          <w:rFonts w:ascii="Times New Roman" w:hAnsi="Times New Roman" w:cs="Times New Roman"/>
          <w:sz w:val="24"/>
          <w:szCs w:val="24"/>
        </w:rPr>
        <w:t>mplications</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i/>
          <w:sz w:val="24"/>
          <w:szCs w:val="24"/>
        </w:rPr>
        <w:t>International Review of Financial Analysis</w:t>
      </w:r>
      <w:r w:rsidRPr="00C43FE6">
        <w:rPr>
          <w:rFonts w:ascii="Times New Roman" w:hAnsi="Times New Roman" w:cs="Times New Roman"/>
          <w:sz w:val="24"/>
          <w:szCs w:val="24"/>
        </w:rPr>
        <w:t xml:space="preserve">, </w:t>
      </w:r>
      <w:r w:rsidR="00B12241" w:rsidRPr="00B12241">
        <w:rPr>
          <w:rFonts w:ascii="Times New Roman" w:hAnsi="Times New Roman" w:cs="Times New Roman"/>
          <w:i/>
          <w:sz w:val="24"/>
          <w:szCs w:val="24"/>
        </w:rPr>
        <w:t>13</w:t>
      </w:r>
      <w:r w:rsidR="00BC5471">
        <w:rPr>
          <w:rFonts w:ascii="Times New Roman" w:hAnsi="Times New Roman" w:cs="Times New Roman"/>
          <w:sz w:val="24"/>
          <w:szCs w:val="24"/>
        </w:rPr>
        <w:t>,</w:t>
      </w:r>
      <w:r w:rsidRPr="00C43FE6">
        <w:rPr>
          <w:rFonts w:ascii="Times New Roman" w:hAnsi="Times New Roman" w:cs="Times New Roman"/>
          <w:sz w:val="24"/>
          <w:szCs w:val="24"/>
        </w:rPr>
        <w:t xml:space="preserve"> 571–583.</w:t>
      </w:r>
    </w:p>
    <w:p w:rsidR="00166050" w:rsidRPr="00945099" w:rsidRDefault="00166050" w:rsidP="00AF6503">
      <w:pPr>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Kilian, L.</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Park, C. (2009)</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The </w:t>
      </w:r>
      <w:r w:rsidR="00BC5471">
        <w:rPr>
          <w:rFonts w:ascii="Times New Roman" w:hAnsi="Times New Roman" w:cs="Times New Roman"/>
          <w:sz w:val="24"/>
          <w:szCs w:val="24"/>
        </w:rPr>
        <w:t>i</w:t>
      </w:r>
      <w:r w:rsidRPr="00945099">
        <w:rPr>
          <w:rFonts w:ascii="Times New Roman" w:hAnsi="Times New Roman" w:cs="Times New Roman"/>
          <w:sz w:val="24"/>
          <w:szCs w:val="24"/>
        </w:rPr>
        <w:t xml:space="preserve">mpact of </w:t>
      </w:r>
      <w:r w:rsidR="00BC5471">
        <w:rPr>
          <w:rFonts w:ascii="Times New Roman" w:hAnsi="Times New Roman" w:cs="Times New Roman"/>
          <w:sz w:val="24"/>
          <w:szCs w:val="24"/>
        </w:rPr>
        <w:t>o</w:t>
      </w:r>
      <w:r w:rsidRPr="00945099">
        <w:rPr>
          <w:rFonts w:ascii="Times New Roman" w:hAnsi="Times New Roman" w:cs="Times New Roman"/>
          <w:sz w:val="24"/>
          <w:szCs w:val="24"/>
        </w:rPr>
        <w:t xml:space="preserve">il </w:t>
      </w:r>
      <w:r w:rsidR="00BC5471">
        <w:rPr>
          <w:rFonts w:ascii="Times New Roman" w:hAnsi="Times New Roman" w:cs="Times New Roman"/>
          <w:sz w:val="24"/>
          <w:szCs w:val="24"/>
        </w:rPr>
        <w:t>p</w:t>
      </w:r>
      <w:r w:rsidRPr="00945099">
        <w:rPr>
          <w:rFonts w:ascii="Times New Roman" w:hAnsi="Times New Roman" w:cs="Times New Roman"/>
          <w:sz w:val="24"/>
          <w:szCs w:val="24"/>
        </w:rPr>
        <w:t xml:space="preserve">rice </w:t>
      </w:r>
      <w:r w:rsidR="00BC5471">
        <w:rPr>
          <w:rFonts w:ascii="Times New Roman" w:hAnsi="Times New Roman" w:cs="Times New Roman"/>
          <w:sz w:val="24"/>
          <w:szCs w:val="24"/>
        </w:rPr>
        <w:t>s</w:t>
      </w:r>
      <w:r w:rsidRPr="00945099">
        <w:rPr>
          <w:rFonts w:ascii="Times New Roman" w:hAnsi="Times New Roman" w:cs="Times New Roman"/>
          <w:sz w:val="24"/>
          <w:szCs w:val="24"/>
        </w:rPr>
        <w:t xml:space="preserve">hocks on the US </w:t>
      </w:r>
      <w:r w:rsidR="00BC5471">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BC5471">
        <w:rPr>
          <w:rFonts w:ascii="Times New Roman" w:hAnsi="Times New Roman" w:cs="Times New Roman"/>
          <w:sz w:val="24"/>
          <w:szCs w:val="24"/>
        </w:rPr>
        <w:t>m</w:t>
      </w:r>
      <w:r w:rsidRPr="00945099">
        <w:rPr>
          <w:rFonts w:ascii="Times New Roman" w:hAnsi="Times New Roman" w:cs="Times New Roman"/>
          <w:sz w:val="24"/>
          <w:szCs w:val="24"/>
        </w:rPr>
        <w:t>arket</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International Economic Review</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50</w:t>
      </w:r>
      <w:r w:rsidRPr="00945099">
        <w:rPr>
          <w:rFonts w:ascii="Times New Roman" w:hAnsi="Times New Roman" w:cs="Times New Roman"/>
          <w:sz w:val="24"/>
          <w:szCs w:val="24"/>
        </w:rPr>
        <w:t>(4)</w:t>
      </w:r>
      <w:r w:rsidR="00BC5471">
        <w:rPr>
          <w:rFonts w:ascii="Times New Roman" w:hAnsi="Times New Roman" w:cs="Times New Roman"/>
          <w:sz w:val="24"/>
          <w:szCs w:val="24"/>
        </w:rPr>
        <w:t>,</w:t>
      </w:r>
      <w:r w:rsidRPr="00945099">
        <w:rPr>
          <w:rFonts w:ascii="Times New Roman" w:hAnsi="Times New Roman" w:cs="Times New Roman"/>
          <w:sz w:val="24"/>
          <w:szCs w:val="24"/>
        </w:rPr>
        <w:t xml:space="preserve"> 1267–1287.</w:t>
      </w:r>
    </w:p>
    <w:p w:rsidR="00166050" w:rsidRPr="00945099" w:rsidRDefault="00166050" w:rsidP="00AF6503">
      <w:pPr>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Kim, S., Moshirian, F.</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Pr="00945099">
        <w:rPr>
          <w:rFonts w:ascii="Times New Roman" w:hAnsi="Times New Roman" w:cs="Times New Roman"/>
          <w:sz w:val="24"/>
          <w:szCs w:val="24"/>
        </w:rPr>
        <w:t xml:space="preserve"> Wu, E. (2005)</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Dynamic </w:t>
      </w:r>
      <w:r w:rsidR="00BC5471">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BC5471">
        <w:rPr>
          <w:rFonts w:ascii="Times New Roman" w:hAnsi="Times New Roman" w:cs="Times New Roman"/>
          <w:sz w:val="24"/>
          <w:szCs w:val="24"/>
        </w:rPr>
        <w:t>m</w:t>
      </w:r>
      <w:r w:rsidRPr="00945099">
        <w:rPr>
          <w:rFonts w:ascii="Times New Roman" w:hAnsi="Times New Roman" w:cs="Times New Roman"/>
          <w:sz w:val="24"/>
          <w:szCs w:val="24"/>
        </w:rPr>
        <w:t xml:space="preserve">arket </w:t>
      </w:r>
      <w:r w:rsidR="00BC5471">
        <w:rPr>
          <w:rFonts w:ascii="Times New Roman" w:hAnsi="Times New Roman" w:cs="Times New Roman"/>
          <w:sz w:val="24"/>
          <w:szCs w:val="24"/>
        </w:rPr>
        <w:t>i</w:t>
      </w:r>
      <w:r w:rsidRPr="00945099">
        <w:rPr>
          <w:rFonts w:ascii="Times New Roman" w:hAnsi="Times New Roman" w:cs="Times New Roman"/>
          <w:sz w:val="24"/>
          <w:szCs w:val="24"/>
        </w:rPr>
        <w:t xml:space="preserve">ntegration </w:t>
      </w:r>
      <w:r w:rsidR="00BC5471">
        <w:rPr>
          <w:rFonts w:ascii="Times New Roman" w:hAnsi="Times New Roman" w:cs="Times New Roman"/>
          <w:sz w:val="24"/>
          <w:szCs w:val="24"/>
        </w:rPr>
        <w:t>d</w:t>
      </w:r>
      <w:r w:rsidRPr="00945099">
        <w:rPr>
          <w:rFonts w:ascii="Times New Roman" w:hAnsi="Times New Roman" w:cs="Times New Roman"/>
          <w:sz w:val="24"/>
          <w:szCs w:val="24"/>
        </w:rPr>
        <w:t xml:space="preserve">riven by the European Monetary Union: An </w:t>
      </w:r>
      <w:r w:rsidR="00BC5471">
        <w:rPr>
          <w:rFonts w:ascii="Times New Roman" w:hAnsi="Times New Roman" w:cs="Times New Roman"/>
          <w:sz w:val="24"/>
          <w:szCs w:val="24"/>
        </w:rPr>
        <w:t>e</w:t>
      </w:r>
      <w:r w:rsidRPr="00945099">
        <w:rPr>
          <w:rFonts w:ascii="Times New Roman" w:hAnsi="Times New Roman" w:cs="Times New Roman"/>
          <w:sz w:val="24"/>
          <w:szCs w:val="24"/>
        </w:rPr>
        <w:t xml:space="preserve">mpirical </w:t>
      </w:r>
      <w:r w:rsidR="00BC5471">
        <w:rPr>
          <w:rFonts w:ascii="Times New Roman" w:hAnsi="Times New Roman" w:cs="Times New Roman"/>
          <w:sz w:val="24"/>
          <w:szCs w:val="24"/>
        </w:rPr>
        <w:t>a</w:t>
      </w:r>
      <w:r w:rsidRPr="00945099">
        <w:rPr>
          <w:rFonts w:ascii="Times New Roman" w:hAnsi="Times New Roman" w:cs="Times New Roman"/>
          <w:sz w:val="24"/>
          <w:szCs w:val="24"/>
        </w:rPr>
        <w:t>nalysis</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Journal of Banking and Finance</w:t>
      </w:r>
      <w:r w:rsidRPr="00945099">
        <w:rPr>
          <w:rFonts w:ascii="Times New Roman" w:hAnsi="Times New Roman" w:cs="Times New Roman"/>
          <w:sz w:val="24"/>
          <w:szCs w:val="24"/>
        </w:rPr>
        <w:t xml:space="preserve">, </w:t>
      </w:r>
      <w:r w:rsidR="00B12241" w:rsidRPr="00B12241">
        <w:rPr>
          <w:rFonts w:ascii="Times New Roman" w:hAnsi="Times New Roman" w:cs="Times New Roman"/>
          <w:i/>
          <w:sz w:val="24"/>
          <w:szCs w:val="24"/>
        </w:rPr>
        <w:t>29</w:t>
      </w:r>
      <w:r w:rsidRPr="00945099">
        <w:rPr>
          <w:rFonts w:ascii="Times New Roman" w:hAnsi="Times New Roman" w:cs="Times New Roman"/>
          <w:sz w:val="24"/>
          <w:szCs w:val="24"/>
        </w:rPr>
        <w:t>(10)</w:t>
      </w:r>
      <w:r w:rsidR="00BC5471">
        <w:rPr>
          <w:rFonts w:ascii="Times New Roman" w:hAnsi="Times New Roman" w:cs="Times New Roman"/>
          <w:sz w:val="24"/>
          <w:szCs w:val="24"/>
        </w:rPr>
        <w:t>,</w:t>
      </w:r>
      <w:r w:rsidRPr="00945099">
        <w:rPr>
          <w:rFonts w:ascii="Times New Roman" w:hAnsi="Times New Roman" w:cs="Times New Roman"/>
          <w:sz w:val="24"/>
          <w:szCs w:val="24"/>
        </w:rPr>
        <w:t xml:space="preserve"> 2475–2502.</w:t>
      </w:r>
    </w:p>
    <w:p w:rsidR="00166050" w:rsidRDefault="00166050" w:rsidP="00AF6503">
      <w:pPr>
        <w:spacing w:after="0" w:line="480" w:lineRule="auto"/>
        <w:ind w:left="720" w:right="282" w:hanging="720"/>
        <w:rPr>
          <w:rFonts w:ascii="Times New Roman" w:hAnsi="Times New Roman" w:cs="Times New Roman"/>
          <w:sz w:val="24"/>
          <w:szCs w:val="24"/>
        </w:rPr>
      </w:pPr>
      <w:r w:rsidRPr="00C43FE6">
        <w:rPr>
          <w:rFonts w:ascii="Times New Roman" w:hAnsi="Times New Roman" w:cs="Times New Roman"/>
          <w:sz w:val="24"/>
          <w:szCs w:val="24"/>
        </w:rPr>
        <w:t>Kizys, R.</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Pierdzioch, C. (2006)</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Business</w:t>
      </w:r>
      <w:r w:rsidR="00334BE1">
        <w:rPr>
          <w:rFonts w:ascii="Times New Roman" w:hAnsi="Times New Roman" w:cs="Times New Roman"/>
          <w:sz w:val="24"/>
          <w:szCs w:val="24"/>
        </w:rPr>
        <w:t>-</w:t>
      </w:r>
      <w:r w:rsidR="00BC5471">
        <w:rPr>
          <w:rFonts w:ascii="Times New Roman" w:hAnsi="Times New Roman" w:cs="Times New Roman"/>
          <w:sz w:val="24"/>
          <w:szCs w:val="24"/>
        </w:rPr>
        <w:t>c</w:t>
      </w:r>
      <w:r w:rsidRPr="00C43FE6">
        <w:rPr>
          <w:rFonts w:ascii="Times New Roman" w:hAnsi="Times New Roman" w:cs="Times New Roman"/>
          <w:sz w:val="24"/>
          <w:szCs w:val="24"/>
        </w:rPr>
        <w:t xml:space="preserve">ycle </w:t>
      </w:r>
      <w:r w:rsidR="00BC5471">
        <w:rPr>
          <w:rFonts w:ascii="Times New Roman" w:hAnsi="Times New Roman" w:cs="Times New Roman"/>
          <w:sz w:val="24"/>
          <w:szCs w:val="24"/>
        </w:rPr>
        <w:t>f</w:t>
      </w:r>
      <w:r w:rsidRPr="00C43FE6">
        <w:rPr>
          <w:rFonts w:ascii="Times New Roman" w:hAnsi="Times New Roman" w:cs="Times New Roman"/>
          <w:sz w:val="24"/>
          <w:szCs w:val="24"/>
        </w:rPr>
        <w:t xml:space="preserve">luctuations and </w:t>
      </w:r>
      <w:r w:rsidR="00BC5471">
        <w:rPr>
          <w:rFonts w:ascii="Times New Roman" w:hAnsi="Times New Roman" w:cs="Times New Roman"/>
          <w:sz w:val="24"/>
          <w:szCs w:val="24"/>
        </w:rPr>
        <w:t>i</w:t>
      </w:r>
      <w:r w:rsidRPr="00C43FE6">
        <w:rPr>
          <w:rFonts w:ascii="Times New Roman" w:hAnsi="Times New Roman" w:cs="Times New Roman"/>
          <w:sz w:val="24"/>
          <w:szCs w:val="24"/>
        </w:rPr>
        <w:t xml:space="preserve">nternational </w:t>
      </w:r>
      <w:r w:rsidR="00BC5471">
        <w:rPr>
          <w:rFonts w:ascii="Times New Roman" w:hAnsi="Times New Roman" w:cs="Times New Roman"/>
          <w:sz w:val="24"/>
          <w:szCs w:val="24"/>
        </w:rPr>
        <w:t>e</w:t>
      </w:r>
      <w:r w:rsidRPr="00C43FE6">
        <w:rPr>
          <w:rFonts w:ascii="Times New Roman" w:hAnsi="Times New Roman" w:cs="Times New Roman"/>
          <w:sz w:val="24"/>
          <w:szCs w:val="24"/>
        </w:rPr>
        <w:t xml:space="preserve">quity </w:t>
      </w:r>
      <w:r w:rsidR="00BC5471">
        <w:rPr>
          <w:rFonts w:ascii="Times New Roman" w:hAnsi="Times New Roman" w:cs="Times New Roman"/>
          <w:sz w:val="24"/>
          <w:szCs w:val="24"/>
        </w:rPr>
        <w:t>c</w:t>
      </w:r>
      <w:r w:rsidRPr="00C43FE6">
        <w:rPr>
          <w:rFonts w:ascii="Times New Roman" w:hAnsi="Times New Roman" w:cs="Times New Roman"/>
          <w:sz w:val="24"/>
          <w:szCs w:val="24"/>
        </w:rPr>
        <w:t>orrelations</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i/>
          <w:sz w:val="24"/>
          <w:szCs w:val="24"/>
        </w:rPr>
        <w:t>Global Finance Journal</w:t>
      </w:r>
      <w:r w:rsidRPr="00C43FE6">
        <w:rPr>
          <w:rFonts w:ascii="Times New Roman" w:hAnsi="Times New Roman" w:cs="Times New Roman"/>
          <w:sz w:val="24"/>
          <w:szCs w:val="24"/>
        </w:rPr>
        <w:t xml:space="preserve">, </w:t>
      </w:r>
      <w:r w:rsidR="00B12241" w:rsidRPr="00B12241">
        <w:rPr>
          <w:rFonts w:ascii="Times New Roman" w:hAnsi="Times New Roman" w:cs="Times New Roman"/>
          <w:i/>
          <w:sz w:val="24"/>
          <w:szCs w:val="24"/>
        </w:rPr>
        <w:t>17</w:t>
      </w:r>
      <w:r w:rsidR="00BC5471">
        <w:rPr>
          <w:rFonts w:ascii="Times New Roman" w:hAnsi="Times New Roman" w:cs="Times New Roman"/>
          <w:sz w:val="24"/>
          <w:szCs w:val="24"/>
        </w:rPr>
        <w:t>,</w:t>
      </w:r>
      <w:r w:rsidRPr="00C43FE6">
        <w:rPr>
          <w:rFonts w:ascii="Times New Roman" w:hAnsi="Times New Roman" w:cs="Times New Roman"/>
          <w:sz w:val="24"/>
          <w:szCs w:val="24"/>
        </w:rPr>
        <w:t xml:space="preserve"> 252–270.</w:t>
      </w:r>
    </w:p>
    <w:p w:rsidR="00F30995" w:rsidRDefault="00F30995" w:rsidP="00AF6503">
      <w:pPr>
        <w:spacing w:after="0" w:line="480" w:lineRule="auto"/>
        <w:ind w:left="720" w:right="282" w:hanging="720"/>
        <w:rPr>
          <w:rFonts w:ascii="Times New Roman" w:hAnsi="Times New Roman" w:cs="Times New Roman"/>
          <w:sz w:val="24"/>
          <w:szCs w:val="24"/>
        </w:rPr>
      </w:pPr>
      <w:r>
        <w:rPr>
          <w:rFonts w:ascii="Times New Roman" w:hAnsi="Times New Roman" w:cs="Times New Roman"/>
          <w:sz w:val="24"/>
          <w:szCs w:val="24"/>
        </w:rPr>
        <w:lastRenderedPageBreak/>
        <w:t xml:space="preserve">Kose, A., Otrok, C.,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Pr>
          <w:rFonts w:ascii="Times New Roman" w:hAnsi="Times New Roman" w:cs="Times New Roman"/>
          <w:sz w:val="24"/>
          <w:szCs w:val="24"/>
        </w:rPr>
        <w:t>Prasad, E. (2012)</w:t>
      </w:r>
      <w:r w:rsidR="00BC5471">
        <w:rPr>
          <w:rFonts w:ascii="Times New Roman" w:hAnsi="Times New Roman" w:cs="Times New Roman"/>
          <w:sz w:val="24"/>
          <w:szCs w:val="24"/>
        </w:rPr>
        <w:t>.</w:t>
      </w:r>
      <w:r w:rsidR="00075C63">
        <w:rPr>
          <w:rFonts w:ascii="Times New Roman" w:hAnsi="Times New Roman" w:cs="Times New Roman"/>
          <w:sz w:val="24"/>
          <w:szCs w:val="24"/>
        </w:rPr>
        <w:t xml:space="preserve"> </w:t>
      </w:r>
      <w:r>
        <w:rPr>
          <w:rFonts w:ascii="Times New Roman" w:hAnsi="Times New Roman" w:cs="Times New Roman"/>
          <w:sz w:val="24"/>
          <w:szCs w:val="24"/>
        </w:rPr>
        <w:t xml:space="preserve">Global </w:t>
      </w:r>
      <w:r w:rsidR="00BC5471">
        <w:rPr>
          <w:rFonts w:ascii="Times New Roman" w:hAnsi="Times New Roman" w:cs="Times New Roman"/>
          <w:sz w:val="24"/>
          <w:szCs w:val="24"/>
        </w:rPr>
        <w:t>b</w:t>
      </w:r>
      <w:r>
        <w:rPr>
          <w:rFonts w:ascii="Times New Roman" w:hAnsi="Times New Roman" w:cs="Times New Roman"/>
          <w:sz w:val="24"/>
          <w:szCs w:val="24"/>
        </w:rPr>
        <w:t xml:space="preserve">usiness </w:t>
      </w:r>
      <w:r w:rsidR="00BC5471">
        <w:rPr>
          <w:rFonts w:ascii="Times New Roman" w:hAnsi="Times New Roman" w:cs="Times New Roman"/>
          <w:sz w:val="24"/>
          <w:szCs w:val="24"/>
        </w:rPr>
        <w:t>c</w:t>
      </w:r>
      <w:r>
        <w:rPr>
          <w:rFonts w:ascii="Times New Roman" w:hAnsi="Times New Roman" w:cs="Times New Roman"/>
          <w:sz w:val="24"/>
          <w:szCs w:val="24"/>
        </w:rPr>
        <w:t xml:space="preserve">ycles: Convergence or </w:t>
      </w:r>
      <w:r w:rsidR="00BC5471">
        <w:rPr>
          <w:rFonts w:ascii="Times New Roman" w:hAnsi="Times New Roman" w:cs="Times New Roman"/>
          <w:sz w:val="24"/>
          <w:szCs w:val="24"/>
        </w:rPr>
        <w:t>d</w:t>
      </w:r>
      <w:r>
        <w:rPr>
          <w:rFonts w:ascii="Times New Roman" w:hAnsi="Times New Roman" w:cs="Times New Roman"/>
          <w:sz w:val="24"/>
          <w:szCs w:val="24"/>
        </w:rPr>
        <w:t>ecoupling?</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International Economic Review</w:t>
      </w:r>
      <w:r>
        <w:rPr>
          <w:rFonts w:ascii="Times New Roman" w:hAnsi="Times New Roman" w:cs="Times New Roman"/>
          <w:sz w:val="24"/>
          <w:szCs w:val="24"/>
        </w:rPr>
        <w:t xml:space="preserve">, </w:t>
      </w:r>
      <w:r w:rsidR="00B12241" w:rsidRPr="00B12241">
        <w:rPr>
          <w:rFonts w:ascii="Times New Roman" w:hAnsi="Times New Roman" w:cs="Times New Roman"/>
          <w:i/>
          <w:sz w:val="24"/>
          <w:szCs w:val="24"/>
        </w:rPr>
        <w:t>53</w:t>
      </w:r>
      <w:r>
        <w:rPr>
          <w:rFonts w:ascii="Times New Roman" w:hAnsi="Times New Roman" w:cs="Times New Roman"/>
          <w:sz w:val="24"/>
          <w:szCs w:val="24"/>
        </w:rPr>
        <w:t>(2)</w:t>
      </w:r>
      <w:r w:rsidR="00BC5471">
        <w:rPr>
          <w:rFonts w:ascii="Times New Roman" w:hAnsi="Times New Roman" w:cs="Times New Roman"/>
          <w:sz w:val="24"/>
          <w:szCs w:val="24"/>
        </w:rPr>
        <w:t>,</w:t>
      </w:r>
      <w:r>
        <w:rPr>
          <w:rFonts w:ascii="Times New Roman" w:hAnsi="Times New Roman" w:cs="Times New Roman"/>
          <w:sz w:val="24"/>
          <w:szCs w:val="24"/>
        </w:rPr>
        <w:t xml:space="preserve"> 511–538.</w:t>
      </w:r>
    </w:p>
    <w:p w:rsidR="00D20C4C" w:rsidRPr="008529E4" w:rsidRDefault="00D20C4C" w:rsidP="00AF6503">
      <w:pPr>
        <w:spacing w:after="0" w:line="480" w:lineRule="auto"/>
        <w:ind w:left="720" w:hanging="720"/>
        <w:rPr>
          <w:rFonts w:ascii="Times New Roman" w:hAnsi="Times New Roman" w:cs="Times New Roman"/>
          <w:sz w:val="24"/>
          <w:szCs w:val="24"/>
        </w:rPr>
      </w:pPr>
      <w:r w:rsidRPr="008529E4">
        <w:rPr>
          <w:rFonts w:ascii="Times New Roman" w:hAnsi="Times New Roman" w:cs="Times New Roman"/>
          <w:sz w:val="24"/>
          <w:szCs w:val="24"/>
        </w:rPr>
        <w:t>Kroner, K.</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Pr="008529E4">
        <w:rPr>
          <w:rFonts w:ascii="Times New Roman" w:hAnsi="Times New Roman" w:cs="Times New Roman"/>
          <w:sz w:val="24"/>
          <w:szCs w:val="24"/>
        </w:rPr>
        <w:t xml:space="preserve"> Ng, V. (1998)</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8529E4">
        <w:rPr>
          <w:rFonts w:ascii="Times New Roman" w:hAnsi="Times New Roman" w:cs="Times New Roman"/>
          <w:sz w:val="24"/>
          <w:szCs w:val="24"/>
        </w:rPr>
        <w:t xml:space="preserve">Modelling </w:t>
      </w:r>
      <w:r w:rsidR="00BC5471">
        <w:rPr>
          <w:rFonts w:ascii="Times New Roman" w:hAnsi="Times New Roman" w:cs="Times New Roman"/>
          <w:sz w:val="24"/>
          <w:szCs w:val="24"/>
        </w:rPr>
        <w:t>a</w:t>
      </w:r>
      <w:r w:rsidRPr="008529E4">
        <w:rPr>
          <w:rFonts w:ascii="Times New Roman" w:hAnsi="Times New Roman" w:cs="Times New Roman"/>
          <w:sz w:val="24"/>
          <w:szCs w:val="24"/>
        </w:rPr>
        <w:t xml:space="preserve">symmetric </w:t>
      </w:r>
      <w:r w:rsidR="00BC5471">
        <w:rPr>
          <w:rFonts w:ascii="Times New Roman" w:hAnsi="Times New Roman" w:cs="Times New Roman"/>
          <w:sz w:val="24"/>
          <w:szCs w:val="24"/>
        </w:rPr>
        <w:t>c</w:t>
      </w:r>
      <w:r w:rsidRPr="008529E4">
        <w:rPr>
          <w:rFonts w:ascii="Times New Roman" w:hAnsi="Times New Roman" w:cs="Times New Roman"/>
          <w:sz w:val="24"/>
          <w:szCs w:val="24"/>
        </w:rPr>
        <w:t xml:space="preserve">omovements of </w:t>
      </w:r>
      <w:r w:rsidR="00BC5471">
        <w:rPr>
          <w:rFonts w:ascii="Times New Roman" w:hAnsi="Times New Roman" w:cs="Times New Roman"/>
          <w:sz w:val="24"/>
          <w:szCs w:val="24"/>
        </w:rPr>
        <w:t>a</w:t>
      </w:r>
      <w:r w:rsidRPr="008529E4">
        <w:rPr>
          <w:rFonts w:ascii="Times New Roman" w:hAnsi="Times New Roman" w:cs="Times New Roman"/>
          <w:sz w:val="24"/>
          <w:szCs w:val="24"/>
        </w:rPr>
        <w:t xml:space="preserve">sset </w:t>
      </w:r>
      <w:r w:rsidR="00BC5471">
        <w:rPr>
          <w:rFonts w:ascii="Times New Roman" w:hAnsi="Times New Roman" w:cs="Times New Roman"/>
          <w:sz w:val="24"/>
          <w:szCs w:val="24"/>
        </w:rPr>
        <w:t>r</w:t>
      </w:r>
      <w:r w:rsidRPr="008529E4">
        <w:rPr>
          <w:rFonts w:ascii="Times New Roman" w:hAnsi="Times New Roman" w:cs="Times New Roman"/>
          <w:sz w:val="24"/>
          <w:szCs w:val="24"/>
        </w:rPr>
        <w:t>eturns</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8529E4">
        <w:rPr>
          <w:rFonts w:ascii="Times New Roman" w:hAnsi="Times New Roman" w:cs="Times New Roman"/>
          <w:i/>
          <w:sz w:val="24"/>
          <w:szCs w:val="24"/>
        </w:rPr>
        <w:t>Review of Financial Studies</w:t>
      </w:r>
      <w:r w:rsidRPr="008529E4">
        <w:rPr>
          <w:rFonts w:ascii="Times New Roman" w:hAnsi="Times New Roman" w:cs="Times New Roman"/>
          <w:sz w:val="24"/>
          <w:szCs w:val="24"/>
        </w:rPr>
        <w:t xml:space="preserve">, </w:t>
      </w:r>
      <w:r w:rsidR="00B12241" w:rsidRPr="00B12241">
        <w:rPr>
          <w:rFonts w:ascii="Times New Roman" w:hAnsi="Times New Roman" w:cs="Times New Roman"/>
          <w:i/>
          <w:sz w:val="24"/>
          <w:szCs w:val="24"/>
        </w:rPr>
        <w:t>11</w:t>
      </w:r>
      <w:r w:rsidRPr="008529E4">
        <w:rPr>
          <w:rFonts w:ascii="Times New Roman" w:hAnsi="Times New Roman" w:cs="Times New Roman"/>
          <w:sz w:val="24"/>
          <w:szCs w:val="24"/>
        </w:rPr>
        <w:t>(4)</w:t>
      </w:r>
      <w:r w:rsidR="00BC5471">
        <w:rPr>
          <w:rFonts w:ascii="Times New Roman" w:hAnsi="Times New Roman" w:cs="Times New Roman"/>
          <w:sz w:val="24"/>
          <w:szCs w:val="24"/>
        </w:rPr>
        <w:t>,</w:t>
      </w:r>
      <w:r w:rsidRPr="008529E4">
        <w:rPr>
          <w:rFonts w:ascii="Times New Roman" w:hAnsi="Times New Roman" w:cs="Times New Roman"/>
          <w:sz w:val="24"/>
          <w:szCs w:val="24"/>
        </w:rPr>
        <w:t xml:space="preserve"> 817–844.</w:t>
      </w:r>
    </w:p>
    <w:p w:rsidR="00127C0D" w:rsidRPr="00C43FE6" w:rsidRDefault="00127C0D" w:rsidP="00AF6503">
      <w:pPr>
        <w:autoSpaceDE w:val="0"/>
        <w:autoSpaceDN w:val="0"/>
        <w:adjustRightInd w:val="0"/>
        <w:spacing w:after="0" w:line="480" w:lineRule="auto"/>
        <w:ind w:left="720" w:hanging="720"/>
        <w:rPr>
          <w:rFonts w:ascii="Times New Roman" w:hAnsi="Times New Roman" w:cs="Times New Roman"/>
          <w:sz w:val="24"/>
          <w:szCs w:val="24"/>
        </w:rPr>
      </w:pPr>
      <w:r w:rsidRPr="00C43FE6">
        <w:rPr>
          <w:rFonts w:ascii="Times New Roman" w:hAnsi="Times New Roman" w:cs="Times New Roman"/>
          <w:sz w:val="24"/>
          <w:szCs w:val="24"/>
        </w:rPr>
        <w:t>Longin</w:t>
      </w:r>
      <w:r w:rsidR="00166CA0">
        <w:rPr>
          <w:rFonts w:ascii="Times New Roman" w:hAnsi="Times New Roman" w:cs="Times New Roman"/>
          <w:sz w:val="24"/>
          <w:szCs w:val="24"/>
        </w:rPr>
        <w:t xml:space="preserve">, </w:t>
      </w:r>
      <w:r w:rsidRPr="00C43FE6">
        <w:rPr>
          <w:rFonts w:ascii="Times New Roman" w:hAnsi="Times New Roman" w:cs="Times New Roman"/>
          <w:sz w:val="24"/>
          <w:szCs w:val="24"/>
        </w:rPr>
        <w:t>F.</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Solnik</w:t>
      </w:r>
      <w:r w:rsidR="00166CA0">
        <w:rPr>
          <w:rFonts w:ascii="Times New Roman" w:hAnsi="Times New Roman" w:cs="Times New Roman"/>
          <w:sz w:val="24"/>
          <w:szCs w:val="24"/>
        </w:rPr>
        <w:t>,</w:t>
      </w:r>
      <w:r w:rsidRPr="00C43FE6">
        <w:rPr>
          <w:rFonts w:ascii="Times New Roman" w:hAnsi="Times New Roman" w:cs="Times New Roman"/>
          <w:sz w:val="24"/>
          <w:szCs w:val="24"/>
        </w:rPr>
        <w:t xml:space="preserve"> B. (1995)</w:t>
      </w:r>
      <w:r w:rsidR="00BC5471">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 xml:space="preserve">Is the </w:t>
      </w:r>
      <w:r w:rsidR="00BC5471">
        <w:rPr>
          <w:rFonts w:ascii="Times New Roman" w:hAnsi="Times New Roman" w:cs="Times New Roman"/>
          <w:sz w:val="24"/>
          <w:szCs w:val="24"/>
        </w:rPr>
        <w:t>c</w:t>
      </w:r>
      <w:r w:rsidRPr="00C43FE6">
        <w:rPr>
          <w:rFonts w:ascii="Times New Roman" w:hAnsi="Times New Roman" w:cs="Times New Roman"/>
          <w:sz w:val="24"/>
          <w:szCs w:val="24"/>
        </w:rPr>
        <w:t xml:space="preserve">orrelation in </w:t>
      </w:r>
      <w:r w:rsidR="00BC5471">
        <w:rPr>
          <w:rFonts w:ascii="Times New Roman" w:hAnsi="Times New Roman" w:cs="Times New Roman"/>
          <w:sz w:val="24"/>
          <w:szCs w:val="24"/>
        </w:rPr>
        <w:t>i</w:t>
      </w:r>
      <w:r w:rsidRPr="00C43FE6">
        <w:rPr>
          <w:rFonts w:ascii="Times New Roman" w:hAnsi="Times New Roman" w:cs="Times New Roman"/>
          <w:sz w:val="24"/>
          <w:szCs w:val="24"/>
        </w:rPr>
        <w:t xml:space="preserve">nternational </w:t>
      </w:r>
      <w:r w:rsidR="00BC5471">
        <w:rPr>
          <w:rFonts w:ascii="Times New Roman" w:hAnsi="Times New Roman" w:cs="Times New Roman"/>
          <w:sz w:val="24"/>
          <w:szCs w:val="24"/>
        </w:rPr>
        <w:t>e</w:t>
      </w:r>
      <w:r w:rsidRPr="00C43FE6">
        <w:rPr>
          <w:rFonts w:ascii="Times New Roman" w:hAnsi="Times New Roman" w:cs="Times New Roman"/>
          <w:sz w:val="24"/>
          <w:szCs w:val="24"/>
        </w:rPr>
        <w:t xml:space="preserve">quity </w:t>
      </w:r>
      <w:r w:rsidR="00BC5471">
        <w:rPr>
          <w:rFonts w:ascii="Times New Roman" w:hAnsi="Times New Roman" w:cs="Times New Roman"/>
          <w:sz w:val="24"/>
          <w:szCs w:val="24"/>
        </w:rPr>
        <w:t>r</w:t>
      </w:r>
      <w:r w:rsidRPr="00C43FE6">
        <w:rPr>
          <w:rFonts w:ascii="Times New Roman" w:hAnsi="Times New Roman" w:cs="Times New Roman"/>
          <w:sz w:val="24"/>
          <w:szCs w:val="24"/>
        </w:rPr>
        <w:t xml:space="preserve">eturns </w:t>
      </w:r>
      <w:r w:rsidR="00BC5471">
        <w:rPr>
          <w:rFonts w:ascii="Times New Roman" w:hAnsi="Times New Roman" w:cs="Times New Roman"/>
          <w:sz w:val="24"/>
          <w:szCs w:val="24"/>
        </w:rPr>
        <w:t>c</w:t>
      </w:r>
      <w:r w:rsidRPr="00C43FE6">
        <w:rPr>
          <w:rFonts w:ascii="Times New Roman" w:hAnsi="Times New Roman" w:cs="Times New Roman"/>
          <w:sz w:val="24"/>
          <w:szCs w:val="24"/>
        </w:rPr>
        <w:t xml:space="preserve">onstant: 1960–1990? </w:t>
      </w:r>
      <w:r w:rsidRPr="00C43FE6">
        <w:rPr>
          <w:rFonts w:ascii="Times New Roman" w:hAnsi="Times New Roman" w:cs="Times New Roman"/>
          <w:i/>
          <w:sz w:val="24"/>
          <w:szCs w:val="24"/>
        </w:rPr>
        <w:t>Journal of International Money and Finance</w:t>
      </w:r>
      <w:r w:rsidR="00DB5914">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14</w:t>
      </w:r>
      <w:r w:rsidR="00BC5471">
        <w:rPr>
          <w:rFonts w:ascii="Times New Roman" w:hAnsi="Times New Roman" w:cs="Times New Roman"/>
          <w:sz w:val="24"/>
          <w:szCs w:val="24"/>
        </w:rPr>
        <w:t>,</w:t>
      </w:r>
      <w:r w:rsidRPr="00C43FE6">
        <w:rPr>
          <w:rFonts w:ascii="Times New Roman" w:hAnsi="Times New Roman" w:cs="Times New Roman"/>
          <w:sz w:val="24"/>
          <w:szCs w:val="24"/>
        </w:rPr>
        <w:t xml:space="preserve"> 3–26.</w:t>
      </w:r>
    </w:p>
    <w:p w:rsidR="00E60EE8" w:rsidRPr="00377D12" w:rsidRDefault="00E60EE8" w:rsidP="00AF6503">
      <w:pPr>
        <w:autoSpaceDE w:val="0"/>
        <w:autoSpaceDN w:val="0"/>
        <w:adjustRightInd w:val="0"/>
        <w:spacing w:after="0" w:line="480" w:lineRule="auto"/>
        <w:ind w:left="720" w:hanging="720"/>
        <w:rPr>
          <w:rFonts w:ascii="Times New Roman" w:hAnsi="Times New Roman" w:cs="Times New Roman"/>
          <w:sz w:val="24"/>
          <w:szCs w:val="24"/>
        </w:rPr>
      </w:pPr>
      <w:r w:rsidRPr="00377D12">
        <w:rPr>
          <w:rFonts w:ascii="Times New Roman" w:hAnsi="Times New Roman" w:cs="Times New Roman"/>
          <w:sz w:val="24"/>
          <w:szCs w:val="24"/>
        </w:rPr>
        <w:t>Marston, R. (1997).</w:t>
      </w:r>
      <w:r w:rsidR="004974A3">
        <w:rPr>
          <w:rFonts w:ascii="Times New Roman" w:hAnsi="Times New Roman" w:cs="Times New Roman"/>
          <w:sz w:val="24"/>
          <w:szCs w:val="24"/>
        </w:rPr>
        <w:t xml:space="preserve"> </w:t>
      </w:r>
      <w:r w:rsidRPr="00377D12">
        <w:rPr>
          <w:rFonts w:ascii="Times New Roman" w:hAnsi="Times New Roman" w:cs="Times New Roman"/>
          <w:sz w:val="24"/>
          <w:szCs w:val="24"/>
        </w:rPr>
        <w:t xml:space="preserve"> </w:t>
      </w:r>
      <w:r w:rsidR="00B12241" w:rsidRPr="00B12241">
        <w:rPr>
          <w:rFonts w:ascii="Times New Roman" w:hAnsi="Times New Roman" w:cs="Times New Roman"/>
          <w:i/>
          <w:sz w:val="24"/>
          <w:szCs w:val="24"/>
        </w:rPr>
        <w:t>International financial integration: A study of interest differentials between the major industrial countries</w:t>
      </w:r>
      <w:r w:rsidRPr="00377D12">
        <w:rPr>
          <w:rFonts w:ascii="Times New Roman" w:hAnsi="Times New Roman" w:cs="Times New Roman"/>
          <w:sz w:val="24"/>
          <w:szCs w:val="24"/>
        </w:rPr>
        <w:t xml:space="preserve">. </w:t>
      </w:r>
      <w:r w:rsidR="00BC5471">
        <w:rPr>
          <w:rFonts w:ascii="Times New Roman" w:hAnsi="Times New Roman" w:cs="Times New Roman"/>
          <w:sz w:val="24"/>
          <w:szCs w:val="24"/>
        </w:rPr>
        <w:t xml:space="preserve">Cambridge, UK: </w:t>
      </w:r>
      <w:r w:rsidRPr="00377D12">
        <w:rPr>
          <w:rFonts w:ascii="Times New Roman" w:hAnsi="Times New Roman" w:cs="Times New Roman"/>
          <w:sz w:val="24"/>
          <w:szCs w:val="24"/>
        </w:rPr>
        <w:t>Cambridge University Press.</w:t>
      </w:r>
    </w:p>
    <w:p w:rsidR="00945099" w:rsidRPr="00377D12" w:rsidRDefault="00945099" w:rsidP="00AF6503">
      <w:pPr>
        <w:autoSpaceDE w:val="0"/>
        <w:autoSpaceDN w:val="0"/>
        <w:adjustRightInd w:val="0"/>
        <w:spacing w:after="0" w:line="480" w:lineRule="auto"/>
        <w:ind w:left="720" w:hanging="720"/>
        <w:rPr>
          <w:rFonts w:ascii="Times New Roman" w:hAnsi="Times New Roman" w:cs="Times New Roman"/>
          <w:sz w:val="24"/>
          <w:szCs w:val="24"/>
        </w:rPr>
      </w:pPr>
      <w:r w:rsidRPr="008529E4">
        <w:rPr>
          <w:rFonts w:ascii="Times New Roman" w:hAnsi="Times New Roman" w:cs="Times New Roman"/>
          <w:sz w:val="24"/>
          <w:szCs w:val="24"/>
        </w:rPr>
        <w:t>Neely, C., Rapach, D., Tu, J.</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8529E4">
        <w:rPr>
          <w:rFonts w:ascii="Times New Roman" w:hAnsi="Times New Roman" w:cs="Times New Roman"/>
          <w:sz w:val="24"/>
          <w:szCs w:val="24"/>
        </w:rPr>
        <w:t>Zhou, G. (2014)</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8529E4">
        <w:rPr>
          <w:rFonts w:ascii="Times New Roman" w:hAnsi="Times New Roman" w:cs="Times New Roman"/>
          <w:sz w:val="24"/>
          <w:szCs w:val="24"/>
        </w:rPr>
        <w:t xml:space="preserve">Forecasting the </w:t>
      </w:r>
      <w:r w:rsidR="00F5587E">
        <w:rPr>
          <w:rFonts w:ascii="Times New Roman" w:hAnsi="Times New Roman" w:cs="Times New Roman"/>
          <w:sz w:val="24"/>
          <w:szCs w:val="24"/>
        </w:rPr>
        <w:t>e</w:t>
      </w:r>
      <w:r w:rsidRPr="008529E4">
        <w:rPr>
          <w:rFonts w:ascii="Times New Roman" w:hAnsi="Times New Roman" w:cs="Times New Roman"/>
          <w:sz w:val="24"/>
          <w:szCs w:val="24"/>
        </w:rPr>
        <w:t xml:space="preserve">quity </w:t>
      </w:r>
      <w:r w:rsidR="00F5587E">
        <w:rPr>
          <w:rFonts w:ascii="Times New Roman" w:hAnsi="Times New Roman" w:cs="Times New Roman"/>
          <w:sz w:val="24"/>
          <w:szCs w:val="24"/>
        </w:rPr>
        <w:t>r</w:t>
      </w:r>
      <w:r w:rsidRPr="008529E4">
        <w:rPr>
          <w:rFonts w:ascii="Times New Roman" w:hAnsi="Times New Roman" w:cs="Times New Roman"/>
          <w:sz w:val="24"/>
          <w:szCs w:val="24"/>
        </w:rPr>
        <w:t xml:space="preserve">isk </w:t>
      </w:r>
      <w:r w:rsidR="00F5587E">
        <w:rPr>
          <w:rFonts w:ascii="Times New Roman" w:hAnsi="Times New Roman" w:cs="Times New Roman"/>
          <w:sz w:val="24"/>
          <w:szCs w:val="24"/>
        </w:rPr>
        <w:t>p</w:t>
      </w:r>
      <w:r w:rsidRPr="008529E4">
        <w:rPr>
          <w:rFonts w:ascii="Times New Roman" w:hAnsi="Times New Roman" w:cs="Times New Roman"/>
          <w:sz w:val="24"/>
          <w:szCs w:val="24"/>
        </w:rPr>
        <w:t xml:space="preserve">remium: The </w:t>
      </w:r>
      <w:r w:rsidR="00F5587E">
        <w:rPr>
          <w:rFonts w:ascii="Times New Roman" w:hAnsi="Times New Roman" w:cs="Times New Roman"/>
          <w:sz w:val="24"/>
          <w:szCs w:val="24"/>
        </w:rPr>
        <w:t>r</w:t>
      </w:r>
      <w:r w:rsidRPr="008529E4">
        <w:rPr>
          <w:rFonts w:ascii="Times New Roman" w:hAnsi="Times New Roman" w:cs="Times New Roman"/>
          <w:sz w:val="24"/>
          <w:szCs w:val="24"/>
        </w:rPr>
        <w:t xml:space="preserve">ole of </w:t>
      </w:r>
      <w:r w:rsidR="00F5587E">
        <w:rPr>
          <w:rFonts w:ascii="Times New Roman" w:hAnsi="Times New Roman" w:cs="Times New Roman"/>
          <w:sz w:val="24"/>
          <w:szCs w:val="24"/>
        </w:rPr>
        <w:t>t</w:t>
      </w:r>
      <w:r w:rsidRPr="00377D12">
        <w:rPr>
          <w:rFonts w:ascii="Times New Roman" w:hAnsi="Times New Roman" w:cs="Times New Roman"/>
          <w:sz w:val="24"/>
          <w:szCs w:val="24"/>
        </w:rPr>
        <w:t xml:space="preserve">echnical </w:t>
      </w:r>
      <w:r w:rsidR="00F5587E">
        <w:rPr>
          <w:rFonts w:ascii="Times New Roman" w:hAnsi="Times New Roman" w:cs="Times New Roman"/>
          <w:sz w:val="24"/>
          <w:szCs w:val="24"/>
        </w:rPr>
        <w:t>i</w:t>
      </w:r>
      <w:r w:rsidRPr="00377D12">
        <w:rPr>
          <w:rFonts w:ascii="Times New Roman" w:hAnsi="Times New Roman" w:cs="Times New Roman"/>
          <w:sz w:val="24"/>
          <w:szCs w:val="24"/>
        </w:rPr>
        <w:t>ndicators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i/>
          <w:sz w:val="24"/>
          <w:szCs w:val="24"/>
        </w:rPr>
        <w:t>Management Science</w:t>
      </w:r>
      <w:r w:rsidRPr="00377D12">
        <w:rPr>
          <w:rFonts w:ascii="Times New Roman" w:hAnsi="Times New Roman" w:cs="Times New Roman"/>
          <w:sz w:val="24"/>
          <w:szCs w:val="24"/>
        </w:rPr>
        <w:t xml:space="preserve">, </w:t>
      </w:r>
      <w:r w:rsidR="00B12241" w:rsidRPr="00B12241">
        <w:rPr>
          <w:rFonts w:ascii="Times New Roman" w:hAnsi="Times New Roman" w:cs="Times New Roman"/>
          <w:i/>
          <w:sz w:val="24"/>
          <w:szCs w:val="24"/>
        </w:rPr>
        <w:t>60</w:t>
      </w:r>
      <w:r w:rsidRPr="00377D12">
        <w:rPr>
          <w:rFonts w:ascii="Times New Roman" w:hAnsi="Times New Roman" w:cs="Times New Roman"/>
          <w:sz w:val="24"/>
          <w:szCs w:val="24"/>
        </w:rPr>
        <w:t>(7)</w:t>
      </w:r>
      <w:r w:rsidR="00F5587E">
        <w:rPr>
          <w:rFonts w:ascii="Times New Roman" w:hAnsi="Times New Roman" w:cs="Times New Roman"/>
          <w:sz w:val="24"/>
          <w:szCs w:val="24"/>
        </w:rPr>
        <w:t>,</w:t>
      </w:r>
      <w:r w:rsidRPr="00377D12">
        <w:rPr>
          <w:rFonts w:ascii="Times New Roman" w:hAnsi="Times New Roman" w:cs="Times New Roman"/>
          <w:sz w:val="24"/>
          <w:szCs w:val="24"/>
        </w:rPr>
        <w:t xml:space="preserve"> 1772–1791.</w:t>
      </w:r>
    </w:p>
    <w:p w:rsidR="004E0793" w:rsidRPr="008529E4" w:rsidRDefault="004E0793" w:rsidP="00AF6503">
      <w:pPr>
        <w:autoSpaceDE w:val="0"/>
        <w:autoSpaceDN w:val="0"/>
        <w:adjustRightInd w:val="0"/>
        <w:spacing w:after="0" w:line="480" w:lineRule="auto"/>
        <w:ind w:left="720" w:hanging="720"/>
        <w:rPr>
          <w:rFonts w:ascii="Times New Roman" w:hAnsi="Times New Roman" w:cs="Times New Roman"/>
          <w:sz w:val="24"/>
          <w:szCs w:val="24"/>
        </w:rPr>
      </w:pPr>
      <w:r w:rsidRPr="008529E4">
        <w:rPr>
          <w:rFonts w:ascii="Times New Roman" w:hAnsi="Times New Roman" w:cs="Times New Roman"/>
          <w:sz w:val="24"/>
          <w:szCs w:val="24"/>
        </w:rPr>
        <w:t>Panapoulou, E.</w:t>
      </w:r>
      <w:r w:rsidR="00BA624A">
        <w:rPr>
          <w:rFonts w:ascii="Times New Roman" w:hAnsi="Times New Roman" w:cs="Times New Roman"/>
          <w:sz w:val="24"/>
          <w:szCs w:val="24"/>
        </w:rPr>
        <w:t>,</w:t>
      </w:r>
      <w:r w:rsidR="004974A3">
        <w:rPr>
          <w:rFonts w:ascii="Times New Roman" w:hAnsi="Times New Roman" w:cs="Times New Roman"/>
          <w:sz w:val="24"/>
          <w:szCs w:val="24"/>
        </w:rPr>
        <w:t xml:space="preserve"> </w:t>
      </w:r>
      <w:r w:rsidR="00BA624A">
        <w:rPr>
          <w:rFonts w:ascii="Times New Roman" w:hAnsi="Times New Roman" w:cs="Times New Roman"/>
          <w:sz w:val="24"/>
          <w:szCs w:val="24"/>
        </w:rPr>
        <w:t>&amp;</w:t>
      </w:r>
      <w:r w:rsidR="004974A3">
        <w:rPr>
          <w:rFonts w:ascii="Times New Roman" w:hAnsi="Times New Roman" w:cs="Times New Roman"/>
          <w:sz w:val="24"/>
          <w:szCs w:val="24"/>
        </w:rPr>
        <w:t xml:space="preserve"> </w:t>
      </w:r>
      <w:r w:rsidRPr="008529E4">
        <w:rPr>
          <w:rFonts w:ascii="Times New Roman" w:hAnsi="Times New Roman" w:cs="Times New Roman"/>
          <w:sz w:val="24"/>
          <w:szCs w:val="24"/>
        </w:rPr>
        <w:t>Pantelidis</w:t>
      </w:r>
      <w:r w:rsidR="00520C74">
        <w:rPr>
          <w:rFonts w:ascii="Times New Roman" w:hAnsi="Times New Roman" w:cs="Times New Roman"/>
          <w:sz w:val="24"/>
          <w:szCs w:val="24"/>
        </w:rPr>
        <w:t xml:space="preserve">, T. (2009). </w:t>
      </w:r>
      <w:r w:rsidR="00BA624A">
        <w:rPr>
          <w:rFonts w:ascii="Times New Roman" w:hAnsi="Times New Roman" w:cs="Times New Roman"/>
          <w:sz w:val="24"/>
          <w:szCs w:val="24"/>
        </w:rPr>
        <w:t>Integration at a cost: Evidence from volatility impulse r</w:t>
      </w:r>
      <w:r w:rsidRPr="008529E4">
        <w:rPr>
          <w:rFonts w:ascii="Times New Roman" w:hAnsi="Times New Roman" w:cs="Times New Roman"/>
          <w:sz w:val="24"/>
          <w:szCs w:val="24"/>
        </w:rPr>
        <w:t>es</w:t>
      </w:r>
      <w:r w:rsidR="00BA624A">
        <w:rPr>
          <w:rFonts w:ascii="Times New Roman" w:hAnsi="Times New Roman" w:cs="Times New Roman"/>
          <w:sz w:val="24"/>
          <w:szCs w:val="24"/>
        </w:rPr>
        <w:t>ponse f</w:t>
      </w:r>
      <w:r w:rsidR="00520C74">
        <w:rPr>
          <w:rFonts w:ascii="Times New Roman" w:hAnsi="Times New Roman" w:cs="Times New Roman"/>
          <w:sz w:val="24"/>
          <w:szCs w:val="24"/>
        </w:rPr>
        <w:t xml:space="preserve">unctions. </w:t>
      </w:r>
      <w:r w:rsidRPr="008529E4">
        <w:rPr>
          <w:rFonts w:ascii="Times New Roman" w:hAnsi="Times New Roman" w:cs="Times New Roman"/>
          <w:i/>
          <w:sz w:val="24"/>
          <w:szCs w:val="24"/>
        </w:rPr>
        <w:t>Applied Financial Economics</w:t>
      </w:r>
      <w:r w:rsidRPr="008529E4">
        <w:rPr>
          <w:rFonts w:ascii="Times New Roman" w:hAnsi="Times New Roman" w:cs="Times New Roman"/>
          <w:sz w:val="24"/>
          <w:szCs w:val="24"/>
        </w:rPr>
        <w:t xml:space="preserve">, </w:t>
      </w:r>
      <w:r w:rsidRPr="00AF6503">
        <w:rPr>
          <w:rFonts w:ascii="Times New Roman" w:hAnsi="Times New Roman" w:cs="Times New Roman"/>
          <w:i/>
          <w:sz w:val="24"/>
          <w:szCs w:val="24"/>
        </w:rPr>
        <w:t>19</w:t>
      </w:r>
      <w:r w:rsidRPr="008529E4">
        <w:rPr>
          <w:rFonts w:ascii="Times New Roman" w:hAnsi="Times New Roman" w:cs="Times New Roman"/>
          <w:sz w:val="24"/>
          <w:szCs w:val="24"/>
        </w:rPr>
        <w:t>(11)</w:t>
      </w:r>
      <w:r w:rsidR="00166CA0">
        <w:rPr>
          <w:rFonts w:ascii="Times New Roman" w:hAnsi="Times New Roman" w:cs="Times New Roman"/>
          <w:sz w:val="24"/>
          <w:szCs w:val="24"/>
        </w:rPr>
        <w:t>,</w:t>
      </w:r>
      <w:r w:rsidRPr="008529E4">
        <w:rPr>
          <w:rFonts w:ascii="Times New Roman" w:hAnsi="Times New Roman" w:cs="Times New Roman"/>
          <w:sz w:val="24"/>
          <w:szCs w:val="24"/>
        </w:rPr>
        <w:t xml:space="preserve"> 917–933.</w:t>
      </w:r>
    </w:p>
    <w:p w:rsidR="00587623" w:rsidRPr="00377D12" w:rsidRDefault="00587623"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377D12">
        <w:rPr>
          <w:rFonts w:ascii="Times New Roman" w:hAnsi="Times New Roman" w:cs="Times New Roman"/>
          <w:sz w:val="24"/>
          <w:szCs w:val="24"/>
        </w:rPr>
        <w:t>Park, J. (1992)</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sz w:val="24"/>
          <w:szCs w:val="24"/>
        </w:rPr>
        <w:t xml:space="preserve">Canonical </w:t>
      </w:r>
      <w:r w:rsidR="00F5587E">
        <w:rPr>
          <w:rFonts w:ascii="Times New Roman" w:hAnsi="Times New Roman" w:cs="Times New Roman"/>
          <w:sz w:val="24"/>
          <w:szCs w:val="24"/>
        </w:rPr>
        <w:t>c</w:t>
      </w:r>
      <w:r w:rsidRPr="00377D12">
        <w:rPr>
          <w:rFonts w:ascii="Times New Roman" w:hAnsi="Times New Roman" w:cs="Times New Roman"/>
          <w:sz w:val="24"/>
          <w:szCs w:val="24"/>
        </w:rPr>
        <w:t>ointegrating</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r</w:t>
      </w:r>
      <w:r w:rsidRPr="00377D12">
        <w:rPr>
          <w:rFonts w:ascii="Times New Roman" w:hAnsi="Times New Roman" w:cs="Times New Roman"/>
          <w:sz w:val="24"/>
          <w:szCs w:val="24"/>
        </w:rPr>
        <w:t>egressions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i/>
          <w:sz w:val="24"/>
          <w:szCs w:val="24"/>
        </w:rPr>
        <w:t>Econometrica</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69</w:t>
      </w:r>
      <w:r w:rsidR="00F5587E">
        <w:rPr>
          <w:rFonts w:ascii="Times New Roman" w:hAnsi="Times New Roman" w:cs="Times New Roman"/>
          <w:sz w:val="24"/>
          <w:szCs w:val="24"/>
        </w:rPr>
        <w:t>,</w:t>
      </w:r>
      <w:r w:rsidRPr="00377D12">
        <w:rPr>
          <w:rFonts w:ascii="Times New Roman" w:hAnsi="Times New Roman" w:cs="Times New Roman"/>
          <w:sz w:val="24"/>
          <w:szCs w:val="24"/>
        </w:rPr>
        <w:t xml:space="preserve"> 1519–1554.</w:t>
      </w:r>
    </w:p>
    <w:p w:rsidR="00166050" w:rsidRPr="00945099"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Park, J.</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Ratti, R. (200</w:t>
      </w:r>
      <w:r w:rsidR="00761495">
        <w:rPr>
          <w:rFonts w:ascii="Times New Roman" w:hAnsi="Times New Roman" w:cs="Times New Roman"/>
          <w:sz w:val="24"/>
          <w:szCs w:val="24"/>
        </w:rPr>
        <w:t>8</w:t>
      </w:r>
      <w:r w:rsidRPr="00945099">
        <w:rPr>
          <w:rFonts w:ascii="Times New Roman" w:hAnsi="Times New Roman" w:cs="Times New Roman"/>
          <w:sz w:val="24"/>
          <w:szCs w:val="24"/>
        </w:rPr>
        <w:t>)</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Oil </w:t>
      </w:r>
      <w:r w:rsidR="00F5587E">
        <w:rPr>
          <w:rFonts w:ascii="Times New Roman" w:hAnsi="Times New Roman" w:cs="Times New Roman"/>
          <w:sz w:val="24"/>
          <w:szCs w:val="24"/>
        </w:rPr>
        <w:t>p</w:t>
      </w:r>
      <w:r w:rsidRPr="00945099">
        <w:rPr>
          <w:rFonts w:ascii="Times New Roman" w:hAnsi="Times New Roman" w:cs="Times New Roman"/>
          <w:sz w:val="24"/>
          <w:szCs w:val="24"/>
        </w:rPr>
        <w:t xml:space="preserve">rice </w:t>
      </w:r>
      <w:r w:rsidR="00F5587E">
        <w:rPr>
          <w:rFonts w:ascii="Times New Roman" w:hAnsi="Times New Roman" w:cs="Times New Roman"/>
          <w:sz w:val="24"/>
          <w:szCs w:val="24"/>
        </w:rPr>
        <w:t>s</w:t>
      </w:r>
      <w:r w:rsidRPr="00945099">
        <w:rPr>
          <w:rFonts w:ascii="Times New Roman" w:hAnsi="Times New Roman" w:cs="Times New Roman"/>
          <w:sz w:val="24"/>
          <w:szCs w:val="24"/>
        </w:rPr>
        <w:t xml:space="preserve">hocks and </w:t>
      </w:r>
      <w:r w:rsidR="00F5587E">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F5587E">
        <w:rPr>
          <w:rFonts w:ascii="Times New Roman" w:hAnsi="Times New Roman" w:cs="Times New Roman"/>
          <w:sz w:val="24"/>
          <w:szCs w:val="24"/>
        </w:rPr>
        <w:t>m</w:t>
      </w:r>
      <w:r w:rsidRPr="00945099">
        <w:rPr>
          <w:rFonts w:ascii="Times New Roman" w:hAnsi="Times New Roman" w:cs="Times New Roman"/>
          <w:sz w:val="24"/>
          <w:szCs w:val="24"/>
        </w:rPr>
        <w:t xml:space="preserve">arkets in the US and 13 European </w:t>
      </w:r>
      <w:r w:rsidR="00F5587E">
        <w:rPr>
          <w:rFonts w:ascii="Times New Roman" w:hAnsi="Times New Roman" w:cs="Times New Roman"/>
          <w:sz w:val="24"/>
          <w:szCs w:val="24"/>
        </w:rPr>
        <w:t>c</w:t>
      </w:r>
      <w:r w:rsidRPr="00945099">
        <w:rPr>
          <w:rFonts w:ascii="Times New Roman" w:hAnsi="Times New Roman" w:cs="Times New Roman"/>
          <w:sz w:val="24"/>
          <w:szCs w:val="24"/>
        </w:rPr>
        <w:t>ountries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Energy Economics</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30</w:t>
      </w:r>
      <w:r w:rsidR="00F5587E">
        <w:rPr>
          <w:rFonts w:ascii="Times New Roman" w:hAnsi="Times New Roman" w:cs="Times New Roman"/>
          <w:sz w:val="24"/>
          <w:szCs w:val="24"/>
        </w:rPr>
        <w:t>,</w:t>
      </w:r>
      <w:r w:rsidRPr="00945099">
        <w:rPr>
          <w:rFonts w:ascii="Times New Roman" w:hAnsi="Times New Roman" w:cs="Times New Roman"/>
          <w:sz w:val="24"/>
          <w:szCs w:val="24"/>
        </w:rPr>
        <w:t xml:space="preserve"> 2587–2608.</w:t>
      </w:r>
    </w:p>
    <w:p w:rsidR="009D0212" w:rsidRPr="009B4945" w:rsidRDefault="009D0212"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B4945">
        <w:rPr>
          <w:rFonts w:ascii="Times New Roman" w:hAnsi="Times New Roman" w:cs="Times New Roman"/>
          <w:sz w:val="24"/>
          <w:szCs w:val="24"/>
        </w:rPr>
        <w:t>Pastor, L.</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B4945">
        <w:rPr>
          <w:rFonts w:ascii="Times New Roman" w:hAnsi="Times New Roman" w:cs="Times New Roman"/>
          <w:sz w:val="24"/>
          <w:szCs w:val="24"/>
        </w:rPr>
        <w:t>Veronesi, P. (2012)</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B4945">
        <w:rPr>
          <w:rFonts w:ascii="Times New Roman" w:hAnsi="Times New Roman" w:cs="Times New Roman"/>
          <w:sz w:val="24"/>
          <w:szCs w:val="24"/>
        </w:rPr>
        <w:t xml:space="preserve">Uncertainty about </w:t>
      </w:r>
      <w:r w:rsidR="00F5587E">
        <w:rPr>
          <w:rFonts w:ascii="Times New Roman" w:hAnsi="Times New Roman" w:cs="Times New Roman"/>
          <w:sz w:val="24"/>
          <w:szCs w:val="24"/>
        </w:rPr>
        <w:t>g</w:t>
      </w:r>
      <w:r w:rsidRPr="009B4945">
        <w:rPr>
          <w:rFonts w:ascii="Times New Roman" w:hAnsi="Times New Roman" w:cs="Times New Roman"/>
          <w:sz w:val="24"/>
          <w:szCs w:val="24"/>
        </w:rPr>
        <w:t xml:space="preserve">overnment </w:t>
      </w:r>
      <w:r w:rsidR="00F5587E">
        <w:rPr>
          <w:rFonts w:ascii="Times New Roman" w:hAnsi="Times New Roman" w:cs="Times New Roman"/>
          <w:sz w:val="24"/>
          <w:szCs w:val="24"/>
        </w:rPr>
        <w:t>p</w:t>
      </w:r>
      <w:r w:rsidRPr="009B4945">
        <w:rPr>
          <w:rFonts w:ascii="Times New Roman" w:hAnsi="Times New Roman" w:cs="Times New Roman"/>
          <w:sz w:val="24"/>
          <w:szCs w:val="24"/>
        </w:rPr>
        <w:t xml:space="preserve">olicy and </w:t>
      </w:r>
      <w:r w:rsidR="00F5587E">
        <w:rPr>
          <w:rFonts w:ascii="Times New Roman" w:hAnsi="Times New Roman" w:cs="Times New Roman"/>
          <w:sz w:val="24"/>
          <w:szCs w:val="24"/>
        </w:rPr>
        <w:t>s</w:t>
      </w:r>
      <w:r w:rsidRPr="009B4945">
        <w:rPr>
          <w:rFonts w:ascii="Times New Roman" w:hAnsi="Times New Roman" w:cs="Times New Roman"/>
          <w:sz w:val="24"/>
          <w:szCs w:val="24"/>
        </w:rPr>
        <w:t xml:space="preserve">tock </w:t>
      </w:r>
      <w:r w:rsidR="00F5587E">
        <w:rPr>
          <w:rFonts w:ascii="Times New Roman" w:hAnsi="Times New Roman" w:cs="Times New Roman"/>
          <w:sz w:val="24"/>
          <w:szCs w:val="24"/>
        </w:rPr>
        <w:t>p</w:t>
      </w:r>
      <w:r w:rsidRPr="009B4945">
        <w:rPr>
          <w:rFonts w:ascii="Times New Roman" w:hAnsi="Times New Roman" w:cs="Times New Roman"/>
          <w:sz w:val="24"/>
          <w:szCs w:val="24"/>
        </w:rPr>
        <w:t>rices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B4945">
        <w:rPr>
          <w:rFonts w:ascii="Times New Roman" w:hAnsi="Times New Roman" w:cs="Times New Roman"/>
          <w:i/>
          <w:sz w:val="24"/>
          <w:szCs w:val="24"/>
        </w:rPr>
        <w:t>Journal of Finance</w:t>
      </w:r>
      <w:r w:rsidRPr="009B4945">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67</w:t>
      </w:r>
      <w:r w:rsidRPr="009B4945">
        <w:rPr>
          <w:rFonts w:ascii="Times New Roman" w:hAnsi="Times New Roman" w:cs="Times New Roman"/>
          <w:sz w:val="24"/>
          <w:szCs w:val="24"/>
        </w:rPr>
        <w:t>(4)</w:t>
      </w:r>
      <w:r w:rsidR="00BC5471">
        <w:rPr>
          <w:rFonts w:ascii="Times New Roman" w:hAnsi="Times New Roman" w:cs="Times New Roman"/>
          <w:sz w:val="24"/>
          <w:szCs w:val="24"/>
        </w:rPr>
        <w:t>,</w:t>
      </w:r>
      <w:r w:rsidRPr="009B4945">
        <w:rPr>
          <w:rFonts w:ascii="Times New Roman" w:hAnsi="Times New Roman" w:cs="Times New Roman"/>
          <w:sz w:val="24"/>
          <w:szCs w:val="24"/>
        </w:rPr>
        <w:t xml:space="preserve"> 1219–1264.</w:t>
      </w:r>
    </w:p>
    <w:p w:rsidR="00166050" w:rsidRPr="00945099"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Phengpis, C.,</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Apilado, V.,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Swanson, P. (2004)</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Effects of </w:t>
      </w:r>
      <w:r w:rsidR="00BC5471">
        <w:rPr>
          <w:rFonts w:ascii="Times New Roman" w:hAnsi="Times New Roman" w:cs="Times New Roman"/>
          <w:sz w:val="24"/>
          <w:szCs w:val="24"/>
        </w:rPr>
        <w:t>e</w:t>
      </w:r>
      <w:r w:rsidRPr="00945099">
        <w:rPr>
          <w:rFonts w:ascii="Times New Roman" w:hAnsi="Times New Roman" w:cs="Times New Roman"/>
          <w:sz w:val="24"/>
          <w:szCs w:val="24"/>
        </w:rPr>
        <w:t xml:space="preserve">conomic </w:t>
      </w:r>
      <w:r w:rsidR="00BC5471">
        <w:rPr>
          <w:rFonts w:ascii="Times New Roman" w:hAnsi="Times New Roman" w:cs="Times New Roman"/>
          <w:sz w:val="24"/>
          <w:szCs w:val="24"/>
        </w:rPr>
        <w:t>c</w:t>
      </w:r>
      <w:r w:rsidRPr="00945099">
        <w:rPr>
          <w:rFonts w:ascii="Times New Roman" w:hAnsi="Times New Roman" w:cs="Times New Roman"/>
          <w:sz w:val="24"/>
          <w:szCs w:val="24"/>
        </w:rPr>
        <w:t xml:space="preserve">onvergence on </w:t>
      </w:r>
      <w:r w:rsidR="00BC5471">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BC5471">
        <w:rPr>
          <w:rFonts w:ascii="Times New Roman" w:hAnsi="Times New Roman" w:cs="Times New Roman"/>
          <w:sz w:val="24"/>
          <w:szCs w:val="24"/>
        </w:rPr>
        <w:t>m</w:t>
      </w:r>
      <w:r w:rsidRPr="00945099">
        <w:rPr>
          <w:rFonts w:ascii="Times New Roman" w:hAnsi="Times New Roman" w:cs="Times New Roman"/>
          <w:sz w:val="24"/>
          <w:szCs w:val="24"/>
        </w:rPr>
        <w:t xml:space="preserve">arket </w:t>
      </w:r>
      <w:r w:rsidR="00BC5471">
        <w:rPr>
          <w:rFonts w:ascii="Times New Roman" w:hAnsi="Times New Roman" w:cs="Times New Roman"/>
          <w:sz w:val="24"/>
          <w:szCs w:val="24"/>
        </w:rPr>
        <w:t>r</w:t>
      </w:r>
      <w:r w:rsidRPr="00945099">
        <w:rPr>
          <w:rFonts w:ascii="Times New Roman" w:hAnsi="Times New Roman" w:cs="Times New Roman"/>
          <w:sz w:val="24"/>
          <w:szCs w:val="24"/>
        </w:rPr>
        <w:t xml:space="preserve">eturns in </w:t>
      </w:r>
      <w:r w:rsidR="00BC5471">
        <w:rPr>
          <w:rFonts w:ascii="Times New Roman" w:hAnsi="Times New Roman" w:cs="Times New Roman"/>
          <w:sz w:val="24"/>
          <w:szCs w:val="24"/>
        </w:rPr>
        <w:t>m</w:t>
      </w:r>
      <w:r w:rsidRPr="00945099">
        <w:rPr>
          <w:rFonts w:ascii="Times New Roman" w:hAnsi="Times New Roman" w:cs="Times New Roman"/>
          <w:sz w:val="24"/>
          <w:szCs w:val="24"/>
        </w:rPr>
        <w:t xml:space="preserve">ajor EMU </w:t>
      </w:r>
      <w:r w:rsidR="00BC5471">
        <w:rPr>
          <w:rFonts w:ascii="Times New Roman" w:hAnsi="Times New Roman" w:cs="Times New Roman"/>
          <w:sz w:val="24"/>
          <w:szCs w:val="24"/>
        </w:rPr>
        <w:t>m</w:t>
      </w:r>
      <w:r w:rsidRPr="00945099">
        <w:rPr>
          <w:rFonts w:ascii="Times New Roman" w:hAnsi="Times New Roman" w:cs="Times New Roman"/>
          <w:sz w:val="24"/>
          <w:szCs w:val="24"/>
        </w:rPr>
        <w:t xml:space="preserve">ember </w:t>
      </w:r>
      <w:r w:rsidR="00BC5471">
        <w:rPr>
          <w:rFonts w:ascii="Times New Roman" w:hAnsi="Times New Roman" w:cs="Times New Roman"/>
          <w:sz w:val="24"/>
          <w:szCs w:val="24"/>
        </w:rPr>
        <w:t>c</w:t>
      </w:r>
      <w:r w:rsidRPr="00945099">
        <w:rPr>
          <w:rFonts w:ascii="Times New Roman" w:hAnsi="Times New Roman" w:cs="Times New Roman"/>
          <w:sz w:val="24"/>
          <w:szCs w:val="24"/>
        </w:rPr>
        <w:t>ountries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Review of Quantitative Finance and Accounting</w:t>
      </w:r>
      <w:r w:rsidRPr="00945099">
        <w:rPr>
          <w:rFonts w:ascii="Times New Roman" w:hAnsi="Times New Roman" w:cs="Times New Roman"/>
          <w:sz w:val="24"/>
          <w:szCs w:val="24"/>
        </w:rPr>
        <w:t xml:space="preserve">, </w:t>
      </w:r>
      <w:r w:rsidR="00B12241" w:rsidRPr="00B12241">
        <w:rPr>
          <w:rFonts w:ascii="Times New Roman" w:hAnsi="Times New Roman" w:cs="Times New Roman"/>
          <w:i/>
          <w:sz w:val="24"/>
          <w:szCs w:val="24"/>
        </w:rPr>
        <w:t>23</w:t>
      </w:r>
      <w:r w:rsidR="00BC5471">
        <w:rPr>
          <w:rFonts w:ascii="Times New Roman" w:hAnsi="Times New Roman" w:cs="Times New Roman"/>
          <w:sz w:val="24"/>
          <w:szCs w:val="24"/>
        </w:rPr>
        <w:t>,</w:t>
      </w:r>
      <w:r w:rsidRPr="00945099">
        <w:rPr>
          <w:rFonts w:ascii="Times New Roman" w:hAnsi="Times New Roman" w:cs="Times New Roman"/>
          <w:sz w:val="24"/>
          <w:szCs w:val="24"/>
        </w:rPr>
        <w:t xml:space="preserve"> 207–228.</w:t>
      </w:r>
    </w:p>
    <w:p w:rsidR="008A538D" w:rsidRPr="00377D12" w:rsidRDefault="008A538D"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377D12">
        <w:rPr>
          <w:rFonts w:ascii="Times New Roman" w:hAnsi="Times New Roman" w:cs="Times New Roman"/>
          <w:sz w:val="24"/>
          <w:szCs w:val="24"/>
        </w:rPr>
        <w:t>Phi</w:t>
      </w:r>
      <w:r w:rsidR="00761495">
        <w:rPr>
          <w:rFonts w:ascii="Times New Roman" w:hAnsi="Times New Roman" w:cs="Times New Roman"/>
          <w:sz w:val="24"/>
          <w:szCs w:val="24"/>
        </w:rPr>
        <w:t>l</w:t>
      </w:r>
      <w:r w:rsidRPr="00377D12">
        <w:rPr>
          <w:rFonts w:ascii="Times New Roman" w:hAnsi="Times New Roman" w:cs="Times New Roman"/>
          <w:sz w:val="24"/>
          <w:szCs w:val="24"/>
        </w:rPr>
        <w:t>lip, P.</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377D12">
        <w:rPr>
          <w:rFonts w:ascii="Times New Roman" w:hAnsi="Times New Roman" w:cs="Times New Roman"/>
          <w:sz w:val="24"/>
          <w:szCs w:val="24"/>
        </w:rPr>
        <w:t>Hansen, B. (1990)</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sz w:val="24"/>
          <w:szCs w:val="24"/>
        </w:rPr>
        <w:t xml:space="preserve">Statistical </w:t>
      </w:r>
      <w:r w:rsidR="00BC5471">
        <w:rPr>
          <w:rFonts w:ascii="Times New Roman" w:hAnsi="Times New Roman" w:cs="Times New Roman"/>
          <w:sz w:val="24"/>
          <w:szCs w:val="24"/>
        </w:rPr>
        <w:t>i</w:t>
      </w:r>
      <w:r w:rsidRPr="00377D12">
        <w:rPr>
          <w:rFonts w:ascii="Times New Roman" w:hAnsi="Times New Roman" w:cs="Times New Roman"/>
          <w:sz w:val="24"/>
          <w:szCs w:val="24"/>
        </w:rPr>
        <w:t xml:space="preserve">nference in </w:t>
      </w:r>
      <w:r w:rsidR="00BC5471">
        <w:rPr>
          <w:rFonts w:ascii="Times New Roman" w:hAnsi="Times New Roman" w:cs="Times New Roman"/>
          <w:sz w:val="24"/>
          <w:szCs w:val="24"/>
        </w:rPr>
        <w:t>i</w:t>
      </w:r>
      <w:r w:rsidRPr="00377D12">
        <w:rPr>
          <w:rFonts w:ascii="Times New Roman" w:hAnsi="Times New Roman" w:cs="Times New Roman"/>
          <w:sz w:val="24"/>
          <w:szCs w:val="24"/>
        </w:rPr>
        <w:t xml:space="preserve">nstrumental </w:t>
      </w:r>
      <w:r w:rsidR="00BC5471">
        <w:rPr>
          <w:rFonts w:ascii="Times New Roman" w:hAnsi="Times New Roman" w:cs="Times New Roman"/>
          <w:sz w:val="24"/>
          <w:szCs w:val="24"/>
        </w:rPr>
        <w:t>v</w:t>
      </w:r>
      <w:r w:rsidRPr="00377D12">
        <w:rPr>
          <w:rFonts w:ascii="Times New Roman" w:hAnsi="Times New Roman" w:cs="Times New Roman"/>
          <w:sz w:val="24"/>
          <w:szCs w:val="24"/>
        </w:rPr>
        <w:t xml:space="preserve">ariables </w:t>
      </w:r>
      <w:r w:rsidR="00BC5471">
        <w:rPr>
          <w:rFonts w:ascii="Times New Roman" w:hAnsi="Times New Roman" w:cs="Times New Roman"/>
          <w:sz w:val="24"/>
          <w:szCs w:val="24"/>
        </w:rPr>
        <w:t>r</w:t>
      </w:r>
      <w:r w:rsidRPr="00377D12">
        <w:rPr>
          <w:rFonts w:ascii="Times New Roman" w:hAnsi="Times New Roman" w:cs="Times New Roman"/>
          <w:sz w:val="24"/>
          <w:szCs w:val="24"/>
        </w:rPr>
        <w:t xml:space="preserve">egression with </w:t>
      </w:r>
      <w:r w:rsidRPr="00377D12">
        <w:rPr>
          <w:rFonts w:ascii="Times New Roman" w:hAnsi="Times New Roman" w:cs="Times New Roman"/>
          <w:i/>
          <w:sz w:val="24"/>
          <w:szCs w:val="24"/>
        </w:rPr>
        <w:t>I(I)</w:t>
      </w:r>
      <w:r w:rsidR="004974A3">
        <w:rPr>
          <w:rFonts w:ascii="Times New Roman" w:hAnsi="Times New Roman" w:cs="Times New Roman"/>
          <w:i/>
          <w:sz w:val="24"/>
          <w:szCs w:val="24"/>
        </w:rPr>
        <w:t xml:space="preserve"> </w:t>
      </w:r>
      <w:r w:rsidR="00BC5471">
        <w:rPr>
          <w:rFonts w:ascii="Times New Roman" w:hAnsi="Times New Roman" w:cs="Times New Roman"/>
          <w:sz w:val="24"/>
          <w:szCs w:val="24"/>
        </w:rPr>
        <w:t>p</w:t>
      </w:r>
      <w:r w:rsidRPr="00377D12">
        <w:rPr>
          <w:rFonts w:ascii="Times New Roman" w:hAnsi="Times New Roman" w:cs="Times New Roman"/>
          <w:sz w:val="24"/>
          <w:szCs w:val="24"/>
        </w:rPr>
        <w:t>rocesses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377D12">
        <w:rPr>
          <w:rFonts w:ascii="Times New Roman" w:hAnsi="Times New Roman" w:cs="Times New Roman"/>
          <w:i/>
          <w:sz w:val="24"/>
          <w:szCs w:val="24"/>
        </w:rPr>
        <w:t>Review of Economic Studies</w:t>
      </w:r>
      <w:r w:rsidR="00B12241" w:rsidRPr="00B12241">
        <w:rPr>
          <w:rFonts w:ascii="Times New Roman" w:hAnsi="Times New Roman" w:cs="Times New Roman"/>
          <w:sz w:val="24"/>
          <w:szCs w:val="24"/>
        </w:rPr>
        <w:t>,</w:t>
      </w:r>
      <w:r w:rsidR="004974A3">
        <w:rPr>
          <w:rFonts w:ascii="Times New Roman" w:hAnsi="Times New Roman" w:cs="Times New Roman"/>
          <w:sz w:val="24"/>
          <w:szCs w:val="24"/>
        </w:rPr>
        <w:t xml:space="preserve"> </w:t>
      </w:r>
      <w:r w:rsidR="00B12241" w:rsidRPr="00B12241">
        <w:rPr>
          <w:rFonts w:ascii="Times New Roman" w:hAnsi="Times New Roman" w:cs="Times New Roman"/>
          <w:i/>
          <w:sz w:val="24"/>
          <w:szCs w:val="24"/>
        </w:rPr>
        <w:t>57</w:t>
      </w:r>
      <w:r w:rsidR="00BC5471">
        <w:rPr>
          <w:rFonts w:ascii="Times New Roman" w:hAnsi="Times New Roman" w:cs="Times New Roman"/>
          <w:sz w:val="24"/>
          <w:szCs w:val="24"/>
        </w:rPr>
        <w:t>,</w:t>
      </w:r>
      <w:r w:rsidRPr="00377D12">
        <w:rPr>
          <w:rFonts w:ascii="Times New Roman" w:hAnsi="Times New Roman" w:cs="Times New Roman"/>
          <w:sz w:val="24"/>
          <w:szCs w:val="24"/>
        </w:rPr>
        <w:t xml:space="preserve"> 99–125.</w:t>
      </w:r>
    </w:p>
    <w:p w:rsidR="00166050" w:rsidRPr="00945099"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45099">
        <w:rPr>
          <w:rFonts w:ascii="Times New Roman" w:hAnsi="Times New Roman" w:cs="Times New Roman"/>
          <w:sz w:val="24"/>
          <w:szCs w:val="24"/>
        </w:rPr>
        <w:t>Pretorius, E. (2002)</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Economic </w:t>
      </w:r>
      <w:r w:rsidR="00BC5471">
        <w:rPr>
          <w:rFonts w:ascii="Times New Roman" w:hAnsi="Times New Roman" w:cs="Times New Roman"/>
          <w:sz w:val="24"/>
          <w:szCs w:val="24"/>
        </w:rPr>
        <w:t>d</w:t>
      </w:r>
      <w:r w:rsidRPr="00945099">
        <w:rPr>
          <w:rFonts w:ascii="Times New Roman" w:hAnsi="Times New Roman" w:cs="Times New Roman"/>
          <w:sz w:val="24"/>
          <w:szCs w:val="24"/>
        </w:rPr>
        <w:t xml:space="preserve">eterminants of </w:t>
      </w:r>
      <w:r w:rsidR="00BC5471">
        <w:rPr>
          <w:rFonts w:ascii="Times New Roman" w:hAnsi="Times New Roman" w:cs="Times New Roman"/>
          <w:sz w:val="24"/>
          <w:szCs w:val="24"/>
        </w:rPr>
        <w:t>e</w:t>
      </w:r>
      <w:r w:rsidRPr="00945099">
        <w:rPr>
          <w:rFonts w:ascii="Times New Roman" w:hAnsi="Times New Roman" w:cs="Times New Roman"/>
          <w:sz w:val="24"/>
          <w:szCs w:val="24"/>
        </w:rPr>
        <w:t xml:space="preserve">merging </w:t>
      </w:r>
      <w:r w:rsidR="00BC5471">
        <w:rPr>
          <w:rFonts w:ascii="Times New Roman" w:hAnsi="Times New Roman" w:cs="Times New Roman"/>
          <w:sz w:val="24"/>
          <w:szCs w:val="24"/>
        </w:rPr>
        <w:t>s</w:t>
      </w:r>
      <w:r w:rsidRPr="00945099">
        <w:rPr>
          <w:rFonts w:ascii="Times New Roman" w:hAnsi="Times New Roman" w:cs="Times New Roman"/>
          <w:sz w:val="24"/>
          <w:szCs w:val="24"/>
        </w:rPr>
        <w:t xml:space="preserve">tock </w:t>
      </w:r>
      <w:r w:rsidR="00BC5471">
        <w:rPr>
          <w:rFonts w:ascii="Times New Roman" w:hAnsi="Times New Roman" w:cs="Times New Roman"/>
          <w:sz w:val="24"/>
          <w:szCs w:val="24"/>
        </w:rPr>
        <w:t>m</w:t>
      </w:r>
      <w:r w:rsidRPr="00945099">
        <w:rPr>
          <w:rFonts w:ascii="Times New Roman" w:hAnsi="Times New Roman" w:cs="Times New Roman"/>
          <w:sz w:val="24"/>
          <w:szCs w:val="24"/>
        </w:rPr>
        <w:t xml:space="preserve">arket </w:t>
      </w:r>
      <w:r w:rsidR="00BC5471">
        <w:rPr>
          <w:rFonts w:ascii="Times New Roman" w:hAnsi="Times New Roman" w:cs="Times New Roman"/>
          <w:sz w:val="24"/>
          <w:szCs w:val="24"/>
        </w:rPr>
        <w:t>i</w:t>
      </w:r>
      <w:r w:rsidRPr="00945099">
        <w:rPr>
          <w:rFonts w:ascii="Times New Roman" w:hAnsi="Times New Roman" w:cs="Times New Roman"/>
          <w:sz w:val="24"/>
          <w:szCs w:val="24"/>
        </w:rPr>
        <w:t>nterdependence</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Emerging Markets Review</w:t>
      </w:r>
      <w:r w:rsidRPr="00945099">
        <w:rPr>
          <w:rFonts w:ascii="Times New Roman" w:hAnsi="Times New Roman" w:cs="Times New Roman"/>
          <w:sz w:val="24"/>
          <w:szCs w:val="24"/>
        </w:rPr>
        <w:t xml:space="preserve">, </w:t>
      </w:r>
      <w:r w:rsidR="00B12241" w:rsidRPr="00B12241">
        <w:rPr>
          <w:rFonts w:ascii="Times New Roman" w:hAnsi="Times New Roman" w:cs="Times New Roman"/>
          <w:i/>
          <w:sz w:val="24"/>
          <w:szCs w:val="24"/>
        </w:rPr>
        <w:t>3</w:t>
      </w:r>
      <w:r w:rsidR="00BC5471">
        <w:rPr>
          <w:rFonts w:ascii="Times New Roman" w:hAnsi="Times New Roman" w:cs="Times New Roman"/>
          <w:sz w:val="24"/>
          <w:szCs w:val="24"/>
        </w:rPr>
        <w:t>,</w:t>
      </w:r>
      <w:r w:rsidRPr="00945099">
        <w:rPr>
          <w:rFonts w:ascii="Times New Roman" w:hAnsi="Times New Roman" w:cs="Times New Roman"/>
          <w:sz w:val="24"/>
          <w:szCs w:val="24"/>
        </w:rPr>
        <w:t xml:space="preserve"> 84–105.</w:t>
      </w:r>
    </w:p>
    <w:p w:rsidR="00166050" w:rsidRPr="00C43FE6" w:rsidRDefault="00166050"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C43FE6">
        <w:rPr>
          <w:rFonts w:ascii="Times New Roman" w:hAnsi="Times New Roman" w:cs="Times New Roman"/>
          <w:sz w:val="24"/>
          <w:szCs w:val="24"/>
        </w:rPr>
        <w:lastRenderedPageBreak/>
        <w:t>Syllignakis, M.</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Pr="00C43FE6">
        <w:rPr>
          <w:rFonts w:ascii="Times New Roman" w:hAnsi="Times New Roman" w:cs="Times New Roman"/>
          <w:sz w:val="24"/>
          <w:szCs w:val="24"/>
        </w:rPr>
        <w:t xml:space="preserve"> Kouretas, G. (2011)</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sz w:val="24"/>
          <w:szCs w:val="24"/>
        </w:rPr>
        <w:t xml:space="preserve">Dynamic </w:t>
      </w:r>
      <w:r w:rsidR="00BC5471">
        <w:rPr>
          <w:rFonts w:ascii="Times New Roman" w:hAnsi="Times New Roman" w:cs="Times New Roman"/>
          <w:sz w:val="24"/>
          <w:szCs w:val="24"/>
        </w:rPr>
        <w:t>c</w:t>
      </w:r>
      <w:r w:rsidRPr="00C43FE6">
        <w:rPr>
          <w:rFonts w:ascii="Times New Roman" w:hAnsi="Times New Roman" w:cs="Times New Roman"/>
          <w:sz w:val="24"/>
          <w:szCs w:val="24"/>
        </w:rPr>
        <w:t xml:space="preserve">orrelation </w:t>
      </w:r>
      <w:r w:rsidR="00BC5471">
        <w:rPr>
          <w:rFonts w:ascii="Times New Roman" w:hAnsi="Times New Roman" w:cs="Times New Roman"/>
          <w:sz w:val="24"/>
          <w:szCs w:val="24"/>
        </w:rPr>
        <w:t>a</w:t>
      </w:r>
      <w:r w:rsidRPr="00C43FE6">
        <w:rPr>
          <w:rFonts w:ascii="Times New Roman" w:hAnsi="Times New Roman" w:cs="Times New Roman"/>
          <w:sz w:val="24"/>
          <w:szCs w:val="24"/>
        </w:rPr>
        <w:t xml:space="preserve">nalysis of </w:t>
      </w:r>
      <w:r w:rsidR="00BC5471">
        <w:rPr>
          <w:rFonts w:ascii="Times New Roman" w:hAnsi="Times New Roman" w:cs="Times New Roman"/>
          <w:sz w:val="24"/>
          <w:szCs w:val="24"/>
        </w:rPr>
        <w:t>f</w:t>
      </w:r>
      <w:r w:rsidRPr="00C43FE6">
        <w:rPr>
          <w:rFonts w:ascii="Times New Roman" w:hAnsi="Times New Roman" w:cs="Times New Roman"/>
          <w:sz w:val="24"/>
          <w:szCs w:val="24"/>
        </w:rPr>
        <w:t xml:space="preserve">inancial </w:t>
      </w:r>
      <w:r w:rsidR="00BC5471">
        <w:rPr>
          <w:rFonts w:ascii="Times New Roman" w:hAnsi="Times New Roman" w:cs="Times New Roman"/>
          <w:sz w:val="24"/>
          <w:szCs w:val="24"/>
        </w:rPr>
        <w:t>c</w:t>
      </w:r>
      <w:r w:rsidRPr="00C43FE6">
        <w:rPr>
          <w:rFonts w:ascii="Times New Roman" w:hAnsi="Times New Roman" w:cs="Times New Roman"/>
          <w:sz w:val="24"/>
          <w:szCs w:val="24"/>
        </w:rPr>
        <w:t xml:space="preserve">ontagion: Evidence from the </w:t>
      </w:r>
      <w:r w:rsidR="00BC5471">
        <w:rPr>
          <w:rFonts w:ascii="Times New Roman" w:hAnsi="Times New Roman" w:cs="Times New Roman"/>
          <w:sz w:val="24"/>
          <w:szCs w:val="24"/>
        </w:rPr>
        <w:t>c</w:t>
      </w:r>
      <w:r w:rsidRPr="00C43FE6">
        <w:rPr>
          <w:rFonts w:ascii="Times New Roman" w:hAnsi="Times New Roman" w:cs="Times New Roman"/>
          <w:sz w:val="24"/>
          <w:szCs w:val="24"/>
        </w:rPr>
        <w:t xml:space="preserve">entral and </w:t>
      </w:r>
      <w:r w:rsidR="00BC5471">
        <w:rPr>
          <w:rFonts w:ascii="Times New Roman" w:hAnsi="Times New Roman" w:cs="Times New Roman"/>
          <w:sz w:val="24"/>
          <w:szCs w:val="24"/>
        </w:rPr>
        <w:t>e</w:t>
      </w:r>
      <w:r w:rsidRPr="00C43FE6">
        <w:rPr>
          <w:rFonts w:ascii="Times New Roman" w:hAnsi="Times New Roman" w:cs="Times New Roman"/>
          <w:sz w:val="24"/>
          <w:szCs w:val="24"/>
        </w:rPr>
        <w:t xml:space="preserve">astern European </w:t>
      </w:r>
      <w:r w:rsidR="00BC5471">
        <w:rPr>
          <w:rFonts w:ascii="Times New Roman" w:hAnsi="Times New Roman" w:cs="Times New Roman"/>
          <w:sz w:val="24"/>
          <w:szCs w:val="24"/>
        </w:rPr>
        <w:t>m</w:t>
      </w:r>
      <w:r w:rsidRPr="00C43FE6">
        <w:rPr>
          <w:rFonts w:ascii="Times New Roman" w:hAnsi="Times New Roman" w:cs="Times New Roman"/>
          <w:sz w:val="24"/>
          <w:szCs w:val="24"/>
        </w:rPr>
        <w:t>arkets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C43FE6">
        <w:rPr>
          <w:rFonts w:ascii="Times New Roman" w:hAnsi="Times New Roman" w:cs="Times New Roman"/>
          <w:i/>
          <w:sz w:val="24"/>
          <w:szCs w:val="24"/>
        </w:rPr>
        <w:t>International Review of Economics and Finance</w:t>
      </w:r>
      <w:r w:rsidRPr="00C43FE6">
        <w:rPr>
          <w:rFonts w:ascii="Times New Roman" w:hAnsi="Times New Roman" w:cs="Times New Roman"/>
          <w:sz w:val="24"/>
          <w:szCs w:val="24"/>
        </w:rPr>
        <w:t xml:space="preserve">, </w:t>
      </w:r>
      <w:r w:rsidR="00B12241" w:rsidRPr="00B12241">
        <w:rPr>
          <w:rFonts w:ascii="Times New Roman" w:hAnsi="Times New Roman" w:cs="Times New Roman"/>
          <w:i/>
          <w:sz w:val="24"/>
          <w:szCs w:val="24"/>
        </w:rPr>
        <w:t>20</w:t>
      </w:r>
      <w:r w:rsidR="00BC5471">
        <w:rPr>
          <w:rFonts w:ascii="Times New Roman" w:hAnsi="Times New Roman" w:cs="Times New Roman"/>
          <w:sz w:val="24"/>
          <w:szCs w:val="24"/>
        </w:rPr>
        <w:t>,</w:t>
      </w:r>
      <w:r w:rsidRPr="00C43FE6">
        <w:rPr>
          <w:rFonts w:ascii="Times New Roman" w:hAnsi="Times New Roman" w:cs="Times New Roman"/>
          <w:sz w:val="24"/>
          <w:szCs w:val="24"/>
        </w:rPr>
        <w:t xml:space="preserve"> 717–732.</w:t>
      </w:r>
    </w:p>
    <w:p w:rsidR="00166050" w:rsidRPr="009B4945" w:rsidRDefault="00B12241" w:rsidP="00AF6503">
      <w:pPr>
        <w:spacing w:after="0" w:line="480" w:lineRule="auto"/>
        <w:ind w:left="720" w:right="282" w:hanging="720"/>
        <w:rPr>
          <w:rFonts w:ascii="Times New Roman" w:hAnsi="Times New Roman" w:cs="Times New Roman"/>
          <w:sz w:val="24"/>
          <w:szCs w:val="24"/>
        </w:rPr>
      </w:pPr>
      <w:r w:rsidRPr="00B12241">
        <w:rPr>
          <w:rFonts w:ascii="Times New Roman" w:hAnsi="Times New Roman" w:cs="Times New Roman"/>
          <w:sz w:val="24"/>
          <w:szCs w:val="24"/>
          <w:lang w:val="de-DE"/>
        </w:rPr>
        <w:t>Umutlu, M., Akdeniz, L., &amp;</w:t>
      </w:r>
      <w:r w:rsidR="004974A3">
        <w:rPr>
          <w:rFonts w:ascii="Times New Roman" w:hAnsi="Times New Roman" w:cs="Times New Roman"/>
          <w:sz w:val="24"/>
          <w:szCs w:val="24"/>
          <w:lang w:val="de-DE"/>
        </w:rPr>
        <w:t xml:space="preserve"> </w:t>
      </w:r>
      <w:r w:rsidRPr="00B12241">
        <w:rPr>
          <w:rFonts w:ascii="Times New Roman" w:hAnsi="Times New Roman" w:cs="Times New Roman"/>
          <w:sz w:val="24"/>
          <w:szCs w:val="24"/>
          <w:lang w:val="de-DE"/>
        </w:rPr>
        <w:t>Altag-Salih, A. (2010).</w:t>
      </w:r>
      <w:r w:rsidR="004974A3">
        <w:rPr>
          <w:rFonts w:ascii="Times New Roman" w:hAnsi="Times New Roman" w:cs="Times New Roman"/>
          <w:sz w:val="24"/>
          <w:szCs w:val="24"/>
          <w:lang w:val="de-DE"/>
        </w:rPr>
        <w:t xml:space="preserve"> </w:t>
      </w:r>
      <w:r w:rsidR="00166050" w:rsidRPr="009B4945">
        <w:rPr>
          <w:rFonts w:ascii="Times New Roman" w:hAnsi="Times New Roman" w:cs="Times New Roman"/>
          <w:sz w:val="24"/>
          <w:szCs w:val="24"/>
        </w:rPr>
        <w:t xml:space="preserve">The </w:t>
      </w:r>
      <w:r w:rsidR="00BC5471">
        <w:rPr>
          <w:rFonts w:ascii="Times New Roman" w:hAnsi="Times New Roman" w:cs="Times New Roman"/>
          <w:sz w:val="24"/>
          <w:szCs w:val="24"/>
        </w:rPr>
        <w:t>d</w:t>
      </w:r>
      <w:r w:rsidR="00166050" w:rsidRPr="009B4945">
        <w:rPr>
          <w:rFonts w:ascii="Times New Roman" w:hAnsi="Times New Roman" w:cs="Times New Roman"/>
          <w:sz w:val="24"/>
          <w:szCs w:val="24"/>
        </w:rPr>
        <w:t xml:space="preserve">egree of </w:t>
      </w:r>
      <w:r w:rsidR="00BC5471">
        <w:rPr>
          <w:rFonts w:ascii="Times New Roman" w:hAnsi="Times New Roman" w:cs="Times New Roman"/>
          <w:sz w:val="24"/>
          <w:szCs w:val="24"/>
        </w:rPr>
        <w:t>f</w:t>
      </w:r>
      <w:r w:rsidR="00166050" w:rsidRPr="009B4945">
        <w:rPr>
          <w:rFonts w:ascii="Times New Roman" w:hAnsi="Times New Roman" w:cs="Times New Roman"/>
          <w:sz w:val="24"/>
          <w:szCs w:val="24"/>
        </w:rPr>
        <w:t xml:space="preserve">inancial </w:t>
      </w:r>
      <w:r w:rsidR="00BC5471">
        <w:rPr>
          <w:rFonts w:ascii="Times New Roman" w:hAnsi="Times New Roman" w:cs="Times New Roman"/>
          <w:sz w:val="24"/>
          <w:szCs w:val="24"/>
        </w:rPr>
        <w:t>l</w:t>
      </w:r>
      <w:r w:rsidR="00166050" w:rsidRPr="009B4945">
        <w:rPr>
          <w:rFonts w:ascii="Times New Roman" w:hAnsi="Times New Roman" w:cs="Times New Roman"/>
          <w:sz w:val="24"/>
          <w:szCs w:val="24"/>
        </w:rPr>
        <w:t xml:space="preserve">iberalisation and </w:t>
      </w:r>
      <w:r w:rsidR="00BC5471">
        <w:rPr>
          <w:rFonts w:ascii="Times New Roman" w:hAnsi="Times New Roman" w:cs="Times New Roman"/>
          <w:sz w:val="24"/>
          <w:szCs w:val="24"/>
        </w:rPr>
        <w:t>a</w:t>
      </w:r>
      <w:r w:rsidR="00166050" w:rsidRPr="009B4945">
        <w:rPr>
          <w:rFonts w:ascii="Times New Roman" w:hAnsi="Times New Roman" w:cs="Times New Roman"/>
          <w:sz w:val="24"/>
          <w:szCs w:val="24"/>
        </w:rPr>
        <w:t xml:space="preserve">ggregated </w:t>
      </w:r>
      <w:r w:rsidR="00BC5471">
        <w:rPr>
          <w:rFonts w:ascii="Times New Roman" w:hAnsi="Times New Roman" w:cs="Times New Roman"/>
          <w:sz w:val="24"/>
          <w:szCs w:val="24"/>
        </w:rPr>
        <w:t>s</w:t>
      </w:r>
      <w:r w:rsidR="00166050" w:rsidRPr="009B4945">
        <w:rPr>
          <w:rFonts w:ascii="Times New Roman" w:hAnsi="Times New Roman" w:cs="Times New Roman"/>
          <w:sz w:val="24"/>
          <w:szCs w:val="24"/>
        </w:rPr>
        <w:t>tock-</w:t>
      </w:r>
      <w:r w:rsidR="00BC5471">
        <w:rPr>
          <w:rFonts w:ascii="Times New Roman" w:hAnsi="Times New Roman" w:cs="Times New Roman"/>
          <w:sz w:val="24"/>
          <w:szCs w:val="24"/>
        </w:rPr>
        <w:t>r</w:t>
      </w:r>
      <w:r w:rsidR="00166050" w:rsidRPr="009B4945">
        <w:rPr>
          <w:rFonts w:ascii="Times New Roman" w:hAnsi="Times New Roman" w:cs="Times New Roman"/>
          <w:sz w:val="24"/>
          <w:szCs w:val="24"/>
        </w:rPr>
        <w:t xml:space="preserve">eturn </w:t>
      </w:r>
      <w:r w:rsidR="00BC5471">
        <w:rPr>
          <w:rFonts w:ascii="Times New Roman" w:hAnsi="Times New Roman" w:cs="Times New Roman"/>
          <w:sz w:val="24"/>
          <w:szCs w:val="24"/>
        </w:rPr>
        <w:t>v</w:t>
      </w:r>
      <w:r w:rsidR="00166050" w:rsidRPr="009B4945">
        <w:rPr>
          <w:rFonts w:ascii="Times New Roman" w:hAnsi="Times New Roman" w:cs="Times New Roman"/>
          <w:sz w:val="24"/>
          <w:szCs w:val="24"/>
        </w:rPr>
        <w:t xml:space="preserve">olatility in </w:t>
      </w:r>
      <w:r w:rsidR="00BC5471">
        <w:rPr>
          <w:rFonts w:ascii="Times New Roman" w:hAnsi="Times New Roman" w:cs="Times New Roman"/>
          <w:sz w:val="24"/>
          <w:szCs w:val="24"/>
        </w:rPr>
        <w:t>e</w:t>
      </w:r>
      <w:r w:rsidR="00166050" w:rsidRPr="009B4945">
        <w:rPr>
          <w:rFonts w:ascii="Times New Roman" w:hAnsi="Times New Roman" w:cs="Times New Roman"/>
          <w:sz w:val="24"/>
          <w:szCs w:val="24"/>
        </w:rPr>
        <w:t xml:space="preserve">merging </w:t>
      </w:r>
      <w:r w:rsidR="00BC5471">
        <w:rPr>
          <w:rFonts w:ascii="Times New Roman" w:hAnsi="Times New Roman" w:cs="Times New Roman"/>
          <w:sz w:val="24"/>
          <w:szCs w:val="24"/>
        </w:rPr>
        <w:t>m</w:t>
      </w:r>
      <w:r w:rsidR="00166050" w:rsidRPr="009B4945">
        <w:rPr>
          <w:rFonts w:ascii="Times New Roman" w:hAnsi="Times New Roman" w:cs="Times New Roman"/>
          <w:sz w:val="24"/>
          <w:szCs w:val="24"/>
        </w:rPr>
        <w:t>arkets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166050" w:rsidRPr="009B4945">
        <w:rPr>
          <w:rFonts w:ascii="Times New Roman" w:hAnsi="Times New Roman" w:cs="Times New Roman"/>
          <w:i/>
          <w:sz w:val="24"/>
          <w:szCs w:val="24"/>
        </w:rPr>
        <w:t>Journal of Banking and Finance</w:t>
      </w:r>
      <w:r w:rsidR="00166050" w:rsidRPr="009B4945">
        <w:rPr>
          <w:rFonts w:ascii="Times New Roman" w:hAnsi="Times New Roman" w:cs="Times New Roman"/>
          <w:sz w:val="24"/>
          <w:szCs w:val="24"/>
        </w:rPr>
        <w:t xml:space="preserve">, </w:t>
      </w:r>
      <w:r w:rsidRPr="00B12241">
        <w:rPr>
          <w:rFonts w:ascii="Times New Roman" w:hAnsi="Times New Roman" w:cs="Times New Roman"/>
          <w:i/>
          <w:sz w:val="24"/>
          <w:szCs w:val="24"/>
        </w:rPr>
        <w:t>34</w:t>
      </w:r>
      <w:r w:rsidR="00166050" w:rsidRPr="009B4945">
        <w:rPr>
          <w:rFonts w:ascii="Times New Roman" w:hAnsi="Times New Roman" w:cs="Times New Roman"/>
          <w:sz w:val="24"/>
          <w:szCs w:val="24"/>
        </w:rPr>
        <w:t>(3)</w:t>
      </w:r>
      <w:r w:rsidR="00BC5471">
        <w:rPr>
          <w:rFonts w:ascii="Times New Roman" w:hAnsi="Times New Roman" w:cs="Times New Roman"/>
          <w:sz w:val="24"/>
          <w:szCs w:val="24"/>
        </w:rPr>
        <w:t>,</w:t>
      </w:r>
      <w:r w:rsidR="00166050" w:rsidRPr="009B4945">
        <w:rPr>
          <w:rFonts w:ascii="Times New Roman" w:hAnsi="Times New Roman" w:cs="Times New Roman"/>
          <w:sz w:val="24"/>
          <w:szCs w:val="24"/>
        </w:rPr>
        <w:t xml:space="preserve"> 485–696.</w:t>
      </w:r>
    </w:p>
    <w:p w:rsidR="00B766DA" w:rsidRPr="009B4945" w:rsidRDefault="00B766DA" w:rsidP="00AF6503">
      <w:pPr>
        <w:autoSpaceDE w:val="0"/>
        <w:autoSpaceDN w:val="0"/>
        <w:adjustRightInd w:val="0"/>
        <w:spacing w:after="0" w:line="480" w:lineRule="auto"/>
        <w:ind w:left="720" w:right="282" w:hanging="720"/>
        <w:rPr>
          <w:rFonts w:ascii="Times New Roman" w:hAnsi="Times New Roman" w:cs="Times New Roman"/>
          <w:sz w:val="24"/>
          <w:szCs w:val="24"/>
        </w:rPr>
      </w:pPr>
      <w:r w:rsidRPr="009B4945">
        <w:rPr>
          <w:rFonts w:ascii="Times New Roman" w:hAnsi="Times New Roman" w:cs="Times New Roman"/>
          <w:sz w:val="24"/>
          <w:szCs w:val="24"/>
        </w:rPr>
        <w:t xml:space="preserve">Yu, I., Fung, K., </w:t>
      </w:r>
      <w:r w:rsidR="00F5587E">
        <w:rPr>
          <w:rFonts w:ascii="Times New Roman" w:hAnsi="Times New Roman" w:cs="Times New Roman"/>
          <w:sz w:val="24"/>
          <w:szCs w:val="24"/>
        </w:rPr>
        <w:t>&amp;</w:t>
      </w:r>
      <w:r w:rsidR="004974A3">
        <w:rPr>
          <w:rFonts w:ascii="Times New Roman" w:hAnsi="Times New Roman" w:cs="Times New Roman"/>
          <w:sz w:val="24"/>
          <w:szCs w:val="24"/>
        </w:rPr>
        <w:t xml:space="preserve"> </w:t>
      </w:r>
      <w:r w:rsidRPr="009B4945">
        <w:rPr>
          <w:rFonts w:ascii="Times New Roman" w:hAnsi="Times New Roman" w:cs="Times New Roman"/>
          <w:sz w:val="24"/>
          <w:szCs w:val="24"/>
        </w:rPr>
        <w:t>Tam, C. (2010)</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B4945">
        <w:rPr>
          <w:rFonts w:ascii="Times New Roman" w:hAnsi="Times New Roman" w:cs="Times New Roman"/>
          <w:sz w:val="24"/>
          <w:szCs w:val="24"/>
        </w:rPr>
        <w:t xml:space="preserve">Assessing </w:t>
      </w:r>
      <w:r w:rsidR="00BC5471">
        <w:rPr>
          <w:rFonts w:ascii="Times New Roman" w:hAnsi="Times New Roman" w:cs="Times New Roman"/>
          <w:sz w:val="24"/>
          <w:szCs w:val="24"/>
        </w:rPr>
        <w:t>f</w:t>
      </w:r>
      <w:r w:rsidRPr="009B4945">
        <w:rPr>
          <w:rFonts w:ascii="Times New Roman" w:hAnsi="Times New Roman" w:cs="Times New Roman"/>
          <w:sz w:val="24"/>
          <w:szCs w:val="24"/>
        </w:rPr>
        <w:t xml:space="preserve">inancial </w:t>
      </w:r>
      <w:r w:rsidR="00BC5471">
        <w:rPr>
          <w:rFonts w:ascii="Times New Roman" w:hAnsi="Times New Roman" w:cs="Times New Roman"/>
          <w:sz w:val="24"/>
          <w:szCs w:val="24"/>
        </w:rPr>
        <w:t>m</w:t>
      </w:r>
      <w:r w:rsidRPr="009B4945">
        <w:rPr>
          <w:rFonts w:ascii="Times New Roman" w:hAnsi="Times New Roman" w:cs="Times New Roman"/>
          <w:sz w:val="24"/>
          <w:szCs w:val="24"/>
        </w:rPr>
        <w:t xml:space="preserve">arket </w:t>
      </w:r>
      <w:r w:rsidR="00BA624A">
        <w:rPr>
          <w:rFonts w:ascii="Times New Roman" w:hAnsi="Times New Roman" w:cs="Times New Roman"/>
          <w:sz w:val="24"/>
          <w:szCs w:val="24"/>
        </w:rPr>
        <w:t>i</w:t>
      </w:r>
      <w:r w:rsidRPr="009B4945">
        <w:rPr>
          <w:rFonts w:ascii="Times New Roman" w:hAnsi="Times New Roman" w:cs="Times New Roman"/>
          <w:sz w:val="24"/>
          <w:szCs w:val="24"/>
        </w:rPr>
        <w:t>ntegration in Asia</w:t>
      </w:r>
      <w:r w:rsidR="004A6705">
        <w:rPr>
          <w:rFonts w:ascii="Times New Roman" w:hAnsi="Times New Roman" w:cs="Times New Roman"/>
          <w:sz w:val="24"/>
          <w:szCs w:val="24"/>
        </w:rPr>
        <w:t>—</w:t>
      </w:r>
      <w:r w:rsidR="00BC5471">
        <w:rPr>
          <w:rFonts w:ascii="Times New Roman" w:hAnsi="Times New Roman" w:cs="Times New Roman"/>
          <w:sz w:val="24"/>
          <w:szCs w:val="24"/>
        </w:rPr>
        <w:t>e</w:t>
      </w:r>
      <w:r w:rsidRPr="009B4945">
        <w:rPr>
          <w:rFonts w:ascii="Times New Roman" w:hAnsi="Times New Roman" w:cs="Times New Roman"/>
          <w:sz w:val="24"/>
          <w:szCs w:val="24"/>
        </w:rPr>
        <w:t xml:space="preserve">quity </w:t>
      </w:r>
      <w:r w:rsidR="00BC5471">
        <w:rPr>
          <w:rFonts w:ascii="Times New Roman" w:hAnsi="Times New Roman" w:cs="Times New Roman"/>
          <w:sz w:val="24"/>
          <w:szCs w:val="24"/>
        </w:rPr>
        <w:t>m</w:t>
      </w:r>
      <w:r w:rsidRPr="009B4945">
        <w:rPr>
          <w:rFonts w:ascii="Times New Roman" w:hAnsi="Times New Roman" w:cs="Times New Roman"/>
          <w:sz w:val="24"/>
          <w:szCs w:val="24"/>
        </w:rPr>
        <w:t>arkets</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B4945">
        <w:rPr>
          <w:rFonts w:ascii="Times New Roman" w:hAnsi="Times New Roman" w:cs="Times New Roman"/>
          <w:i/>
          <w:sz w:val="24"/>
          <w:szCs w:val="24"/>
        </w:rPr>
        <w:t>Journal of Banking and Finance</w:t>
      </w:r>
      <w:r w:rsidRPr="009B4945">
        <w:rPr>
          <w:rFonts w:ascii="Times New Roman" w:hAnsi="Times New Roman" w:cs="Times New Roman"/>
          <w:sz w:val="24"/>
          <w:szCs w:val="24"/>
        </w:rPr>
        <w:t xml:space="preserve">, </w:t>
      </w:r>
      <w:r w:rsidR="00B12241" w:rsidRPr="00B12241">
        <w:rPr>
          <w:rFonts w:ascii="Times New Roman" w:hAnsi="Times New Roman" w:cs="Times New Roman"/>
          <w:i/>
          <w:sz w:val="24"/>
          <w:szCs w:val="24"/>
        </w:rPr>
        <w:t>34</w:t>
      </w:r>
      <w:r w:rsidR="00BC5471">
        <w:rPr>
          <w:rFonts w:ascii="Times New Roman" w:hAnsi="Times New Roman" w:cs="Times New Roman"/>
          <w:sz w:val="24"/>
          <w:szCs w:val="24"/>
        </w:rPr>
        <w:t>,</w:t>
      </w:r>
      <w:r w:rsidRPr="009B4945">
        <w:rPr>
          <w:rFonts w:ascii="Times New Roman" w:hAnsi="Times New Roman" w:cs="Times New Roman"/>
          <w:sz w:val="24"/>
          <w:szCs w:val="24"/>
        </w:rPr>
        <w:t xml:space="preserve"> 2874–2885.</w:t>
      </w:r>
    </w:p>
    <w:p w:rsidR="00DD33B7" w:rsidRPr="00AA53E5" w:rsidRDefault="00DD33B7" w:rsidP="00AF6503">
      <w:pPr>
        <w:autoSpaceDE w:val="0"/>
        <w:autoSpaceDN w:val="0"/>
        <w:adjustRightInd w:val="0"/>
        <w:spacing w:after="0" w:line="480" w:lineRule="auto"/>
        <w:ind w:left="720" w:right="282" w:hanging="720"/>
        <w:rPr>
          <w:rFonts w:ascii="Times New Roman" w:eastAsia="Calibri" w:hAnsi="Times New Roman" w:cs="Times New Roman"/>
          <w:color w:val="FF0000"/>
          <w:sz w:val="24"/>
          <w:szCs w:val="24"/>
        </w:rPr>
      </w:pPr>
      <w:r w:rsidRPr="00945099">
        <w:rPr>
          <w:rFonts w:ascii="Times New Roman" w:hAnsi="Times New Roman" w:cs="Times New Roman"/>
          <w:sz w:val="24"/>
          <w:szCs w:val="24"/>
        </w:rPr>
        <w:t>Wang, P.</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00F5587E">
        <w:rPr>
          <w:rFonts w:ascii="Times New Roman" w:hAnsi="Times New Roman" w:cs="Times New Roman"/>
          <w:sz w:val="24"/>
          <w:szCs w:val="24"/>
        </w:rPr>
        <w:t>&amp;</w:t>
      </w:r>
      <w:r w:rsidRPr="00945099">
        <w:rPr>
          <w:rFonts w:ascii="Times New Roman" w:hAnsi="Times New Roman" w:cs="Times New Roman"/>
          <w:sz w:val="24"/>
          <w:szCs w:val="24"/>
        </w:rPr>
        <w:t xml:space="preserve"> Moore, T. (2008)</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sz w:val="24"/>
          <w:szCs w:val="24"/>
        </w:rPr>
        <w:t xml:space="preserve">Stock </w:t>
      </w:r>
      <w:r w:rsidR="00BC5471">
        <w:rPr>
          <w:rFonts w:ascii="Times New Roman" w:hAnsi="Times New Roman" w:cs="Times New Roman"/>
          <w:sz w:val="24"/>
          <w:szCs w:val="24"/>
        </w:rPr>
        <w:t>m</w:t>
      </w:r>
      <w:r w:rsidRPr="00945099">
        <w:rPr>
          <w:rFonts w:ascii="Times New Roman" w:hAnsi="Times New Roman" w:cs="Times New Roman"/>
          <w:sz w:val="24"/>
          <w:szCs w:val="24"/>
        </w:rPr>
        <w:t xml:space="preserve">arket </w:t>
      </w:r>
      <w:r w:rsidR="00BC5471">
        <w:rPr>
          <w:rFonts w:ascii="Times New Roman" w:hAnsi="Times New Roman" w:cs="Times New Roman"/>
          <w:sz w:val="24"/>
          <w:szCs w:val="24"/>
        </w:rPr>
        <w:t>i</w:t>
      </w:r>
      <w:r w:rsidRPr="00945099">
        <w:rPr>
          <w:rFonts w:ascii="Times New Roman" w:hAnsi="Times New Roman" w:cs="Times New Roman"/>
          <w:sz w:val="24"/>
          <w:szCs w:val="24"/>
        </w:rPr>
        <w:t xml:space="preserve">ntegration for the </w:t>
      </w:r>
      <w:r w:rsidR="00BC5471">
        <w:rPr>
          <w:rFonts w:ascii="Times New Roman" w:hAnsi="Times New Roman" w:cs="Times New Roman"/>
          <w:sz w:val="24"/>
          <w:szCs w:val="24"/>
        </w:rPr>
        <w:t>t</w:t>
      </w:r>
      <w:r w:rsidRPr="00945099">
        <w:rPr>
          <w:rFonts w:ascii="Times New Roman" w:hAnsi="Times New Roman" w:cs="Times New Roman"/>
          <w:sz w:val="24"/>
          <w:szCs w:val="24"/>
        </w:rPr>
        <w:t xml:space="preserve">ransition </w:t>
      </w:r>
      <w:r w:rsidR="00BC5471">
        <w:rPr>
          <w:rFonts w:ascii="Times New Roman" w:hAnsi="Times New Roman" w:cs="Times New Roman"/>
          <w:sz w:val="24"/>
          <w:szCs w:val="24"/>
        </w:rPr>
        <w:t>e</w:t>
      </w:r>
      <w:r w:rsidRPr="00945099">
        <w:rPr>
          <w:rFonts w:ascii="Times New Roman" w:hAnsi="Times New Roman" w:cs="Times New Roman"/>
          <w:sz w:val="24"/>
          <w:szCs w:val="24"/>
        </w:rPr>
        <w:t>conomies: Time-</w:t>
      </w:r>
      <w:r w:rsidR="00BC5471">
        <w:rPr>
          <w:rFonts w:ascii="Times New Roman" w:hAnsi="Times New Roman" w:cs="Times New Roman"/>
          <w:sz w:val="24"/>
          <w:szCs w:val="24"/>
        </w:rPr>
        <w:t>v</w:t>
      </w:r>
      <w:r w:rsidRPr="00945099">
        <w:rPr>
          <w:rFonts w:ascii="Times New Roman" w:hAnsi="Times New Roman" w:cs="Times New Roman"/>
          <w:sz w:val="24"/>
          <w:szCs w:val="24"/>
        </w:rPr>
        <w:t xml:space="preserve">arying </w:t>
      </w:r>
      <w:r w:rsidR="00BC5471">
        <w:rPr>
          <w:rFonts w:ascii="Times New Roman" w:hAnsi="Times New Roman" w:cs="Times New Roman"/>
          <w:sz w:val="24"/>
          <w:szCs w:val="24"/>
        </w:rPr>
        <w:t>c</w:t>
      </w:r>
      <w:r w:rsidRPr="00945099">
        <w:rPr>
          <w:rFonts w:ascii="Times New Roman" w:hAnsi="Times New Roman" w:cs="Times New Roman"/>
          <w:sz w:val="24"/>
          <w:szCs w:val="24"/>
        </w:rPr>
        <w:t xml:space="preserve">onditional </w:t>
      </w:r>
      <w:r w:rsidR="00BC5471">
        <w:rPr>
          <w:rFonts w:ascii="Times New Roman" w:hAnsi="Times New Roman" w:cs="Times New Roman"/>
          <w:sz w:val="24"/>
          <w:szCs w:val="24"/>
        </w:rPr>
        <w:t>c</w:t>
      </w:r>
      <w:r w:rsidRPr="00945099">
        <w:rPr>
          <w:rFonts w:ascii="Times New Roman" w:hAnsi="Times New Roman" w:cs="Times New Roman"/>
          <w:sz w:val="24"/>
          <w:szCs w:val="24"/>
        </w:rPr>
        <w:t xml:space="preserve">orrelation </w:t>
      </w:r>
      <w:r w:rsidR="00BC5471">
        <w:rPr>
          <w:rFonts w:ascii="Times New Roman" w:hAnsi="Times New Roman" w:cs="Times New Roman"/>
          <w:sz w:val="24"/>
          <w:szCs w:val="24"/>
        </w:rPr>
        <w:t>a</w:t>
      </w:r>
      <w:r w:rsidRPr="00945099">
        <w:rPr>
          <w:rFonts w:ascii="Times New Roman" w:hAnsi="Times New Roman" w:cs="Times New Roman"/>
          <w:sz w:val="24"/>
          <w:szCs w:val="24"/>
        </w:rPr>
        <w:t>pproach</w:t>
      </w:r>
      <w:r w:rsidR="00F5587E">
        <w:rPr>
          <w:rFonts w:ascii="Times New Roman" w:hAnsi="Times New Roman" w:cs="Times New Roman"/>
          <w:sz w:val="24"/>
          <w:szCs w:val="24"/>
        </w:rPr>
        <w:t>.</w:t>
      </w:r>
      <w:r w:rsidR="004974A3">
        <w:rPr>
          <w:rFonts w:ascii="Times New Roman" w:hAnsi="Times New Roman" w:cs="Times New Roman"/>
          <w:sz w:val="24"/>
          <w:szCs w:val="24"/>
        </w:rPr>
        <w:t xml:space="preserve"> </w:t>
      </w:r>
      <w:r w:rsidRPr="00945099">
        <w:rPr>
          <w:rFonts w:ascii="Times New Roman" w:hAnsi="Times New Roman" w:cs="Times New Roman"/>
          <w:i/>
          <w:sz w:val="24"/>
          <w:szCs w:val="24"/>
        </w:rPr>
        <w:t>Manchester School</w:t>
      </w:r>
      <w:r w:rsidR="00BB7EA4" w:rsidRPr="00945099">
        <w:rPr>
          <w:rFonts w:ascii="Times New Roman" w:hAnsi="Times New Roman" w:cs="Times New Roman"/>
          <w:sz w:val="24"/>
          <w:szCs w:val="24"/>
        </w:rPr>
        <w:t xml:space="preserve">, </w:t>
      </w:r>
      <w:r w:rsidR="000275A5">
        <w:rPr>
          <w:rFonts w:ascii="Times New Roman" w:hAnsi="Times New Roman" w:cs="Times New Roman"/>
          <w:sz w:val="24"/>
          <w:szCs w:val="24"/>
        </w:rPr>
        <w:t xml:space="preserve">76(1), </w:t>
      </w:r>
      <w:r w:rsidRPr="00945099">
        <w:rPr>
          <w:rFonts w:ascii="Times New Roman" w:hAnsi="Times New Roman" w:cs="Times New Roman"/>
          <w:sz w:val="24"/>
          <w:szCs w:val="24"/>
        </w:rPr>
        <w:t>116</w:t>
      </w:r>
      <w:r w:rsidR="00EF11C8" w:rsidRPr="00945099">
        <w:rPr>
          <w:rFonts w:ascii="Times New Roman" w:hAnsi="Times New Roman" w:cs="Times New Roman"/>
          <w:sz w:val="24"/>
          <w:szCs w:val="24"/>
        </w:rPr>
        <w:t>–</w:t>
      </w:r>
      <w:r w:rsidRPr="00945099">
        <w:rPr>
          <w:rFonts w:ascii="Times New Roman" w:hAnsi="Times New Roman" w:cs="Times New Roman"/>
          <w:sz w:val="24"/>
          <w:szCs w:val="24"/>
        </w:rPr>
        <w:t>133</w:t>
      </w:r>
      <w:r w:rsidR="00EF11C8" w:rsidRPr="00AA53E5">
        <w:rPr>
          <w:rFonts w:ascii="Times New Roman" w:hAnsi="Times New Roman" w:cs="Times New Roman"/>
          <w:color w:val="FF0000"/>
          <w:sz w:val="24"/>
          <w:szCs w:val="24"/>
        </w:rPr>
        <w:t>.</w:t>
      </w:r>
    </w:p>
    <w:p w:rsidR="00166050" w:rsidRPr="00AA53E5" w:rsidRDefault="00166050" w:rsidP="00AF6503">
      <w:pPr>
        <w:spacing w:after="0" w:line="480" w:lineRule="auto"/>
        <w:ind w:left="720" w:right="282" w:hanging="720"/>
        <w:rPr>
          <w:rFonts w:ascii="Times New Roman" w:hAnsi="Times New Roman" w:cs="Times New Roman"/>
          <w:color w:val="FF0000"/>
          <w:sz w:val="24"/>
          <w:szCs w:val="24"/>
        </w:rPr>
      </w:pPr>
    </w:p>
    <w:p w:rsidR="007A2749" w:rsidRPr="00AA53E5" w:rsidRDefault="007A2749" w:rsidP="00505395">
      <w:pPr>
        <w:spacing w:line="360" w:lineRule="auto"/>
        <w:ind w:right="282"/>
        <w:rPr>
          <w:color w:val="FF0000"/>
        </w:rPr>
      </w:pPr>
    </w:p>
    <w:sectPr w:rsidR="007A2749" w:rsidRPr="00AA53E5" w:rsidSect="00C73AAD">
      <w:footerReference w:type="default" r:id="rId18"/>
      <w:pgSz w:w="11906" w:h="16838"/>
      <w:pgMar w:top="1134" w:right="851" w:bottom="1135"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4BDF6" w16cid:durableId="1F421AC1"/>
  <w16cid:commentId w16cid:paraId="38C883B9" w16cid:durableId="1F429FA9"/>
  <w16cid:commentId w16cid:paraId="7F72259F" w16cid:durableId="1F42A21F"/>
  <w16cid:commentId w16cid:paraId="514F0095" w16cid:durableId="1F440E23"/>
  <w16cid:commentId w16cid:paraId="683A3E3B" w16cid:durableId="1F43D5D6"/>
  <w16cid:commentId w16cid:paraId="7419046F" w16cid:durableId="1F4429FA"/>
  <w16cid:commentId w16cid:paraId="0FD01096" w16cid:durableId="1F442A13"/>
  <w16cid:commentId w16cid:paraId="37165986" w16cid:durableId="1F42AFB2"/>
  <w16cid:commentId w16cid:paraId="0CD36AEB" w16cid:durableId="1F442A54"/>
  <w16cid:commentId w16cid:paraId="33D740D9" w16cid:durableId="1F4424B8"/>
  <w16cid:commentId w16cid:paraId="69663F20" w16cid:durableId="1F442522"/>
  <w16cid:commentId w16cid:paraId="2D09FDCE" w16cid:durableId="1F43E571"/>
  <w16cid:commentId w16cid:paraId="1EE36011" w16cid:durableId="1F43DE80"/>
  <w16cid:commentId w16cid:paraId="4145D1F2" w16cid:durableId="1F43DF3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06A" w:rsidRDefault="0022506A" w:rsidP="00166050">
      <w:pPr>
        <w:spacing w:after="0" w:line="240" w:lineRule="auto"/>
      </w:pPr>
      <w:r>
        <w:separator/>
      </w:r>
    </w:p>
  </w:endnote>
  <w:endnote w:type="continuationSeparator" w:id="0">
    <w:p w:rsidR="0022506A" w:rsidRDefault="0022506A" w:rsidP="0016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New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749579"/>
      <w:docPartObj>
        <w:docPartGallery w:val="Page Numbers (Bottom of Page)"/>
        <w:docPartUnique/>
      </w:docPartObj>
    </w:sdtPr>
    <w:sdtEndPr/>
    <w:sdtContent>
      <w:p w:rsidR="0087698B" w:rsidRDefault="0087698B">
        <w:pPr>
          <w:pStyle w:val="Footer"/>
          <w:jc w:val="center"/>
        </w:pPr>
        <w:r>
          <w:rPr>
            <w:noProof/>
          </w:rPr>
          <w:fldChar w:fldCharType="begin"/>
        </w:r>
        <w:r>
          <w:rPr>
            <w:noProof/>
          </w:rPr>
          <w:instrText xml:space="preserve"> PAGE   \* MERGEFORMAT </w:instrText>
        </w:r>
        <w:r>
          <w:rPr>
            <w:noProof/>
          </w:rPr>
          <w:fldChar w:fldCharType="separate"/>
        </w:r>
        <w:r w:rsidR="003D79E4">
          <w:rPr>
            <w:noProof/>
          </w:rPr>
          <w:t>17</w:t>
        </w:r>
        <w:r>
          <w:rPr>
            <w:noProof/>
          </w:rPr>
          <w:fldChar w:fldCharType="end"/>
        </w:r>
      </w:p>
    </w:sdtContent>
  </w:sdt>
  <w:p w:rsidR="0087698B" w:rsidRDefault="0087698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457299"/>
      <w:docPartObj>
        <w:docPartGallery w:val="Page Numbers (Bottom of Page)"/>
        <w:docPartUnique/>
      </w:docPartObj>
    </w:sdtPr>
    <w:sdtEndPr>
      <w:rPr>
        <w:noProof/>
      </w:rPr>
    </w:sdtEndPr>
    <w:sdtContent>
      <w:p w:rsidR="0087698B" w:rsidRDefault="0087698B">
        <w:pPr>
          <w:pStyle w:val="Footer"/>
          <w:jc w:val="center"/>
        </w:pPr>
        <w:r>
          <w:rPr>
            <w:noProof/>
          </w:rPr>
          <w:fldChar w:fldCharType="begin"/>
        </w:r>
        <w:r>
          <w:rPr>
            <w:noProof/>
          </w:rPr>
          <w:instrText xml:space="preserve"> PAGE   \* MERGEFORMAT </w:instrText>
        </w:r>
        <w:r>
          <w:rPr>
            <w:noProof/>
          </w:rPr>
          <w:fldChar w:fldCharType="separate"/>
        </w:r>
        <w:r w:rsidR="003D79E4">
          <w:rPr>
            <w:noProof/>
          </w:rPr>
          <w:t>21</w:t>
        </w:r>
        <w:r>
          <w:rPr>
            <w:noProof/>
          </w:rPr>
          <w:fldChar w:fldCharType="end"/>
        </w:r>
      </w:p>
    </w:sdtContent>
  </w:sdt>
  <w:p w:rsidR="0087698B" w:rsidRDefault="0087698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98B" w:rsidRDefault="0087698B">
    <w:pPr>
      <w:pStyle w:val="Footer"/>
      <w:jc w:val="center"/>
    </w:pPr>
  </w:p>
  <w:p w:rsidR="0087698B" w:rsidRDefault="008769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06A" w:rsidRDefault="0022506A" w:rsidP="00166050">
      <w:pPr>
        <w:spacing w:after="0" w:line="240" w:lineRule="auto"/>
      </w:pPr>
      <w:r>
        <w:separator/>
      </w:r>
    </w:p>
  </w:footnote>
  <w:footnote w:type="continuationSeparator" w:id="0">
    <w:p w:rsidR="0022506A" w:rsidRDefault="0022506A" w:rsidP="00166050">
      <w:pPr>
        <w:spacing w:after="0" w:line="240" w:lineRule="auto"/>
      </w:pPr>
      <w:r>
        <w:continuationSeparator/>
      </w:r>
    </w:p>
  </w:footnote>
  <w:footnote w:id="1">
    <w:p w:rsidR="0087698B" w:rsidRDefault="0087698B">
      <w:pPr>
        <w:pStyle w:val="FootnoteText"/>
      </w:pPr>
      <w:r>
        <w:rPr>
          <w:rStyle w:val="FootnoteReference"/>
        </w:rPr>
        <w:footnoteRef/>
      </w:r>
      <w:r>
        <w:rPr>
          <w:rFonts w:ascii="Times New Roman" w:hAnsi="Times New Roman" w:cs="Times New Roman"/>
          <w:sz w:val="24"/>
          <w:szCs w:val="24"/>
        </w:rPr>
        <w:t xml:space="preserve">Yield spread is defined as the </w:t>
      </w:r>
      <w:r w:rsidRPr="006853EA">
        <w:rPr>
          <w:rFonts w:ascii="Times New Roman" w:hAnsi="Times New Roman" w:cs="Times New Roman"/>
          <w:sz w:val="24"/>
          <w:szCs w:val="24"/>
        </w:rPr>
        <w:t xml:space="preserve">difference </w:t>
      </w:r>
      <w:r>
        <w:rPr>
          <w:rFonts w:ascii="Times New Roman" w:hAnsi="Times New Roman" w:cs="Times New Roman"/>
          <w:sz w:val="24"/>
          <w:szCs w:val="24"/>
        </w:rPr>
        <w:t>between yields on 10-year Treasury notes and 3-month Treasury bills.</w:t>
      </w:r>
    </w:p>
  </w:footnote>
  <w:footnote w:id="2">
    <w:p w:rsidR="0087698B" w:rsidRPr="00AF6503" w:rsidRDefault="0087698B" w:rsidP="00AF6503">
      <w:pPr>
        <w:pStyle w:val="FootnoteText"/>
        <w:spacing w:line="480" w:lineRule="auto"/>
        <w:rPr>
          <w:rFonts w:ascii="Times New Roman" w:hAnsi="Times New Roman" w:cs="Times New Roman"/>
          <w:sz w:val="24"/>
          <w:szCs w:val="24"/>
        </w:rPr>
      </w:pPr>
      <w:r w:rsidRPr="00AF6503">
        <w:rPr>
          <w:rStyle w:val="FootnoteReference"/>
          <w:rFonts w:ascii="Times New Roman" w:hAnsi="Times New Roman" w:cs="Times New Roman"/>
          <w:sz w:val="24"/>
          <w:szCs w:val="24"/>
        </w:rPr>
        <w:footnoteRef/>
      </w:r>
      <w:r w:rsidRPr="00AF6503">
        <w:rPr>
          <w:rFonts w:ascii="Times New Roman" w:hAnsi="Times New Roman" w:cs="Times New Roman"/>
          <w:sz w:val="24"/>
          <w:szCs w:val="24"/>
        </w:rPr>
        <w:t xml:space="preserve"> The </w:t>
      </w:r>
      <w:r>
        <w:rPr>
          <w:rFonts w:ascii="Times New Roman" w:hAnsi="Times New Roman" w:cs="Times New Roman"/>
          <w:sz w:val="24"/>
          <w:szCs w:val="24"/>
        </w:rPr>
        <w:t xml:space="preserve">two </w:t>
      </w:r>
      <w:r w:rsidRPr="00AF6503">
        <w:rPr>
          <w:rFonts w:ascii="Times New Roman" w:hAnsi="Times New Roman" w:cs="Times New Roman"/>
          <w:sz w:val="24"/>
          <w:szCs w:val="24"/>
        </w:rPr>
        <w:t>indices are obtained from Thomson Financial DataStream.</w:t>
      </w:r>
    </w:p>
  </w:footnote>
  <w:footnote w:id="3">
    <w:p w:rsidR="0087698B" w:rsidRPr="00AF6503" w:rsidRDefault="0087698B" w:rsidP="00AF6503">
      <w:pPr>
        <w:pStyle w:val="FootnoteText"/>
        <w:spacing w:line="480" w:lineRule="auto"/>
        <w:rPr>
          <w:rFonts w:ascii="Times New Roman" w:hAnsi="Times New Roman" w:cs="Times New Roman"/>
          <w:sz w:val="24"/>
          <w:szCs w:val="24"/>
        </w:rPr>
      </w:pPr>
      <w:r w:rsidRPr="00AF6503">
        <w:rPr>
          <w:rStyle w:val="FootnoteReference"/>
          <w:rFonts w:ascii="Times New Roman" w:hAnsi="Times New Roman" w:cs="Times New Roman"/>
          <w:sz w:val="24"/>
          <w:szCs w:val="24"/>
        </w:rPr>
        <w:footnoteRef/>
      </w:r>
      <w:r w:rsidRPr="00AF6503">
        <w:rPr>
          <w:rFonts w:ascii="Times New Roman" w:hAnsi="Times New Roman" w:cs="Times New Roman"/>
          <w:sz w:val="24"/>
          <w:szCs w:val="24"/>
        </w:rPr>
        <w:t xml:space="preserve"> We extracted the monthly macro and financial data from the Federal Reserve Bank of St. Louis and from Global Financial Data. </w:t>
      </w:r>
      <w:r>
        <w:rPr>
          <w:rFonts w:ascii="Times New Roman" w:hAnsi="Times New Roman" w:cs="Times New Roman"/>
          <w:sz w:val="24"/>
          <w:szCs w:val="24"/>
        </w:rPr>
        <w:t xml:space="preserve">Series for the </w:t>
      </w:r>
      <w:r w:rsidRPr="00AF6503">
        <w:rPr>
          <w:rFonts w:ascii="Times New Roman" w:hAnsi="Times New Roman" w:cs="Times New Roman"/>
          <w:sz w:val="24"/>
          <w:szCs w:val="24"/>
        </w:rPr>
        <w:t xml:space="preserve">EPU </w:t>
      </w:r>
      <w:r>
        <w:rPr>
          <w:rFonts w:ascii="Times New Roman" w:hAnsi="Times New Roman" w:cs="Times New Roman"/>
          <w:sz w:val="24"/>
          <w:szCs w:val="24"/>
        </w:rPr>
        <w:t>indices are obtained from</w:t>
      </w:r>
      <w:r w:rsidRPr="00AF6503">
        <w:rPr>
          <w:rFonts w:ascii="Times New Roman" w:hAnsi="Times New Roman" w:cs="Times New Roman"/>
          <w:sz w:val="24"/>
          <w:szCs w:val="24"/>
        </w:rPr>
        <w:t>www.PolicyUncertainty.com.</w:t>
      </w:r>
    </w:p>
  </w:footnote>
  <w:footnote w:id="4">
    <w:p w:rsidR="0087698B" w:rsidRPr="00AF6503" w:rsidRDefault="0087698B" w:rsidP="00AF6503">
      <w:pPr>
        <w:pStyle w:val="FootnoteText"/>
        <w:spacing w:line="480" w:lineRule="auto"/>
        <w:rPr>
          <w:rFonts w:ascii="Times New Roman" w:hAnsi="Times New Roman" w:cs="Times New Roman"/>
          <w:sz w:val="24"/>
          <w:szCs w:val="24"/>
        </w:rPr>
      </w:pPr>
      <w:r w:rsidRPr="00AF6503">
        <w:rPr>
          <w:rStyle w:val="FootnoteReference"/>
          <w:rFonts w:ascii="Times New Roman" w:hAnsi="Times New Roman" w:cs="Times New Roman"/>
          <w:sz w:val="24"/>
          <w:szCs w:val="24"/>
        </w:rPr>
        <w:footnoteRef/>
      </w:r>
      <w:r w:rsidRPr="00AF6503">
        <w:rPr>
          <w:rFonts w:ascii="Times New Roman" w:hAnsi="Times New Roman" w:cs="Times New Roman"/>
          <w:sz w:val="24"/>
          <w:szCs w:val="24"/>
        </w:rPr>
        <w:t xml:space="preserve"> Johansen tests incorporate both a linear trend and </w:t>
      </w:r>
      <w:r>
        <w:rPr>
          <w:rFonts w:ascii="Times New Roman" w:hAnsi="Times New Roman" w:cs="Times New Roman"/>
          <w:sz w:val="24"/>
          <w:szCs w:val="24"/>
        </w:rPr>
        <w:t xml:space="preserve">a </w:t>
      </w:r>
      <w:r w:rsidRPr="00AF6503">
        <w:rPr>
          <w:rFonts w:ascii="Times New Roman" w:hAnsi="Times New Roman" w:cs="Times New Roman"/>
          <w:sz w:val="24"/>
          <w:szCs w:val="24"/>
        </w:rPr>
        <w:t>constant, with lags selected by using BIC.</w:t>
      </w:r>
    </w:p>
  </w:footnote>
  <w:footnote w:id="5">
    <w:p w:rsidR="0087698B" w:rsidRPr="00E23AC1" w:rsidRDefault="0087698B" w:rsidP="00AF6503">
      <w:pPr>
        <w:pStyle w:val="FootnoteText"/>
        <w:spacing w:line="480" w:lineRule="auto"/>
        <w:rPr>
          <w:rFonts w:ascii="Times New Roman" w:hAnsi="Times New Roman" w:cs="Times New Roman"/>
          <w:sz w:val="24"/>
          <w:szCs w:val="24"/>
        </w:rPr>
      </w:pPr>
      <w:r w:rsidRPr="00E23AC1">
        <w:rPr>
          <w:rStyle w:val="FootnoteReference"/>
          <w:rFonts w:ascii="Times New Roman" w:hAnsi="Times New Roman" w:cs="Times New Roman"/>
          <w:sz w:val="24"/>
          <w:szCs w:val="24"/>
        </w:rPr>
        <w:footnoteRef/>
      </w:r>
      <w:r w:rsidRPr="00E23AC1">
        <w:rPr>
          <w:rFonts w:ascii="Times New Roman" w:hAnsi="Times New Roman" w:cs="Times New Roman"/>
          <w:sz w:val="24"/>
          <w:szCs w:val="24"/>
        </w:rPr>
        <w:t xml:space="preserve"> Such tests are computed by setting the time spans of stable periods equal to those of crisis periods. For instance, the stable period prior the GFC spans from September 2005 to July 2007, while the GFC period spans from August 2007 to June 2009.”</w:t>
      </w:r>
    </w:p>
  </w:footnote>
  <w:footnote w:id="6">
    <w:p w:rsidR="0087698B" w:rsidRPr="00AF6503" w:rsidRDefault="0087698B" w:rsidP="00AF6503">
      <w:pPr>
        <w:pStyle w:val="FootnoteText"/>
        <w:spacing w:line="480" w:lineRule="auto"/>
        <w:rPr>
          <w:rFonts w:ascii="Times New Roman" w:hAnsi="Times New Roman" w:cs="Times New Roman"/>
          <w:sz w:val="24"/>
          <w:szCs w:val="24"/>
        </w:rPr>
      </w:pPr>
      <w:r w:rsidRPr="00AF6503">
        <w:rPr>
          <w:rStyle w:val="FootnoteReference"/>
          <w:rFonts w:ascii="Times New Roman" w:hAnsi="Times New Roman" w:cs="Times New Roman"/>
          <w:sz w:val="24"/>
          <w:szCs w:val="24"/>
        </w:rPr>
        <w:footnoteRef/>
      </w:r>
      <w:r w:rsidRPr="00AF6503">
        <w:rPr>
          <w:rFonts w:ascii="Times New Roman" w:hAnsi="Times New Roman" w:cs="Times New Roman"/>
          <w:sz w:val="24"/>
          <w:szCs w:val="24"/>
        </w:rPr>
        <w:t xml:space="preserve"> The results of the robustness checks are not reported but are available from the authors upon request.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621"/>
    <w:multiLevelType w:val="hybridMultilevel"/>
    <w:tmpl w:val="C1FED0EA"/>
    <w:lvl w:ilvl="0" w:tplc="28D4C3E0">
      <w:start w:val="1"/>
      <w:numFmt w:val="bullet"/>
      <w:lvlText w:val=""/>
      <w:lvlJc w:val="left"/>
      <w:pPr>
        <w:tabs>
          <w:tab w:val="num" w:pos="720"/>
        </w:tabs>
        <w:ind w:left="720" w:hanging="360"/>
      </w:pPr>
      <w:rPr>
        <w:rFonts w:ascii="Wingdings 2" w:hAnsi="Wingdings 2" w:hint="default"/>
      </w:rPr>
    </w:lvl>
    <w:lvl w:ilvl="1" w:tplc="F4646890" w:tentative="1">
      <w:start w:val="1"/>
      <w:numFmt w:val="bullet"/>
      <w:lvlText w:val=""/>
      <w:lvlJc w:val="left"/>
      <w:pPr>
        <w:tabs>
          <w:tab w:val="num" w:pos="1440"/>
        </w:tabs>
        <w:ind w:left="1440" w:hanging="360"/>
      </w:pPr>
      <w:rPr>
        <w:rFonts w:ascii="Wingdings 2" w:hAnsi="Wingdings 2" w:hint="default"/>
      </w:rPr>
    </w:lvl>
    <w:lvl w:ilvl="2" w:tplc="ECEE161E" w:tentative="1">
      <w:start w:val="1"/>
      <w:numFmt w:val="bullet"/>
      <w:lvlText w:val=""/>
      <w:lvlJc w:val="left"/>
      <w:pPr>
        <w:tabs>
          <w:tab w:val="num" w:pos="2160"/>
        </w:tabs>
        <w:ind w:left="2160" w:hanging="360"/>
      </w:pPr>
      <w:rPr>
        <w:rFonts w:ascii="Wingdings 2" w:hAnsi="Wingdings 2" w:hint="default"/>
      </w:rPr>
    </w:lvl>
    <w:lvl w:ilvl="3" w:tplc="EC46DDDC" w:tentative="1">
      <w:start w:val="1"/>
      <w:numFmt w:val="bullet"/>
      <w:lvlText w:val=""/>
      <w:lvlJc w:val="left"/>
      <w:pPr>
        <w:tabs>
          <w:tab w:val="num" w:pos="2880"/>
        </w:tabs>
        <w:ind w:left="2880" w:hanging="360"/>
      </w:pPr>
      <w:rPr>
        <w:rFonts w:ascii="Wingdings 2" w:hAnsi="Wingdings 2" w:hint="default"/>
      </w:rPr>
    </w:lvl>
    <w:lvl w:ilvl="4" w:tplc="05A85C48" w:tentative="1">
      <w:start w:val="1"/>
      <w:numFmt w:val="bullet"/>
      <w:lvlText w:val=""/>
      <w:lvlJc w:val="left"/>
      <w:pPr>
        <w:tabs>
          <w:tab w:val="num" w:pos="3600"/>
        </w:tabs>
        <w:ind w:left="3600" w:hanging="360"/>
      </w:pPr>
      <w:rPr>
        <w:rFonts w:ascii="Wingdings 2" w:hAnsi="Wingdings 2" w:hint="default"/>
      </w:rPr>
    </w:lvl>
    <w:lvl w:ilvl="5" w:tplc="B62A03E2" w:tentative="1">
      <w:start w:val="1"/>
      <w:numFmt w:val="bullet"/>
      <w:lvlText w:val=""/>
      <w:lvlJc w:val="left"/>
      <w:pPr>
        <w:tabs>
          <w:tab w:val="num" w:pos="4320"/>
        </w:tabs>
        <w:ind w:left="4320" w:hanging="360"/>
      </w:pPr>
      <w:rPr>
        <w:rFonts w:ascii="Wingdings 2" w:hAnsi="Wingdings 2" w:hint="default"/>
      </w:rPr>
    </w:lvl>
    <w:lvl w:ilvl="6" w:tplc="49F00BA4" w:tentative="1">
      <w:start w:val="1"/>
      <w:numFmt w:val="bullet"/>
      <w:lvlText w:val=""/>
      <w:lvlJc w:val="left"/>
      <w:pPr>
        <w:tabs>
          <w:tab w:val="num" w:pos="5040"/>
        </w:tabs>
        <w:ind w:left="5040" w:hanging="360"/>
      </w:pPr>
      <w:rPr>
        <w:rFonts w:ascii="Wingdings 2" w:hAnsi="Wingdings 2" w:hint="default"/>
      </w:rPr>
    </w:lvl>
    <w:lvl w:ilvl="7" w:tplc="DEB68B98" w:tentative="1">
      <w:start w:val="1"/>
      <w:numFmt w:val="bullet"/>
      <w:lvlText w:val=""/>
      <w:lvlJc w:val="left"/>
      <w:pPr>
        <w:tabs>
          <w:tab w:val="num" w:pos="5760"/>
        </w:tabs>
        <w:ind w:left="5760" w:hanging="360"/>
      </w:pPr>
      <w:rPr>
        <w:rFonts w:ascii="Wingdings 2" w:hAnsi="Wingdings 2" w:hint="default"/>
      </w:rPr>
    </w:lvl>
    <w:lvl w:ilvl="8" w:tplc="CDAE004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74F2262"/>
    <w:multiLevelType w:val="hybridMultilevel"/>
    <w:tmpl w:val="E6502DDE"/>
    <w:lvl w:ilvl="0" w:tplc="9FEC97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16B3"/>
    <w:multiLevelType w:val="hybridMultilevel"/>
    <w:tmpl w:val="43DE12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82C37"/>
    <w:multiLevelType w:val="hybridMultilevel"/>
    <w:tmpl w:val="D68A1E64"/>
    <w:lvl w:ilvl="0" w:tplc="28D029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9D6581"/>
    <w:multiLevelType w:val="hybridMultilevel"/>
    <w:tmpl w:val="9DC89FCE"/>
    <w:lvl w:ilvl="0" w:tplc="FAA8CB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30425"/>
    <w:multiLevelType w:val="hybridMultilevel"/>
    <w:tmpl w:val="41C0D7B4"/>
    <w:lvl w:ilvl="0" w:tplc="0809000F">
      <w:start w:val="4"/>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9571D"/>
    <w:multiLevelType w:val="hybridMultilevel"/>
    <w:tmpl w:val="EDE89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53B6A"/>
    <w:multiLevelType w:val="multilevel"/>
    <w:tmpl w:val="158E569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4212FE"/>
    <w:multiLevelType w:val="hybridMultilevel"/>
    <w:tmpl w:val="E5F0B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A61B37"/>
    <w:multiLevelType w:val="hybridMultilevel"/>
    <w:tmpl w:val="41C0D7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9E475E"/>
    <w:multiLevelType w:val="hybridMultilevel"/>
    <w:tmpl w:val="5A1C4C1C"/>
    <w:lvl w:ilvl="0" w:tplc="1CD8D9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F907A1"/>
    <w:multiLevelType w:val="hybridMultilevel"/>
    <w:tmpl w:val="D15EB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D44A78"/>
    <w:multiLevelType w:val="hybridMultilevel"/>
    <w:tmpl w:val="5D1EA956"/>
    <w:lvl w:ilvl="0" w:tplc="2A986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240043"/>
    <w:multiLevelType w:val="hybridMultilevel"/>
    <w:tmpl w:val="D57A4208"/>
    <w:lvl w:ilvl="0" w:tplc="32F650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4606F3"/>
    <w:multiLevelType w:val="hybridMultilevel"/>
    <w:tmpl w:val="C1403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823C4"/>
    <w:multiLevelType w:val="hybridMultilevel"/>
    <w:tmpl w:val="395A7E24"/>
    <w:lvl w:ilvl="0" w:tplc="8D069AB2">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43B13"/>
    <w:multiLevelType w:val="hybridMultilevel"/>
    <w:tmpl w:val="74242024"/>
    <w:lvl w:ilvl="0" w:tplc="FA3093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F6A36"/>
    <w:multiLevelType w:val="hybridMultilevel"/>
    <w:tmpl w:val="8C680B56"/>
    <w:lvl w:ilvl="0" w:tplc="ABB8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8C1E83"/>
    <w:multiLevelType w:val="hybridMultilevel"/>
    <w:tmpl w:val="0B3A2862"/>
    <w:lvl w:ilvl="0" w:tplc="8A94DA88">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D26B23"/>
    <w:multiLevelType w:val="hybridMultilevel"/>
    <w:tmpl w:val="C0DE991C"/>
    <w:lvl w:ilvl="0" w:tplc="8AC423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63B2758"/>
    <w:multiLevelType w:val="hybridMultilevel"/>
    <w:tmpl w:val="3392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0592D"/>
    <w:multiLevelType w:val="hybridMultilevel"/>
    <w:tmpl w:val="F95E4BE8"/>
    <w:lvl w:ilvl="0" w:tplc="1800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E673C0"/>
    <w:multiLevelType w:val="hybridMultilevel"/>
    <w:tmpl w:val="3B28D18E"/>
    <w:lvl w:ilvl="0" w:tplc="3C9A62AE">
      <w:start w:val="5"/>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44A527AF"/>
    <w:multiLevelType w:val="hybridMultilevel"/>
    <w:tmpl w:val="9348BD28"/>
    <w:lvl w:ilvl="0" w:tplc="FDA2C650">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F9110D"/>
    <w:multiLevelType w:val="hybridMultilevel"/>
    <w:tmpl w:val="A4EC7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044336"/>
    <w:multiLevelType w:val="hybridMultilevel"/>
    <w:tmpl w:val="150A9972"/>
    <w:lvl w:ilvl="0" w:tplc="952EA720">
      <w:start w:val="3"/>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CE303D"/>
    <w:multiLevelType w:val="hybridMultilevel"/>
    <w:tmpl w:val="B4165FAA"/>
    <w:lvl w:ilvl="0" w:tplc="2102C660">
      <w:start w:val="1"/>
      <w:numFmt w:val="bullet"/>
      <w:lvlText w:val=""/>
      <w:lvlJc w:val="left"/>
      <w:pPr>
        <w:tabs>
          <w:tab w:val="num" w:pos="720"/>
        </w:tabs>
        <w:ind w:left="720" w:hanging="360"/>
      </w:pPr>
      <w:rPr>
        <w:rFonts w:ascii="Wingdings 2" w:hAnsi="Wingdings 2" w:hint="default"/>
      </w:rPr>
    </w:lvl>
    <w:lvl w:ilvl="1" w:tplc="036C8224" w:tentative="1">
      <w:start w:val="1"/>
      <w:numFmt w:val="bullet"/>
      <w:lvlText w:val=""/>
      <w:lvlJc w:val="left"/>
      <w:pPr>
        <w:tabs>
          <w:tab w:val="num" w:pos="1440"/>
        </w:tabs>
        <w:ind w:left="1440" w:hanging="360"/>
      </w:pPr>
      <w:rPr>
        <w:rFonts w:ascii="Wingdings 2" w:hAnsi="Wingdings 2" w:hint="default"/>
      </w:rPr>
    </w:lvl>
    <w:lvl w:ilvl="2" w:tplc="0D04BDA8" w:tentative="1">
      <w:start w:val="1"/>
      <w:numFmt w:val="bullet"/>
      <w:lvlText w:val=""/>
      <w:lvlJc w:val="left"/>
      <w:pPr>
        <w:tabs>
          <w:tab w:val="num" w:pos="2160"/>
        </w:tabs>
        <w:ind w:left="2160" w:hanging="360"/>
      </w:pPr>
      <w:rPr>
        <w:rFonts w:ascii="Wingdings 2" w:hAnsi="Wingdings 2" w:hint="default"/>
      </w:rPr>
    </w:lvl>
    <w:lvl w:ilvl="3" w:tplc="67C6A05A" w:tentative="1">
      <w:start w:val="1"/>
      <w:numFmt w:val="bullet"/>
      <w:lvlText w:val=""/>
      <w:lvlJc w:val="left"/>
      <w:pPr>
        <w:tabs>
          <w:tab w:val="num" w:pos="2880"/>
        </w:tabs>
        <w:ind w:left="2880" w:hanging="360"/>
      </w:pPr>
      <w:rPr>
        <w:rFonts w:ascii="Wingdings 2" w:hAnsi="Wingdings 2" w:hint="default"/>
      </w:rPr>
    </w:lvl>
    <w:lvl w:ilvl="4" w:tplc="2460F2FC" w:tentative="1">
      <w:start w:val="1"/>
      <w:numFmt w:val="bullet"/>
      <w:lvlText w:val=""/>
      <w:lvlJc w:val="left"/>
      <w:pPr>
        <w:tabs>
          <w:tab w:val="num" w:pos="3600"/>
        </w:tabs>
        <w:ind w:left="3600" w:hanging="360"/>
      </w:pPr>
      <w:rPr>
        <w:rFonts w:ascii="Wingdings 2" w:hAnsi="Wingdings 2" w:hint="default"/>
      </w:rPr>
    </w:lvl>
    <w:lvl w:ilvl="5" w:tplc="3F503EF6" w:tentative="1">
      <w:start w:val="1"/>
      <w:numFmt w:val="bullet"/>
      <w:lvlText w:val=""/>
      <w:lvlJc w:val="left"/>
      <w:pPr>
        <w:tabs>
          <w:tab w:val="num" w:pos="4320"/>
        </w:tabs>
        <w:ind w:left="4320" w:hanging="360"/>
      </w:pPr>
      <w:rPr>
        <w:rFonts w:ascii="Wingdings 2" w:hAnsi="Wingdings 2" w:hint="default"/>
      </w:rPr>
    </w:lvl>
    <w:lvl w:ilvl="6" w:tplc="B3BA72F2" w:tentative="1">
      <w:start w:val="1"/>
      <w:numFmt w:val="bullet"/>
      <w:lvlText w:val=""/>
      <w:lvlJc w:val="left"/>
      <w:pPr>
        <w:tabs>
          <w:tab w:val="num" w:pos="5040"/>
        </w:tabs>
        <w:ind w:left="5040" w:hanging="360"/>
      </w:pPr>
      <w:rPr>
        <w:rFonts w:ascii="Wingdings 2" w:hAnsi="Wingdings 2" w:hint="default"/>
      </w:rPr>
    </w:lvl>
    <w:lvl w:ilvl="7" w:tplc="0898152A" w:tentative="1">
      <w:start w:val="1"/>
      <w:numFmt w:val="bullet"/>
      <w:lvlText w:val=""/>
      <w:lvlJc w:val="left"/>
      <w:pPr>
        <w:tabs>
          <w:tab w:val="num" w:pos="5760"/>
        </w:tabs>
        <w:ind w:left="5760" w:hanging="360"/>
      </w:pPr>
      <w:rPr>
        <w:rFonts w:ascii="Wingdings 2" w:hAnsi="Wingdings 2" w:hint="default"/>
      </w:rPr>
    </w:lvl>
    <w:lvl w:ilvl="8" w:tplc="73060DB4"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12F4402"/>
    <w:multiLevelType w:val="hybridMultilevel"/>
    <w:tmpl w:val="64C681FE"/>
    <w:lvl w:ilvl="0" w:tplc="6DA4C974">
      <w:start w:val="1"/>
      <w:numFmt w:val="bullet"/>
      <w:lvlText w:val=""/>
      <w:lvlJc w:val="left"/>
      <w:pPr>
        <w:tabs>
          <w:tab w:val="num" w:pos="720"/>
        </w:tabs>
        <w:ind w:left="720" w:hanging="360"/>
      </w:pPr>
      <w:rPr>
        <w:rFonts w:ascii="Wingdings 2" w:hAnsi="Wingdings 2" w:hint="default"/>
      </w:rPr>
    </w:lvl>
    <w:lvl w:ilvl="1" w:tplc="DF8CB2C2" w:tentative="1">
      <w:start w:val="1"/>
      <w:numFmt w:val="bullet"/>
      <w:lvlText w:val=""/>
      <w:lvlJc w:val="left"/>
      <w:pPr>
        <w:tabs>
          <w:tab w:val="num" w:pos="1440"/>
        </w:tabs>
        <w:ind w:left="1440" w:hanging="360"/>
      </w:pPr>
      <w:rPr>
        <w:rFonts w:ascii="Wingdings 2" w:hAnsi="Wingdings 2" w:hint="default"/>
      </w:rPr>
    </w:lvl>
    <w:lvl w:ilvl="2" w:tplc="34CCF694" w:tentative="1">
      <w:start w:val="1"/>
      <w:numFmt w:val="bullet"/>
      <w:lvlText w:val=""/>
      <w:lvlJc w:val="left"/>
      <w:pPr>
        <w:tabs>
          <w:tab w:val="num" w:pos="2160"/>
        </w:tabs>
        <w:ind w:left="2160" w:hanging="360"/>
      </w:pPr>
      <w:rPr>
        <w:rFonts w:ascii="Wingdings 2" w:hAnsi="Wingdings 2" w:hint="default"/>
      </w:rPr>
    </w:lvl>
    <w:lvl w:ilvl="3" w:tplc="40B84CD2" w:tentative="1">
      <w:start w:val="1"/>
      <w:numFmt w:val="bullet"/>
      <w:lvlText w:val=""/>
      <w:lvlJc w:val="left"/>
      <w:pPr>
        <w:tabs>
          <w:tab w:val="num" w:pos="2880"/>
        </w:tabs>
        <w:ind w:left="2880" w:hanging="360"/>
      </w:pPr>
      <w:rPr>
        <w:rFonts w:ascii="Wingdings 2" w:hAnsi="Wingdings 2" w:hint="default"/>
      </w:rPr>
    </w:lvl>
    <w:lvl w:ilvl="4" w:tplc="9ECC6908" w:tentative="1">
      <w:start w:val="1"/>
      <w:numFmt w:val="bullet"/>
      <w:lvlText w:val=""/>
      <w:lvlJc w:val="left"/>
      <w:pPr>
        <w:tabs>
          <w:tab w:val="num" w:pos="3600"/>
        </w:tabs>
        <w:ind w:left="3600" w:hanging="360"/>
      </w:pPr>
      <w:rPr>
        <w:rFonts w:ascii="Wingdings 2" w:hAnsi="Wingdings 2" w:hint="default"/>
      </w:rPr>
    </w:lvl>
    <w:lvl w:ilvl="5" w:tplc="C8669C92" w:tentative="1">
      <w:start w:val="1"/>
      <w:numFmt w:val="bullet"/>
      <w:lvlText w:val=""/>
      <w:lvlJc w:val="left"/>
      <w:pPr>
        <w:tabs>
          <w:tab w:val="num" w:pos="4320"/>
        </w:tabs>
        <w:ind w:left="4320" w:hanging="360"/>
      </w:pPr>
      <w:rPr>
        <w:rFonts w:ascii="Wingdings 2" w:hAnsi="Wingdings 2" w:hint="default"/>
      </w:rPr>
    </w:lvl>
    <w:lvl w:ilvl="6" w:tplc="FD401BC4" w:tentative="1">
      <w:start w:val="1"/>
      <w:numFmt w:val="bullet"/>
      <w:lvlText w:val=""/>
      <w:lvlJc w:val="left"/>
      <w:pPr>
        <w:tabs>
          <w:tab w:val="num" w:pos="5040"/>
        </w:tabs>
        <w:ind w:left="5040" w:hanging="360"/>
      </w:pPr>
      <w:rPr>
        <w:rFonts w:ascii="Wingdings 2" w:hAnsi="Wingdings 2" w:hint="default"/>
      </w:rPr>
    </w:lvl>
    <w:lvl w:ilvl="7" w:tplc="B14425DA" w:tentative="1">
      <w:start w:val="1"/>
      <w:numFmt w:val="bullet"/>
      <w:lvlText w:val=""/>
      <w:lvlJc w:val="left"/>
      <w:pPr>
        <w:tabs>
          <w:tab w:val="num" w:pos="5760"/>
        </w:tabs>
        <w:ind w:left="5760" w:hanging="360"/>
      </w:pPr>
      <w:rPr>
        <w:rFonts w:ascii="Wingdings 2" w:hAnsi="Wingdings 2" w:hint="default"/>
      </w:rPr>
    </w:lvl>
    <w:lvl w:ilvl="8" w:tplc="79FE62E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33B41A2"/>
    <w:multiLevelType w:val="hybridMultilevel"/>
    <w:tmpl w:val="811A3D9E"/>
    <w:lvl w:ilvl="0" w:tplc="98AA4F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F07AA"/>
    <w:multiLevelType w:val="hybridMultilevel"/>
    <w:tmpl w:val="F95E4BE8"/>
    <w:lvl w:ilvl="0" w:tplc="1800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253011"/>
    <w:multiLevelType w:val="hybridMultilevel"/>
    <w:tmpl w:val="C0B0D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C42879"/>
    <w:multiLevelType w:val="multilevel"/>
    <w:tmpl w:val="740419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D4A171C"/>
    <w:multiLevelType w:val="hybridMultilevel"/>
    <w:tmpl w:val="41C0D7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6C4062"/>
    <w:multiLevelType w:val="hybridMultilevel"/>
    <w:tmpl w:val="832C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73196"/>
    <w:multiLevelType w:val="hybridMultilevel"/>
    <w:tmpl w:val="CA1AEE28"/>
    <w:lvl w:ilvl="0" w:tplc="0292FFC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947534"/>
    <w:multiLevelType w:val="hybridMultilevel"/>
    <w:tmpl w:val="60644F1A"/>
    <w:lvl w:ilvl="0" w:tplc="0770AE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B6B3B"/>
    <w:multiLevelType w:val="multilevel"/>
    <w:tmpl w:val="C4C8E11C"/>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A0E6D99"/>
    <w:multiLevelType w:val="hybridMultilevel"/>
    <w:tmpl w:val="DBE43930"/>
    <w:lvl w:ilvl="0" w:tplc="76C03C40">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C6819CD"/>
    <w:multiLevelType w:val="hybridMultilevel"/>
    <w:tmpl w:val="88B4D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9F08FE"/>
    <w:multiLevelType w:val="hybridMultilevel"/>
    <w:tmpl w:val="C1CC2E52"/>
    <w:lvl w:ilvl="0" w:tplc="7CD0B6F8">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C262B6"/>
    <w:multiLevelType w:val="hybridMultilevel"/>
    <w:tmpl w:val="FF6ECF5C"/>
    <w:lvl w:ilvl="0" w:tplc="0ABAFD5A">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C6089"/>
    <w:multiLevelType w:val="hybridMultilevel"/>
    <w:tmpl w:val="899C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15"/>
  </w:num>
  <w:num w:numId="4">
    <w:abstractNumId w:val="33"/>
  </w:num>
  <w:num w:numId="5">
    <w:abstractNumId w:val="29"/>
  </w:num>
  <w:num w:numId="6">
    <w:abstractNumId w:val="21"/>
  </w:num>
  <w:num w:numId="7">
    <w:abstractNumId w:val="1"/>
  </w:num>
  <w:num w:numId="8">
    <w:abstractNumId w:val="25"/>
  </w:num>
  <w:num w:numId="9">
    <w:abstractNumId w:val="18"/>
  </w:num>
  <w:num w:numId="10">
    <w:abstractNumId w:val="19"/>
  </w:num>
  <w:num w:numId="11">
    <w:abstractNumId w:val="40"/>
  </w:num>
  <w:num w:numId="12">
    <w:abstractNumId w:val="2"/>
  </w:num>
  <w:num w:numId="13">
    <w:abstractNumId w:val="8"/>
  </w:num>
  <w:num w:numId="14">
    <w:abstractNumId w:val="37"/>
  </w:num>
  <w:num w:numId="15">
    <w:abstractNumId w:val="30"/>
  </w:num>
  <w:num w:numId="16">
    <w:abstractNumId w:val="13"/>
  </w:num>
  <w:num w:numId="17">
    <w:abstractNumId w:val="34"/>
  </w:num>
  <w:num w:numId="18">
    <w:abstractNumId w:val="26"/>
  </w:num>
  <w:num w:numId="19">
    <w:abstractNumId w:val="27"/>
  </w:num>
  <w:num w:numId="20">
    <w:abstractNumId w:val="0"/>
  </w:num>
  <w:num w:numId="21">
    <w:abstractNumId w:val="7"/>
  </w:num>
  <w:num w:numId="22">
    <w:abstractNumId w:val="10"/>
  </w:num>
  <w:num w:numId="23">
    <w:abstractNumId w:val="12"/>
  </w:num>
  <w:num w:numId="24">
    <w:abstractNumId w:val="24"/>
  </w:num>
  <w:num w:numId="25">
    <w:abstractNumId w:val="38"/>
  </w:num>
  <w:num w:numId="26">
    <w:abstractNumId w:val="23"/>
  </w:num>
  <w:num w:numId="27">
    <w:abstractNumId w:val="11"/>
  </w:num>
  <w:num w:numId="28">
    <w:abstractNumId w:val="9"/>
  </w:num>
  <w:num w:numId="29">
    <w:abstractNumId w:val="41"/>
  </w:num>
  <w:num w:numId="30">
    <w:abstractNumId w:val="14"/>
  </w:num>
  <w:num w:numId="31">
    <w:abstractNumId w:val="28"/>
  </w:num>
  <w:num w:numId="32">
    <w:abstractNumId w:val="3"/>
  </w:num>
  <w:num w:numId="33">
    <w:abstractNumId w:val="35"/>
  </w:num>
  <w:num w:numId="34">
    <w:abstractNumId w:val="39"/>
  </w:num>
  <w:num w:numId="35">
    <w:abstractNumId w:val="31"/>
  </w:num>
  <w:num w:numId="36">
    <w:abstractNumId w:val="32"/>
  </w:num>
  <w:num w:numId="37">
    <w:abstractNumId w:val="20"/>
  </w:num>
  <w:num w:numId="38">
    <w:abstractNumId w:val="17"/>
  </w:num>
  <w:num w:numId="39">
    <w:abstractNumId w:val="16"/>
  </w:num>
  <w:num w:numId="40">
    <w:abstractNumId w:val="4"/>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50"/>
    <w:rsid w:val="0000059E"/>
    <w:rsid w:val="000007FE"/>
    <w:rsid w:val="00000A8C"/>
    <w:rsid w:val="0000155D"/>
    <w:rsid w:val="00001D84"/>
    <w:rsid w:val="000039CB"/>
    <w:rsid w:val="00005458"/>
    <w:rsid w:val="000057BC"/>
    <w:rsid w:val="00005B03"/>
    <w:rsid w:val="00005DC3"/>
    <w:rsid w:val="000103F5"/>
    <w:rsid w:val="00011617"/>
    <w:rsid w:val="000120DF"/>
    <w:rsid w:val="0001251E"/>
    <w:rsid w:val="00013043"/>
    <w:rsid w:val="000144AD"/>
    <w:rsid w:val="000166DC"/>
    <w:rsid w:val="00016F34"/>
    <w:rsid w:val="000212EE"/>
    <w:rsid w:val="000213B1"/>
    <w:rsid w:val="00023BEF"/>
    <w:rsid w:val="0002524B"/>
    <w:rsid w:val="0002582A"/>
    <w:rsid w:val="0002609D"/>
    <w:rsid w:val="000273B4"/>
    <w:rsid w:val="000275A5"/>
    <w:rsid w:val="00030A9C"/>
    <w:rsid w:val="000312A2"/>
    <w:rsid w:val="00031696"/>
    <w:rsid w:val="0003189D"/>
    <w:rsid w:val="00032432"/>
    <w:rsid w:val="00032A88"/>
    <w:rsid w:val="00034284"/>
    <w:rsid w:val="00034428"/>
    <w:rsid w:val="00034607"/>
    <w:rsid w:val="0004159E"/>
    <w:rsid w:val="00043499"/>
    <w:rsid w:val="00044A70"/>
    <w:rsid w:val="0004550E"/>
    <w:rsid w:val="00045569"/>
    <w:rsid w:val="00046AAB"/>
    <w:rsid w:val="000474B6"/>
    <w:rsid w:val="000508A2"/>
    <w:rsid w:val="0005257E"/>
    <w:rsid w:val="0005358E"/>
    <w:rsid w:val="00053C44"/>
    <w:rsid w:val="00054712"/>
    <w:rsid w:val="00054E83"/>
    <w:rsid w:val="00055512"/>
    <w:rsid w:val="00055767"/>
    <w:rsid w:val="00055CC9"/>
    <w:rsid w:val="00056BAE"/>
    <w:rsid w:val="00056E82"/>
    <w:rsid w:val="0006024E"/>
    <w:rsid w:val="00061668"/>
    <w:rsid w:val="00062C4C"/>
    <w:rsid w:val="00063799"/>
    <w:rsid w:val="00063903"/>
    <w:rsid w:val="00065F43"/>
    <w:rsid w:val="0006633F"/>
    <w:rsid w:val="00070156"/>
    <w:rsid w:val="000702DE"/>
    <w:rsid w:val="0007080C"/>
    <w:rsid w:val="00071A83"/>
    <w:rsid w:val="00072880"/>
    <w:rsid w:val="00072ED2"/>
    <w:rsid w:val="00074908"/>
    <w:rsid w:val="00075C63"/>
    <w:rsid w:val="00075E2F"/>
    <w:rsid w:val="00076A04"/>
    <w:rsid w:val="0007743F"/>
    <w:rsid w:val="00077654"/>
    <w:rsid w:val="00082630"/>
    <w:rsid w:val="00082B24"/>
    <w:rsid w:val="0008302F"/>
    <w:rsid w:val="00086A7F"/>
    <w:rsid w:val="00090453"/>
    <w:rsid w:val="00090708"/>
    <w:rsid w:val="00090DF5"/>
    <w:rsid w:val="00091F1A"/>
    <w:rsid w:val="00092C5D"/>
    <w:rsid w:val="000935BF"/>
    <w:rsid w:val="00093CD8"/>
    <w:rsid w:val="00094071"/>
    <w:rsid w:val="00095B1C"/>
    <w:rsid w:val="000960DF"/>
    <w:rsid w:val="000976B6"/>
    <w:rsid w:val="00097A01"/>
    <w:rsid w:val="00097AED"/>
    <w:rsid w:val="00097D07"/>
    <w:rsid w:val="000A335F"/>
    <w:rsid w:val="000A45A8"/>
    <w:rsid w:val="000A49A5"/>
    <w:rsid w:val="000A49D2"/>
    <w:rsid w:val="000A772C"/>
    <w:rsid w:val="000B0300"/>
    <w:rsid w:val="000B0E5B"/>
    <w:rsid w:val="000B3125"/>
    <w:rsid w:val="000B32C8"/>
    <w:rsid w:val="000B349F"/>
    <w:rsid w:val="000B3F5F"/>
    <w:rsid w:val="000B44CD"/>
    <w:rsid w:val="000B55CD"/>
    <w:rsid w:val="000B58C0"/>
    <w:rsid w:val="000B63F7"/>
    <w:rsid w:val="000B6478"/>
    <w:rsid w:val="000C1AA6"/>
    <w:rsid w:val="000C1C78"/>
    <w:rsid w:val="000C3533"/>
    <w:rsid w:val="000C4778"/>
    <w:rsid w:val="000C5A29"/>
    <w:rsid w:val="000C5A95"/>
    <w:rsid w:val="000C5C68"/>
    <w:rsid w:val="000C5CEE"/>
    <w:rsid w:val="000D0AE4"/>
    <w:rsid w:val="000D0D54"/>
    <w:rsid w:val="000D0D99"/>
    <w:rsid w:val="000D0DD5"/>
    <w:rsid w:val="000D103A"/>
    <w:rsid w:val="000D1A3E"/>
    <w:rsid w:val="000D32B9"/>
    <w:rsid w:val="000D3CE7"/>
    <w:rsid w:val="000D51EE"/>
    <w:rsid w:val="000D56E9"/>
    <w:rsid w:val="000D621C"/>
    <w:rsid w:val="000D6D70"/>
    <w:rsid w:val="000D7BE8"/>
    <w:rsid w:val="000E0E5C"/>
    <w:rsid w:val="000E16F1"/>
    <w:rsid w:val="000E2640"/>
    <w:rsid w:val="000E49DD"/>
    <w:rsid w:val="000E53C2"/>
    <w:rsid w:val="000E5941"/>
    <w:rsid w:val="000E6D96"/>
    <w:rsid w:val="000F07ED"/>
    <w:rsid w:val="000F1546"/>
    <w:rsid w:val="000F1D97"/>
    <w:rsid w:val="000F4E5B"/>
    <w:rsid w:val="000F51E4"/>
    <w:rsid w:val="000F597D"/>
    <w:rsid w:val="000F5CD4"/>
    <w:rsid w:val="000F7C40"/>
    <w:rsid w:val="001012E5"/>
    <w:rsid w:val="00101E12"/>
    <w:rsid w:val="00104713"/>
    <w:rsid w:val="00104929"/>
    <w:rsid w:val="00104DDA"/>
    <w:rsid w:val="00104F29"/>
    <w:rsid w:val="001052CF"/>
    <w:rsid w:val="00107A37"/>
    <w:rsid w:val="00110237"/>
    <w:rsid w:val="001105E3"/>
    <w:rsid w:val="001124A0"/>
    <w:rsid w:val="001127E9"/>
    <w:rsid w:val="001142A6"/>
    <w:rsid w:val="00114990"/>
    <w:rsid w:val="0011585B"/>
    <w:rsid w:val="00121548"/>
    <w:rsid w:val="001224D3"/>
    <w:rsid w:val="0012276A"/>
    <w:rsid w:val="0012470D"/>
    <w:rsid w:val="00126575"/>
    <w:rsid w:val="001271EF"/>
    <w:rsid w:val="00127C0D"/>
    <w:rsid w:val="00130683"/>
    <w:rsid w:val="001323F5"/>
    <w:rsid w:val="001326C4"/>
    <w:rsid w:val="00134E63"/>
    <w:rsid w:val="0013680B"/>
    <w:rsid w:val="00137747"/>
    <w:rsid w:val="00137F28"/>
    <w:rsid w:val="00140943"/>
    <w:rsid w:val="001412E4"/>
    <w:rsid w:val="00143290"/>
    <w:rsid w:val="00144897"/>
    <w:rsid w:val="00144A3A"/>
    <w:rsid w:val="00147093"/>
    <w:rsid w:val="00151532"/>
    <w:rsid w:val="00151EEC"/>
    <w:rsid w:val="001522BD"/>
    <w:rsid w:val="001548D6"/>
    <w:rsid w:val="00154DB0"/>
    <w:rsid w:val="00155FB2"/>
    <w:rsid w:val="0015669C"/>
    <w:rsid w:val="00157855"/>
    <w:rsid w:val="00160359"/>
    <w:rsid w:val="00160987"/>
    <w:rsid w:val="00162D0D"/>
    <w:rsid w:val="001640D1"/>
    <w:rsid w:val="00164B58"/>
    <w:rsid w:val="001654DB"/>
    <w:rsid w:val="00166050"/>
    <w:rsid w:val="00166CA0"/>
    <w:rsid w:val="00167354"/>
    <w:rsid w:val="00171FD8"/>
    <w:rsid w:val="00172EA1"/>
    <w:rsid w:val="001736F7"/>
    <w:rsid w:val="00174C2E"/>
    <w:rsid w:val="00176A3E"/>
    <w:rsid w:val="0017710C"/>
    <w:rsid w:val="00177C1F"/>
    <w:rsid w:val="001802BE"/>
    <w:rsid w:val="00182264"/>
    <w:rsid w:val="0018461E"/>
    <w:rsid w:val="00184940"/>
    <w:rsid w:val="001871A6"/>
    <w:rsid w:val="0018732A"/>
    <w:rsid w:val="00187936"/>
    <w:rsid w:val="00191702"/>
    <w:rsid w:val="00191A84"/>
    <w:rsid w:val="0019259A"/>
    <w:rsid w:val="00195991"/>
    <w:rsid w:val="001961AC"/>
    <w:rsid w:val="0019666D"/>
    <w:rsid w:val="00197944"/>
    <w:rsid w:val="00197A7B"/>
    <w:rsid w:val="001A0F07"/>
    <w:rsid w:val="001A1F7A"/>
    <w:rsid w:val="001A4472"/>
    <w:rsid w:val="001A4944"/>
    <w:rsid w:val="001A61CC"/>
    <w:rsid w:val="001A66E5"/>
    <w:rsid w:val="001A7218"/>
    <w:rsid w:val="001A7E76"/>
    <w:rsid w:val="001B089E"/>
    <w:rsid w:val="001B12EB"/>
    <w:rsid w:val="001B2D95"/>
    <w:rsid w:val="001B302F"/>
    <w:rsid w:val="001B4069"/>
    <w:rsid w:val="001B44E8"/>
    <w:rsid w:val="001B5B46"/>
    <w:rsid w:val="001B733D"/>
    <w:rsid w:val="001C3052"/>
    <w:rsid w:val="001C39AE"/>
    <w:rsid w:val="001C54FD"/>
    <w:rsid w:val="001C59BA"/>
    <w:rsid w:val="001C6DAB"/>
    <w:rsid w:val="001D0814"/>
    <w:rsid w:val="001D0899"/>
    <w:rsid w:val="001D1694"/>
    <w:rsid w:val="001D286F"/>
    <w:rsid w:val="001D2A0D"/>
    <w:rsid w:val="001D4623"/>
    <w:rsid w:val="001D4EFC"/>
    <w:rsid w:val="001D55E8"/>
    <w:rsid w:val="001D608F"/>
    <w:rsid w:val="001D6360"/>
    <w:rsid w:val="001D6668"/>
    <w:rsid w:val="001D73A1"/>
    <w:rsid w:val="001D7EDC"/>
    <w:rsid w:val="001E096F"/>
    <w:rsid w:val="001E1474"/>
    <w:rsid w:val="001E1F25"/>
    <w:rsid w:val="001E5979"/>
    <w:rsid w:val="001E63FF"/>
    <w:rsid w:val="001E73AD"/>
    <w:rsid w:val="001E7A2F"/>
    <w:rsid w:val="001F0231"/>
    <w:rsid w:val="001F0D63"/>
    <w:rsid w:val="001F1688"/>
    <w:rsid w:val="001F2138"/>
    <w:rsid w:val="001F30DC"/>
    <w:rsid w:val="001F43E0"/>
    <w:rsid w:val="002006CC"/>
    <w:rsid w:val="00201711"/>
    <w:rsid w:val="00201AD0"/>
    <w:rsid w:val="00201B17"/>
    <w:rsid w:val="002033AE"/>
    <w:rsid w:val="00203E75"/>
    <w:rsid w:val="00205499"/>
    <w:rsid w:val="002070D9"/>
    <w:rsid w:val="00207337"/>
    <w:rsid w:val="002073E3"/>
    <w:rsid w:val="00207FA7"/>
    <w:rsid w:val="0021004D"/>
    <w:rsid w:val="00210FE2"/>
    <w:rsid w:val="00214745"/>
    <w:rsid w:val="002160B9"/>
    <w:rsid w:val="00216363"/>
    <w:rsid w:val="00216538"/>
    <w:rsid w:val="00217DB8"/>
    <w:rsid w:val="00223B3B"/>
    <w:rsid w:val="00224637"/>
    <w:rsid w:val="0022506A"/>
    <w:rsid w:val="0022605F"/>
    <w:rsid w:val="0022714C"/>
    <w:rsid w:val="00227FD8"/>
    <w:rsid w:val="00230D4F"/>
    <w:rsid w:val="00231DB0"/>
    <w:rsid w:val="0023300A"/>
    <w:rsid w:val="00233201"/>
    <w:rsid w:val="0023365C"/>
    <w:rsid w:val="002365BE"/>
    <w:rsid w:val="00236AF1"/>
    <w:rsid w:val="00237604"/>
    <w:rsid w:val="00237F62"/>
    <w:rsid w:val="00242D7F"/>
    <w:rsid w:val="00245190"/>
    <w:rsid w:val="0024630D"/>
    <w:rsid w:val="0025253D"/>
    <w:rsid w:val="00253D38"/>
    <w:rsid w:val="00256815"/>
    <w:rsid w:val="002578B9"/>
    <w:rsid w:val="002608D7"/>
    <w:rsid w:val="00260B3B"/>
    <w:rsid w:val="002615F5"/>
    <w:rsid w:val="0026184D"/>
    <w:rsid w:val="00262063"/>
    <w:rsid w:val="00263727"/>
    <w:rsid w:val="00264FD8"/>
    <w:rsid w:val="002659D7"/>
    <w:rsid w:val="002671D6"/>
    <w:rsid w:val="00267739"/>
    <w:rsid w:val="0027035B"/>
    <w:rsid w:val="00270E86"/>
    <w:rsid w:val="00274C1B"/>
    <w:rsid w:val="0027765C"/>
    <w:rsid w:val="002810A1"/>
    <w:rsid w:val="00281A79"/>
    <w:rsid w:val="0028681D"/>
    <w:rsid w:val="00292683"/>
    <w:rsid w:val="002939A2"/>
    <w:rsid w:val="00294455"/>
    <w:rsid w:val="00295C74"/>
    <w:rsid w:val="00295D24"/>
    <w:rsid w:val="00295E4D"/>
    <w:rsid w:val="002963F8"/>
    <w:rsid w:val="002972E3"/>
    <w:rsid w:val="002973E3"/>
    <w:rsid w:val="002A060F"/>
    <w:rsid w:val="002A150D"/>
    <w:rsid w:val="002A151B"/>
    <w:rsid w:val="002A1B82"/>
    <w:rsid w:val="002A28B1"/>
    <w:rsid w:val="002A2E3A"/>
    <w:rsid w:val="002A3C2C"/>
    <w:rsid w:val="002A5362"/>
    <w:rsid w:val="002A5D61"/>
    <w:rsid w:val="002A6B75"/>
    <w:rsid w:val="002B007D"/>
    <w:rsid w:val="002B13E1"/>
    <w:rsid w:val="002B2A6A"/>
    <w:rsid w:val="002B2CCC"/>
    <w:rsid w:val="002B399B"/>
    <w:rsid w:val="002B3ADA"/>
    <w:rsid w:val="002B4CAF"/>
    <w:rsid w:val="002B4E77"/>
    <w:rsid w:val="002B53CB"/>
    <w:rsid w:val="002B5C7C"/>
    <w:rsid w:val="002B7541"/>
    <w:rsid w:val="002C0036"/>
    <w:rsid w:val="002C0F87"/>
    <w:rsid w:val="002C0FFB"/>
    <w:rsid w:val="002C4270"/>
    <w:rsid w:val="002C5075"/>
    <w:rsid w:val="002C56F0"/>
    <w:rsid w:val="002D097A"/>
    <w:rsid w:val="002D0BB9"/>
    <w:rsid w:val="002D164C"/>
    <w:rsid w:val="002D1B05"/>
    <w:rsid w:val="002D1C1B"/>
    <w:rsid w:val="002D4027"/>
    <w:rsid w:val="002D4131"/>
    <w:rsid w:val="002D797C"/>
    <w:rsid w:val="002E0567"/>
    <w:rsid w:val="002E06DC"/>
    <w:rsid w:val="002E079F"/>
    <w:rsid w:val="002E19D7"/>
    <w:rsid w:val="002E1A0F"/>
    <w:rsid w:val="002E38DA"/>
    <w:rsid w:val="002E7E8C"/>
    <w:rsid w:val="002F0401"/>
    <w:rsid w:val="002F1318"/>
    <w:rsid w:val="002F20D9"/>
    <w:rsid w:val="002F2E68"/>
    <w:rsid w:val="002F3E5D"/>
    <w:rsid w:val="002F4413"/>
    <w:rsid w:val="002F4E27"/>
    <w:rsid w:val="002F68B3"/>
    <w:rsid w:val="002F78F1"/>
    <w:rsid w:val="002F7BE6"/>
    <w:rsid w:val="003008AD"/>
    <w:rsid w:val="00302C7C"/>
    <w:rsid w:val="0030532A"/>
    <w:rsid w:val="00305A09"/>
    <w:rsid w:val="00306814"/>
    <w:rsid w:val="00306848"/>
    <w:rsid w:val="0031254F"/>
    <w:rsid w:val="003129A7"/>
    <w:rsid w:val="003130FB"/>
    <w:rsid w:val="00313475"/>
    <w:rsid w:val="00313D00"/>
    <w:rsid w:val="00315133"/>
    <w:rsid w:val="00315B00"/>
    <w:rsid w:val="003161D2"/>
    <w:rsid w:val="00321196"/>
    <w:rsid w:val="0032183A"/>
    <w:rsid w:val="00322296"/>
    <w:rsid w:val="00322FA5"/>
    <w:rsid w:val="00324091"/>
    <w:rsid w:val="00324C14"/>
    <w:rsid w:val="00325A37"/>
    <w:rsid w:val="0032688E"/>
    <w:rsid w:val="00326E49"/>
    <w:rsid w:val="00327304"/>
    <w:rsid w:val="00327C70"/>
    <w:rsid w:val="00330EBC"/>
    <w:rsid w:val="00331A02"/>
    <w:rsid w:val="0033254B"/>
    <w:rsid w:val="00333CCC"/>
    <w:rsid w:val="00334BE1"/>
    <w:rsid w:val="00335766"/>
    <w:rsid w:val="00335CAE"/>
    <w:rsid w:val="0033685A"/>
    <w:rsid w:val="003368F6"/>
    <w:rsid w:val="00337122"/>
    <w:rsid w:val="00340410"/>
    <w:rsid w:val="00341584"/>
    <w:rsid w:val="00341FE1"/>
    <w:rsid w:val="003435F5"/>
    <w:rsid w:val="00343BC4"/>
    <w:rsid w:val="003445EE"/>
    <w:rsid w:val="00345BD7"/>
    <w:rsid w:val="0034662F"/>
    <w:rsid w:val="00346A42"/>
    <w:rsid w:val="00346C1C"/>
    <w:rsid w:val="00347B72"/>
    <w:rsid w:val="00350B29"/>
    <w:rsid w:val="00350F82"/>
    <w:rsid w:val="00351CE6"/>
    <w:rsid w:val="00351F76"/>
    <w:rsid w:val="00352562"/>
    <w:rsid w:val="003526AB"/>
    <w:rsid w:val="0035270C"/>
    <w:rsid w:val="00354292"/>
    <w:rsid w:val="003542B7"/>
    <w:rsid w:val="003544AA"/>
    <w:rsid w:val="00355FB9"/>
    <w:rsid w:val="00357F85"/>
    <w:rsid w:val="00361DE0"/>
    <w:rsid w:val="00361FAC"/>
    <w:rsid w:val="003633C0"/>
    <w:rsid w:val="003643C2"/>
    <w:rsid w:val="00364650"/>
    <w:rsid w:val="003653CA"/>
    <w:rsid w:val="003667BC"/>
    <w:rsid w:val="00367B66"/>
    <w:rsid w:val="00371D1D"/>
    <w:rsid w:val="00372A99"/>
    <w:rsid w:val="00373A9A"/>
    <w:rsid w:val="0037482E"/>
    <w:rsid w:val="00374C0D"/>
    <w:rsid w:val="00374E8E"/>
    <w:rsid w:val="00374FEC"/>
    <w:rsid w:val="003752B5"/>
    <w:rsid w:val="00377D12"/>
    <w:rsid w:val="00377FDE"/>
    <w:rsid w:val="00381D18"/>
    <w:rsid w:val="003831B4"/>
    <w:rsid w:val="00383AAF"/>
    <w:rsid w:val="00383DFC"/>
    <w:rsid w:val="00383E8E"/>
    <w:rsid w:val="00384680"/>
    <w:rsid w:val="003915ED"/>
    <w:rsid w:val="00392097"/>
    <w:rsid w:val="0039278B"/>
    <w:rsid w:val="003942C6"/>
    <w:rsid w:val="00394594"/>
    <w:rsid w:val="00395E86"/>
    <w:rsid w:val="00396310"/>
    <w:rsid w:val="00396E7C"/>
    <w:rsid w:val="0039755F"/>
    <w:rsid w:val="003A0513"/>
    <w:rsid w:val="003A090D"/>
    <w:rsid w:val="003A1D61"/>
    <w:rsid w:val="003A1F1B"/>
    <w:rsid w:val="003A6DAB"/>
    <w:rsid w:val="003B215F"/>
    <w:rsid w:val="003B26A5"/>
    <w:rsid w:val="003B2706"/>
    <w:rsid w:val="003B2A52"/>
    <w:rsid w:val="003B2DAA"/>
    <w:rsid w:val="003B46B3"/>
    <w:rsid w:val="003B4708"/>
    <w:rsid w:val="003B4753"/>
    <w:rsid w:val="003B5BA0"/>
    <w:rsid w:val="003B5F2A"/>
    <w:rsid w:val="003B6C11"/>
    <w:rsid w:val="003B6E53"/>
    <w:rsid w:val="003C07D7"/>
    <w:rsid w:val="003C1544"/>
    <w:rsid w:val="003C2562"/>
    <w:rsid w:val="003C2AE3"/>
    <w:rsid w:val="003C44CB"/>
    <w:rsid w:val="003C4EE7"/>
    <w:rsid w:val="003C6BBC"/>
    <w:rsid w:val="003C78D4"/>
    <w:rsid w:val="003D1906"/>
    <w:rsid w:val="003D4E43"/>
    <w:rsid w:val="003D4FF8"/>
    <w:rsid w:val="003D60F9"/>
    <w:rsid w:val="003D6B10"/>
    <w:rsid w:val="003D6E69"/>
    <w:rsid w:val="003D7398"/>
    <w:rsid w:val="003D7833"/>
    <w:rsid w:val="003D79E4"/>
    <w:rsid w:val="003E0659"/>
    <w:rsid w:val="003E1D81"/>
    <w:rsid w:val="003E2799"/>
    <w:rsid w:val="003E7C13"/>
    <w:rsid w:val="003F06FD"/>
    <w:rsid w:val="003F0B22"/>
    <w:rsid w:val="003F315B"/>
    <w:rsid w:val="003F35D8"/>
    <w:rsid w:val="003F43AB"/>
    <w:rsid w:val="003F4DC1"/>
    <w:rsid w:val="003F50CF"/>
    <w:rsid w:val="003F5B95"/>
    <w:rsid w:val="003F78CF"/>
    <w:rsid w:val="00400442"/>
    <w:rsid w:val="0040084F"/>
    <w:rsid w:val="0040099D"/>
    <w:rsid w:val="0040158E"/>
    <w:rsid w:val="00401C42"/>
    <w:rsid w:val="0040215E"/>
    <w:rsid w:val="004023D1"/>
    <w:rsid w:val="0040356A"/>
    <w:rsid w:val="004039DF"/>
    <w:rsid w:val="00405488"/>
    <w:rsid w:val="00406BBC"/>
    <w:rsid w:val="0040709F"/>
    <w:rsid w:val="004101F6"/>
    <w:rsid w:val="004113C7"/>
    <w:rsid w:val="00411854"/>
    <w:rsid w:val="00411FFD"/>
    <w:rsid w:val="00414785"/>
    <w:rsid w:val="00415F50"/>
    <w:rsid w:val="00416933"/>
    <w:rsid w:val="00417720"/>
    <w:rsid w:val="00422FA9"/>
    <w:rsid w:val="00423BBE"/>
    <w:rsid w:val="004252AF"/>
    <w:rsid w:val="0042606E"/>
    <w:rsid w:val="004262B4"/>
    <w:rsid w:val="00426DBC"/>
    <w:rsid w:val="00431565"/>
    <w:rsid w:val="00431DFB"/>
    <w:rsid w:val="00431E6F"/>
    <w:rsid w:val="00432977"/>
    <w:rsid w:val="00433CD8"/>
    <w:rsid w:val="00433D63"/>
    <w:rsid w:val="00434096"/>
    <w:rsid w:val="00434951"/>
    <w:rsid w:val="00440286"/>
    <w:rsid w:val="00440C84"/>
    <w:rsid w:val="004411C8"/>
    <w:rsid w:val="00441DD3"/>
    <w:rsid w:val="00443527"/>
    <w:rsid w:val="0044540F"/>
    <w:rsid w:val="0044648D"/>
    <w:rsid w:val="00446908"/>
    <w:rsid w:val="00447F5D"/>
    <w:rsid w:val="004517DA"/>
    <w:rsid w:val="00451B9F"/>
    <w:rsid w:val="00451F0D"/>
    <w:rsid w:val="004526EF"/>
    <w:rsid w:val="00452B9A"/>
    <w:rsid w:val="00453455"/>
    <w:rsid w:val="00453FC5"/>
    <w:rsid w:val="00454DEA"/>
    <w:rsid w:val="004551D6"/>
    <w:rsid w:val="004554B7"/>
    <w:rsid w:val="004560C0"/>
    <w:rsid w:val="00456DDC"/>
    <w:rsid w:val="004578C2"/>
    <w:rsid w:val="0046096F"/>
    <w:rsid w:val="004618F6"/>
    <w:rsid w:val="004648A0"/>
    <w:rsid w:val="00464BF2"/>
    <w:rsid w:val="00464DDC"/>
    <w:rsid w:val="0046572A"/>
    <w:rsid w:val="004659A5"/>
    <w:rsid w:val="00465DF4"/>
    <w:rsid w:val="0046609E"/>
    <w:rsid w:val="00466818"/>
    <w:rsid w:val="0047154E"/>
    <w:rsid w:val="00473C51"/>
    <w:rsid w:val="00474099"/>
    <w:rsid w:val="004741EB"/>
    <w:rsid w:val="004745FE"/>
    <w:rsid w:val="00483F26"/>
    <w:rsid w:val="00484994"/>
    <w:rsid w:val="0048541A"/>
    <w:rsid w:val="00485C91"/>
    <w:rsid w:val="004874BA"/>
    <w:rsid w:val="004911A7"/>
    <w:rsid w:val="00492A8C"/>
    <w:rsid w:val="00494168"/>
    <w:rsid w:val="00495966"/>
    <w:rsid w:val="004959B7"/>
    <w:rsid w:val="00495EBD"/>
    <w:rsid w:val="004974A3"/>
    <w:rsid w:val="00497706"/>
    <w:rsid w:val="004A0CD7"/>
    <w:rsid w:val="004A1089"/>
    <w:rsid w:val="004A1487"/>
    <w:rsid w:val="004A1F8A"/>
    <w:rsid w:val="004A2DA0"/>
    <w:rsid w:val="004A2E4C"/>
    <w:rsid w:val="004A3410"/>
    <w:rsid w:val="004A3614"/>
    <w:rsid w:val="004A3A68"/>
    <w:rsid w:val="004A50D2"/>
    <w:rsid w:val="004A576E"/>
    <w:rsid w:val="004A6705"/>
    <w:rsid w:val="004A76D8"/>
    <w:rsid w:val="004A795E"/>
    <w:rsid w:val="004B09CF"/>
    <w:rsid w:val="004B47B3"/>
    <w:rsid w:val="004B5454"/>
    <w:rsid w:val="004B54A9"/>
    <w:rsid w:val="004B5835"/>
    <w:rsid w:val="004B638B"/>
    <w:rsid w:val="004B6447"/>
    <w:rsid w:val="004B6610"/>
    <w:rsid w:val="004B7812"/>
    <w:rsid w:val="004B7E83"/>
    <w:rsid w:val="004C22F2"/>
    <w:rsid w:val="004C3742"/>
    <w:rsid w:val="004C3A67"/>
    <w:rsid w:val="004C3F50"/>
    <w:rsid w:val="004C5066"/>
    <w:rsid w:val="004C5F32"/>
    <w:rsid w:val="004D0B21"/>
    <w:rsid w:val="004D115A"/>
    <w:rsid w:val="004D119A"/>
    <w:rsid w:val="004D29E9"/>
    <w:rsid w:val="004D2FC7"/>
    <w:rsid w:val="004D3862"/>
    <w:rsid w:val="004D491E"/>
    <w:rsid w:val="004D4BEA"/>
    <w:rsid w:val="004D4DF2"/>
    <w:rsid w:val="004D5E27"/>
    <w:rsid w:val="004E042B"/>
    <w:rsid w:val="004E0793"/>
    <w:rsid w:val="004E0B26"/>
    <w:rsid w:val="004E2B3D"/>
    <w:rsid w:val="004E2C76"/>
    <w:rsid w:val="004E46B6"/>
    <w:rsid w:val="004E4AF2"/>
    <w:rsid w:val="004E64FE"/>
    <w:rsid w:val="004E6DB0"/>
    <w:rsid w:val="004F0DAA"/>
    <w:rsid w:val="004F1E4E"/>
    <w:rsid w:val="004F2228"/>
    <w:rsid w:val="004F3E84"/>
    <w:rsid w:val="004F65B0"/>
    <w:rsid w:val="004F7EAF"/>
    <w:rsid w:val="00500DD7"/>
    <w:rsid w:val="00501F42"/>
    <w:rsid w:val="00504439"/>
    <w:rsid w:val="00505395"/>
    <w:rsid w:val="005053F7"/>
    <w:rsid w:val="00506847"/>
    <w:rsid w:val="00506D6B"/>
    <w:rsid w:val="00507217"/>
    <w:rsid w:val="00511415"/>
    <w:rsid w:val="0051143B"/>
    <w:rsid w:val="005120E8"/>
    <w:rsid w:val="005133B9"/>
    <w:rsid w:val="00513500"/>
    <w:rsid w:val="00515282"/>
    <w:rsid w:val="005161E0"/>
    <w:rsid w:val="00516513"/>
    <w:rsid w:val="005174D4"/>
    <w:rsid w:val="00517A7E"/>
    <w:rsid w:val="00517F4B"/>
    <w:rsid w:val="00520C74"/>
    <w:rsid w:val="00522D74"/>
    <w:rsid w:val="00522FCA"/>
    <w:rsid w:val="00525DF4"/>
    <w:rsid w:val="00525E26"/>
    <w:rsid w:val="005270DF"/>
    <w:rsid w:val="00527C9C"/>
    <w:rsid w:val="005316C6"/>
    <w:rsid w:val="00532E40"/>
    <w:rsid w:val="00533081"/>
    <w:rsid w:val="0053328A"/>
    <w:rsid w:val="005340A5"/>
    <w:rsid w:val="00534524"/>
    <w:rsid w:val="005369EE"/>
    <w:rsid w:val="00536DFE"/>
    <w:rsid w:val="005429EB"/>
    <w:rsid w:val="00543F3B"/>
    <w:rsid w:val="0054436F"/>
    <w:rsid w:val="00552618"/>
    <w:rsid w:val="00552C83"/>
    <w:rsid w:val="00553395"/>
    <w:rsid w:val="00553425"/>
    <w:rsid w:val="005568B6"/>
    <w:rsid w:val="00560347"/>
    <w:rsid w:val="00560545"/>
    <w:rsid w:val="0056152C"/>
    <w:rsid w:val="005615AA"/>
    <w:rsid w:val="0056357F"/>
    <w:rsid w:val="00563E15"/>
    <w:rsid w:val="00564595"/>
    <w:rsid w:val="00565494"/>
    <w:rsid w:val="005670B9"/>
    <w:rsid w:val="005672D5"/>
    <w:rsid w:val="0056779E"/>
    <w:rsid w:val="00570711"/>
    <w:rsid w:val="005738F1"/>
    <w:rsid w:val="0057398F"/>
    <w:rsid w:val="00573FA9"/>
    <w:rsid w:val="005744FB"/>
    <w:rsid w:val="0057518E"/>
    <w:rsid w:val="005759FF"/>
    <w:rsid w:val="005761F3"/>
    <w:rsid w:val="00583D45"/>
    <w:rsid w:val="00584405"/>
    <w:rsid w:val="00585562"/>
    <w:rsid w:val="00587623"/>
    <w:rsid w:val="00587BD4"/>
    <w:rsid w:val="00592303"/>
    <w:rsid w:val="005930BA"/>
    <w:rsid w:val="00593130"/>
    <w:rsid w:val="00593ED3"/>
    <w:rsid w:val="00593F1B"/>
    <w:rsid w:val="00593FE7"/>
    <w:rsid w:val="00595DA2"/>
    <w:rsid w:val="00596EA9"/>
    <w:rsid w:val="00597B70"/>
    <w:rsid w:val="005A0FCA"/>
    <w:rsid w:val="005A1EE8"/>
    <w:rsid w:val="005A4115"/>
    <w:rsid w:val="005A4BCD"/>
    <w:rsid w:val="005A5A2E"/>
    <w:rsid w:val="005A5F7A"/>
    <w:rsid w:val="005A764A"/>
    <w:rsid w:val="005A7A23"/>
    <w:rsid w:val="005B1254"/>
    <w:rsid w:val="005B18D3"/>
    <w:rsid w:val="005B216F"/>
    <w:rsid w:val="005B2B9A"/>
    <w:rsid w:val="005B33B9"/>
    <w:rsid w:val="005B3551"/>
    <w:rsid w:val="005B3E45"/>
    <w:rsid w:val="005B4765"/>
    <w:rsid w:val="005B480C"/>
    <w:rsid w:val="005B4E0E"/>
    <w:rsid w:val="005B524F"/>
    <w:rsid w:val="005B6722"/>
    <w:rsid w:val="005B6AEF"/>
    <w:rsid w:val="005C1582"/>
    <w:rsid w:val="005C1B06"/>
    <w:rsid w:val="005C2097"/>
    <w:rsid w:val="005C36AF"/>
    <w:rsid w:val="005C405C"/>
    <w:rsid w:val="005C4749"/>
    <w:rsid w:val="005C4F15"/>
    <w:rsid w:val="005C5F5C"/>
    <w:rsid w:val="005C6643"/>
    <w:rsid w:val="005C6B8A"/>
    <w:rsid w:val="005C7501"/>
    <w:rsid w:val="005D132C"/>
    <w:rsid w:val="005D21DE"/>
    <w:rsid w:val="005D2842"/>
    <w:rsid w:val="005D31F7"/>
    <w:rsid w:val="005D3992"/>
    <w:rsid w:val="005D3AF8"/>
    <w:rsid w:val="005D4608"/>
    <w:rsid w:val="005D5646"/>
    <w:rsid w:val="005D778A"/>
    <w:rsid w:val="005E181F"/>
    <w:rsid w:val="005E1E54"/>
    <w:rsid w:val="005E1EC2"/>
    <w:rsid w:val="005E23E1"/>
    <w:rsid w:val="005E3DAE"/>
    <w:rsid w:val="005E4F37"/>
    <w:rsid w:val="005E5D2F"/>
    <w:rsid w:val="005E6BFB"/>
    <w:rsid w:val="005E7668"/>
    <w:rsid w:val="005F0E4E"/>
    <w:rsid w:val="005F198F"/>
    <w:rsid w:val="005F2BB4"/>
    <w:rsid w:val="005F309A"/>
    <w:rsid w:val="005F4316"/>
    <w:rsid w:val="005F4E05"/>
    <w:rsid w:val="005F5081"/>
    <w:rsid w:val="005F7715"/>
    <w:rsid w:val="005F79E3"/>
    <w:rsid w:val="005F7AB7"/>
    <w:rsid w:val="0060009B"/>
    <w:rsid w:val="00600AE5"/>
    <w:rsid w:val="006011B3"/>
    <w:rsid w:val="00602ED6"/>
    <w:rsid w:val="0060546C"/>
    <w:rsid w:val="00605DC4"/>
    <w:rsid w:val="006067F1"/>
    <w:rsid w:val="0061079B"/>
    <w:rsid w:val="00610A63"/>
    <w:rsid w:val="00610A7F"/>
    <w:rsid w:val="00610AD7"/>
    <w:rsid w:val="00610EEC"/>
    <w:rsid w:val="00611DD2"/>
    <w:rsid w:val="006122D0"/>
    <w:rsid w:val="00614609"/>
    <w:rsid w:val="006152F3"/>
    <w:rsid w:val="006156DA"/>
    <w:rsid w:val="00622080"/>
    <w:rsid w:val="00624CD5"/>
    <w:rsid w:val="006262CB"/>
    <w:rsid w:val="006279D6"/>
    <w:rsid w:val="00627AFE"/>
    <w:rsid w:val="00630ED4"/>
    <w:rsid w:val="0063131B"/>
    <w:rsid w:val="00631FF4"/>
    <w:rsid w:val="00633992"/>
    <w:rsid w:val="00634DD4"/>
    <w:rsid w:val="00634E85"/>
    <w:rsid w:val="0063543B"/>
    <w:rsid w:val="0063642B"/>
    <w:rsid w:val="00636CA3"/>
    <w:rsid w:val="0064330E"/>
    <w:rsid w:val="0064385B"/>
    <w:rsid w:val="0064416C"/>
    <w:rsid w:val="006450D8"/>
    <w:rsid w:val="00646F56"/>
    <w:rsid w:val="0065075E"/>
    <w:rsid w:val="006529D8"/>
    <w:rsid w:val="00652F1C"/>
    <w:rsid w:val="00652FA0"/>
    <w:rsid w:val="00653C45"/>
    <w:rsid w:val="00654702"/>
    <w:rsid w:val="00654D3F"/>
    <w:rsid w:val="0065700E"/>
    <w:rsid w:val="00660C79"/>
    <w:rsid w:val="0066252F"/>
    <w:rsid w:val="00663076"/>
    <w:rsid w:val="0066356B"/>
    <w:rsid w:val="006645B0"/>
    <w:rsid w:val="00664865"/>
    <w:rsid w:val="006648E5"/>
    <w:rsid w:val="00664CDC"/>
    <w:rsid w:val="0066628E"/>
    <w:rsid w:val="0066634D"/>
    <w:rsid w:val="00667115"/>
    <w:rsid w:val="006671C6"/>
    <w:rsid w:val="006672D9"/>
    <w:rsid w:val="00667604"/>
    <w:rsid w:val="006706BA"/>
    <w:rsid w:val="006721A0"/>
    <w:rsid w:val="00672B31"/>
    <w:rsid w:val="00673647"/>
    <w:rsid w:val="00674053"/>
    <w:rsid w:val="00676312"/>
    <w:rsid w:val="00676786"/>
    <w:rsid w:val="0067753A"/>
    <w:rsid w:val="0068128D"/>
    <w:rsid w:val="00681A95"/>
    <w:rsid w:val="0068209F"/>
    <w:rsid w:val="00683ECC"/>
    <w:rsid w:val="00683FD6"/>
    <w:rsid w:val="006853EA"/>
    <w:rsid w:val="00685D99"/>
    <w:rsid w:val="00691D4C"/>
    <w:rsid w:val="00691FCA"/>
    <w:rsid w:val="00696DEF"/>
    <w:rsid w:val="006A2800"/>
    <w:rsid w:val="006A2953"/>
    <w:rsid w:val="006A56FA"/>
    <w:rsid w:val="006A5C76"/>
    <w:rsid w:val="006A6E83"/>
    <w:rsid w:val="006A732E"/>
    <w:rsid w:val="006A7ADF"/>
    <w:rsid w:val="006B0168"/>
    <w:rsid w:val="006B0595"/>
    <w:rsid w:val="006B0A4C"/>
    <w:rsid w:val="006B3644"/>
    <w:rsid w:val="006B442F"/>
    <w:rsid w:val="006B45CF"/>
    <w:rsid w:val="006B4EBD"/>
    <w:rsid w:val="006B6342"/>
    <w:rsid w:val="006B6BF4"/>
    <w:rsid w:val="006C02EF"/>
    <w:rsid w:val="006C16D9"/>
    <w:rsid w:val="006C3417"/>
    <w:rsid w:val="006C3EB2"/>
    <w:rsid w:val="006C67F6"/>
    <w:rsid w:val="006C6806"/>
    <w:rsid w:val="006C727A"/>
    <w:rsid w:val="006D4B14"/>
    <w:rsid w:val="006D4DD3"/>
    <w:rsid w:val="006D56C5"/>
    <w:rsid w:val="006D5D78"/>
    <w:rsid w:val="006D6E58"/>
    <w:rsid w:val="006E0343"/>
    <w:rsid w:val="006E1C50"/>
    <w:rsid w:val="006E2ED2"/>
    <w:rsid w:val="006E3181"/>
    <w:rsid w:val="006E3A18"/>
    <w:rsid w:val="006E43F1"/>
    <w:rsid w:val="006E4D91"/>
    <w:rsid w:val="006E53F6"/>
    <w:rsid w:val="006E5442"/>
    <w:rsid w:val="006E62CF"/>
    <w:rsid w:val="006E6811"/>
    <w:rsid w:val="006F07E6"/>
    <w:rsid w:val="006F12A6"/>
    <w:rsid w:val="006F1B3D"/>
    <w:rsid w:val="006F3F3C"/>
    <w:rsid w:val="006F443C"/>
    <w:rsid w:val="006F4783"/>
    <w:rsid w:val="006F4F4A"/>
    <w:rsid w:val="006F778A"/>
    <w:rsid w:val="006F7FD9"/>
    <w:rsid w:val="0070053D"/>
    <w:rsid w:val="00704534"/>
    <w:rsid w:val="00705A5B"/>
    <w:rsid w:val="00705E11"/>
    <w:rsid w:val="0070604C"/>
    <w:rsid w:val="00710602"/>
    <w:rsid w:val="00710752"/>
    <w:rsid w:val="00710F00"/>
    <w:rsid w:val="00711C71"/>
    <w:rsid w:val="00711D4B"/>
    <w:rsid w:val="007134B9"/>
    <w:rsid w:val="0071442C"/>
    <w:rsid w:val="00714B7B"/>
    <w:rsid w:val="007151BE"/>
    <w:rsid w:val="007168DE"/>
    <w:rsid w:val="00716992"/>
    <w:rsid w:val="007174FF"/>
    <w:rsid w:val="00717784"/>
    <w:rsid w:val="007178A9"/>
    <w:rsid w:val="00717E2C"/>
    <w:rsid w:val="00721245"/>
    <w:rsid w:val="007218F9"/>
    <w:rsid w:val="00721BAD"/>
    <w:rsid w:val="00722305"/>
    <w:rsid w:val="00724A8E"/>
    <w:rsid w:val="0072579C"/>
    <w:rsid w:val="00726134"/>
    <w:rsid w:val="00727EC9"/>
    <w:rsid w:val="00732036"/>
    <w:rsid w:val="00732722"/>
    <w:rsid w:val="00734390"/>
    <w:rsid w:val="007348D2"/>
    <w:rsid w:val="0073541F"/>
    <w:rsid w:val="00735A4D"/>
    <w:rsid w:val="00742D94"/>
    <w:rsid w:val="0074385F"/>
    <w:rsid w:val="00744436"/>
    <w:rsid w:val="007453F7"/>
    <w:rsid w:val="00745A50"/>
    <w:rsid w:val="00747769"/>
    <w:rsid w:val="00750392"/>
    <w:rsid w:val="00750EDB"/>
    <w:rsid w:val="007510D4"/>
    <w:rsid w:val="0075143A"/>
    <w:rsid w:val="00752958"/>
    <w:rsid w:val="00752EC1"/>
    <w:rsid w:val="007532A6"/>
    <w:rsid w:val="00753B43"/>
    <w:rsid w:val="0075422D"/>
    <w:rsid w:val="0075624D"/>
    <w:rsid w:val="00756A4C"/>
    <w:rsid w:val="00760064"/>
    <w:rsid w:val="007601ED"/>
    <w:rsid w:val="00760302"/>
    <w:rsid w:val="00760343"/>
    <w:rsid w:val="00761495"/>
    <w:rsid w:val="007631A7"/>
    <w:rsid w:val="007642BE"/>
    <w:rsid w:val="007655F1"/>
    <w:rsid w:val="00766CE7"/>
    <w:rsid w:val="0077046B"/>
    <w:rsid w:val="00770D90"/>
    <w:rsid w:val="00771ADA"/>
    <w:rsid w:val="00771C9C"/>
    <w:rsid w:val="0077447D"/>
    <w:rsid w:val="00774BAE"/>
    <w:rsid w:val="0077582F"/>
    <w:rsid w:val="007770C8"/>
    <w:rsid w:val="007773F3"/>
    <w:rsid w:val="00780146"/>
    <w:rsid w:val="00781FB9"/>
    <w:rsid w:val="00781FE6"/>
    <w:rsid w:val="007827B2"/>
    <w:rsid w:val="007873EF"/>
    <w:rsid w:val="0078789C"/>
    <w:rsid w:val="007879F2"/>
    <w:rsid w:val="00791547"/>
    <w:rsid w:val="007917DB"/>
    <w:rsid w:val="00795BF8"/>
    <w:rsid w:val="00796D17"/>
    <w:rsid w:val="00797877"/>
    <w:rsid w:val="00797DE6"/>
    <w:rsid w:val="007A0EA8"/>
    <w:rsid w:val="007A2749"/>
    <w:rsid w:val="007A38BF"/>
    <w:rsid w:val="007A4BBD"/>
    <w:rsid w:val="007A4C18"/>
    <w:rsid w:val="007A4FB8"/>
    <w:rsid w:val="007A5225"/>
    <w:rsid w:val="007B0174"/>
    <w:rsid w:val="007B15FD"/>
    <w:rsid w:val="007B568C"/>
    <w:rsid w:val="007B7EB5"/>
    <w:rsid w:val="007C0C4A"/>
    <w:rsid w:val="007C0FCB"/>
    <w:rsid w:val="007C1581"/>
    <w:rsid w:val="007C192D"/>
    <w:rsid w:val="007C410D"/>
    <w:rsid w:val="007C415D"/>
    <w:rsid w:val="007C4F90"/>
    <w:rsid w:val="007C5BC5"/>
    <w:rsid w:val="007C7C9F"/>
    <w:rsid w:val="007D028E"/>
    <w:rsid w:val="007D0730"/>
    <w:rsid w:val="007D0F5A"/>
    <w:rsid w:val="007D3642"/>
    <w:rsid w:val="007D3AB0"/>
    <w:rsid w:val="007D4657"/>
    <w:rsid w:val="007D518E"/>
    <w:rsid w:val="007D536B"/>
    <w:rsid w:val="007E0DEE"/>
    <w:rsid w:val="007E162D"/>
    <w:rsid w:val="007E2452"/>
    <w:rsid w:val="007E312E"/>
    <w:rsid w:val="007E3464"/>
    <w:rsid w:val="007E3809"/>
    <w:rsid w:val="007E63B8"/>
    <w:rsid w:val="007E66FC"/>
    <w:rsid w:val="007E700D"/>
    <w:rsid w:val="007F005C"/>
    <w:rsid w:val="007F1A0F"/>
    <w:rsid w:val="007F2EF3"/>
    <w:rsid w:val="007F3BB1"/>
    <w:rsid w:val="007F3C45"/>
    <w:rsid w:val="007F487A"/>
    <w:rsid w:val="007F5F79"/>
    <w:rsid w:val="00800BF9"/>
    <w:rsid w:val="00803006"/>
    <w:rsid w:val="0080328D"/>
    <w:rsid w:val="008034BC"/>
    <w:rsid w:val="00804B1A"/>
    <w:rsid w:val="008053B1"/>
    <w:rsid w:val="0080626A"/>
    <w:rsid w:val="008064C4"/>
    <w:rsid w:val="00813A59"/>
    <w:rsid w:val="00814140"/>
    <w:rsid w:val="00815119"/>
    <w:rsid w:val="00815346"/>
    <w:rsid w:val="00816E58"/>
    <w:rsid w:val="00817CB4"/>
    <w:rsid w:val="00821E25"/>
    <w:rsid w:val="0082239F"/>
    <w:rsid w:val="0082345D"/>
    <w:rsid w:val="00826A0E"/>
    <w:rsid w:val="00826AA4"/>
    <w:rsid w:val="0082789D"/>
    <w:rsid w:val="00830F91"/>
    <w:rsid w:val="00831755"/>
    <w:rsid w:val="00832448"/>
    <w:rsid w:val="00832537"/>
    <w:rsid w:val="00836541"/>
    <w:rsid w:val="00836B59"/>
    <w:rsid w:val="00837AC5"/>
    <w:rsid w:val="00837F13"/>
    <w:rsid w:val="0084288B"/>
    <w:rsid w:val="00842939"/>
    <w:rsid w:val="00846E72"/>
    <w:rsid w:val="008517ED"/>
    <w:rsid w:val="0085319D"/>
    <w:rsid w:val="00853874"/>
    <w:rsid w:val="00853CE1"/>
    <w:rsid w:val="00854288"/>
    <w:rsid w:val="00855073"/>
    <w:rsid w:val="008561BA"/>
    <w:rsid w:val="0085714E"/>
    <w:rsid w:val="00862913"/>
    <w:rsid w:val="00862EBD"/>
    <w:rsid w:val="00863F4F"/>
    <w:rsid w:val="00863F8E"/>
    <w:rsid w:val="00865367"/>
    <w:rsid w:val="00871E5E"/>
    <w:rsid w:val="008730DD"/>
    <w:rsid w:val="008735F5"/>
    <w:rsid w:val="00873D55"/>
    <w:rsid w:val="00875518"/>
    <w:rsid w:val="00875B54"/>
    <w:rsid w:val="00875BD5"/>
    <w:rsid w:val="00876917"/>
    <w:rsid w:val="0087698B"/>
    <w:rsid w:val="008842D9"/>
    <w:rsid w:val="008844EC"/>
    <w:rsid w:val="00885785"/>
    <w:rsid w:val="0088656A"/>
    <w:rsid w:val="00887DE7"/>
    <w:rsid w:val="00892FA6"/>
    <w:rsid w:val="008931C6"/>
    <w:rsid w:val="0089438A"/>
    <w:rsid w:val="008950AE"/>
    <w:rsid w:val="00895822"/>
    <w:rsid w:val="008A0559"/>
    <w:rsid w:val="008A538D"/>
    <w:rsid w:val="008A6C50"/>
    <w:rsid w:val="008B023F"/>
    <w:rsid w:val="008B1AB1"/>
    <w:rsid w:val="008B37E7"/>
    <w:rsid w:val="008B7911"/>
    <w:rsid w:val="008C081D"/>
    <w:rsid w:val="008C2782"/>
    <w:rsid w:val="008C2891"/>
    <w:rsid w:val="008C2A69"/>
    <w:rsid w:val="008C2BC8"/>
    <w:rsid w:val="008C3BAC"/>
    <w:rsid w:val="008C3FB7"/>
    <w:rsid w:val="008C5C01"/>
    <w:rsid w:val="008C651F"/>
    <w:rsid w:val="008C74B1"/>
    <w:rsid w:val="008D3388"/>
    <w:rsid w:val="008D347B"/>
    <w:rsid w:val="008D44A5"/>
    <w:rsid w:val="008D45EF"/>
    <w:rsid w:val="008D55A5"/>
    <w:rsid w:val="008D5A00"/>
    <w:rsid w:val="008D5B37"/>
    <w:rsid w:val="008D63E4"/>
    <w:rsid w:val="008E2245"/>
    <w:rsid w:val="008E2508"/>
    <w:rsid w:val="008E2E6C"/>
    <w:rsid w:val="008E2FEF"/>
    <w:rsid w:val="008E45A6"/>
    <w:rsid w:val="008E4BA7"/>
    <w:rsid w:val="008E7E7D"/>
    <w:rsid w:val="008F0BD0"/>
    <w:rsid w:val="008F317F"/>
    <w:rsid w:val="008F3D82"/>
    <w:rsid w:val="008F5F2B"/>
    <w:rsid w:val="008F6242"/>
    <w:rsid w:val="008F7FFC"/>
    <w:rsid w:val="0090158D"/>
    <w:rsid w:val="00902ECE"/>
    <w:rsid w:val="009039D9"/>
    <w:rsid w:val="0090410F"/>
    <w:rsid w:val="00905142"/>
    <w:rsid w:val="009067D9"/>
    <w:rsid w:val="00906B75"/>
    <w:rsid w:val="00906E50"/>
    <w:rsid w:val="00907A7D"/>
    <w:rsid w:val="009110C5"/>
    <w:rsid w:val="009128B1"/>
    <w:rsid w:val="00913033"/>
    <w:rsid w:val="0091386D"/>
    <w:rsid w:val="00914980"/>
    <w:rsid w:val="00915911"/>
    <w:rsid w:val="00915E16"/>
    <w:rsid w:val="00923000"/>
    <w:rsid w:val="0092414D"/>
    <w:rsid w:val="00925156"/>
    <w:rsid w:val="009252CD"/>
    <w:rsid w:val="00926F4D"/>
    <w:rsid w:val="00927FBD"/>
    <w:rsid w:val="009314B4"/>
    <w:rsid w:val="0093201B"/>
    <w:rsid w:val="00932E1D"/>
    <w:rsid w:val="0093386E"/>
    <w:rsid w:val="009346E0"/>
    <w:rsid w:val="00935702"/>
    <w:rsid w:val="009367B3"/>
    <w:rsid w:val="00936A7E"/>
    <w:rsid w:val="0094003E"/>
    <w:rsid w:val="0094059E"/>
    <w:rsid w:val="00940A19"/>
    <w:rsid w:val="0094276C"/>
    <w:rsid w:val="00943164"/>
    <w:rsid w:val="00943319"/>
    <w:rsid w:val="00943A70"/>
    <w:rsid w:val="00944726"/>
    <w:rsid w:val="00945099"/>
    <w:rsid w:val="009456ED"/>
    <w:rsid w:val="00946747"/>
    <w:rsid w:val="009467D3"/>
    <w:rsid w:val="009503AF"/>
    <w:rsid w:val="00951609"/>
    <w:rsid w:val="00953281"/>
    <w:rsid w:val="00954E61"/>
    <w:rsid w:val="00955A79"/>
    <w:rsid w:val="00955C07"/>
    <w:rsid w:val="009601D4"/>
    <w:rsid w:val="00962718"/>
    <w:rsid w:val="00962AA7"/>
    <w:rsid w:val="0096399E"/>
    <w:rsid w:val="0096790A"/>
    <w:rsid w:val="00967D52"/>
    <w:rsid w:val="00970023"/>
    <w:rsid w:val="00970484"/>
    <w:rsid w:val="00971466"/>
    <w:rsid w:val="0097300A"/>
    <w:rsid w:val="00975809"/>
    <w:rsid w:val="00975DF0"/>
    <w:rsid w:val="00976849"/>
    <w:rsid w:val="00977113"/>
    <w:rsid w:val="0097743D"/>
    <w:rsid w:val="00984A1A"/>
    <w:rsid w:val="009863DF"/>
    <w:rsid w:val="00986AB3"/>
    <w:rsid w:val="00990842"/>
    <w:rsid w:val="009923CF"/>
    <w:rsid w:val="0099374F"/>
    <w:rsid w:val="00993956"/>
    <w:rsid w:val="00994AD5"/>
    <w:rsid w:val="00997CB0"/>
    <w:rsid w:val="00997ED7"/>
    <w:rsid w:val="009A225D"/>
    <w:rsid w:val="009A30B0"/>
    <w:rsid w:val="009A3F78"/>
    <w:rsid w:val="009A4B2F"/>
    <w:rsid w:val="009A5D40"/>
    <w:rsid w:val="009B11EF"/>
    <w:rsid w:val="009B2158"/>
    <w:rsid w:val="009B273A"/>
    <w:rsid w:val="009B28BC"/>
    <w:rsid w:val="009B4945"/>
    <w:rsid w:val="009B4A9B"/>
    <w:rsid w:val="009B5EDE"/>
    <w:rsid w:val="009B65E2"/>
    <w:rsid w:val="009B6915"/>
    <w:rsid w:val="009B7381"/>
    <w:rsid w:val="009B75BA"/>
    <w:rsid w:val="009B7BCF"/>
    <w:rsid w:val="009C0A96"/>
    <w:rsid w:val="009C1108"/>
    <w:rsid w:val="009C35CB"/>
    <w:rsid w:val="009C3F55"/>
    <w:rsid w:val="009C4BA7"/>
    <w:rsid w:val="009C545E"/>
    <w:rsid w:val="009C73AE"/>
    <w:rsid w:val="009C7846"/>
    <w:rsid w:val="009D0212"/>
    <w:rsid w:val="009D148E"/>
    <w:rsid w:val="009D2D3B"/>
    <w:rsid w:val="009D3005"/>
    <w:rsid w:val="009D31C5"/>
    <w:rsid w:val="009D3B23"/>
    <w:rsid w:val="009D3B48"/>
    <w:rsid w:val="009D509A"/>
    <w:rsid w:val="009D5A5F"/>
    <w:rsid w:val="009D5F1E"/>
    <w:rsid w:val="009D6CAE"/>
    <w:rsid w:val="009D6FF1"/>
    <w:rsid w:val="009D74C4"/>
    <w:rsid w:val="009E4D21"/>
    <w:rsid w:val="009E4E1C"/>
    <w:rsid w:val="009E5354"/>
    <w:rsid w:val="009E785A"/>
    <w:rsid w:val="009E7A0E"/>
    <w:rsid w:val="009F0B4A"/>
    <w:rsid w:val="009F1239"/>
    <w:rsid w:val="009F563A"/>
    <w:rsid w:val="009F57EF"/>
    <w:rsid w:val="009F6F96"/>
    <w:rsid w:val="00A001BE"/>
    <w:rsid w:val="00A00D46"/>
    <w:rsid w:val="00A00D7C"/>
    <w:rsid w:val="00A02E9D"/>
    <w:rsid w:val="00A02F79"/>
    <w:rsid w:val="00A0338B"/>
    <w:rsid w:val="00A11556"/>
    <w:rsid w:val="00A15318"/>
    <w:rsid w:val="00A16164"/>
    <w:rsid w:val="00A1719D"/>
    <w:rsid w:val="00A17517"/>
    <w:rsid w:val="00A17E83"/>
    <w:rsid w:val="00A207C9"/>
    <w:rsid w:val="00A20F6B"/>
    <w:rsid w:val="00A216F8"/>
    <w:rsid w:val="00A22FF6"/>
    <w:rsid w:val="00A23F1E"/>
    <w:rsid w:val="00A244AF"/>
    <w:rsid w:val="00A25633"/>
    <w:rsid w:val="00A25869"/>
    <w:rsid w:val="00A278B4"/>
    <w:rsid w:val="00A27DD5"/>
    <w:rsid w:val="00A27E3B"/>
    <w:rsid w:val="00A303E6"/>
    <w:rsid w:val="00A30A44"/>
    <w:rsid w:val="00A31651"/>
    <w:rsid w:val="00A31BC0"/>
    <w:rsid w:val="00A32350"/>
    <w:rsid w:val="00A32CA0"/>
    <w:rsid w:val="00A33D46"/>
    <w:rsid w:val="00A40133"/>
    <w:rsid w:val="00A403CD"/>
    <w:rsid w:val="00A4071C"/>
    <w:rsid w:val="00A4130D"/>
    <w:rsid w:val="00A44949"/>
    <w:rsid w:val="00A458B2"/>
    <w:rsid w:val="00A46501"/>
    <w:rsid w:val="00A466CD"/>
    <w:rsid w:val="00A46FA4"/>
    <w:rsid w:val="00A501FF"/>
    <w:rsid w:val="00A5475D"/>
    <w:rsid w:val="00A5567E"/>
    <w:rsid w:val="00A55A47"/>
    <w:rsid w:val="00A57AE8"/>
    <w:rsid w:val="00A60591"/>
    <w:rsid w:val="00A60821"/>
    <w:rsid w:val="00A60965"/>
    <w:rsid w:val="00A6267A"/>
    <w:rsid w:val="00A63184"/>
    <w:rsid w:val="00A63526"/>
    <w:rsid w:val="00A65696"/>
    <w:rsid w:val="00A66D53"/>
    <w:rsid w:val="00A70249"/>
    <w:rsid w:val="00A70465"/>
    <w:rsid w:val="00A7188D"/>
    <w:rsid w:val="00A7333A"/>
    <w:rsid w:val="00A73BDD"/>
    <w:rsid w:val="00A73D81"/>
    <w:rsid w:val="00A7413D"/>
    <w:rsid w:val="00A75C0C"/>
    <w:rsid w:val="00A7601E"/>
    <w:rsid w:val="00A768DE"/>
    <w:rsid w:val="00A77465"/>
    <w:rsid w:val="00A7763F"/>
    <w:rsid w:val="00A778A3"/>
    <w:rsid w:val="00A77C67"/>
    <w:rsid w:val="00A81E51"/>
    <w:rsid w:val="00A8221D"/>
    <w:rsid w:val="00A84F32"/>
    <w:rsid w:val="00A85B20"/>
    <w:rsid w:val="00A85D4C"/>
    <w:rsid w:val="00A866DC"/>
    <w:rsid w:val="00A8755D"/>
    <w:rsid w:val="00A87E4C"/>
    <w:rsid w:val="00A91E2C"/>
    <w:rsid w:val="00A9221B"/>
    <w:rsid w:val="00A9376A"/>
    <w:rsid w:val="00A97152"/>
    <w:rsid w:val="00AA08F0"/>
    <w:rsid w:val="00AA1B1A"/>
    <w:rsid w:val="00AA296A"/>
    <w:rsid w:val="00AA2AE4"/>
    <w:rsid w:val="00AA312E"/>
    <w:rsid w:val="00AA53E5"/>
    <w:rsid w:val="00AA6399"/>
    <w:rsid w:val="00AA6FAF"/>
    <w:rsid w:val="00AB253B"/>
    <w:rsid w:val="00AB7BEA"/>
    <w:rsid w:val="00AC08FE"/>
    <w:rsid w:val="00AC113B"/>
    <w:rsid w:val="00AC1E6C"/>
    <w:rsid w:val="00AC4A07"/>
    <w:rsid w:val="00AC6C01"/>
    <w:rsid w:val="00AD0DE8"/>
    <w:rsid w:val="00AD1073"/>
    <w:rsid w:val="00AD1992"/>
    <w:rsid w:val="00AD1C0A"/>
    <w:rsid w:val="00AD242F"/>
    <w:rsid w:val="00AD2684"/>
    <w:rsid w:val="00AD3089"/>
    <w:rsid w:val="00AD6969"/>
    <w:rsid w:val="00AE268F"/>
    <w:rsid w:val="00AE3135"/>
    <w:rsid w:val="00AE330A"/>
    <w:rsid w:val="00AE3A48"/>
    <w:rsid w:val="00AE4580"/>
    <w:rsid w:val="00AE53DA"/>
    <w:rsid w:val="00AE5556"/>
    <w:rsid w:val="00AE6E12"/>
    <w:rsid w:val="00AF0006"/>
    <w:rsid w:val="00AF0BFE"/>
    <w:rsid w:val="00AF1283"/>
    <w:rsid w:val="00AF195D"/>
    <w:rsid w:val="00AF2232"/>
    <w:rsid w:val="00AF245C"/>
    <w:rsid w:val="00AF2593"/>
    <w:rsid w:val="00AF4C40"/>
    <w:rsid w:val="00AF5220"/>
    <w:rsid w:val="00AF553B"/>
    <w:rsid w:val="00AF6334"/>
    <w:rsid w:val="00AF6503"/>
    <w:rsid w:val="00AF745D"/>
    <w:rsid w:val="00AF7942"/>
    <w:rsid w:val="00B00B1A"/>
    <w:rsid w:val="00B02CAD"/>
    <w:rsid w:val="00B03899"/>
    <w:rsid w:val="00B040BA"/>
    <w:rsid w:val="00B04FED"/>
    <w:rsid w:val="00B05071"/>
    <w:rsid w:val="00B0561D"/>
    <w:rsid w:val="00B0691D"/>
    <w:rsid w:val="00B10794"/>
    <w:rsid w:val="00B11149"/>
    <w:rsid w:val="00B11A06"/>
    <w:rsid w:val="00B12241"/>
    <w:rsid w:val="00B12C18"/>
    <w:rsid w:val="00B14E5E"/>
    <w:rsid w:val="00B1582D"/>
    <w:rsid w:val="00B1672E"/>
    <w:rsid w:val="00B16C31"/>
    <w:rsid w:val="00B16C5E"/>
    <w:rsid w:val="00B20ECD"/>
    <w:rsid w:val="00B20F3D"/>
    <w:rsid w:val="00B21E9A"/>
    <w:rsid w:val="00B25CE0"/>
    <w:rsid w:val="00B2706A"/>
    <w:rsid w:val="00B27D88"/>
    <w:rsid w:val="00B31536"/>
    <w:rsid w:val="00B31C99"/>
    <w:rsid w:val="00B321CC"/>
    <w:rsid w:val="00B32891"/>
    <w:rsid w:val="00B33B57"/>
    <w:rsid w:val="00B407D4"/>
    <w:rsid w:val="00B40E18"/>
    <w:rsid w:val="00B42C02"/>
    <w:rsid w:val="00B44830"/>
    <w:rsid w:val="00B459CF"/>
    <w:rsid w:val="00B45FE6"/>
    <w:rsid w:val="00B473C2"/>
    <w:rsid w:val="00B502F9"/>
    <w:rsid w:val="00B52D06"/>
    <w:rsid w:val="00B54123"/>
    <w:rsid w:val="00B5508A"/>
    <w:rsid w:val="00B5585B"/>
    <w:rsid w:val="00B57312"/>
    <w:rsid w:val="00B608FC"/>
    <w:rsid w:val="00B6182A"/>
    <w:rsid w:val="00B61C91"/>
    <w:rsid w:val="00B637A4"/>
    <w:rsid w:val="00B65277"/>
    <w:rsid w:val="00B66330"/>
    <w:rsid w:val="00B67234"/>
    <w:rsid w:val="00B6736F"/>
    <w:rsid w:val="00B74834"/>
    <w:rsid w:val="00B7494D"/>
    <w:rsid w:val="00B753B4"/>
    <w:rsid w:val="00B75CB8"/>
    <w:rsid w:val="00B766DA"/>
    <w:rsid w:val="00B77CD8"/>
    <w:rsid w:val="00B77DF8"/>
    <w:rsid w:val="00B81E09"/>
    <w:rsid w:val="00B82387"/>
    <w:rsid w:val="00B82EF3"/>
    <w:rsid w:val="00B83C1C"/>
    <w:rsid w:val="00B867C0"/>
    <w:rsid w:val="00B8702A"/>
    <w:rsid w:val="00B90BFC"/>
    <w:rsid w:val="00B91AFA"/>
    <w:rsid w:val="00B92E5E"/>
    <w:rsid w:val="00B93935"/>
    <w:rsid w:val="00B939AC"/>
    <w:rsid w:val="00B94561"/>
    <w:rsid w:val="00B947C6"/>
    <w:rsid w:val="00B94AD0"/>
    <w:rsid w:val="00BA0D0A"/>
    <w:rsid w:val="00BA119A"/>
    <w:rsid w:val="00BA1394"/>
    <w:rsid w:val="00BA25B8"/>
    <w:rsid w:val="00BA3FC7"/>
    <w:rsid w:val="00BA58F8"/>
    <w:rsid w:val="00BA5D19"/>
    <w:rsid w:val="00BA5FE6"/>
    <w:rsid w:val="00BA624A"/>
    <w:rsid w:val="00BA63BA"/>
    <w:rsid w:val="00BA7747"/>
    <w:rsid w:val="00BB198A"/>
    <w:rsid w:val="00BB2213"/>
    <w:rsid w:val="00BB440D"/>
    <w:rsid w:val="00BB4561"/>
    <w:rsid w:val="00BB4802"/>
    <w:rsid w:val="00BB60EE"/>
    <w:rsid w:val="00BB67C5"/>
    <w:rsid w:val="00BB7EA4"/>
    <w:rsid w:val="00BC0DD4"/>
    <w:rsid w:val="00BC1A68"/>
    <w:rsid w:val="00BC2B7B"/>
    <w:rsid w:val="00BC3E62"/>
    <w:rsid w:val="00BC5471"/>
    <w:rsid w:val="00BC5D3B"/>
    <w:rsid w:val="00BC6B37"/>
    <w:rsid w:val="00BD039E"/>
    <w:rsid w:val="00BD05F1"/>
    <w:rsid w:val="00BD0BB6"/>
    <w:rsid w:val="00BD238F"/>
    <w:rsid w:val="00BD24B7"/>
    <w:rsid w:val="00BD29E1"/>
    <w:rsid w:val="00BD2E53"/>
    <w:rsid w:val="00BD4CE4"/>
    <w:rsid w:val="00BD53FC"/>
    <w:rsid w:val="00BD5C91"/>
    <w:rsid w:val="00BD635A"/>
    <w:rsid w:val="00BD7B36"/>
    <w:rsid w:val="00BE1841"/>
    <w:rsid w:val="00BE2A42"/>
    <w:rsid w:val="00BE55C9"/>
    <w:rsid w:val="00BE5A93"/>
    <w:rsid w:val="00BE6F92"/>
    <w:rsid w:val="00BE7AE2"/>
    <w:rsid w:val="00BE7CDC"/>
    <w:rsid w:val="00BF0505"/>
    <w:rsid w:val="00BF0DD4"/>
    <w:rsid w:val="00BF23FB"/>
    <w:rsid w:val="00BF6722"/>
    <w:rsid w:val="00BF76A6"/>
    <w:rsid w:val="00BF7EDC"/>
    <w:rsid w:val="00C00B01"/>
    <w:rsid w:val="00C01237"/>
    <w:rsid w:val="00C01DD3"/>
    <w:rsid w:val="00C02447"/>
    <w:rsid w:val="00C03F4D"/>
    <w:rsid w:val="00C0704D"/>
    <w:rsid w:val="00C11B5E"/>
    <w:rsid w:val="00C125CA"/>
    <w:rsid w:val="00C13F42"/>
    <w:rsid w:val="00C143B5"/>
    <w:rsid w:val="00C1454E"/>
    <w:rsid w:val="00C14B1E"/>
    <w:rsid w:val="00C1765B"/>
    <w:rsid w:val="00C21B80"/>
    <w:rsid w:val="00C21CDF"/>
    <w:rsid w:val="00C2200C"/>
    <w:rsid w:val="00C22BCF"/>
    <w:rsid w:val="00C242A1"/>
    <w:rsid w:val="00C242A2"/>
    <w:rsid w:val="00C24DA7"/>
    <w:rsid w:val="00C2584C"/>
    <w:rsid w:val="00C2775C"/>
    <w:rsid w:val="00C315EC"/>
    <w:rsid w:val="00C31B6F"/>
    <w:rsid w:val="00C34AD0"/>
    <w:rsid w:val="00C36F2A"/>
    <w:rsid w:val="00C40042"/>
    <w:rsid w:val="00C404E4"/>
    <w:rsid w:val="00C411AE"/>
    <w:rsid w:val="00C413EE"/>
    <w:rsid w:val="00C4191B"/>
    <w:rsid w:val="00C434AC"/>
    <w:rsid w:val="00C43B9E"/>
    <w:rsid w:val="00C43FE6"/>
    <w:rsid w:val="00C445C3"/>
    <w:rsid w:val="00C44A76"/>
    <w:rsid w:val="00C46DBF"/>
    <w:rsid w:val="00C47824"/>
    <w:rsid w:val="00C47B80"/>
    <w:rsid w:val="00C53134"/>
    <w:rsid w:val="00C54585"/>
    <w:rsid w:val="00C56C63"/>
    <w:rsid w:val="00C61F64"/>
    <w:rsid w:val="00C643F5"/>
    <w:rsid w:val="00C6491E"/>
    <w:rsid w:val="00C7006E"/>
    <w:rsid w:val="00C70176"/>
    <w:rsid w:val="00C719EB"/>
    <w:rsid w:val="00C71BD5"/>
    <w:rsid w:val="00C72B60"/>
    <w:rsid w:val="00C72E14"/>
    <w:rsid w:val="00C73A9D"/>
    <w:rsid w:val="00C73AAD"/>
    <w:rsid w:val="00C73E04"/>
    <w:rsid w:val="00C7514B"/>
    <w:rsid w:val="00C753BF"/>
    <w:rsid w:val="00C75499"/>
    <w:rsid w:val="00C76F49"/>
    <w:rsid w:val="00C80C7A"/>
    <w:rsid w:val="00C80FC4"/>
    <w:rsid w:val="00C818D0"/>
    <w:rsid w:val="00C81D64"/>
    <w:rsid w:val="00C82B6B"/>
    <w:rsid w:val="00C83743"/>
    <w:rsid w:val="00C864B2"/>
    <w:rsid w:val="00C8797F"/>
    <w:rsid w:val="00C87A6C"/>
    <w:rsid w:val="00C87ADA"/>
    <w:rsid w:val="00C90881"/>
    <w:rsid w:val="00C90B72"/>
    <w:rsid w:val="00C91E8A"/>
    <w:rsid w:val="00C92A41"/>
    <w:rsid w:val="00C94A75"/>
    <w:rsid w:val="00C94EF6"/>
    <w:rsid w:val="00C9669C"/>
    <w:rsid w:val="00C96E47"/>
    <w:rsid w:val="00C96F6A"/>
    <w:rsid w:val="00CA240F"/>
    <w:rsid w:val="00CA2803"/>
    <w:rsid w:val="00CA49A5"/>
    <w:rsid w:val="00CA5241"/>
    <w:rsid w:val="00CA5601"/>
    <w:rsid w:val="00CA5DFE"/>
    <w:rsid w:val="00CA61BF"/>
    <w:rsid w:val="00CA7851"/>
    <w:rsid w:val="00CB011F"/>
    <w:rsid w:val="00CB1701"/>
    <w:rsid w:val="00CB2A36"/>
    <w:rsid w:val="00CB2F98"/>
    <w:rsid w:val="00CB35D2"/>
    <w:rsid w:val="00CB40F4"/>
    <w:rsid w:val="00CB4661"/>
    <w:rsid w:val="00CB49FD"/>
    <w:rsid w:val="00CB4A70"/>
    <w:rsid w:val="00CB4FB8"/>
    <w:rsid w:val="00CB5D10"/>
    <w:rsid w:val="00CC1694"/>
    <w:rsid w:val="00CC3EDD"/>
    <w:rsid w:val="00CC476C"/>
    <w:rsid w:val="00CC492D"/>
    <w:rsid w:val="00CC659C"/>
    <w:rsid w:val="00CC6660"/>
    <w:rsid w:val="00CD134F"/>
    <w:rsid w:val="00CD4796"/>
    <w:rsid w:val="00CD5A7D"/>
    <w:rsid w:val="00CE158B"/>
    <w:rsid w:val="00CE2282"/>
    <w:rsid w:val="00CE23AF"/>
    <w:rsid w:val="00CE34B3"/>
    <w:rsid w:val="00CE4933"/>
    <w:rsid w:val="00CE4B81"/>
    <w:rsid w:val="00CE57BA"/>
    <w:rsid w:val="00CE5F4C"/>
    <w:rsid w:val="00CE748F"/>
    <w:rsid w:val="00CE7D11"/>
    <w:rsid w:val="00CE7D31"/>
    <w:rsid w:val="00CF5B20"/>
    <w:rsid w:val="00CF604E"/>
    <w:rsid w:val="00CF73C2"/>
    <w:rsid w:val="00D02742"/>
    <w:rsid w:val="00D02C8F"/>
    <w:rsid w:val="00D039E9"/>
    <w:rsid w:val="00D059B1"/>
    <w:rsid w:val="00D06DD0"/>
    <w:rsid w:val="00D07874"/>
    <w:rsid w:val="00D10C2E"/>
    <w:rsid w:val="00D10EDE"/>
    <w:rsid w:val="00D11702"/>
    <w:rsid w:val="00D13E53"/>
    <w:rsid w:val="00D1727B"/>
    <w:rsid w:val="00D2007C"/>
    <w:rsid w:val="00D2029D"/>
    <w:rsid w:val="00D20C4C"/>
    <w:rsid w:val="00D213AC"/>
    <w:rsid w:val="00D2181B"/>
    <w:rsid w:val="00D235C0"/>
    <w:rsid w:val="00D2399C"/>
    <w:rsid w:val="00D239AB"/>
    <w:rsid w:val="00D25827"/>
    <w:rsid w:val="00D27910"/>
    <w:rsid w:val="00D31381"/>
    <w:rsid w:val="00D32BC5"/>
    <w:rsid w:val="00D32F2A"/>
    <w:rsid w:val="00D33F4B"/>
    <w:rsid w:val="00D35AFE"/>
    <w:rsid w:val="00D37823"/>
    <w:rsid w:val="00D42816"/>
    <w:rsid w:val="00D43246"/>
    <w:rsid w:val="00D43B0C"/>
    <w:rsid w:val="00D43EA5"/>
    <w:rsid w:val="00D4413E"/>
    <w:rsid w:val="00D44498"/>
    <w:rsid w:val="00D45445"/>
    <w:rsid w:val="00D45764"/>
    <w:rsid w:val="00D4604E"/>
    <w:rsid w:val="00D4745D"/>
    <w:rsid w:val="00D47E54"/>
    <w:rsid w:val="00D50D34"/>
    <w:rsid w:val="00D50F7A"/>
    <w:rsid w:val="00D51259"/>
    <w:rsid w:val="00D519A3"/>
    <w:rsid w:val="00D53F6F"/>
    <w:rsid w:val="00D556AC"/>
    <w:rsid w:val="00D57257"/>
    <w:rsid w:val="00D628F8"/>
    <w:rsid w:val="00D63004"/>
    <w:rsid w:val="00D6485C"/>
    <w:rsid w:val="00D6534F"/>
    <w:rsid w:val="00D6581B"/>
    <w:rsid w:val="00D65D51"/>
    <w:rsid w:val="00D66F44"/>
    <w:rsid w:val="00D70CFD"/>
    <w:rsid w:val="00D70F9A"/>
    <w:rsid w:val="00D70FD4"/>
    <w:rsid w:val="00D71BBA"/>
    <w:rsid w:val="00D74A57"/>
    <w:rsid w:val="00D76DE5"/>
    <w:rsid w:val="00D8084B"/>
    <w:rsid w:val="00D80A70"/>
    <w:rsid w:val="00D83112"/>
    <w:rsid w:val="00D834BE"/>
    <w:rsid w:val="00D8378E"/>
    <w:rsid w:val="00D83FBD"/>
    <w:rsid w:val="00D86ACA"/>
    <w:rsid w:val="00D873F1"/>
    <w:rsid w:val="00D91BB1"/>
    <w:rsid w:val="00D923B9"/>
    <w:rsid w:val="00D94068"/>
    <w:rsid w:val="00D9498D"/>
    <w:rsid w:val="00D953DB"/>
    <w:rsid w:val="00D95817"/>
    <w:rsid w:val="00D97880"/>
    <w:rsid w:val="00DA0439"/>
    <w:rsid w:val="00DA1886"/>
    <w:rsid w:val="00DA2154"/>
    <w:rsid w:val="00DA3207"/>
    <w:rsid w:val="00DA3870"/>
    <w:rsid w:val="00DA393B"/>
    <w:rsid w:val="00DA440A"/>
    <w:rsid w:val="00DA6989"/>
    <w:rsid w:val="00DB232A"/>
    <w:rsid w:val="00DB2433"/>
    <w:rsid w:val="00DB2CD8"/>
    <w:rsid w:val="00DB5914"/>
    <w:rsid w:val="00DB5AF6"/>
    <w:rsid w:val="00DB67C0"/>
    <w:rsid w:val="00DB79D0"/>
    <w:rsid w:val="00DB7C83"/>
    <w:rsid w:val="00DC1115"/>
    <w:rsid w:val="00DC4DE1"/>
    <w:rsid w:val="00DC5A12"/>
    <w:rsid w:val="00DC5D9A"/>
    <w:rsid w:val="00DD0743"/>
    <w:rsid w:val="00DD0D7F"/>
    <w:rsid w:val="00DD0D8D"/>
    <w:rsid w:val="00DD13D9"/>
    <w:rsid w:val="00DD1513"/>
    <w:rsid w:val="00DD33B7"/>
    <w:rsid w:val="00DD3A82"/>
    <w:rsid w:val="00DD4954"/>
    <w:rsid w:val="00DD55C0"/>
    <w:rsid w:val="00DD6EF6"/>
    <w:rsid w:val="00DD7B69"/>
    <w:rsid w:val="00DE051D"/>
    <w:rsid w:val="00DE151D"/>
    <w:rsid w:val="00DE3064"/>
    <w:rsid w:val="00DE3516"/>
    <w:rsid w:val="00DE535A"/>
    <w:rsid w:val="00DE554D"/>
    <w:rsid w:val="00DE57FA"/>
    <w:rsid w:val="00DE6821"/>
    <w:rsid w:val="00DE6E6E"/>
    <w:rsid w:val="00DE7EF7"/>
    <w:rsid w:val="00DF00B2"/>
    <w:rsid w:val="00DF0729"/>
    <w:rsid w:val="00DF139D"/>
    <w:rsid w:val="00DF21D0"/>
    <w:rsid w:val="00DF5F8A"/>
    <w:rsid w:val="00DF6BBA"/>
    <w:rsid w:val="00E001E0"/>
    <w:rsid w:val="00E003D0"/>
    <w:rsid w:val="00E01A52"/>
    <w:rsid w:val="00E01BD4"/>
    <w:rsid w:val="00E029FF"/>
    <w:rsid w:val="00E03A13"/>
    <w:rsid w:val="00E03E94"/>
    <w:rsid w:val="00E066A7"/>
    <w:rsid w:val="00E07376"/>
    <w:rsid w:val="00E07E2B"/>
    <w:rsid w:val="00E108FD"/>
    <w:rsid w:val="00E11F1A"/>
    <w:rsid w:val="00E120CD"/>
    <w:rsid w:val="00E129E9"/>
    <w:rsid w:val="00E13B54"/>
    <w:rsid w:val="00E1424B"/>
    <w:rsid w:val="00E154DC"/>
    <w:rsid w:val="00E157F7"/>
    <w:rsid w:val="00E15999"/>
    <w:rsid w:val="00E16B80"/>
    <w:rsid w:val="00E17EF6"/>
    <w:rsid w:val="00E209AF"/>
    <w:rsid w:val="00E20F07"/>
    <w:rsid w:val="00E23AC1"/>
    <w:rsid w:val="00E2435A"/>
    <w:rsid w:val="00E24631"/>
    <w:rsid w:val="00E30FBF"/>
    <w:rsid w:val="00E3291F"/>
    <w:rsid w:val="00E33428"/>
    <w:rsid w:val="00E339DB"/>
    <w:rsid w:val="00E34381"/>
    <w:rsid w:val="00E34442"/>
    <w:rsid w:val="00E34CCA"/>
    <w:rsid w:val="00E35C83"/>
    <w:rsid w:val="00E36C76"/>
    <w:rsid w:val="00E375A5"/>
    <w:rsid w:val="00E414EE"/>
    <w:rsid w:val="00E424EC"/>
    <w:rsid w:val="00E42973"/>
    <w:rsid w:val="00E44FF6"/>
    <w:rsid w:val="00E46EA4"/>
    <w:rsid w:val="00E47DBF"/>
    <w:rsid w:val="00E51412"/>
    <w:rsid w:val="00E51BE6"/>
    <w:rsid w:val="00E522F3"/>
    <w:rsid w:val="00E5299B"/>
    <w:rsid w:val="00E52E81"/>
    <w:rsid w:val="00E57736"/>
    <w:rsid w:val="00E60C09"/>
    <w:rsid w:val="00E60C6F"/>
    <w:rsid w:val="00E60EE8"/>
    <w:rsid w:val="00E62834"/>
    <w:rsid w:val="00E63828"/>
    <w:rsid w:val="00E63943"/>
    <w:rsid w:val="00E663F8"/>
    <w:rsid w:val="00E665CA"/>
    <w:rsid w:val="00E6715A"/>
    <w:rsid w:val="00E67803"/>
    <w:rsid w:val="00E705EF"/>
    <w:rsid w:val="00E71330"/>
    <w:rsid w:val="00E729A2"/>
    <w:rsid w:val="00E73278"/>
    <w:rsid w:val="00E74906"/>
    <w:rsid w:val="00E74976"/>
    <w:rsid w:val="00E75E9A"/>
    <w:rsid w:val="00E75FB2"/>
    <w:rsid w:val="00E76408"/>
    <w:rsid w:val="00E80022"/>
    <w:rsid w:val="00E8028C"/>
    <w:rsid w:val="00E83942"/>
    <w:rsid w:val="00E847D6"/>
    <w:rsid w:val="00E867CB"/>
    <w:rsid w:val="00E870CA"/>
    <w:rsid w:val="00E878E3"/>
    <w:rsid w:val="00E91323"/>
    <w:rsid w:val="00E915C2"/>
    <w:rsid w:val="00E9234A"/>
    <w:rsid w:val="00E93852"/>
    <w:rsid w:val="00E95B43"/>
    <w:rsid w:val="00E974C8"/>
    <w:rsid w:val="00E979A8"/>
    <w:rsid w:val="00E979D2"/>
    <w:rsid w:val="00E97D00"/>
    <w:rsid w:val="00EA1496"/>
    <w:rsid w:val="00EA38F4"/>
    <w:rsid w:val="00EA49EF"/>
    <w:rsid w:val="00EA7584"/>
    <w:rsid w:val="00EA793E"/>
    <w:rsid w:val="00EB09BD"/>
    <w:rsid w:val="00EB15C2"/>
    <w:rsid w:val="00EB2658"/>
    <w:rsid w:val="00EB2DCE"/>
    <w:rsid w:val="00EB2DD9"/>
    <w:rsid w:val="00EB3A32"/>
    <w:rsid w:val="00EB4F89"/>
    <w:rsid w:val="00EB59C0"/>
    <w:rsid w:val="00EB6C88"/>
    <w:rsid w:val="00EB7FFA"/>
    <w:rsid w:val="00EC244A"/>
    <w:rsid w:val="00EC2813"/>
    <w:rsid w:val="00EC381E"/>
    <w:rsid w:val="00EC5468"/>
    <w:rsid w:val="00EC6669"/>
    <w:rsid w:val="00EC7F24"/>
    <w:rsid w:val="00ED0527"/>
    <w:rsid w:val="00ED1E7A"/>
    <w:rsid w:val="00ED264E"/>
    <w:rsid w:val="00ED47ED"/>
    <w:rsid w:val="00ED4A85"/>
    <w:rsid w:val="00EE27DE"/>
    <w:rsid w:val="00EE28F4"/>
    <w:rsid w:val="00EE35DD"/>
    <w:rsid w:val="00EE3903"/>
    <w:rsid w:val="00EE497F"/>
    <w:rsid w:val="00EE5700"/>
    <w:rsid w:val="00EE5D7F"/>
    <w:rsid w:val="00EE6A1C"/>
    <w:rsid w:val="00EE71FC"/>
    <w:rsid w:val="00EE7632"/>
    <w:rsid w:val="00EF0CEA"/>
    <w:rsid w:val="00EF11C8"/>
    <w:rsid w:val="00EF4BCE"/>
    <w:rsid w:val="00EF6393"/>
    <w:rsid w:val="00EF67BF"/>
    <w:rsid w:val="00EF710A"/>
    <w:rsid w:val="00EF7A08"/>
    <w:rsid w:val="00EF7BDC"/>
    <w:rsid w:val="00F001CE"/>
    <w:rsid w:val="00F00B0A"/>
    <w:rsid w:val="00F00E00"/>
    <w:rsid w:val="00F00F26"/>
    <w:rsid w:val="00F010CC"/>
    <w:rsid w:val="00F01F28"/>
    <w:rsid w:val="00F0224A"/>
    <w:rsid w:val="00F047EA"/>
    <w:rsid w:val="00F05ABC"/>
    <w:rsid w:val="00F1073C"/>
    <w:rsid w:val="00F12520"/>
    <w:rsid w:val="00F12652"/>
    <w:rsid w:val="00F134BF"/>
    <w:rsid w:val="00F141ED"/>
    <w:rsid w:val="00F146C4"/>
    <w:rsid w:val="00F16AC4"/>
    <w:rsid w:val="00F17AAE"/>
    <w:rsid w:val="00F17CD0"/>
    <w:rsid w:val="00F213E8"/>
    <w:rsid w:val="00F220C4"/>
    <w:rsid w:val="00F24DCA"/>
    <w:rsid w:val="00F24EA6"/>
    <w:rsid w:val="00F27763"/>
    <w:rsid w:val="00F304F2"/>
    <w:rsid w:val="00F3084E"/>
    <w:rsid w:val="00F30995"/>
    <w:rsid w:val="00F316F4"/>
    <w:rsid w:val="00F3356C"/>
    <w:rsid w:val="00F35E9E"/>
    <w:rsid w:val="00F35EA0"/>
    <w:rsid w:val="00F35EF7"/>
    <w:rsid w:val="00F40812"/>
    <w:rsid w:val="00F410CA"/>
    <w:rsid w:val="00F42015"/>
    <w:rsid w:val="00F42AFC"/>
    <w:rsid w:val="00F42F6B"/>
    <w:rsid w:val="00F452B4"/>
    <w:rsid w:val="00F471FB"/>
    <w:rsid w:val="00F47275"/>
    <w:rsid w:val="00F47E9C"/>
    <w:rsid w:val="00F50E6A"/>
    <w:rsid w:val="00F5223E"/>
    <w:rsid w:val="00F536CC"/>
    <w:rsid w:val="00F5425A"/>
    <w:rsid w:val="00F55313"/>
    <w:rsid w:val="00F55561"/>
    <w:rsid w:val="00F5587E"/>
    <w:rsid w:val="00F56AE4"/>
    <w:rsid w:val="00F616A6"/>
    <w:rsid w:val="00F61854"/>
    <w:rsid w:val="00F6197E"/>
    <w:rsid w:val="00F6295C"/>
    <w:rsid w:val="00F62ECC"/>
    <w:rsid w:val="00F63974"/>
    <w:rsid w:val="00F66200"/>
    <w:rsid w:val="00F72367"/>
    <w:rsid w:val="00F725BA"/>
    <w:rsid w:val="00F773CA"/>
    <w:rsid w:val="00F80094"/>
    <w:rsid w:val="00F81955"/>
    <w:rsid w:val="00F81EEA"/>
    <w:rsid w:val="00F839BE"/>
    <w:rsid w:val="00F856BB"/>
    <w:rsid w:val="00F878FC"/>
    <w:rsid w:val="00F90266"/>
    <w:rsid w:val="00F90A73"/>
    <w:rsid w:val="00F91301"/>
    <w:rsid w:val="00F9148A"/>
    <w:rsid w:val="00F96100"/>
    <w:rsid w:val="00F9665B"/>
    <w:rsid w:val="00F97098"/>
    <w:rsid w:val="00F970EB"/>
    <w:rsid w:val="00F97211"/>
    <w:rsid w:val="00FA1664"/>
    <w:rsid w:val="00FA3493"/>
    <w:rsid w:val="00FA3ED1"/>
    <w:rsid w:val="00FA4187"/>
    <w:rsid w:val="00FA651B"/>
    <w:rsid w:val="00FA6F40"/>
    <w:rsid w:val="00FB2B10"/>
    <w:rsid w:val="00FB3D9D"/>
    <w:rsid w:val="00FB417B"/>
    <w:rsid w:val="00FB5766"/>
    <w:rsid w:val="00FB5962"/>
    <w:rsid w:val="00FB6B6E"/>
    <w:rsid w:val="00FB75AC"/>
    <w:rsid w:val="00FB7BE7"/>
    <w:rsid w:val="00FC0533"/>
    <w:rsid w:val="00FC1B0F"/>
    <w:rsid w:val="00FC407D"/>
    <w:rsid w:val="00FC7213"/>
    <w:rsid w:val="00FC790F"/>
    <w:rsid w:val="00FC7BCD"/>
    <w:rsid w:val="00FC7D62"/>
    <w:rsid w:val="00FD0443"/>
    <w:rsid w:val="00FD0C1B"/>
    <w:rsid w:val="00FD1742"/>
    <w:rsid w:val="00FD1B33"/>
    <w:rsid w:val="00FD1F8B"/>
    <w:rsid w:val="00FD2148"/>
    <w:rsid w:val="00FD606B"/>
    <w:rsid w:val="00FD62CA"/>
    <w:rsid w:val="00FD6DEF"/>
    <w:rsid w:val="00FE04DB"/>
    <w:rsid w:val="00FE196B"/>
    <w:rsid w:val="00FE2F90"/>
    <w:rsid w:val="00FE32C6"/>
    <w:rsid w:val="00FE3646"/>
    <w:rsid w:val="00FE51D4"/>
    <w:rsid w:val="00FE5BC3"/>
    <w:rsid w:val="00FE6435"/>
    <w:rsid w:val="00FE687E"/>
    <w:rsid w:val="00FE75D4"/>
    <w:rsid w:val="00FE77B2"/>
    <w:rsid w:val="00FF1DEB"/>
    <w:rsid w:val="00FF20E2"/>
    <w:rsid w:val="00FF2115"/>
    <w:rsid w:val="00FF21C5"/>
    <w:rsid w:val="00FF460B"/>
    <w:rsid w:val="00FF55F4"/>
    <w:rsid w:val="00FF5F64"/>
    <w:rsid w:val="00FF7AE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1CBFD-469A-4D59-BBA1-80C1DC6E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050"/>
    <w:pPr>
      <w:spacing w:after="200" w:line="276" w:lineRule="auto"/>
    </w:pPr>
    <w:rPr>
      <w:rFonts w:eastAsiaTheme="minorHAnsi"/>
      <w:lang w:eastAsia="en-US"/>
    </w:rPr>
  </w:style>
  <w:style w:type="paragraph" w:styleId="Heading1">
    <w:name w:val="heading 1"/>
    <w:basedOn w:val="Normal"/>
    <w:next w:val="Normal"/>
    <w:link w:val="Heading1Char"/>
    <w:uiPriority w:val="9"/>
    <w:qFormat/>
    <w:rsid w:val="0016605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660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66050"/>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6050"/>
    <w:rPr>
      <w:rFonts w:asciiTheme="majorHAnsi" w:eastAsiaTheme="majorEastAsia" w:hAnsiTheme="majorHAnsi" w:cstheme="majorBidi"/>
      <w:b/>
      <w:bCs/>
      <w:color w:val="2E74B5" w:themeColor="accent1" w:themeShade="BF"/>
      <w:sz w:val="28"/>
      <w:szCs w:val="28"/>
      <w:lang w:eastAsia="en-US"/>
    </w:rPr>
  </w:style>
  <w:style w:type="character" w:customStyle="1" w:styleId="Heading2Char">
    <w:name w:val="Heading 2 Char"/>
    <w:basedOn w:val="DefaultParagraphFont"/>
    <w:link w:val="Heading2"/>
    <w:uiPriority w:val="9"/>
    <w:rsid w:val="00166050"/>
    <w:rPr>
      <w:rFonts w:asciiTheme="majorHAnsi" w:eastAsiaTheme="majorEastAsia" w:hAnsiTheme="majorHAnsi" w:cstheme="majorBidi"/>
      <w:b/>
      <w:bCs/>
      <w:color w:val="5B9BD5" w:themeColor="accent1"/>
      <w:sz w:val="26"/>
      <w:szCs w:val="26"/>
      <w:lang w:eastAsia="en-US"/>
    </w:rPr>
  </w:style>
  <w:style w:type="character" w:customStyle="1" w:styleId="Heading3Char">
    <w:name w:val="Heading 3 Char"/>
    <w:basedOn w:val="DefaultParagraphFont"/>
    <w:link w:val="Heading3"/>
    <w:uiPriority w:val="9"/>
    <w:rsid w:val="00166050"/>
    <w:rPr>
      <w:rFonts w:asciiTheme="majorHAnsi" w:eastAsiaTheme="majorEastAsia" w:hAnsiTheme="majorHAnsi" w:cstheme="majorBidi"/>
      <w:b/>
      <w:bCs/>
      <w:color w:val="5B9BD5" w:themeColor="accent1"/>
      <w:lang w:eastAsia="en-US"/>
    </w:rPr>
  </w:style>
  <w:style w:type="paragraph" w:styleId="ListParagraph">
    <w:name w:val="List Paragraph"/>
    <w:basedOn w:val="Normal"/>
    <w:uiPriority w:val="34"/>
    <w:qFormat/>
    <w:rsid w:val="00166050"/>
    <w:pPr>
      <w:ind w:left="720"/>
      <w:contextualSpacing/>
    </w:pPr>
  </w:style>
  <w:style w:type="character" w:customStyle="1" w:styleId="BalloonTextChar">
    <w:name w:val="Balloon Text Char"/>
    <w:basedOn w:val="DefaultParagraphFont"/>
    <w:link w:val="BalloonText"/>
    <w:uiPriority w:val="99"/>
    <w:semiHidden/>
    <w:rsid w:val="00166050"/>
    <w:rPr>
      <w:rFonts w:ascii="Tahoma" w:hAnsi="Tahoma" w:cs="Tahoma"/>
      <w:sz w:val="16"/>
      <w:szCs w:val="16"/>
    </w:rPr>
  </w:style>
  <w:style w:type="paragraph" w:styleId="BalloonText">
    <w:name w:val="Balloon Text"/>
    <w:basedOn w:val="Normal"/>
    <w:link w:val="BalloonTextChar"/>
    <w:uiPriority w:val="99"/>
    <w:semiHidden/>
    <w:unhideWhenUsed/>
    <w:rsid w:val="00166050"/>
    <w:pPr>
      <w:spacing w:after="0" w:line="240" w:lineRule="auto"/>
    </w:pPr>
    <w:rPr>
      <w:rFonts w:ascii="Tahoma" w:eastAsiaTheme="minorEastAsia" w:hAnsi="Tahoma" w:cs="Tahoma"/>
      <w:sz w:val="16"/>
      <w:szCs w:val="16"/>
      <w:lang w:eastAsia="zh-CN"/>
    </w:rPr>
  </w:style>
  <w:style w:type="character" w:customStyle="1" w:styleId="BalloonTextChar1">
    <w:name w:val="Balloon Text Char1"/>
    <w:basedOn w:val="DefaultParagraphFont"/>
    <w:uiPriority w:val="99"/>
    <w:semiHidden/>
    <w:rsid w:val="00166050"/>
    <w:rPr>
      <w:rFonts w:ascii="Segoe UI" w:eastAsiaTheme="minorHAnsi" w:hAnsi="Segoe UI" w:cs="Segoe UI"/>
      <w:sz w:val="18"/>
      <w:szCs w:val="18"/>
      <w:lang w:eastAsia="en-US"/>
    </w:rPr>
  </w:style>
  <w:style w:type="paragraph" w:styleId="NoSpacing">
    <w:name w:val="No Spacing"/>
    <w:uiPriority w:val="1"/>
    <w:qFormat/>
    <w:rsid w:val="00166050"/>
    <w:pPr>
      <w:spacing w:after="0" w:line="240" w:lineRule="auto"/>
    </w:pPr>
    <w:rPr>
      <w:rFonts w:eastAsiaTheme="minorHAnsi"/>
      <w:lang w:eastAsia="en-US"/>
    </w:rPr>
  </w:style>
  <w:style w:type="paragraph" w:styleId="Caption">
    <w:name w:val="caption"/>
    <w:basedOn w:val="Normal"/>
    <w:next w:val="Normal"/>
    <w:uiPriority w:val="35"/>
    <w:unhideWhenUsed/>
    <w:qFormat/>
    <w:rsid w:val="00166050"/>
    <w:pPr>
      <w:spacing w:line="240" w:lineRule="auto"/>
    </w:pPr>
    <w:rPr>
      <w:b/>
      <w:bCs/>
      <w:color w:val="5B9BD5" w:themeColor="accent1"/>
      <w:sz w:val="18"/>
      <w:szCs w:val="18"/>
    </w:rPr>
  </w:style>
  <w:style w:type="paragraph" w:styleId="FootnoteText">
    <w:name w:val="footnote text"/>
    <w:basedOn w:val="Normal"/>
    <w:link w:val="FootnoteTextChar"/>
    <w:uiPriority w:val="99"/>
    <w:unhideWhenUsed/>
    <w:rsid w:val="00166050"/>
    <w:pPr>
      <w:spacing w:after="0" w:line="240" w:lineRule="auto"/>
    </w:pPr>
    <w:rPr>
      <w:sz w:val="20"/>
      <w:szCs w:val="20"/>
    </w:rPr>
  </w:style>
  <w:style w:type="character" w:customStyle="1" w:styleId="FootnoteTextChar">
    <w:name w:val="Footnote Text Char"/>
    <w:basedOn w:val="DefaultParagraphFont"/>
    <w:link w:val="FootnoteText"/>
    <w:uiPriority w:val="99"/>
    <w:rsid w:val="00166050"/>
    <w:rPr>
      <w:rFonts w:eastAsiaTheme="minorHAnsi"/>
      <w:sz w:val="20"/>
      <w:szCs w:val="20"/>
      <w:lang w:eastAsia="en-US"/>
    </w:rPr>
  </w:style>
  <w:style w:type="character" w:styleId="FootnoteReference">
    <w:name w:val="footnote reference"/>
    <w:basedOn w:val="DefaultParagraphFont"/>
    <w:uiPriority w:val="99"/>
    <w:semiHidden/>
    <w:unhideWhenUsed/>
    <w:rsid w:val="00166050"/>
    <w:rPr>
      <w:vertAlign w:val="superscript"/>
    </w:rPr>
  </w:style>
  <w:style w:type="table" w:styleId="TableGrid">
    <w:name w:val="Table Grid"/>
    <w:basedOn w:val="TableNormal"/>
    <w:uiPriority w:val="59"/>
    <w:rsid w:val="001660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050"/>
    <w:rPr>
      <w:rFonts w:eastAsiaTheme="minorHAnsi"/>
      <w:lang w:eastAsia="en-US"/>
    </w:rPr>
  </w:style>
  <w:style w:type="paragraph" w:styleId="Footer">
    <w:name w:val="footer"/>
    <w:basedOn w:val="Normal"/>
    <w:link w:val="FooterChar"/>
    <w:uiPriority w:val="99"/>
    <w:unhideWhenUsed/>
    <w:rsid w:val="0016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050"/>
    <w:rPr>
      <w:rFonts w:eastAsiaTheme="minorHAnsi"/>
      <w:lang w:eastAsia="en-US"/>
    </w:rPr>
  </w:style>
  <w:style w:type="character" w:customStyle="1" w:styleId="yiv2289926750">
    <w:name w:val="yiv2289926750"/>
    <w:basedOn w:val="DefaultParagraphFont"/>
    <w:rsid w:val="00166050"/>
  </w:style>
  <w:style w:type="character" w:styleId="Hyperlink">
    <w:name w:val="Hyperlink"/>
    <w:basedOn w:val="DefaultParagraphFont"/>
    <w:uiPriority w:val="99"/>
    <w:unhideWhenUsed/>
    <w:rsid w:val="00166050"/>
    <w:rPr>
      <w:color w:val="0563C1" w:themeColor="hyperlink"/>
      <w:u w:val="single"/>
    </w:rPr>
  </w:style>
  <w:style w:type="paragraph" w:styleId="HTMLPreformatted">
    <w:name w:val="HTML Preformatted"/>
    <w:basedOn w:val="Normal"/>
    <w:link w:val="HTMLPreformattedChar"/>
    <w:uiPriority w:val="99"/>
    <w:unhideWhenUsed/>
    <w:rsid w:val="00166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66050"/>
    <w:rPr>
      <w:rFonts w:ascii="Courier New" w:eastAsia="Times New Roman" w:hAnsi="Courier New" w:cs="Courier New"/>
      <w:sz w:val="20"/>
      <w:szCs w:val="20"/>
      <w:lang w:eastAsia="en-GB"/>
    </w:rPr>
  </w:style>
  <w:style w:type="character" w:customStyle="1" w:styleId="reference-text">
    <w:name w:val="reference-text"/>
    <w:basedOn w:val="DefaultParagraphFont"/>
    <w:rsid w:val="00166050"/>
  </w:style>
  <w:style w:type="character" w:customStyle="1" w:styleId="citation">
    <w:name w:val="citation"/>
    <w:basedOn w:val="DefaultParagraphFont"/>
    <w:rsid w:val="00166050"/>
  </w:style>
  <w:style w:type="character" w:customStyle="1" w:styleId="reference-accessdate">
    <w:name w:val="reference-accessdate"/>
    <w:basedOn w:val="DefaultParagraphFont"/>
    <w:rsid w:val="00166050"/>
  </w:style>
  <w:style w:type="character" w:customStyle="1" w:styleId="nowrap1">
    <w:name w:val="nowrap1"/>
    <w:basedOn w:val="DefaultParagraphFont"/>
    <w:rsid w:val="00166050"/>
  </w:style>
  <w:style w:type="character" w:customStyle="1" w:styleId="z3988">
    <w:name w:val="z3988"/>
    <w:basedOn w:val="DefaultParagraphFont"/>
    <w:rsid w:val="00166050"/>
  </w:style>
  <w:style w:type="character" w:customStyle="1" w:styleId="error">
    <w:name w:val="error"/>
    <w:basedOn w:val="DefaultParagraphFont"/>
    <w:rsid w:val="00166050"/>
  </w:style>
  <w:style w:type="paragraph" w:customStyle="1" w:styleId="xmsonormal">
    <w:name w:val="x_msonormal"/>
    <w:basedOn w:val="Normal"/>
    <w:rsid w:val="0016605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166050"/>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yiv7590742313">
    <w:name w:val="yiv7590742313"/>
    <w:basedOn w:val="DefaultParagraphFont"/>
    <w:rsid w:val="00166050"/>
  </w:style>
  <w:style w:type="character" w:customStyle="1" w:styleId="apple-converted-space">
    <w:name w:val="apple-converted-space"/>
    <w:basedOn w:val="DefaultParagraphFont"/>
    <w:rsid w:val="00166050"/>
  </w:style>
  <w:style w:type="character" w:styleId="CommentReference">
    <w:name w:val="annotation reference"/>
    <w:basedOn w:val="DefaultParagraphFont"/>
    <w:uiPriority w:val="99"/>
    <w:semiHidden/>
    <w:unhideWhenUsed/>
    <w:rsid w:val="00B502F9"/>
    <w:rPr>
      <w:sz w:val="16"/>
      <w:szCs w:val="16"/>
    </w:rPr>
  </w:style>
  <w:style w:type="paragraph" w:styleId="CommentText">
    <w:name w:val="annotation text"/>
    <w:basedOn w:val="Normal"/>
    <w:link w:val="CommentTextChar"/>
    <w:uiPriority w:val="99"/>
    <w:semiHidden/>
    <w:unhideWhenUsed/>
    <w:rsid w:val="00B502F9"/>
    <w:pPr>
      <w:spacing w:line="240" w:lineRule="auto"/>
    </w:pPr>
    <w:rPr>
      <w:sz w:val="20"/>
      <w:szCs w:val="20"/>
    </w:rPr>
  </w:style>
  <w:style w:type="character" w:customStyle="1" w:styleId="CommentTextChar">
    <w:name w:val="Comment Text Char"/>
    <w:basedOn w:val="DefaultParagraphFont"/>
    <w:link w:val="CommentText"/>
    <w:uiPriority w:val="99"/>
    <w:semiHidden/>
    <w:rsid w:val="00B502F9"/>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502F9"/>
    <w:rPr>
      <w:b/>
      <w:bCs/>
    </w:rPr>
  </w:style>
  <w:style w:type="character" w:customStyle="1" w:styleId="CommentSubjectChar">
    <w:name w:val="Comment Subject Char"/>
    <w:basedOn w:val="CommentTextChar"/>
    <w:link w:val="CommentSubject"/>
    <w:uiPriority w:val="99"/>
    <w:semiHidden/>
    <w:rsid w:val="00B502F9"/>
    <w:rPr>
      <w:rFonts w:eastAsiaTheme="minorHAnsi"/>
      <w:b/>
      <w:bCs/>
      <w:sz w:val="20"/>
      <w:szCs w:val="20"/>
      <w:lang w:eastAsia="en-US"/>
    </w:rPr>
  </w:style>
  <w:style w:type="paragraph" w:styleId="EndnoteText">
    <w:name w:val="endnote text"/>
    <w:basedOn w:val="Normal"/>
    <w:link w:val="EndnoteTextChar"/>
    <w:uiPriority w:val="99"/>
    <w:semiHidden/>
    <w:unhideWhenUsed/>
    <w:rsid w:val="00E46E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6EA4"/>
    <w:rPr>
      <w:rFonts w:eastAsiaTheme="minorHAnsi"/>
      <w:sz w:val="20"/>
      <w:szCs w:val="20"/>
      <w:lang w:eastAsia="en-US"/>
    </w:rPr>
  </w:style>
  <w:style w:type="character" w:styleId="EndnoteReference">
    <w:name w:val="endnote reference"/>
    <w:basedOn w:val="DefaultParagraphFont"/>
    <w:uiPriority w:val="99"/>
    <w:semiHidden/>
    <w:unhideWhenUsed/>
    <w:rsid w:val="00E46EA4"/>
    <w:rPr>
      <w:vertAlign w:val="superscript"/>
    </w:rPr>
  </w:style>
  <w:style w:type="table" w:styleId="LightShading-Accent3">
    <w:name w:val="Light Shading Accent 3"/>
    <w:basedOn w:val="TableNormal"/>
    <w:uiPriority w:val="60"/>
    <w:rsid w:val="00A02E9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LightShading1">
    <w:name w:val="Light Shading1"/>
    <w:basedOn w:val="TableNormal"/>
    <w:uiPriority w:val="60"/>
    <w:rsid w:val="00A02E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D4745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174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www.imf.org/en/Publications/WP/Issues/2016/12/30/The-International-Monetary-System-In-The-Very-Long-Run-3466" TargetMode="External"/><Relationship Id="rId2" Type="http://schemas.openxmlformats.org/officeDocument/2006/relationships/numbering" Target="numbering.xml"/><Relationship Id="rId16" Type="http://schemas.openxmlformats.org/officeDocument/2006/relationships/image" Target="media/image40.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0.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C38A7-2978-46AB-9B9A-3146061D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8933</Words>
  <Characters>50920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Olalekan Aladesanmi (PGR)</dc:creator>
  <cp:lastModifiedBy>Bowman, Cassandra 3</cp:lastModifiedBy>
  <cp:revision>2</cp:revision>
  <cp:lastPrinted>2017-04-18T13:38:00Z</cp:lastPrinted>
  <dcterms:created xsi:type="dcterms:W3CDTF">2019-03-13T16:09:00Z</dcterms:created>
  <dcterms:modified xsi:type="dcterms:W3CDTF">2019-03-13T16:09:00Z</dcterms:modified>
</cp:coreProperties>
</file>