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149" w:rsidRDefault="00192BA0" w:rsidP="006E3100">
      <w:pPr>
        <w:jc w:val="center"/>
        <w:rPr>
          <w:rFonts w:cs="Times New Roman"/>
          <w:b/>
          <w:sz w:val="28"/>
          <w:szCs w:val="28"/>
        </w:rPr>
      </w:pPr>
      <w:r>
        <w:rPr>
          <w:rFonts w:cs="Times New Roman"/>
          <w:b/>
          <w:sz w:val="28"/>
          <w:szCs w:val="28"/>
        </w:rPr>
        <w:t>APPLICATION OF VIPs IN COMMERCIAL SERVICE CABINETS</w:t>
      </w:r>
    </w:p>
    <w:p w:rsidR="006E3100" w:rsidRPr="006E3100" w:rsidRDefault="006E3100" w:rsidP="006E3100">
      <w:pPr>
        <w:jc w:val="center"/>
        <w:rPr>
          <w:rFonts w:cs="Times New Roman"/>
          <w:b/>
          <w:sz w:val="24"/>
          <w:szCs w:val="24"/>
        </w:rPr>
      </w:pPr>
    </w:p>
    <w:p w:rsidR="00736149" w:rsidRPr="006E3100" w:rsidRDefault="006E3100" w:rsidP="00745489">
      <w:pPr>
        <w:jc w:val="center"/>
        <w:rPr>
          <w:rFonts w:cs="Times New Roman"/>
          <w:b/>
          <w:sz w:val="24"/>
          <w:szCs w:val="24"/>
        </w:rPr>
      </w:pPr>
      <w:r w:rsidRPr="006E3100">
        <w:rPr>
          <w:rFonts w:cs="Times New Roman"/>
          <w:b/>
          <w:sz w:val="24"/>
          <w:szCs w:val="24"/>
        </w:rPr>
        <w:t xml:space="preserve">E. HAMMOND AND </w:t>
      </w:r>
      <w:r w:rsidR="00192BA0">
        <w:rPr>
          <w:rFonts w:cs="Times New Roman"/>
          <w:b/>
          <w:sz w:val="24"/>
          <w:szCs w:val="24"/>
        </w:rPr>
        <w:t>C. MARQUES</w:t>
      </w:r>
    </w:p>
    <w:p w:rsidR="006E3100" w:rsidRDefault="00745489" w:rsidP="00745489">
      <w:pPr>
        <w:jc w:val="center"/>
        <w:rPr>
          <w:rFonts w:cs="Times New Roman"/>
        </w:rPr>
      </w:pPr>
      <w:r w:rsidRPr="006E3100">
        <w:rPr>
          <w:rFonts w:cs="Times New Roman"/>
        </w:rPr>
        <w:t xml:space="preserve">London South Bank University, 103 Borough Road, </w:t>
      </w:r>
    </w:p>
    <w:p w:rsidR="00745489" w:rsidRDefault="006E3100" w:rsidP="00745489">
      <w:pPr>
        <w:jc w:val="center"/>
        <w:rPr>
          <w:rFonts w:cs="Times New Roman"/>
        </w:rPr>
      </w:pPr>
      <w:r>
        <w:rPr>
          <w:rFonts w:cs="Times New Roman"/>
        </w:rPr>
        <w:t>London, SE1 0AA, England</w:t>
      </w:r>
    </w:p>
    <w:p w:rsidR="006E3100" w:rsidRDefault="00C006BD" w:rsidP="00745489">
      <w:pPr>
        <w:jc w:val="center"/>
        <w:rPr>
          <w:rFonts w:cs="Times New Roman"/>
        </w:rPr>
      </w:pPr>
      <w:hyperlink r:id="rId9" w:history="1">
        <w:r w:rsidR="00BC4E44" w:rsidRPr="008618A0">
          <w:rPr>
            <w:rStyle w:val="Hyperlink"/>
            <w:rFonts w:cs="Times New Roman"/>
          </w:rPr>
          <w:t>e.hammond@lsbu.ac.uk</w:t>
        </w:r>
      </w:hyperlink>
    </w:p>
    <w:p w:rsidR="00BC4E44" w:rsidRPr="006E3100" w:rsidRDefault="00BC4E44" w:rsidP="00745489">
      <w:pPr>
        <w:jc w:val="center"/>
        <w:rPr>
          <w:rFonts w:cs="Times New Roman"/>
        </w:rPr>
      </w:pPr>
    </w:p>
    <w:p w:rsidR="00736149" w:rsidRDefault="00BC4E44" w:rsidP="007F65B6">
      <w:pPr>
        <w:pStyle w:val="Heading1"/>
        <w:numPr>
          <w:ilvl w:val="0"/>
          <w:numId w:val="0"/>
        </w:numPr>
      </w:pPr>
      <w:r>
        <w:t>ABSTRACT</w:t>
      </w:r>
    </w:p>
    <w:p w:rsidR="00BC4E44" w:rsidRPr="00BC4E44" w:rsidRDefault="00BC4E44" w:rsidP="00BC4E44">
      <w:pPr>
        <w:rPr>
          <w:rFonts w:cs="Times New Roman"/>
        </w:rPr>
      </w:pPr>
    </w:p>
    <w:p w:rsidR="00CD760C" w:rsidRDefault="00736149" w:rsidP="00D5634E">
      <w:r>
        <w:t>Published attempts to use VIPs (Vacuum Insulation Panels) to improve the thermal performance of cool boxes had found that VIPs do not yield their expected benefits, often only realising 2.5 to 3 times the improvement over PU</w:t>
      </w:r>
      <w:r w:rsidR="000533CD">
        <w:t xml:space="preserve"> (Polyurethane)</w:t>
      </w:r>
      <w:r>
        <w:t xml:space="preserve"> rather than the expected 5 fold benefit </w:t>
      </w:r>
      <w:r w:rsidR="006F5005">
        <w:t>(</w:t>
      </w:r>
      <w:proofErr w:type="spellStart"/>
      <w:r w:rsidR="006F5005">
        <w:t>Kacimi</w:t>
      </w:r>
      <w:proofErr w:type="spellEnd"/>
      <w:r w:rsidR="006F5005">
        <w:t xml:space="preserve"> and </w:t>
      </w:r>
      <w:proofErr w:type="spellStart"/>
      <w:r w:rsidR="006F5005">
        <w:t>Labranque</w:t>
      </w:r>
      <w:proofErr w:type="spellEnd"/>
      <w:r w:rsidR="006F5005">
        <w:t xml:space="preserve">, 2011; Brown </w:t>
      </w:r>
      <w:r w:rsidR="006F5005">
        <w:rPr>
          <w:i/>
        </w:rPr>
        <w:t>et al.</w:t>
      </w:r>
      <w:r w:rsidR="006F5005">
        <w:t>, 2007)</w:t>
      </w:r>
      <w:r>
        <w:t>.</w:t>
      </w:r>
      <w:r w:rsidR="00192BA0">
        <w:t xml:space="preserve">  Later work </w:t>
      </w:r>
      <w:r w:rsidR="006F5005">
        <w:t>(Hammond and Micic, 2013)</w:t>
      </w:r>
      <w:r w:rsidR="00CD760C">
        <w:t xml:space="preserve"> </w:t>
      </w:r>
      <w:r w:rsidR="00192BA0">
        <w:t xml:space="preserve">relating to ULT </w:t>
      </w:r>
      <w:r w:rsidR="0085765B">
        <w:t xml:space="preserve">(Ultra low temperature) </w:t>
      </w:r>
      <w:r w:rsidR="00192BA0">
        <w:t>freezers showed that around 8</w:t>
      </w:r>
      <w:r w:rsidR="00892920">
        <w:t>6</w:t>
      </w:r>
      <w:r w:rsidR="00192BA0">
        <w:t>% of the expected benefit of VIPs would be realised though embedding them into the wall</w:t>
      </w:r>
      <w:r w:rsidR="00CD760C">
        <w:t xml:space="preserve"> of the PU foam.  </w:t>
      </w:r>
    </w:p>
    <w:p w:rsidR="00192BA0" w:rsidRDefault="00CD760C" w:rsidP="00D5634E">
      <w:r>
        <w:t>T</w:t>
      </w:r>
      <w:r w:rsidR="00736149">
        <w:t xml:space="preserve">his paper </w:t>
      </w:r>
      <w:r>
        <w:t>expands previous work with ULT systems</w:t>
      </w:r>
      <w:r w:rsidR="003C5365">
        <w:t xml:space="preserve"> by</w:t>
      </w:r>
      <w:r>
        <w:t xml:space="preserve"> </w:t>
      </w:r>
      <w:r w:rsidR="00736149">
        <w:t>embedding VIPs into a PU foamed cavity</w:t>
      </w:r>
      <w:r w:rsidR="00192BA0">
        <w:t xml:space="preserve"> of a </w:t>
      </w:r>
      <w:r w:rsidR="003C5365">
        <w:t>multi temperature</w:t>
      </w:r>
      <w:r w:rsidR="00192BA0">
        <w:t xml:space="preserve"> commercial service refrigerator / freezer and </w:t>
      </w:r>
      <w:r w:rsidR="00972710">
        <w:t xml:space="preserve">presents the test results of </w:t>
      </w:r>
      <w:r w:rsidR="00192BA0">
        <w:t>the cabinet in both modes of operation</w:t>
      </w:r>
      <w:r w:rsidR="00736149">
        <w:t xml:space="preserve">.  </w:t>
      </w:r>
      <w:r>
        <w:t>The resulting reduction in energy consumption was then measured to estimate payback periods.</w:t>
      </w:r>
    </w:p>
    <w:p w:rsidR="00736149" w:rsidRDefault="00736149" w:rsidP="00D5634E">
      <w:r>
        <w:t xml:space="preserve">The overall thermal conductivity was calculated for the insulation </w:t>
      </w:r>
      <w:r w:rsidR="000A05BC">
        <w:t>the</w:t>
      </w:r>
      <w:r>
        <w:t xml:space="preserve"> cabinet, with and </w:t>
      </w:r>
      <w:r w:rsidR="000A05BC">
        <w:t>without VIPs inset</w:t>
      </w:r>
      <w:r>
        <w:t>. Th</w:t>
      </w:r>
      <w:r w:rsidR="00192BA0">
        <w:t xml:space="preserve">e measured thermal performance </w:t>
      </w:r>
      <w:r>
        <w:t xml:space="preserve">was then </w:t>
      </w:r>
      <w:r w:rsidR="00192BA0">
        <w:t>assessed based on energy consumption measured in a tempera</w:t>
      </w:r>
      <w:r w:rsidR="000A05BC">
        <w:t xml:space="preserve">ture controlled test chamber.  </w:t>
      </w:r>
    </w:p>
    <w:p w:rsidR="00BC4E44" w:rsidRDefault="00BC4E44" w:rsidP="00D5634E"/>
    <w:p w:rsidR="00736149" w:rsidRDefault="00736149" w:rsidP="007F65B6">
      <w:pPr>
        <w:pStyle w:val="Heading1"/>
      </w:pPr>
      <w:r w:rsidRPr="007F65B6">
        <w:t>Introduction</w:t>
      </w:r>
    </w:p>
    <w:p w:rsidR="00BC4E44" w:rsidRDefault="00BC4E44" w:rsidP="00951CF0"/>
    <w:p w:rsidR="00736149" w:rsidRPr="0057328B" w:rsidRDefault="00736149" w:rsidP="00951CF0">
      <w:r w:rsidRPr="0057328B">
        <w:t>VIPs</w:t>
      </w:r>
      <w:r w:rsidR="00DA2C81">
        <w:t xml:space="preserve"> </w:t>
      </w:r>
      <w:r w:rsidRPr="0057328B">
        <w:t>consist of an open cell foam slab enclosed in a barrier film</w:t>
      </w:r>
      <w:r w:rsidR="00DA2C81">
        <w:t xml:space="preserve"> </w:t>
      </w:r>
      <w:r w:rsidR="00DA2C81" w:rsidRPr="0057328B">
        <w:t>(</w:t>
      </w:r>
      <w:r w:rsidR="00DA2C81">
        <w:fldChar w:fldCharType="begin"/>
      </w:r>
      <w:r w:rsidR="00DA2C81">
        <w:instrText xml:space="preserve"> REF _Ref322244991 \h  \* MERGEFORMAT </w:instrText>
      </w:r>
      <w:r w:rsidR="00DA2C81">
        <w:fldChar w:fldCharType="separate"/>
      </w:r>
      <w:r w:rsidR="00EA5597" w:rsidRPr="0057328B">
        <w:t xml:space="preserve">Figure </w:t>
      </w:r>
      <w:r w:rsidR="00EA5597">
        <w:t>1</w:t>
      </w:r>
      <w:r w:rsidR="00DA2C81">
        <w:fldChar w:fldCharType="end"/>
      </w:r>
      <w:r w:rsidR="00DA2C81" w:rsidRPr="0057328B">
        <w:t>)</w:t>
      </w:r>
      <w:r w:rsidR="00DA2C81">
        <w:t xml:space="preserve"> </w:t>
      </w:r>
      <w:r w:rsidR="006F5005">
        <w:t>(Swain and Brown, 2004)</w:t>
      </w:r>
      <w:r w:rsidRPr="0057328B">
        <w:t xml:space="preserve">.  A high vacuum is achieved within the enclosure, maintained by the </w:t>
      </w:r>
      <w:proofErr w:type="spellStart"/>
      <w:r w:rsidRPr="0057328B">
        <w:t>impermeability</w:t>
      </w:r>
      <w:proofErr w:type="spellEnd"/>
      <w:r w:rsidRPr="0057328B">
        <w:t xml:space="preserve"> of the barrier film and by the presence of a gas absorber (or getter) within the enclosure.   The foam slab maintains the physical dimensions of the panel, supporting the barrier film, reduces convection by the remaining gas molecules and the radiant heat transfer across the panel.   The getter absorbs water vapour, atmospheric gasses and gasses emitted by the slab during the life of the panel to maintain the vacuum.</w:t>
      </w:r>
    </w:p>
    <w:p w:rsidR="00736149" w:rsidRDefault="00736149" w:rsidP="00951CF0">
      <w:r w:rsidRPr="0057328B">
        <w:t xml:space="preserve">VIPs typically have a thermal conductivity </w:t>
      </w:r>
      <w:r>
        <w:t xml:space="preserve">of </w:t>
      </w:r>
      <w:r w:rsidRPr="0057328B">
        <w:t>around</w:t>
      </w:r>
      <w:r>
        <w:t xml:space="preserve"> 3 </w:t>
      </w:r>
      <w:proofErr w:type="spellStart"/>
      <w:r>
        <w:t>mW</w:t>
      </w:r>
      <w:proofErr w:type="spellEnd"/>
      <w:r>
        <w:t>/</w:t>
      </w:r>
      <w:proofErr w:type="spellStart"/>
      <w:proofErr w:type="gramStart"/>
      <w:r>
        <w:t>m.K</w:t>
      </w:r>
      <w:proofErr w:type="spellEnd"/>
      <w:r>
        <w:t xml:space="preserve">  (</w:t>
      </w:r>
      <w:proofErr w:type="gramEnd"/>
      <w:r>
        <w:t xml:space="preserve">measured at the centre of a panel).  However, the film material does influence the conductivity of the panel as a whole and </w:t>
      </w:r>
      <w:proofErr w:type="gramStart"/>
      <w:r>
        <w:t>5 </w:t>
      </w:r>
      <w:proofErr w:type="spellStart"/>
      <w:r>
        <w:t>mW</w:t>
      </w:r>
      <w:proofErr w:type="spellEnd"/>
      <w:r>
        <w:t>/</w:t>
      </w:r>
      <w:proofErr w:type="spellStart"/>
      <w:r>
        <w:t>m.K</w:t>
      </w:r>
      <w:proofErr w:type="spellEnd"/>
      <w:proofErr w:type="gramEnd"/>
      <w:r>
        <w:t xml:space="preserve"> would be more typical when considering the complete panel; </w:t>
      </w:r>
      <w:r w:rsidR="00593DA4">
        <w:fldChar w:fldCharType="begin"/>
      </w:r>
      <w:r w:rsidR="00593DA4">
        <w:instrText xml:space="preserve"> REF _Ref322245801 \h  \* MERGEFORMAT </w:instrText>
      </w:r>
      <w:r w:rsidR="00593DA4">
        <w:fldChar w:fldCharType="separate"/>
      </w:r>
      <w:r w:rsidR="00EA5597" w:rsidRPr="00535ED8">
        <w:t xml:space="preserve">Figure </w:t>
      </w:r>
      <w:r w:rsidR="00EA5597">
        <w:t>2</w:t>
      </w:r>
      <w:r w:rsidR="00593DA4">
        <w:fldChar w:fldCharType="end"/>
      </w:r>
      <w:r w:rsidR="00DA2C81">
        <w:t xml:space="preserve"> compares the thermal conductivity of complete VIP panels to a range of conventional insulations</w:t>
      </w:r>
      <w:r w:rsidR="00972710">
        <w:t xml:space="preserve">. The </w:t>
      </w:r>
      <w:r w:rsidR="00DA2C81">
        <w:t xml:space="preserve">data </w:t>
      </w:r>
      <w:r w:rsidR="00972710">
        <w:t xml:space="preserve">was </w:t>
      </w:r>
      <w:r w:rsidR="00DA2C81">
        <w:t xml:space="preserve">taken from multiple sources </w:t>
      </w:r>
      <w:r w:rsidR="005C78F7">
        <w:t>(</w:t>
      </w:r>
      <w:proofErr w:type="spellStart"/>
      <w:r w:rsidR="005C78F7">
        <w:t>Kacimi</w:t>
      </w:r>
      <w:proofErr w:type="spellEnd"/>
      <w:r w:rsidR="005C78F7">
        <w:t xml:space="preserve"> and </w:t>
      </w:r>
      <w:proofErr w:type="spellStart"/>
      <w:r w:rsidR="005C78F7">
        <w:t>Labranque</w:t>
      </w:r>
      <w:proofErr w:type="spellEnd"/>
      <w:r w:rsidR="005C78F7">
        <w:t xml:space="preserve">, 2011; </w:t>
      </w:r>
      <w:proofErr w:type="spellStart"/>
      <w:r w:rsidR="005C78F7">
        <w:t>Porextherm</w:t>
      </w:r>
      <w:proofErr w:type="spellEnd"/>
      <w:r w:rsidR="005C78F7">
        <w:t xml:space="preserve">; ASHRAE, 2001; </w:t>
      </w:r>
      <w:proofErr w:type="spellStart"/>
      <w:r w:rsidR="005C78F7">
        <w:t>VensilResil</w:t>
      </w:r>
      <w:proofErr w:type="spellEnd"/>
      <w:r w:rsidR="005C78F7">
        <w:t xml:space="preserve">, 2003; TAASI Corporation; Manini </w:t>
      </w:r>
      <w:r w:rsidR="005C78F7">
        <w:rPr>
          <w:i/>
        </w:rPr>
        <w:t>et al.</w:t>
      </w:r>
      <w:r w:rsidR="005C78F7">
        <w:t xml:space="preserve">, 2003; Dominguez-Munoz </w:t>
      </w:r>
      <w:r w:rsidR="005C78F7">
        <w:rPr>
          <w:i/>
        </w:rPr>
        <w:t>et al.</w:t>
      </w:r>
      <w:r w:rsidR="005C78F7">
        <w:t xml:space="preserve">, 2009; The Engineering Toolbox, 2012; Bing, 2006; </w:t>
      </w:r>
      <w:proofErr w:type="spellStart"/>
      <w:r w:rsidR="005C78F7">
        <w:t>Nanonpore</w:t>
      </w:r>
      <w:proofErr w:type="spellEnd"/>
      <w:r w:rsidR="005C78F7">
        <w:t xml:space="preserve"> </w:t>
      </w:r>
      <w:proofErr w:type="spellStart"/>
      <w:r w:rsidR="005C78F7">
        <w:t>inc.</w:t>
      </w:r>
      <w:proofErr w:type="spellEnd"/>
      <w:r w:rsidR="005C78F7">
        <w:t xml:space="preserve">, 2008a; </w:t>
      </w:r>
      <w:proofErr w:type="spellStart"/>
      <w:r w:rsidR="005C78F7">
        <w:t>Nanopore</w:t>
      </w:r>
      <w:proofErr w:type="spellEnd"/>
      <w:r w:rsidR="005C78F7">
        <w:t xml:space="preserve"> </w:t>
      </w:r>
      <w:proofErr w:type="spellStart"/>
      <w:r w:rsidR="005C78F7">
        <w:t>inc.</w:t>
      </w:r>
      <w:proofErr w:type="spellEnd"/>
      <w:r w:rsidR="005C78F7">
        <w:t>, 2008b; Hans-</w:t>
      </w:r>
      <w:proofErr w:type="spellStart"/>
      <w:r w:rsidR="005C78F7">
        <w:t>FriederEberhardt</w:t>
      </w:r>
      <w:proofErr w:type="spellEnd"/>
      <w:r w:rsidR="005C78F7">
        <w:t>, 2010)</w:t>
      </w:r>
      <w:r w:rsidR="00DA2C81">
        <w:t xml:space="preserve"> to demonstrate a typical performance range for each</w:t>
      </w:r>
      <w:r w:rsidR="00972710">
        <w:t xml:space="preserve"> insulation material</w:t>
      </w:r>
      <w:r w:rsidR="00DA2C81">
        <w:t>.</w:t>
      </w:r>
    </w:p>
    <w:p w:rsidR="00736149" w:rsidRDefault="00736149" w:rsidP="00D5634E">
      <w:r>
        <w:t xml:space="preserve">The use of </w:t>
      </w:r>
      <w:r w:rsidR="000533CD">
        <w:t>VIPs</w:t>
      </w:r>
      <w:r>
        <w:t xml:space="preserve"> has been widely acclaimed as the future for low energy cold appliances but practical results have so far shown that despite the thermal conductivity of a VIP being typically one fifth of that of conventional foams, such as polyurethane, savings measured show VIPs to be only two to three times better.  The difference is usually associated with “edge effects” or “thermal bridges” but </w:t>
      </w:r>
      <w:proofErr w:type="spellStart"/>
      <w:r>
        <w:t>Kacimi</w:t>
      </w:r>
      <w:proofErr w:type="spellEnd"/>
      <w:r>
        <w:t xml:space="preserve"> and </w:t>
      </w:r>
      <w:proofErr w:type="spellStart"/>
      <w:r>
        <w:t>Labranque</w:t>
      </w:r>
      <w:proofErr w:type="spellEnd"/>
      <w:r>
        <w:t xml:space="preserve"> </w:t>
      </w:r>
      <w:r w:rsidR="005C78F7">
        <w:t>(2011)</w:t>
      </w:r>
      <w:r>
        <w:t xml:space="preserve"> claimed that the metallisation layer on the VIPs was too thin for the thermal conductivity of the barrier film to cause any significant edge effects. </w:t>
      </w:r>
    </w:p>
    <w:p w:rsidR="00892920" w:rsidRDefault="009B02E2" w:rsidP="00892920">
      <w:r>
        <w:t>Work by Hammond and Micic</w:t>
      </w:r>
      <w:r w:rsidR="00892920">
        <w:t xml:space="preserve"> </w:t>
      </w:r>
      <w:r w:rsidR="005C78F7">
        <w:t>(2013)</w:t>
      </w:r>
      <w:r>
        <w:t xml:space="preserve"> has shown that </w:t>
      </w:r>
      <w:r w:rsidR="00892920">
        <w:t>embedding VIPs into the insulated foam wall of cold appliances is a practical method of applying VIP technology in the cold chain and achieves better results than a layer of VIPs overlapping at corners as previously trialled in cold transport boxes with 86% of the expected benefit of embedding VIPs into the PU foam being realised.</w:t>
      </w:r>
    </w:p>
    <w:p w:rsidR="00892920" w:rsidRDefault="00892920" w:rsidP="00892920"/>
    <w:p w:rsidR="009B02E2" w:rsidRDefault="009B02E2" w:rsidP="009B02E2"/>
    <w:p w:rsidR="000232D5" w:rsidRDefault="000232D5" w:rsidP="00D5634E"/>
    <w:p w:rsidR="00736149" w:rsidRPr="0057328B" w:rsidRDefault="008017C0" w:rsidP="00951CF0">
      <w:pPr>
        <w:keepNext/>
        <w:jc w:val="center"/>
      </w:pPr>
      <w:r>
        <w:rPr>
          <w:noProof/>
          <w:sz w:val="20"/>
          <w:szCs w:val="20"/>
          <w:lang w:eastAsia="en-GB"/>
        </w:rPr>
        <w:lastRenderedPageBreak/>
        <w:drawing>
          <wp:inline distT="0" distB="0" distL="0" distR="0" wp14:anchorId="22D50BE7" wp14:editId="62366632">
            <wp:extent cx="4419600" cy="1704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9600" cy="1704975"/>
                    </a:xfrm>
                    <a:prstGeom prst="rect">
                      <a:avLst/>
                    </a:prstGeom>
                    <a:noFill/>
                    <a:ln>
                      <a:noFill/>
                    </a:ln>
                  </pic:spPr>
                </pic:pic>
              </a:graphicData>
            </a:graphic>
          </wp:inline>
        </w:drawing>
      </w:r>
    </w:p>
    <w:p w:rsidR="00736149" w:rsidRPr="0057328B" w:rsidRDefault="00736149" w:rsidP="00951CF0">
      <w:pPr>
        <w:pStyle w:val="Caption"/>
      </w:pPr>
      <w:bookmarkStart w:id="0" w:name="_Ref322244991"/>
      <w:r w:rsidRPr="0057328B">
        <w:t xml:space="preserve">Figure </w:t>
      </w:r>
      <w:fldSimple w:instr=" SEQ Figure \* ARABIC ">
        <w:r w:rsidR="00EA5597">
          <w:rPr>
            <w:noProof/>
          </w:rPr>
          <w:t>1</w:t>
        </w:r>
      </w:fldSimple>
      <w:bookmarkEnd w:id="0"/>
      <w:r w:rsidRPr="0057328B">
        <w:t>.Schematic of a typical Vacuum Insulating Panel (VIP)</w:t>
      </w:r>
      <w:r w:rsidR="00DA2C81">
        <w:t xml:space="preserve"> </w:t>
      </w:r>
      <w:r w:rsidR="005C78F7">
        <w:t>(Swain and Brown, 2004)</w:t>
      </w:r>
      <w:r w:rsidRPr="0057328B">
        <w:t>.</w:t>
      </w:r>
    </w:p>
    <w:p w:rsidR="00736149" w:rsidRPr="0057328B" w:rsidRDefault="001338F1" w:rsidP="00951CF0">
      <w:pPr>
        <w:keepNext/>
        <w:jc w:val="center"/>
      </w:pPr>
      <w:r>
        <w:rPr>
          <w:noProof/>
          <w:lang w:eastAsia="en-GB"/>
        </w:rPr>
        <w:drawing>
          <wp:inline distT="0" distB="0" distL="0" distR="0" wp14:anchorId="5BFB7EBA" wp14:editId="5A399B5B">
            <wp:extent cx="4410075" cy="2874484"/>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3022" cy="2882923"/>
                    </a:xfrm>
                    <a:prstGeom prst="rect">
                      <a:avLst/>
                    </a:prstGeom>
                    <a:noFill/>
                  </pic:spPr>
                </pic:pic>
              </a:graphicData>
            </a:graphic>
          </wp:inline>
        </w:drawing>
      </w:r>
    </w:p>
    <w:p w:rsidR="00736149" w:rsidRDefault="00736149" w:rsidP="00535ED8">
      <w:pPr>
        <w:pStyle w:val="Caption"/>
      </w:pPr>
      <w:bookmarkStart w:id="1" w:name="_Ref322245801"/>
      <w:proofErr w:type="gramStart"/>
      <w:r w:rsidRPr="00535ED8">
        <w:t xml:space="preserve">Figure </w:t>
      </w:r>
      <w:fldSimple w:instr=" SEQ Figure \* ARABIC ">
        <w:r w:rsidR="00EA5597">
          <w:rPr>
            <w:noProof/>
          </w:rPr>
          <w:t>2</w:t>
        </w:r>
      </w:fldSimple>
      <w:bookmarkEnd w:id="1"/>
      <w:r w:rsidRPr="00535ED8">
        <w:t>.</w:t>
      </w:r>
      <w:proofErr w:type="gramEnd"/>
      <w:r w:rsidRPr="00535ED8">
        <w:t xml:space="preserve">  </w:t>
      </w:r>
      <w:proofErr w:type="gramStart"/>
      <w:r w:rsidR="00F81C73">
        <w:t>Ranges o</w:t>
      </w:r>
      <w:r w:rsidR="005C78F7">
        <w:t>f typical thermal conductivity</w:t>
      </w:r>
      <w:r w:rsidR="00F81C73">
        <w:t xml:space="preserve"> </w:t>
      </w:r>
      <w:r w:rsidRPr="00535ED8">
        <w:t xml:space="preserve">of </w:t>
      </w:r>
      <w:r w:rsidR="00F81C73">
        <w:t>insulation materials and VIPs</w:t>
      </w:r>
      <w:r w:rsidRPr="00535ED8">
        <w:t>.</w:t>
      </w:r>
      <w:proofErr w:type="gramEnd"/>
      <w:r w:rsidRPr="00535ED8">
        <w:t xml:space="preserve"> </w:t>
      </w:r>
      <w:r w:rsidR="00F81C73">
        <w:t xml:space="preserve">Values based on material manufacturers’ datasheets and other technical manuals </w:t>
      </w:r>
      <w:r w:rsidR="005C78F7">
        <w:t>(sources referenced in text).</w:t>
      </w:r>
    </w:p>
    <w:p w:rsidR="00535ED8" w:rsidRPr="00535ED8" w:rsidRDefault="00535ED8" w:rsidP="00535ED8"/>
    <w:p w:rsidR="00736149" w:rsidRDefault="00736149" w:rsidP="00820E1F">
      <w:r w:rsidRPr="0057328B">
        <w:t>VIPs are currently integrated into refrigerating (and other low temperature) appliances, where space and energy efficiency are both of high importance, on a production scale.  Typically the construction appliance would use solid panels of VIP secured against the outer wall of the insulation cavity and foamed into the PU insulation to reduce heat gain without reducing internal volume.  These panels would typically cover around 80 % of the surface area of a cabinet wall but would not extend to the edges or corners of any individual wall.</w:t>
      </w:r>
      <w:r w:rsidR="00302887">
        <w:t xml:space="preserve">  The VIPs are secured to the outer skin using adhesive tape prior to filling the insulation cavity with PU foam.  The PU foaming process, which would ordinarily fill the entire cavity between the inner and outer skins with PU foam, is unaltered as a result the addition of VIPs except to reduce the volume of foam.  The reduced volume is used to account for the reduction in cavity volume resulting from insertion of VIPs.  </w:t>
      </w:r>
      <w:r w:rsidR="00176CD1">
        <w:fldChar w:fldCharType="begin"/>
      </w:r>
      <w:r w:rsidR="00176CD1">
        <w:instrText xml:space="preserve"> REF _Ref345066094 \h </w:instrText>
      </w:r>
      <w:r w:rsidR="00176CD1">
        <w:fldChar w:fldCharType="separate"/>
      </w:r>
      <w:r w:rsidR="00EA5597">
        <w:t xml:space="preserve">Figure </w:t>
      </w:r>
      <w:r w:rsidR="00EA5597">
        <w:rPr>
          <w:noProof/>
        </w:rPr>
        <w:t>3</w:t>
      </w:r>
      <w:r w:rsidR="00176CD1">
        <w:fldChar w:fldCharType="end"/>
      </w:r>
      <w:r w:rsidR="00302887">
        <w:t xml:space="preserve"> shows a diagram of the construction of a PU foamed cabinet with embedded VIPs.</w:t>
      </w:r>
    </w:p>
    <w:p w:rsidR="00302887" w:rsidRDefault="006E09BD" w:rsidP="00302887">
      <w:pPr>
        <w:keepNext/>
      </w:pPr>
      <w:r>
        <w:rPr>
          <w:noProof/>
          <w:lang w:eastAsia="en-GB"/>
        </w:rPr>
        <w:lastRenderedPageBreak/>
        <w:drawing>
          <wp:inline distT="0" distB="0" distL="0" distR="0" wp14:anchorId="6F09E093" wp14:editId="68F96488">
            <wp:extent cx="5657850" cy="2131227"/>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3446" cy="2133335"/>
                    </a:xfrm>
                    <a:prstGeom prst="rect">
                      <a:avLst/>
                    </a:prstGeom>
                    <a:noFill/>
                  </pic:spPr>
                </pic:pic>
              </a:graphicData>
            </a:graphic>
          </wp:inline>
        </w:drawing>
      </w:r>
    </w:p>
    <w:p w:rsidR="009F1B94" w:rsidRDefault="00302887" w:rsidP="00302887">
      <w:pPr>
        <w:pStyle w:val="Caption"/>
        <w:jc w:val="left"/>
      </w:pPr>
      <w:bookmarkStart w:id="2" w:name="_Ref345066094"/>
      <w:proofErr w:type="gramStart"/>
      <w:r>
        <w:t xml:space="preserve">Figure </w:t>
      </w:r>
      <w:fldSimple w:instr=" SEQ Figure \* ARABIC ">
        <w:r w:rsidR="00EA5597">
          <w:rPr>
            <w:noProof/>
          </w:rPr>
          <w:t>3</w:t>
        </w:r>
      </w:fldSimple>
      <w:bookmarkEnd w:id="2"/>
      <w:r>
        <w:t>.</w:t>
      </w:r>
      <w:proofErr w:type="gramEnd"/>
      <w:r>
        <w:t xml:space="preserve">  Construction of appliance with VIPs embedded into the PU foamed walls.</w:t>
      </w:r>
    </w:p>
    <w:p w:rsidR="007F65B6" w:rsidRDefault="007F65B6" w:rsidP="00820E1F"/>
    <w:p w:rsidR="007F65B6" w:rsidRPr="007F65B6" w:rsidRDefault="00736149" w:rsidP="00535ED8">
      <w:pPr>
        <w:pStyle w:val="Heading2"/>
      </w:pPr>
      <w:bookmarkStart w:id="3" w:name="_Toc321153924"/>
      <w:r w:rsidRPr="007F65B6">
        <w:t>Barriers to application</w:t>
      </w:r>
    </w:p>
    <w:p w:rsidR="007F65B6" w:rsidRPr="007F65B6" w:rsidRDefault="00736149" w:rsidP="00535ED8">
      <w:pPr>
        <w:pStyle w:val="Heading3"/>
      </w:pPr>
      <w:r w:rsidRPr="007F65B6">
        <w:t>Cost of VIP</w:t>
      </w:r>
      <w:bookmarkEnd w:id="3"/>
    </w:p>
    <w:p w:rsidR="00736149" w:rsidRPr="0057328B" w:rsidRDefault="00736149" w:rsidP="007F65B6">
      <w:r w:rsidRPr="0057328B">
        <w:t>The present cost of VIPs is more than that for PU foam</w:t>
      </w:r>
      <w:r>
        <w:t xml:space="preserve"> but the energy savings achievable can still make them an economic option</w:t>
      </w:r>
      <w:r w:rsidRPr="0057328B">
        <w:t xml:space="preserve">.   Any increase in the production cost of applications represents a hurdle or barrier to the </w:t>
      </w:r>
      <w:r>
        <w:t>take up of the technology and</w:t>
      </w:r>
      <w:r w:rsidRPr="0057328B">
        <w:t xml:space="preserve"> </w:t>
      </w:r>
      <w:r w:rsidR="00522C21">
        <w:t xml:space="preserve">the </w:t>
      </w:r>
      <w:r w:rsidRPr="0057328B">
        <w:t>only way of overcoming the hurdle is to demonstrate that the value of the benefit outweighs the extra cost.</w:t>
      </w:r>
      <w:r>
        <w:t xml:space="preserve">  The payback for the cabinet described in this study is calculated in the Results section below.</w:t>
      </w:r>
    </w:p>
    <w:p w:rsidR="007F65B6" w:rsidRDefault="00736149" w:rsidP="00951CF0">
      <w:r w:rsidRPr="0057328B">
        <w:t>The main benefits of VIPs are the reduced thermal transmission for the same thickness, the reduced space taken by the insulation for the same thermal transmission or a combination of these two</w:t>
      </w:r>
      <w:r>
        <w:t xml:space="preserve">, especially where </w:t>
      </w:r>
      <w:r w:rsidR="00522C21">
        <w:t xml:space="preserve">the appliance </w:t>
      </w:r>
      <w:r>
        <w:t xml:space="preserve">energy index </w:t>
      </w:r>
      <w:r w:rsidR="00522C21">
        <w:t xml:space="preserve">is </w:t>
      </w:r>
      <w:r>
        <w:t>calculated based on internal volume and external dimensions are constrained</w:t>
      </w:r>
      <w:r w:rsidRPr="0057328B">
        <w:t xml:space="preserve">.   It is possible that weight of the materials used may </w:t>
      </w:r>
      <w:r>
        <w:t>also be important to some users,</w:t>
      </w:r>
      <w:r w:rsidRPr="0057328B">
        <w:t xml:space="preserve"> especially </w:t>
      </w:r>
      <w:r>
        <w:t xml:space="preserve">in </w:t>
      </w:r>
      <w:r w:rsidR="007F65B6">
        <w:t>transport applications.</w:t>
      </w:r>
    </w:p>
    <w:p w:rsidR="007F65B6" w:rsidRPr="0057328B" w:rsidRDefault="007F65B6" w:rsidP="00951CF0"/>
    <w:p w:rsidR="00736149" w:rsidRPr="007F65B6" w:rsidRDefault="00736149" w:rsidP="00535ED8">
      <w:pPr>
        <w:pStyle w:val="Heading3"/>
      </w:pPr>
      <w:bookmarkStart w:id="4" w:name="_Toc321153925"/>
      <w:r w:rsidRPr="007F65B6">
        <w:t>Application fabrication cost</w:t>
      </w:r>
      <w:bookmarkEnd w:id="4"/>
    </w:p>
    <w:p w:rsidR="00736149" w:rsidRPr="0057328B" w:rsidRDefault="00736149" w:rsidP="00EC3223">
      <w:r>
        <w:t xml:space="preserve">Since the VIPs considered in this paper were smaller than the total wall area and were inserted into the existing foamed cavity (by taping </w:t>
      </w:r>
      <w:r w:rsidR="00192BA0">
        <w:t>inside</w:t>
      </w:r>
      <w:r>
        <w:t xml:space="preserve"> the outer skin), displacing only a small part of the polyurethane foam, no additional structural changes were required to the cabinets and additional fabrication costs were small.</w:t>
      </w:r>
    </w:p>
    <w:p w:rsidR="00736149" w:rsidRDefault="00736149" w:rsidP="00951CF0">
      <w:r w:rsidRPr="0057328B">
        <w:t>In applications where existing insulation panels can be directly replaced by VIPs there will be no significant change in fabrication cost.  However</w:t>
      </w:r>
      <w:r>
        <w:t>,</w:t>
      </w:r>
      <w:r w:rsidRPr="0057328B">
        <w:t xml:space="preserve"> if in the application the existing foam insulation is an integral part of the structure, the insertion of VIP’s is an extra step in the production process and may require strengthening of </w:t>
      </w:r>
      <w:r>
        <w:t xml:space="preserve">the structure in other ways; this </w:t>
      </w:r>
      <w:r w:rsidRPr="0057328B">
        <w:t xml:space="preserve">will add to the product cost.   </w:t>
      </w:r>
      <w:r w:rsidR="00745489">
        <w:t>I</w:t>
      </w:r>
      <w:r w:rsidRPr="0057328B">
        <w:t xml:space="preserve">n appliances where the VIP’s barrier film could be vulnerable to damage there may be an additional cost for protection.  </w:t>
      </w:r>
    </w:p>
    <w:p w:rsidR="00B47412" w:rsidRDefault="00B47412" w:rsidP="00951CF0"/>
    <w:p w:rsidR="00736149" w:rsidRPr="007F65B6" w:rsidRDefault="00736149" w:rsidP="00535ED8">
      <w:pPr>
        <w:pStyle w:val="Heading3"/>
      </w:pPr>
      <w:bookmarkStart w:id="5" w:name="_Toc321153927"/>
      <w:r w:rsidRPr="007F65B6">
        <w:t>Vulnerability of the barrier film</w:t>
      </w:r>
      <w:bookmarkEnd w:id="5"/>
    </w:p>
    <w:p w:rsidR="00736149" w:rsidRDefault="00736149" w:rsidP="00951CF0">
      <w:r w:rsidRPr="0057328B">
        <w:t>VIPs are vulnerable during manufacture, transport, and fabrication,</w:t>
      </w:r>
      <w:r>
        <w:t xml:space="preserve"> during applications and in use since t</w:t>
      </w:r>
      <w:r w:rsidRPr="0057328B">
        <w:t>he barrier film is</w:t>
      </w:r>
      <w:r>
        <w:t xml:space="preserve"> very easily punctured.  </w:t>
      </w:r>
      <w:r w:rsidRPr="0057328B">
        <w:t xml:space="preserve">A simple puncture will immediately reduce the insulation value of the panel to no better than </w:t>
      </w:r>
      <w:r>
        <w:t xml:space="preserve">a </w:t>
      </w:r>
      <w:r w:rsidR="000533CD">
        <w:t>PU</w:t>
      </w:r>
      <w:r w:rsidRPr="0057328B">
        <w:t xml:space="preserve"> foam.  </w:t>
      </w:r>
      <w:r w:rsidR="000B332C">
        <w:t>The method of installation studied in this paper leaves the VIP extremely well protected but care must be taken during manufacture.</w:t>
      </w:r>
    </w:p>
    <w:p w:rsidR="00535ED8" w:rsidRPr="0057328B" w:rsidRDefault="00535ED8" w:rsidP="00951CF0"/>
    <w:p w:rsidR="00736149" w:rsidRDefault="00736149" w:rsidP="007F65B6">
      <w:pPr>
        <w:pStyle w:val="Heading1"/>
      </w:pPr>
      <w:r>
        <w:t>Method</w:t>
      </w:r>
    </w:p>
    <w:p w:rsidR="00535ED8" w:rsidRDefault="00535ED8" w:rsidP="00923416"/>
    <w:p w:rsidR="00736149" w:rsidRDefault="00736149" w:rsidP="00923416">
      <w:r>
        <w:t xml:space="preserve">In order to assess the benefit of the panels, both simulations using Finite Element </w:t>
      </w:r>
      <w:r w:rsidR="00531A8E">
        <w:t xml:space="preserve">Analysis (FEA) </w:t>
      </w:r>
      <w:r>
        <w:t xml:space="preserve">software and measurement of the </w:t>
      </w:r>
      <w:r w:rsidR="000A05BC">
        <w:t>direct energy consumption of the</w:t>
      </w:r>
      <w:r>
        <w:t xml:space="preserve"> cabinet were used.</w:t>
      </w:r>
    </w:p>
    <w:p w:rsidR="007F65B6" w:rsidRPr="00923416" w:rsidRDefault="007F65B6" w:rsidP="00923416"/>
    <w:p w:rsidR="00736149" w:rsidRDefault="00736149" w:rsidP="007F65B6">
      <w:pPr>
        <w:pStyle w:val="Heading2"/>
      </w:pPr>
      <w:r>
        <w:t>Modelling</w:t>
      </w:r>
    </w:p>
    <w:p w:rsidR="000A05BC" w:rsidRPr="000A05BC" w:rsidRDefault="000A05BC" w:rsidP="000A05BC">
      <w:r>
        <w:t>The thermal modelling was carried out using Flow Simulation software within the SolidWorks CAD package that was used to create the cabinet geometries.</w:t>
      </w:r>
    </w:p>
    <w:p w:rsidR="00736149" w:rsidRPr="007F65B6" w:rsidRDefault="00736149" w:rsidP="00535ED8">
      <w:pPr>
        <w:pStyle w:val="Heading3"/>
      </w:pPr>
      <w:r w:rsidRPr="007F65B6">
        <w:lastRenderedPageBreak/>
        <w:t>Geometry</w:t>
      </w:r>
    </w:p>
    <w:p w:rsidR="00736149" w:rsidRDefault="00192BA0" w:rsidP="006909AC">
      <w:r>
        <w:t xml:space="preserve">The cabinet simulated, modified and tested was an Adande VCS </w:t>
      </w:r>
      <w:r w:rsidR="00D363D8">
        <w:t>system</w:t>
      </w:r>
      <w:r w:rsidR="00DC2D9F">
        <w:t xml:space="preserve"> (Figure 4)</w:t>
      </w:r>
      <w:r>
        <w:t xml:space="preserve">.  The cold part of the cabinet comprised an insulated </w:t>
      </w:r>
      <w:r w:rsidR="00D363D8">
        <w:t xml:space="preserve">container </w:t>
      </w:r>
      <w:r>
        <w:t xml:space="preserve">with ABS inner and outer skins with PU foam between, and a lid component (also housing the evaporator) with ABS inner skin and PU foam above.  </w:t>
      </w:r>
      <w:r w:rsidR="00736149">
        <w:t xml:space="preserve">Two cabinet geometries were produced using SolidWorks, one for the purely PU foam insulation and the second with the VIPs inset.   </w:t>
      </w:r>
      <w:r>
        <w:t xml:space="preserve">The seal component was omitted; each component was assessed independently with heat transfer co-efficient boundaries on all walls in order to </w:t>
      </w:r>
      <w:r w:rsidR="00BC451D">
        <w:t xml:space="preserve">simplify the model and eliminate </w:t>
      </w:r>
      <w:r>
        <w:t>the need to model the air volume.</w:t>
      </w:r>
    </w:p>
    <w:p w:rsidR="00302887" w:rsidRDefault="00192BA0" w:rsidP="006909AC">
      <w:r>
        <w:t xml:space="preserve">The net volume of the cold space was </w:t>
      </w:r>
      <w:r w:rsidR="00BC451D">
        <w:t xml:space="preserve">84 </w:t>
      </w:r>
      <w:r>
        <w:t xml:space="preserve">litres. </w:t>
      </w:r>
      <w:r w:rsidR="00A30266">
        <w:t xml:space="preserve"> </w:t>
      </w:r>
      <w:r w:rsidR="003C5365">
        <w:t>The for the cabinet described in this paper, 52% of t</w:t>
      </w:r>
      <w:r w:rsidR="00176CD1">
        <w:t xml:space="preserve">he outer surface area of the cabinet </w:t>
      </w:r>
      <w:r w:rsidR="003C5365">
        <w:t xml:space="preserve">was </w:t>
      </w:r>
      <w:r w:rsidR="00176CD1">
        <w:t>covered by VIPs</w:t>
      </w:r>
      <w:r w:rsidR="003C5365">
        <w:t xml:space="preserve"> with a thickness of 20</w:t>
      </w:r>
      <w:r w:rsidR="00BC451D">
        <w:t xml:space="preserve"> </w:t>
      </w:r>
      <w:r w:rsidR="003C5365">
        <w:t>mm; one slab was inserted agai</w:t>
      </w:r>
      <w:r w:rsidR="000A05BC">
        <w:t xml:space="preserve">nst each of the six major walls (Figure </w:t>
      </w:r>
      <w:r w:rsidR="00DC2D9F">
        <w:t>5</w:t>
      </w:r>
      <w:r w:rsidR="000A05BC">
        <w:t>).</w:t>
      </w:r>
    </w:p>
    <w:p w:rsidR="00DC2D9F" w:rsidRDefault="00DC2D9F" w:rsidP="006909AC"/>
    <w:p w:rsidR="00DC2D9F" w:rsidRDefault="00DC2D9F" w:rsidP="00DC2D9F">
      <w:pPr>
        <w:jc w:val="center"/>
      </w:pPr>
      <w:r>
        <w:rPr>
          <w:noProof/>
          <w:lang w:eastAsia="en-GB"/>
        </w:rPr>
        <w:drawing>
          <wp:inline distT="0" distB="0" distL="0" distR="0">
            <wp:extent cx="3448050" cy="1988606"/>
            <wp:effectExtent l="0" t="0" r="0" b="0"/>
            <wp:docPr id="2" name="Picture 2" descr="C:\Users\Administrator\AppData\Local\Microsoft\Windows\Temporary Internet Files\Content.Word\VCS open drawer, with HS top, no upper channel(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AppData\Local\Microsoft\Windows\Temporary Internet Files\Content.Word\VCS open drawer, with HS top, no upper channel(CROPPE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55431" cy="1992863"/>
                    </a:xfrm>
                    <a:prstGeom prst="rect">
                      <a:avLst/>
                    </a:prstGeom>
                    <a:noFill/>
                    <a:ln>
                      <a:noFill/>
                    </a:ln>
                  </pic:spPr>
                </pic:pic>
              </a:graphicData>
            </a:graphic>
          </wp:inline>
        </w:drawing>
      </w:r>
    </w:p>
    <w:p w:rsidR="00DC2D9F" w:rsidRDefault="00DC2D9F" w:rsidP="00DC2D9F">
      <w:pPr>
        <w:pStyle w:val="Caption"/>
      </w:pPr>
      <w:proofErr w:type="gramStart"/>
      <w:r>
        <w:t>Figure 4.</w:t>
      </w:r>
      <w:proofErr w:type="gramEnd"/>
      <w:r>
        <w:t xml:space="preserve">  Image of the commercial service cabinet tested.</w:t>
      </w:r>
    </w:p>
    <w:p w:rsidR="007F65B6" w:rsidRDefault="007F65B6" w:rsidP="006909A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1"/>
        <w:gridCol w:w="4159"/>
      </w:tblGrid>
      <w:tr w:rsidR="000A05BC" w:rsidTr="000B4870">
        <w:tc>
          <w:tcPr>
            <w:tcW w:w="4476" w:type="dxa"/>
          </w:tcPr>
          <w:p w:rsidR="000A05BC" w:rsidRDefault="000A05BC" w:rsidP="000B4870">
            <w:pPr>
              <w:keepNext/>
            </w:pPr>
            <w:r>
              <w:rPr>
                <w:noProof/>
                <w:lang w:eastAsia="en-GB"/>
              </w:rPr>
              <w:drawing>
                <wp:inline distT="0" distB="0" distL="0" distR="0" wp14:anchorId="028EFF0A" wp14:editId="42DADFD9">
                  <wp:extent cx="2771775" cy="1701136"/>
                  <wp:effectExtent l="0" t="0" r="0" b="0"/>
                  <wp:docPr id="13" name="Picture 13" descr="D:\ECH ENGINEERING\JOBS FILES\ADANDE\VIP insulation in drawers\insulated drawer assembly (VCS-Cob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H ENGINEERING\JOBS FILES\ADANDE\VIP insulation in drawers\insulated drawer assembly (VCS-Cobr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76269" cy="1703894"/>
                          </a:xfrm>
                          <a:prstGeom prst="rect">
                            <a:avLst/>
                          </a:prstGeom>
                          <a:noFill/>
                          <a:ln>
                            <a:noFill/>
                          </a:ln>
                        </pic:spPr>
                      </pic:pic>
                    </a:graphicData>
                  </a:graphic>
                </wp:inline>
              </w:drawing>
            </w:r>
          </w:p>
        </w:tc>
        <w:tc>
          <w:tcPr>
            <w:tcW w:w="4046" w:type="dxa"/>
          </w:tcPr>
          <w:p w:rsidR="000A05BC" w:rsidRDefault="000A05BC" w:rsidP="000B4870">
            <w:r>
              <w:rPr>
                <w:noProof/>
                <w:lang w:eastAsia="en-GB"/>
              </w:rPr>
              <w:drawing>
                <wp:inline distT="0" distB="0" distL="0" distR="0" wp14:anchorId="61CA7108" wp14:editId="2E5F31A6">
                  <wp:extent cx="2504184" cy="1704975"/>
                  <wp:effectExtent l="0" t="0" r="0" b="0"/>
                  <wp:docPr id="14" name="Picture 14" descr="D:\ECH ENGINEERING\JOBS FILES\ADANDE\VIP insulation in drawers\insul lid as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H ENGINEERING\JOBS FILES\ADANDE\VIP insulation in drawers\insul lid assy.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8598" b="12865"/>
                          <a:stretch/>
                        </pic:blipFill>
                        <pic:spPr bwMode="auto">
                          <a:xfrm>
                            <a:off x="0" y="0"/>
                            <a:ext cx="2509597" cy="170866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0A05BC" w:rsidRDefault="000A05BC" w:rsidP="000A05BC">
      <w:pPr>
        <w:pStyle w:val="Caption"/>
      </w:pPr>
      <w:bookmarkStart w:id="6" w:name="_Ref333088968"/>
      <w:proofErr w:type="gramStart"/>
      <w:r>
        <w:t xml:space="preserve">Figure </w:t>
      </w:r>
      <w:bookmarkEnd w:id="6"/>
      <w:r w:rsidR="00DC2D9F">
        <w:t>5</w:t>
      </w:r>
      <w:r>
        <w:t>.</w:t>
      </w:r>
      <w:proofErr w:type="gramEnd"/>
      <w:r>
        <w:t xml:space="preserve">  Images of the </w:t>
      </w:r>
      <w:r w:rsidR="00DC2D9F">
        <w:t>insulated container</w:t>
      </w:r>
      <w:r>
        <w:t xml:space="preserve"> and lid with VIPs place.  VIPs coloured green.</w:t>
      </w:r>
    </w:p>
    <w:p w:rsidR="000A05BC" w:rsidRDefault="000A05BC" w:rsidP="006909AC"/>
    <w:p w:rsidR="00736149" w:rsidRPr="007F65B6" w:rsidRDefault="00736149" w:rsidP="00535ED8">
      <w:pPr>
        <w:pStyle w:val="Heading3"/>
      </w:pPr>
      <w:r w:rsidRPr="007F65B6">
        <w:t>Boundary conditions</w:t>
      </w:r>
    </w:p>
    <w:p w:rsidR="00736149" w:rsidRDefault="00736149" w:rsidP="00923416">
      <w:r>
        <w:t>On the internal</w:t>
      </w:r>
      <w:r w:rsidR="003C5365">
        <w:t xml:space="preserve"> (cold) </w:t>
      </w:r>
      <w:r>
        <w:t>surfaces of the cabinet, where the evaporator would normally be fitted</w:t>
      </w:r>
      <w:r w:rsidR="007A358E">
        <w:t>, fixed temperature</w:t>
      </w:r>
      <w:r>
        <w:t xml:space="preserve"> boundary condition</w:t>
      </w:r>
      <w:r w:rsidR="003C5365">
        <w:t>s</w:t>
      </w:r>
      <w:r>
        <w:t xml:space="preserve"> of </w:t>
      </w:r>
      <w:r>
        <w:noBreakHyphen/>
      </w:r>
      <w:r w:rsidR="003C5365">
        <w:t>10 and -30 °C were</w:t>
      </w:r>
      <w:r>
        <w:t xml:space="preserve"> used</w:t>
      </w:r>
      <w:r w:rsidR="003C5365">
        <w:t xml:space="preserve"> for the fridge and freezer respectively</w:t>
      </w:r>
      <w:r>
        <w:t>.</w:t>
      </w:r>
    </w:p>
    <w:p w:rsidR="00736149" w:rsidRDefault="00736149" w:rsidP="00923416">
      <w:r>
        <w:t xml:space="preserve">On the internal surfaces of the cabinet, where the wall would be in contact with cold air rather than an evaporator, a </w:t>
      </w:r>
      <w:r w:rsidR="000B332C">
        <w:t xml:space="preserve">typical </w:t>
      </w:r>
      <w:r>
        <w:t>heat transfer co-efficient</w:t>
      </w:r>
      <w:r w:rsidR="000B332C">
        <w:t xml:space="preserve"> for natural convection</w:t>
      </w:r>
      <w:r>
        <w:t xml:space="preserve"> of 5 W/</w:t>
      </w:r>
      <w:proofErr w:type="spellStart"/>
      <w:r>
        <w:t>m.K</w:t>
      </w:r>
      <w:proofErr w:type="spellEnd"/>
      <w:r>
        <w:t xml:space="preserve"> was used with reference temperature</w:t>
      </w:r>
      <w:r w:rsidR="003C5365">
        <w:t>s</w:t>
      </w:r>
      <w:r>
        <w:t xml:space="preserve"> of</w:t>
      </w:r>
      <w:r w:rsidR="003C5365">
        <w:t xml:space="preserve"> 3 and </w:t>
      </w:r>
      <w:r w:rsidR="003C5365">
        <w:noBreakHyphen/>
        <w:t>2</w:t>
      </w:r>
      <w:r>
        <w:t>0 °C</w:t>
      </w:r>
      <w:r w:rsidR="003C5365">
        <w:t xml:space="preserve"> for the fridge and freezer respectively</w:t>
      </w:r>
      <w:r w:rsidR="007A358E">
        <w:t>; this was an approximation to eliminate the air volume from the model and reduce computational time</w:t>
      </w:r>
      <w:r>
        <w:t xml:space="preserve">.  </w:t>
      </w:r>
    </w:p>
    <w:p w:rsidR="00736149" w:rsidRDefault="00736149" w:rsidP="00923416">
      <w:r>
        <w:t>The boundary condition on all external surfaces was a heat transfer co-efficient of 5 W/m</w:t>
      </w:r>
      <w:r>
        <w:rPr>
          <w:vertAlign w:val="superscript"/>
        </w:rPr>
        <w:t>2</w:t>
      </w:r>
      <w:r>
        <w:t>.K with a reference temperature of 25 °C</w:t>
      </w:r>
      <w:r w:rsidR="00AC6E3E">
        <w:t>; similarly to the internal walls, a heat transfer co-efficient was used as an approximation eliminate the need to model the air flow around the cabinet</w:t>
      </w:r>
      <w:r w:rsidR="00DC2D9F">
        <w:t>;</w:t>
      </w:r>
      <w:r w:rsidR="00533929">
        <w:t xml:space="preserve"> </w:t>
      </w:r>
      <w:r w:rsidR="00AC6E3E">
        <w:t>5 W/m</w:t>
      </w:r>
      <w:r w:rsidR="00AC6E3E">
        <w:rPr>
          <w:vertAlign w:val="superscript"/>
        </w:rPr>
        <w:t>2</w:t>
      </w:r>
      <w:r w:rsidR="00AC6E3E">
        <w:t>.K has been found by the authors to provide a good approximation in previous studies</w:t>
      </w:r>
      <w:r w:rsidR="005C78F7">
        <w:t xml:space="preserve"> (Hammond and Micic, 2013)</w:t>
      </w:r>
      <w:r w:rsidR="00AC6E3E">
        <w:t>.</w:t>
      </w:r>
    </w:p>
    <w:p w:rsidR="007F65B6" w:rsidRDefault="007F65B6" w:rsidP="00923416"/>
    <w:p w:rsidR="00B47412" w:rsidRDefault="00B47412">
      <w:pPr>
        <w:rPr>
          <w:bCs/>
          <w:szCs w:val="18"/>
        </w:rPr>
      </w:pPr>
      <w:r>
        <w:br w:type="page"/>
      </w:r>
    </w:p>
    <w:p w:rsidR="003C5365" w:rsidRDefault="003C5365" w:rsidP="003C5365">
      <w:pPr>
        <w:pStyle w:val="Caption"/>
      </w:pPr>
      <w:proofErr w:type="gramStart"/>
      <w:r>
        <w:lastRenderedPageBreak/>
        <w:t>Table 1.</w:t>
      </w:r>
      <w:proofErr w:type="gramEnd"/>
      <w:r>
        <w:t xml:space="preserve">  </w:t>
      </w:r>
      <w:proofErr w:type="gramStart"/>
      <w:r>
        <w:t>Model boundary conditions.</w:t>
      </w:r>
      <w:proofErr w:type="gramEnd"/>
    </w:p>
    <w:p w:rsidR="003C5365" w:rsidRDefault="003C5365" w:rsidP="00923416"/>
    <w:tbl>
      <w:tblPr>
        <w:tblStyle w:val="TableGrid"/>
        <w:tblW w:w="8444" w:type="dxa"/>
        <w:tblLayout w:type="fixed"/>
        <w:tblLook w:val="04A0" w:firstRow="1" w:lastRow="0" w:firstColumn="1" w:lastColumn="0" w:noHBand="0" w:noVBand="1"/>
      </w:tblPr>
      <w:tblGrid>
        <w:gridCol w:w="2207"/>
        <w:gridCol w:w="2041"/>
        <w:gridCol w:w="2098"/>
        <w:gridCol w:w="2098"/>
      </w:tblGrid>
      <w:tr w:rsidR="003C5365" w:rsidRPr="003C5365" w:rsidTr="000B4870">
        <w:tc>
          <w:tcPr>
            <w:tcW w:w="2207" w:type="dxa"/>
          </w:tcPr>
          <w:p w:rsidR="003C5365" w:rsidRPr="003C5365" w:rsidRDefault="003C5365" w:rsidP="003C5365">
            <w:pPr>
              <w:rPr>
                <w:b/>
              </w:rPr>
            </w:pPr>
            <w:r w:rsidRPr="003C5365">
              <w:rPr>
                <w:b/>
              </w:rPr>
              <w:t>Surface</w:t>
            </w:r>
          </w:p>
        </w:tc>
        <w:tc>
          <w:tcPr>
            <w:tcW w:w="2041" w:type="dxa"/>
          </w:tcPr>
          <w:p w:rsidR="003C5365" w:rsidRPr="003C5365" w:rsidRDefault="003C5365" w:rsidP="003C5365">
            <w:pPr>
              <w:rPr>
                <w:b/>
              </w:rPr>
            </w:pPr>
            <w:r w:rsidRPr="003C5365">
              <w:rPr>
                <w:b/>
              </w:rPr>
              <w:t>Type</w:t>
            </w:r>
          </w:p>
        </w:tc>
        <w:tc>
          <w:tcPr>
            <w:tcW w:w="2098" w:type="dxa"/>
          </w:tcPr>
          <w:p w:rsidR="003C5365" w:rsidRPr="003C5365" w:rsidRDefault="003C5365" w:rsidP="003C5365">
            <w:pPr>
              <w:rPr>
                <w:b/>
              </w:rPr>
            </w:pPr>
            <w:r w:rsidRPr="003C5365">
              <w:rPr>
                <w:b/>
              </w:rPr>
              <w:t>Value as Fridge</w:t>
            </w:r>
          </w:p>
        </w:tc>
        <w:tc>
          <w:tcPr>
            <w:tcW w:w="2098" w:type="dxa"/>
          </w:tcPr>
          <w:p w:rsidR="003C5365" w:rsidRPr="003C5365" w:rsidRDefault="003C5365" w:rsidP="003C5365">
            <w:pPr>
              <w:rPr>
                <w:b/>
              </w:rPr>
            </w:pPr>
            <w:r w:rsidRPr="003C5365">
              <w:rPr>
                <w:b/>
              </w:rPr>
              <w:t>Value as Freezer</w:t>
            </w:r>
          </w:p>
        </w:tc>
      </w:tr>
      <w:tr w:rsidR="003C5365" w:rsidRPr="003C5365" w:rsidTr="000B4870">
        <w:tc>
          <w:tcPr>
            <w:tcW w:w="2207" w:type="dxa"/>
          </w:tcPr>
          <w:p w:rsidR="003C5365" w:rsidRPr="003C5365" w:rsidRDefault="003C5365" w:rsidP="003C5365">
            <w:r w:rsidRPr="003C5365">
              <w:t>External (ambient) facing surfaces</w:t>
            </w:r>
          </w:p>
        </w:tc>
        <w:tc>
          <w:tcPr>
            <w:tcW w:w="2041" w:type="dxa"/>
          </w:tcPr>
          <w:p w:rsidR="003C5365" w:rsidRPr="003C5365" w:rsidRDefault="003C5365" w:rsidP="003C5365">
            <w:r w:rsidRPr="003C5365">
              <w:t>Heat transfer co</w:t>
            </w:r>
            <w:r w:rsidRPr="003C5365">
              <w:noBreakHyphen/>
              <w:t>efficient</w:t>
            </w:r>
          </w:p>
        </w:tc>
        <w:tc>
          <w:tcPr>
            <w:tcW w:w="2098" w:type="dxa"/>
          </w:tcPr>
          <w:p w:rsidR="003C5365" w:rsidRPr="003C5365" w:rsidRDefault="003C5365" w:rsidP="003C5365">
            <w:r w:rsidRPr="003C5365">
              <w:t>5 W/m</w:t>
            </w:r>
            <w:r w:rsidRPr="003C5365">
              <w:rPr>
                <w:vertAlign w:val="superscript"/>
              </w:rPr>
              <w:t>2</w:t>
            </w:r>
            <w:r w:rsidRPr="003C5365">
              <w:t xml:space="preserve">.K </w:t>
            </w:r>
          </w:p>
          <w:p w:rsidR="003C5365" w:rsidRPr="003C5365" w:rsidRDefault="003C5365" w:rsidP="003C5365">
            <w:r w:rsidRPr="003C5365">
              <w:t>Reference temperature 25 °C</w:t>
            </w:r>
          </w:p>
        </w:tc>
        <w:tc>
          <w:tcPr>
            <w:tcW w:w="2098" w:type="dxa"/>
          </w:tcPr>
          <w:p w:rsidR="003C5365" w:rsidRPr="003C5365" w:rsidRDefault="003C5365" w:rsidP="003C5365">
            <w:r w:rsidRPr="003C5365">
              <w:t>5 W/m</w:t>
            </w:r>
            <w:r w:rsidRPr="003C5365">
              <w:rPr>
                <w:vertAlign w:val="superscript"/>
              </w:rPr>
              <w:t>2</w:t>
            </w:r>
            <w:r w:rsidRPr="003C5365">
              <w:t xml:space="preserve">.K </w:t>
            </w:r>
          </w:p>
          <w:p w:rsidR="003C5365" w:rsidRPr="003C5365" w:rsidRDefault="003C5365" w:rsidP="003C5365">
            <w:r w:rsidRPr="003C5365">
              <w:t>Reference temperature 25 °C</w:t>
            </w:r>
          </w:p>
        </w:tc>
      </w:tr>
      <w:tr w:rsidR="003C5365" w:rsidRPr="003C5365" w:rsidTr="000B4870">
        <w:tc>
          <w:tcPr>
            <w:tcW w:w="2207" w:type="dxa"/>
          </w:tcPr>
          <w:p w:rsidR="003C5365" w:rsidRPr="003C5365" w:rsidRDefault="003C5365" w:rsidP="003C5365">
            <w:r w:rsidRPr="003C5365">
              <w:t>Internal (cool) surfaces</w:t>
            </w:r>
          </w:p>
        </w:tc>
        <w:tc>
          <w:tcPr>
            <w:tcW w:w="2041" w:type="dxa"/>
          </w:tcPr>
          <w:p w:rsidR="003C5365" w:rsidRPr="003C5365" w:rsidRDefault="003C5365" w:rsidP="003C5365">
            <w:r w:rsidRPr="003C5365">
              <w:t>Heat transfer co</w:t>
            </w:r>
            <w:r w:rsidRPr="003C5365">
              <w:noBreakHyphen/>
              <w:t>efficient</w:t>
            </w:r>
          </w:p>
        </w:tc>
        <w:tc>
          <w:tcPr>
            <w:tcW w:w="2098" w:type="dxa"/>
          </w:tcPr>
          <w:p w:rsidR="003C5365" w:rsidRPr="003C5365" w:rsidRDefault="003C5365" w:rsidP="003C5365">
            <w:r w:rsidRPr="003C5365">
              <w:t>5 W/m</w:t>
            </w:r>
            <w:r w:rsidRPr="003C5365">
              <w:rPr>
                <w:vertAlign w:val="superscript"/>
              </w:rPr>
              <w:t>2</w:t>
            </w:r>
            <w:r w:rsidRPr="003C5365">
              <w:t xml:space="preserve">.K </w:t>
            </w:r>
          </w:p>
          <w:p w:rsidR="003C5365" w:rsidRPr="003C5365" w:rsidRDefault="003C5365" w:rsidP="003C5365">
            <w:r w:rsidRPr="003C5365">
              <w:t>Reference temperature 3 °C</w:t>
            </w:r>
          </w:p>
        </w:tc>
        <w:tc>
          <w:tcPr>
            <w:tcW w:w="2098" w:type="dxa"/>
          </w:tcPr>
          <w:p w:rsidR="003C5365" w:rsidRPr="003C5365" w:rsidRDefault="003C5365" w:rsidP="003C5365">
            <w:r w:rsidRPr="003C5365">
              <w:t>5 W/m</w:t>
            </w:r>
            <w:r w:rsidRPr="003C5365">
              <w:rPr>
                <w:vertAlign w:val="superscript"/>
              </w:rPr>
              <w:t>2</w:t>
            </w:r>
            <w:r w:rsidRPr="003C5365">
              <w:t xml:space="preserve">.K </w:t>
            </w:r>
          </w:p>
          <w:p w:rsidR="003C5365" w:rsidRPr="003C5365" w:rsidRDefault="003C5365" w:rsidP="003C5365">
            <w:r w:rsidRPr="003C5365">
              <w:t>Reference temperature </w:t>
            </w:r>
            <w:r w:rsidRPr="003C5365">
              <w:noBreakHyphen/>
              <w:t>20 °C</w:t>
            </w:r>
          </w:p>
        </w:tc>
      </w:tr>
      <w:tr w:rsidR="003C5365" w:rsidRPr="003C5365" w:rsidTr="000B4870">
        <w:tc>
          <w:tcPr>
            <w:tcW w:w="2207" w:type="dxa"/>
          </w:tcPr>
          <w:p w:rsidR="003C5365" w:rsidRPr="003C5365" w:rsidRDefault="003C5365" w:rsidP="003C5365">
            <w:r w:rsidRPr="003C5365">
              <w:t>Evaporator mounting surface</w:t>
            </w:r>
          </w:p>
        </w:tc>
        <w:tc>
          <w:tcPr>
            <w:tcW w:w="2041" w:type="dxa"/>
          </w:tcPr>
          <w:p w:rsidR="003C5365" w:rsidRPr="003C5365" w:rsidRDefault="003C5365" w:rsidP="003C5365">
            <w:r w:rsidRPr="003C5365">
              <w:t>Fixed temperature</w:t>
            </w:r>
          </w:p>
        </w:tc>
        <w:tc>
          <w:tcPr>
            <w:tcW w:w="2098" w:type="dxa"/>
          </w:tcPr>
          <w:p w:rsidR="003C5365" w:rsidRPr="003C5365" w:rsidRDefault="003C5365" w:rsidP="003C5365">
            <w:r w:rsidRPr="003C5365">
              <w:noBreakHyphen/>
              <w:t>10 °C</w:t>
            </w:r>
          </w:p>
        </w:tc>
        <w:tc>
          <w:tcPr>
            <w:tcW w:w="2098" w:type="dxa"/>
          </w:tcPr>
          <w:p w:rsidR="003C5365" w:rsidRPr="003C5365" w:rsidRDefault="003C5365" w:rsidP="003C5365">
            <w:r w:rsidRPr="003C5365">
              <w:noBreakHyphen/>
              <w:t>30 °C</w:t>
            </w:r>
          </w:p>
        </w:tc>
      </w:tr>
    </w:tbl>
    <w:p w:rsidR="003C5365" w:rsidRDefault="003C5365" w:rsidP="00923416"/>
    <w:p w:rsidR="003C5365" w:rsidRPr="00923416" w:rsidRDefault="003C5365" w:rsidP="00923416"/>
    <w:p w:rsidR="00736149" w:rsidRPr="007F65B6" w:rsidRDefault="00736149" w:rsidP="00535ED8">
      <w:pPr>
        <w:pStyle w:val="Heading3"/>
      </w:pPr>
      <w:r w:rsidRPr="007F65B6">
        <w:t>Material thermal properties</w:t>
      </w:r>
    </w:p>
    <w:p w:rsidR="00736149" w:rsidRDefault="00736149" w:rsidP="006909AC">
      <w:r>
        <w:t>The thermal properties of the materials w</w:t>
      </w:r>
      <w:r w:rsidR="008E0A55">
        <w:t>ere taken from the manufacturers’ datasheets and reports</w:t>
      </w:r>
      <w:r>
        <w:t xml:space="preserve">.  The values used are detailed in </w:t>
      </w:r>
      <w:r w:rsidR="003C5365">
        <w:t xml:space="preserve">Table 2 </w:t>
      </w:r>
      <w:r>
        <w:t>below.</w:t>
      </w:r>
    </w:p>
    <w:p w:rsidR="00535ED8" w:rsidRDefault="00535ED8" w:rsidP="006909AC"/>
    <w:p w:rsidR="00736149" w:rsidRDefault="00736149" w:rsidP="00C65A75">
      <w:pPr>
        <w:pStyle w:val="Caption"/>
        <w:keepNext/>
      </w:pPr>
      <w:bookmarkStart w:id="7" w:name="_Ref329765179"/>
      <w:proofErr w:type="gramStart"/>
      <w:r>
        <w:t xml:space="preserve">Table </w:t>
      </w:r>
      <w:bookmarkEnd w:id="7"/>
      <w:r w:rsidR="003C5365">
        <w:t>2</w:t>
      </w:r>
      <w:r>
        <w:t>.</w:t>
      </w:r>
      <w:proofErr w:type="gramEnd"/>
      <w:r>
        <w:t xml:space="preserve">  Thermal conductivity values used (W/</w:t>
      </w:r>
      <w:proofErr w:type="spellStart"/>
      <w:r>
        <w:t>m.K</w:t>
      </w:r>
      <w:proofErr w:type="spellEnd"/>
      <w:r>
        <w:t>).</w:t>
      </w:r>
    </w:p>
    <w:p w:rsidR="00535ED8" w:rsidRPr="00535ED8" w:rsidRDefault="00535ED8" w:rsidP="00535ED8"/>
    <w:tbl>
      <w:tblPr>
        <w:tblW w:w="0" w:type="auto"/>
        <w:jc w:val="center"/>
        <w:tblInd w:w="-106" w:type="dxa"/>
        <w:tblBorders>
          <w:top w:val="single" w:sz="4" w:space="0" w:color="auto"/>
          <w:left w:val="single" w:sz="4" w:space="0" w:color="auto"/>
          <w:bottom w:val="single" w:sz="12" w:space="0" w:color="auto"/>
          <w:right w:val="single" w:sz="12" w:space="0" w:color="auto"/>
          <w:insideH w:val="single" w:sz="4" w:space="0" w:color="auto"/>
          <w:insideV w:val="single" w:sz="12" w:space="0" w:color="auto"/>
        </w:tblBorders>
        <w:tblLook w:val="00A0" w:firstRow="1" w:lastRow="0" w:firstColumn="1" w:lastColumn="0" w:noHBand="0" w:noVBand="0"/>
      </w:tblPr>
      <w:tblGrid>
        <w:gridCol w:w="1041"/>
        <w:gridCol w:w="1378"/>
      </w:tblGrid>
      <w:tr w:rsidR="00192BA0" w:rsidRPr="005F567E" w:rsidTr="00F66224">
        <w:trPr>
          <w:jc w:val="center"/>
        </w:trPr>
        <w:tc>
          <w:tcPr>
            <w:tcW w:w="0" w:type="auto"/>
          </w:tcPr>
          <w:p w:rsidR="00192BA0" w:rsidRPr="005F567E" w:rsidRDefault="00192BA0" w:rsidP="005F567E"/>
        </w:tc>
        <w:tc>
          <w:tcPr>
            <w:tcW w:w="0" w:type="auto"/>
          </w:tcPr>
          <w:p w:rsidR="00192BA0" w:rsidRDefault="002F48DA" w:rsidP="005F567E">
            <w:pPr>
              <w:rPr>
                <w:b/>
                <w:bCs/>
              </w:rPr>
            </w:pPr>
            <w:r>
              <w:rPr>
                <w:b/>
                <w:bCs/>
              </w:rPr>
              <w:t>Thermal</w:t>
            </w:r>
          </w:p>
          <w:p w:rsidR="002F48DA" w:rsidRPr="005F567E" w:rsidRDefault="002F48DA" w:rsidP="005F567E">
            <w:pPr>
              <w:rPr>
                <w:b/>
                <w:bCs/>
              </w:rPr>
            </w:pPr>
            <w:r>
              <w:rPr>
                <w:b/>
                <w:bCs/>
              </w:rPr>
              <w:t>conductivity</w:t>
            </w:r>
          </w:p>
        </w:tc>
      </w:tr>
      <w:tr w:rsidR="00192BA0" w:rsidRPr="005F567E" w:rsidTr="00F66224">
        <w:trPr>
          <w:jc w:val="center"/>
        </w:trPr>
        <w:tc>
          <w:tcPr>
            <w:tcW w:w="0" w:type="auto"/>
          </w:tcPr>
          <w:p w:rsidR="00192BA0" w:rsidRPr="002F48DA" w:rsidRDefault="00192BA0" w:rsidP="005F567E">
            <w:pPr>
              <w:rPr>
                <w:b/>
              </w:rPr>
            </w:pPr>
            <w:r w:rsidRPr="002F48DA">
              <w:rPr>
                <w:b/>
              </w:rPr>
              <w:t>PU foam</w:t>
            </w:r>
          </w:p>
        </w:tc>
        <w:tc>
          <w:tcPr>
            <w:tcW w:w="0" w:type="auto"/>
          </w:tcPr>
          <w:p w:rsidR="00192BA0" w:rsidRPr="005F567E" w:rsidRDefault="00192BA0" w:rsidP="005F567E">
            <w:r w:rsidRPr="005F567E">
              <w:t>0.025</w:t>
            </w:r>
          </w:p>
        </w:tc>
      </w:tr>
      <w:tr w:rsidR="00192BA0" w:rsidRPr="005F567E" w:rsidTr="00F66224">
        <w:trPr>
          <w:jc w:val="center"/>
        </w:trPr>
        <w:tc>
          <w:tcPr>
            <w:tcW w:w="0" w:type="auto"/>
          </w:tcPr>
          <w:p w:rsidR="00192BA0" w:rsidRPr="002F48DA" w:rsidRDefault="00192BA0" w:rsidP="005F567E">
            <w:pPr>
              <w:rPr>
                <w:b/>
              </w:rPr>
            </w:pPr>
            <w:r w:rsidRPr="002F48DA">
              <w:rPr>
                <w:b/>
              </w:rPr>
              <w:t>VIP</w:t>
            </w:r>
          </w:p>
        </w:tc>
        <w:tc>
          <w:tcPr>
            <w:tcW w:w="0" w:type="auto"/>
          </w:tcPr>
          <w:p w:rsidR="00192BA0" w:rsidRPr="005F567E" w:rsidRDefault="00192BA0" w:rsidP="005F567E">
            <w:r w:rsidRPr="005F567E">
              <w:t>0.004</w:t>
            </w:r>
          </w:p>
        </w:tc>
      </w:tr>
      <w:tr w:rsidR="002F48DA" w:rsidRPr="005F567E" w:rsidTr="00F66224">
        <w:trPr>
          <w:jc w:val="center"/>
        </w:trPr>
        <w:tc>
          <w:tcPr>
            <w:tcW w:w="0" w:type="auto"/>
          </w:tcPr>
          <w:p w:rsidR="002F48DA" w:rsidRPr="002F48DA" w:rsidRDefault="002F48DA" w:rsidP="005F567E">
            <w:pPr>
              <w:rPr>
                <w:b/>
              </w:rPr>
            </w:pPr>
            <w:r>
              <w:rPr>
                <w:b/>
              </w:rPr>
              <w:t>ABS</w:t>
            </w:r>
          </w:p>
        </w:tc>
        <w:tc>
          <w:tcPr>
            <w:tcW w:w="0" w:type="auto"/>
          </w:tcPr>
          <w:p w:rsidR="002F48DA" w:rsidRPr="005F567E" w:rsidRDefault="002F48DA" w:rsidP="005F567E">
            <w:r>
              <w:t>0.180</w:t>
            </w:r>
          </w:p>
        </w:tc>
      </w:tr>
    </w:tbl>
    <w:p w:rsidR="00535ED8" w:rsidRDefault="00535ED8" w:rsidP="00535ED8">
      <w:pPr>
        <w:pStyle w:val="Heading3"/>
        <w:numPr>
          <w:ilvl w:val="0"/>
          <w:numId w:val="0"/>
        </w:numPr>
      </w:pPr>
    </w:p>
    <w:p w:rsidR="00736149" w:rsidRPr="007F65B6" w:rsidRDefault="00736149" w:rsidP="00535ED8">
      <w:pPr>
        <w:pStyle w:val="Heading3"/>
      </w:pPr>
      <w:r w:rsidRPr="007F65B6">
        <w:t>Model output</w:t>
      </w:r>
    </w:p>
    <w:p w:rsidR="00736149" w:rsidRDefault="00736149" w:rsidP="00F84986">
      <w:r>
        <w:t xml:space="preserve">The flow simulation software was configured to output average heat flux and total heat flow rate for all of the outer surfaces of the geometry.  The ratio of heat transfer </w:t>
      </w:r>
      <w:r w:rsidR="00192724">
        <w:t>through the insulation of</w:t>
      </w:r>
      <w:r>
        <w:t xml:space="preserve"> the </w:t>
      </w:r>
      <w:r w:rsidR="00192BA0">
        <w:t>standard</w:t>
      </w:r>
      <w:r>
        <w:t xml:space="preserve"> </w:t>
      </w:r>
      <w:r w:rsidR="00192BA0">
        <w:t>(</w:t>
      </w:r>
      <w:r>
        <w:t>PU</w:t>
      </w:r>
      <w:r w:rsidR="00192BA0">
        <w:t xml:space="preserve"> only) cabinet</w:t>
      </w:r>
      <w:r>
        <w:t xml:space="preserve"> </w:t>
      </w:r>
      <w:r w:rsidR="00192724">
        <w:t>and</w:t>
      </w:r>
      <w:r>
        <w:t xml:space="preserve"> </w:t>
      </w:r>
      <w:r w:rsidR="00192BA0">
        <w:t xml:space="preserve">the modified (PU + </w:t>
      </w:r>
      <w:r>
        <w:t>VIP</w:t>
      </w:r>
      <w:r w:rsidR="00192BA0">
        <w:t>) cabinet</w:t>
      </w:r>
      <w:r>
        <w:t xml:space="preserve"> was then calculated.</w:t>
      </w:r>
    </w:p>
    <w:p w:rsidR="00535ED8" w:rsidRPr="00F84986" w:rsidRDefault="00535ED8" w:rsidP="00F84986"/>
    <w:p w:rsidR="00736149" w:rsidRDefault="00192724" w:rsidP="007F65B6">
      <w:pPr>
        <w:pStyle w:val="Heading2"/>
      </w:pPr>
      <w:r>
        <w:t xml:space="preserve">Energy </w:t>
      </w:r>
      <w:r w:rsidR="00CD760C">
        <w:t>c</w:t>
      </w:r>
      <w:r>
        <w:t xml:space="preserve">onsumption </w:t>
      </w:r>
      <w:r w:rsidR="00CD760C">
        <w:t>t</w:t>
      </w:r>
      <w:r>
        <w:t>est</w:t>
      </w:r>
    </w:p>
    <w:p w:rsidR="00736149" w:rsidRDefault="00192724" w:rsidP="005C5CEF">
      <w:r>
        <w:t xml:space="preserve">The two test cabinets, </w:t>
      </w:r>
      <w:r w:rsidR="00736149">
        <w:t xml:space="preserve">a </w:t>
      </w:r>
      <w:r>
        <w:t>Standard cabinet with</w:t>
      </w:r>
      <w:r w:rsidR="00736149">
        <w:t xml:space="preserve"> PU foam insulation and </w:t>
      </w:r>
      <w:r>
        <w:t>a</w:t>
      </w:r>
      <w:r w:rsidR="00736149">
        <w:t xml:space="preserve"> </w:t>
      </w:r>
      <w:r>
        <w:t xml:space="preserve">modified cabinet </w:t>
      </w:r>
      <w:r w:rsidR="00736149">
        <w:t>with VIPs embedded into the PU foam were both tested in a temperature controlled test chamber (ambient temperat</w:t>
      </w:r>
      <w:r>
        <w:t>ure within the chamber 25 °C).  The cabinets were both tested at fridge (set point 3°C) and freezer (set point -18°C) conditions.</w:t>
      </w:r>
    </w:p>
    <w:p w:rsidR="00192724" w:rsidRDefault="00192724" w:rsidP="005C5CEF">
      <w:r>
        <w:t xml:space="preserve">T-type thermocouples connected to an </w:t>
      </w:r>
      <w:proofErr w:type="spellStart"/>
      <w:r>
        <w:t>IOTech</w:t>
      </w:r>
      <w:proofErr w:type="spellEnd"/>
      <w:r>
        <w:t xml:space="preserve"> data logger were used to monitor the cold space and ambient air temperatures.  A Multi-cube PM390 power meter connected to the same data logger was used to monitor the energy consumption.</w:t>
      </w:r>
    </w:p>
    <w:p w:rsidR="00535ED8" w:rsidRDefault="00736149" w:rsidP="000B332C">
      <w:r>
        <w:t xml:space="preserve">Each cabinet was run until stable operating </w:t>
      </w:r>
      <w:r w:rsidR="000B332C">
        <w:t xml:space="preserve">conditions were achieved </w:t>
      </w:r>
      <w:r w:rsidR="00192724">
        <w:t xml:space="preserve">(for each </w:t>
      </w:r>
      <w:r w:rsidR="002F48DA">
        <w:t xml:space="preserve">operating mode, </w:t>
      </w:r>
      <w:r w:rsidR="00192724">
        <w:t>set point</w:t>
      </w:r>
      <w:r w:rsidR="002F48DA">
        <w:t>s</w:t>
      </w:r>
      <w:r w:rsidR="00192724">
        <w:t xml:space="preserve"> 3</w:t>
      </w:r>
      <w:r w:rsidR="002F48DA">
        <w:t> </w:t>
      </w:r>
      <w:r w:rsidR="000B332C">
        <w:t xml:space="preserve">°C </w:t>
      </w:r>
      <w:r w:rsidR="00192724">
        <w:t xml:space="preserve">and </w:t>
      </w:r>
      <w:r w:rsidR="00192724">
        <w:noBreakHyphen/>
        <w:t>18</w:t>
      </w:r>
      <w:r w:rsidR="002F48DA">
        <w:t> </w:t>
      </w:r>
      <w:r w:rsidR="00192724">
        <w:t>°C); energy was then recorded over a 24 hour period beginning and ending at the start of the post defrost recovery.</w:t>
      </w:r>
    </w:p>
    <w:p w:rsidR="00535ED8" w:rsidRDefault="009B02E2" w:rsidP="000B332C">
      <w:r>
        <w:t>The cabinet was not opened during the test; since the installation of VIPs was not expected to influence the COP of the refrigeration system is was considered that the energy saving resulting would only be a function of the steady state heat gain of the cabinet.</w:t>
      </w:r>
    </w:p>
    <w:p w:rsidR="009B02E2" w:rsidRDefault="009B02E2" w:rsidP="000B332C"/>
    <w:p w:rsidR="00B47412" w:rsidRDefault="00B47412">
      <w:pPr>
        <w:rPr>
          <w:rFonts w:ascii="Times" w:eastAsia="Times New Roman" w:hAnsi="Times" w:cs="Cambria"/>
          <w:b/>
          <w:bCs/>
          <w:caps/>
          <w:sz w:val="24"/>
          <w:szCs w:val="28"/>
        </w:rPr>
      </w:pPr>
      <w:r>
        <w:br w:type="page"/>
      </w:r>
    </w:p>
    <w:p w:rsidR="00736149" w:rsidRDefault="00736149" w:rsidP="007F65B6">
      <w:pPr>
        <w:pStyle w:val="Heading1"/>
      </w:pPr>
      <w:r>
        <w:lastRenderedPageBreak/>
        <w:t>Results</w:t>
      </w:r>
    </w:p>
    <w:p w:rsidR="00535ED8" w:rsidRPr="00535ED8" w:rsidRDefault="00535ED8" w:rsidP="00535ED8"/>
    <w:p w:rsidR="000A05BC" w:rsidRDefault="00736149" w:rsidP="000A05BC">
      <w:pPr>
        <w:pStyle w:val="Heading2"/>
      </w:pPr>
      <w:r>
        <w:t>Modelling</w:t>
      </w:r>
    </w:p>
    <w:p w:rsidR="002F48DA" w:rsidRDefault="002F48DA" w:rsidP="002F48DA">
      <w:r>
        <w:t xml:space="preserve">Table 3 presents the heat flow rates across the insulation that </w:t>
      </w:r>
      <w:proofErr w:type="gramStart"/>
      <w:r>
        <w:t>were</w:t>
      </w:r>
      <w:proofErr w:type="gramEnd"/>
      <w:r>
        <w:t xml:space="preserve"> calculated by the FEA model. </w:t>
      </w:r>
    </w:p>
    <w:p w:rsidR="002F48DA" w:rsidRPr="002F48DA" w:rsidRDefault="002F48DA" w:rsidP="002F48DA"/>
    <w:p w:rsidR="00736149" w:rsidRDefault="00736149" w:rsidP="00C22850">
      <w:pPr>
        <w:pStyle w:val="Caption"/>
        <w:keepNext/>
      </w:pPr>
      <w:proofErr w:type="gramStart"/>
      <w:r>
        <w:t xml:space="preserve">Table </w:t>
      </w:r>
      <w:r w:rsidR="003C5365">
        <w:t>3</w:t>
      </w:r>
      <w:r>
        <w:t>.</w:t>
      </w:r>
      <w:proofErr w:type="gramEnd"/>
      <w:r>
        <w:t xml:space="preserve">  Results from modelling, calculated heat </w:t>
      </w:r>
      <w:r w:rsidR="007A358E">
        <w:t xml:space="preserve">flow rate </w:t>
      </w:r>
      <w:r w:rsidR="00CD760C">
        <w:t>(W).</w:t>
      </w:r>
    </w:p>
    <w:p w:rsidR="00535ED8" w:rsidRPr="00535ED8" w:rsidRDefault="00535ED8" w:rsidP="00535ED8"/>
    <w:tbl>
      <w:tblPr>
        <w:tblW w:w="4697" w:type="dxa"/>
        <w:jc w:val="center"/>
        <w:tblInd w:w="-106" w:type="dxa"/>
        <w:tblLayout w:type="fixed"/>
        <w:tblLook w:val="00A0" w:firstRow="1" w:lastRow="0" w:firstColumn="1" w:lastColumn="0" w:noHBand="0" w:noVBand="0"/>
      </w:tblPr>
      <w:tblGrid>
        <w:gridCol w:w="1152"/>
        <w:gridCol w:w="1108"/>
        <w:gridCol w:w="1134"/>
        <w:gridCol w:w="1303"/>
      </w:tblGrid>
      <w:tr w:rsidR="00473268" w:rsidRPr="00F66224" w:rsidTr="002E23EC">
        <w:trPr>
          <w:trHeight w:val="300"/>
          <w:jc w:val="center"/>
        </w:trPr>
        <w:tc>
          <w:tcPr>
            <w:tcW w:w="1152" w:type="dxa"/>
            <w:tcBorders>
              <w:top w:val="nil"/>
              <w:bottom w:val="single" w:sz="4" w:space="0" w:color="auto"/>
              <w:right w:val="nil"/>
            </w:tcBorders>
            <w:noWrap/>
            <w:vAlign w:val="bottom"/>
          </w:tcPr>
          <w:p w:rsidR="00473268" w:rsidRPr="00F66224" w:rsidRDefault="00473268" w:rsidP="00DC16E5">
            <w:pPr>
              <w:rPr>
                <w:b/>
                <w:bCs/>
                <w:color w:val="000000"/>
                <w:lang w:eastAsia="en-GB"/>
              </w:rPr>
            </w:pPr>
            <w:r w:rsidRPr="00F66224">
              <w:rPr>
                <w:b/>
                <w:bCs/>
                <w:color w:val="000000"/>
                <w:lang w:eastAsia="en-GB"/>
              </w:rPr>
              <w:t> </w:t>
            </w:r>
          </w:p>
        </w:tc>
        <w:tc>
          <w:tcPr>
            <w:tcW w:w="1108" w:type="dxa"/>
            <w:tcBorders>
              <w:top w:val="single" w:sz="4" w:space="0" w:color="auto"/>
              <w:left w:val="single" w:sz="4" w:space="0" w:color="auto"/>
              <w:bottom w:val="single" w:sz="4" w:space="0" w:color="auto"/>
              <w:right w:val="single" w:sz="4" w:space="0" w:color="auto"/>
            </w:tcBorders>
            <w:noWrap/>
            <w:vAlign w:val="bottom"/>
          </w:tcPr>
          <w:p w:rsidR="00473268" w:rsidRPr="00F66224" w:rsidRDefault="00473268" w:rsidP="002E23EC">
            <w:pPr>
              <w:jc w:val="center"/>
              <w:rPr>
                <w:b/>
                <w:bCs/>
                <w:color w:val="000000"/>
                <w:lang w:eastAsia="en-GB"/>
              </w:rPr>
            </w:pPr>
            <w:r w:rsidRPr="00F66224">
              <w:rPr>
                <w:b/>
                <w:bCs/>
                <w:color w:val="000000"/>
                <w:lang w:eastAsia="en-GB"/>
              </w:rPr>
              <w:t>Standard</w:t>
            </w:r>
          </w:p>
        </w:tc>
        <w:tc>
          <w:tcPr>
            <w:tcW w:w="1134" w:type="dxa"/>
            <w:tcBorders>
              <w:top w:val="single" w:sz="4" w:space="0" w:color="auto"/>
              <w:left w:val="nil"/>
              <w:bottom w:val="single" w:sz="4" w:space="0" w:color="auto"/>
              <w:right w:val="single" w:sz="8" w:space="0" w:color="auto"/>
            </w:tcBorders>
            <w:noWrap/>
            <w:vAlign w:val="bottom"/>
          </w:tcPr>
          <w:p w:rsidR="00473268" w:rsidRPr="00F66224" w:rsidRDefault="00473268" w:rsidP="002E23EC">
            <w:pPr>
              <w:jc w:val="center"/>
              <w:rPr>
                <w:b/>
                <w:bCs/>
                <w:color w:val="000000"/>
                <w:lang w:eastAsia="en-GB"/>
              </w:rPr>
            </w:pPr>
            <w:r w:rsidRPr="00F66224">
              <w:rPr>
                <w:b/>
                <w:bCs/>
                <w:color w:val="000000"/>
                <w:lang w:eastAsia="en-GB"/>
              </w:rPr>
              <w:t>VIP</w:t>
            </w:r>
            <w:r>
              <w:rPr>
                <w:b/>
                <w:bCs/>
                <w:color w:val="000000"/>
                <w:lang w:eastAsia="en-GB"/>
              </w:rPr>
              <w:t xml:space="preserve"> </w:t>
            </w:r>
          </w:p>
        </w:tc>
        <w:tc>
          <w:tcPr>
            <w:tcW w:w="1303" w:type="dxa"/>
            <w:tcBorders>
              <w:top w:val="single" w:sz="4" w:space="0" w:color="auto"/>
              <w:left w:val="nil"/>
              <w:bottom w:val="single" w:sz="4" w:space="0" w:color="auto"/>
              <w:right w:val="single" w:sz="8" w:space="0" w:color="auto"/>
            </w:tcBorders>
            <w:vAlign w:val="bottom"/>
          </w:tcPr>
          <w:p w:rsidR="00473268" w:rsidRPr="00F66224" w:rsidRDefault="00473268" w:rsidP="002E23EC">
            <w:pPr>
              <w:jc w:val="center"/>
              <w:rPr>
                <w:b/>
                <w:bCs/>
                <w:color w:val="000000"/>
                <w:lang w:eastAsia="en-GB"/>
              </w:rPr>
            </w:pPr>
            <w:r>
              <w:rPr>
                <w:b/>
                <w:bCs/>
                <w:color w:val="000000"/>
                <w:lang w:eastAsia="en-GB"/>
              </w:rPr>
              <w:t>Saving</w:t>
            </w:r>
          </w:p>
        </w:tc>
      </w:tr>
      <w:tr w:rsidR="00473268" w:rsidRPr="00F66224" w:rsidTr="002E23EC">
        <w:trPr>
          <w:trHeight w:val="610"/>
          <w:jc w:val="center"/>
        </w:trPr>
        <w:tc>
          <w:tcPr>
            <w:tcW w:w="1152" w:type="dxa"/>
            <w:tcBorders>
              <w:top w:val="single" w:sz="4" w:space="0" w:color="auto"/>
              <w:left w:val="single" w:sz="8" w:space="0" w:color="auto"/>
              <w:bottom w:val="single" w:sz="4" w:space="0" w:color="auto"/>
              <w:right w:val="nil"/>
            </w:tcBorders>
            <w:noWrap/>
            <w:vAlign w:val="bottom"/>
          </w:tcPr>
          <w:p w:rsidR="00473268" w:rsidRDefault="00473268" w:rsidP="00DC16E5">
            <w:pPr>
              <w:rPr>
                <w:b/>
                <w:bCs/>
                <w:color w:val="000000"/>
                <w:lang w:eastAsia="en-GB"/>
              </w:rPr>
            </w:pPr>
            <w:r>
              <w:rPr>
                <w:b/>
                <w:bCs/>
                <w:color w:val="000000"/>
                <w:lang w:eastAsia="en-GB"/>
              </w:rPr>
              <w:t xml:space="preserve">Fridge: </w:t>
            </w:r>
          </w:p>
          <w:p w:rsidR="00473268" w:rsidRPr="00951DF8" w:rsidRDefault="00473268" w:rsidP="00DC16E5">
            <w:pPr>
              <w:rPr>
                <w:bCs/>
                <w:color w:val="000000"/>
                <w:lang w:eastAsia="en-GB"/>
              </w:rPr>
            </w:pPr>
            <w:r>
              <w:rPr>
                <w:bCs/>
                <w:color w:val="000000"/>
                <w:lang w:eastAsia="en-GB"/>
              </w:rPr>
              <w:t xml:space="preserve">  </w:t>
            </w:r>
            <w:r w:rsidRPr="00951DF8">
              <w:rPr>
                <w:bCs/>
                <w:color w:val="000000"/>
                <w:lang w:eastAsia="en-GB"/>
              </w:rPr>
              <w:t>Lid</w:t>
            </w:r>
          </w:p>
          <w:p w:rsidR="00473268" w:rsidRPr="00F66224" w:rsidRDefault="00473268" w:rsidP="00DC16E5">
            <w:pPr>
              <w:rPr>
                <w:b/>
                <w:bCs/>
                <w:color w:val="000000"/>
                <w:lang w:eastAsia="en-GB"/>
              </w:rPr>
            </w:pPr>
            <w:r>
              <w:rPr>
                <w:bCs/>
                <w:color w:val="000000"/>
                <w:lang w:eastAsia="en-GB"/>
              </w:rPr>
              <w:t xml:space="preserve">  </w:t>
            </w:r>
            <w:r w:rsidRPr="00951DF8">
              <w:rPr>
                <w:bCs/>
                <w:color w:val="000000"/>
                <w:lang w:eastAsia="en-GB"/>
              </w:rPr>
              <w:t>Drawer</w:t>
            </w:r>
          </w:p>
        </w:tc>
        <w:tc>
          <w:tcPr>
            <w:tcW w:w="1108" w:type="dxa"/>
            <w:tcBorders>
              <w:top w:val="single" w:sz="4" w:space="0" w:color="auto"/>
              <w:left w:val="single" w:sz="4" w:space="0" w:color="auto"/>
              <w:bottom w:val="single" w:sz="4" w:space="0" w:color="auto"/>
              <w:right w:val="single" w:sz="4" w:space="0" w:color="auto"/>
            </w:tcBorders>
            <w:noWrap/>
            <w:vAlign w:val="bottom"/>
          </w:tcPr>
          <w:p w:rsidR="00473268" w:rsidRDefault="00473268" w:rsidP="00DC16E5">
            <w:pPr>
              <w:jc w:val="center"/>
              <w:rPr>
                <w:color w:val="000000"/>
                <w:lang w:eastAsia="en-GB"/>
              </w:rPr>
            </w:pPr>
            <w:r>
              <w:rPr>
                <w:color w:val="000000"/>
                <w:lang w:eastAsia="en-GB"/>
              </w:rPr>
              <w:t>5.3</w:t>
            </w:r>
          </w:p>
          <w:p w:rsidR="00473268" w:rsidRPr="00F66224" w:rsidRDefault="00473268" w:rsidP="00DC16E5">
            <w:pPr>
              <w:jc w:val="center"/>
              <w:rPr>
                <w:color w:val="000000"/>
                <w:lang w:eastAsia="en-GB"/>
              </w:rPr>
            </w:pPr>
            <w:r>
              <w:rPr>
                <w:color w:val="000000"/>
                <w:lang w:eastAsia="en-GB"/>
              </w:rPr>
              <w:t>10.1</w:t>
            </w:r>
          </w:p>
        </w:tc>
        <w:tc>
          <w:tcPr>
            <w:tcW w:w="1134" w:type="dxa"/>
            <w:tcBorders>
              <w:top w:val="single" w:sz="4" w:space="0" w:color="auto"/>
              <w:left w:val="nil"/>
              <w:bottom w:val="single" w:sz="4" w:space="0" w:color="auto"/>
              <w:right w:val="single" w:sz="8" w:space="0" w:color="auto"/>
            </w:tcBorders>
            <w:noWrap/>
            <w:vAlign w:val="bottom"/>
          </w:tcPr>
          <w:p w:rsidR="00473268" w:rsidRDefault="00473268" w:rsidP="00DC16E5">
            <w:pPr>
              <w:jc w:val="center"/>
              <w:rPr>
                <w:color w:val="000000"/>
                <w:lang w:eastAsia="en-GB"/>
              </w:rPr>
            </w:pPr>
            <w:r>
              <w:rPr>
                <w:color w:val="000000"/>
                <w:lang w:eastAsia="en-GB"/>
              </w:rPr>
              <w:t>3.2</w:t>
            </w:r>
          </w:p>
          <w:p w:rsidR="00473268" w:rsidRPr="00F66224" w:rsidRDefault="00473268" w:rsidP="00DC16E5">
            <w:pPr>
              <w:jc w:val="center"/>
              <w:rPr>
                <w:color w:val="000000"/>
                <w:lang w:eastAsia="en-GB"/>
              </w:rPr>
            </w:pPr>
            <w:r>
              <w:rPr>
                <w:color w:val="000000"/>
                <w:lang w:eastAsia="en-GB"/>
              </w:rPr>
              <w:t>5.9</w:t>
            </w:r>
          </w:p>
        </w:tc>
        <w:tc>
          <w:tcPr>
            <w:tcW w:w="1303" w:type="dxa"/>
            <w:tcBorders>
              <w:top w:val="single" w:sz="4" w:space="0" w:color="auto"/>
              <w:left w:val="nil"/>
              <w:bottom w:val="single" w:sz="4" w:space="0" w:color="auto"/>
              <w:right w:val="single" w:sz="8" w:space="0" w:color="auto"/>
            </w:tcBorders>
            <w:vAlign w:val="bottom"/>
          </w:tcPr>
          <w:p w:rsidR="00473268" w:rsidRDefault="00473268" w:rsidP="00473268">
            <w:pPr>
              <w:jc w:val="center"/>
              <w:rPr>
                <w:color w:val="000000"/>
                <w:lang w:eastAsia="en-GB"/>
              </w:rPr>
            </w:pPr>
            <w:r>
              <w:rPr>
                <w:color w:val="000000"/>
                <w:lang w:eastAsia="en-GB"/>
              </w:rPr>
              <w:t>39.6</w:t>
            </w:r>
            <w:r w:rsidR="002E23EC">
              <w:rPr>
                <w:color w:val="000000"/>
                <w:lang w:eastAsia="en-GB"/>
              </w:rPr>
              <w:t xml:space="preserve"> %</w:t>
            </w:r>
          </w:p>
          <w:p w:rsidR="00473268" w:rsidRDefault="00473268" w:rsidP="00473268">
            <w:pPr>
              <w:jc w:val="center"/>
              <w:rPr>
                <w:color w:val="000000"/>
                <w:lang w:eastAsia="en-GB"/>
              </w:rPr>
            </w:pPr>
            <w:r>
              <w:rPr>
                <w:color w:val="000000"/>
                <w:lang w:eastAsia="en-GB"/>
              </w:rPr>
              <w:t>41.6</w:t>
            </w:r>
            <w:r w:rsidR="002E23EC">
              <w:rPr>
                <w:color w:val="000000"/>
                <w:lang w:eastAsia="en-GB"/>
              </w:rPr>
              <w:t xml:space="preserve"> %</w:t>
            </w:r>
          </w:p>
        </w:tc>
      </w:tr>
      <w:tr w:rsidR="00473268" w:rsidRPr="00F66224" w:rsidTr="002E23EC">
        <w:trPr>
          <w:trHeight w:val="610"/>
          <w:jc w:val="center"/>
        </w:trPr>
        <w:tc>
          <w:tcPr>
            <w:tcW w:w="1152" w:type="dxa"/>
            <w:tcBorders>
              <w:top w:val="single" w:sz="4" w:space="0" w:color="auto"/>
              <w:left w:val="single" w:sz="8" w:space="0" w:color="auto"/>
              <w:bottom w:val="single" w:sz="4" w:space="0" w:color="auto"/>
              <w:right w:val="nil"/>
            </w:tcBorders>
            <w:noWrap/>
            <w:vAlign w:val="bottom"/>
          </w:tcPr>
          <w:p w:rsidR="00473268" w:rsidRDefault="00473268" w:rsidP="00DC16E5">
            <w:pPr>
              <w:rPr>
                <w:b/>
                <w:bCs/>
                <w:color w:val="000000"/>
                <w:lang w:eastAsia="en-GB"/>
              </w:rPr>
            </w:pPr>
            <w:r>
              <w:rPr>
                <w:b/>
                <w:bCs/>
                <w:color w:val="000000"/>
                <w:lang w:eastAsia="en-GB"/>
              </w:rPr>
              <w:t>Freezer:</w:t>
            </w:r>
          </w:p>
          <w:p w:rsidR="00473268" w:rsidRPr="00951DF8" w:rsidRDefault="00473268" w:rsidP="00951DF8">
            <w:pPr>
              <w:rPr>
                <w:bCs/>
                <w:color w:val="000000"/>
                <w:lang w:eastAsia="en-GB"/>
              </w:rPr>
            </w:pPr>
            <w:r>
              <w:rPr>
                <w:bCs/>
                <w:color w:val="000000"/>
                <w:lang w:eastAsia="en-GB"/>
              </w:rPr>
              <w:t xml:space="preserve">  </w:t>
            </w:r>
            <w:r w:rsidRPr="00951DF8">
              <w:rPr>
                <w:bCs/>
                <w:color w:val="000000"/>
                <w:lang w:eastAsia="en-GB"/>
              </w:rPr>
              <w:t>Lid</w:t>
            </w:r>
          </w:p>
          <w:p w:rsidR="00473268" w:rsidRPr="00F66224" w:rsidRDefault="00473268" w:rsidP="00951DF8">
            <w:pPr>
              <w:rPr>
                <w:b/>
                <w:bCs/>
                <w:color w:val="000000"/>
                <w:lang w:eastAsia="en-GB"/>
              </w:rPr>
            </w:pPr>
            <w:r>
              <w:rPr>
                <w:bCs/>
                <w:color w:val="000000"/>
                <w:lang w:eastAsia="en-GB"/>
              </w:rPr>
              <w:t xml:space="preserve">  </w:t>
            </w:r>
            <w:r w:rsidRPr="00951DF8">
              <w:rPr>
                <w:bCs/>
                <w:color w:val="000000"/>
                <w:lang w:eastAsia="en-GB"/>
              </w:rPr>
              <w:t>Drawer</w:t>
            </w:r>
          </w:p>
        </w:tc>
        <w:tc>
          <w:tcPr>
            <w:tcW w:w="1108" w:type="dxa"/>
            <w:tcBorders>
              <w:top w:val="single" w:sz="4" w:space="0" w:color="auto"/>
              <w:left w:val="single" w:sz="4" w:space="0" w:color="auto"/>
              <w:bottom w:val="single" w:sz="4" w:space="0" w:color="auto"/>
              <w:right w:val="single" w:sz="4" w:space="0" w:color="auto"/>
            </w:tcBorders>
            <w:noWrap/>
            <w:vAlign w:val="bottom"/>
          </w:tcPr>
          <w:p w:rsidR="00473268" w:rsidRDefault="00473268" w:rsidP="00DC16E5">
            <w:pPr>
              <w:jc w:val="center"/>
              <w:rPr>
                <w:color w:val="000000"/>
                <w:lang w:eastAsia="en-GB"/>
              </w:rPr>
            </w:pPr>
            <w:r>
              <w:rPr>
                <w:color w:val="000000"/>
                <w:lang w:eastAsia="en-GB"/>
              </w:rPr>
              <w:t>9.6</w:t>
            </w:r>
          </w:p>
          <w:p w:rsidR="00473268" w:rsidRPr="00F66224" w:rsidRDefault="00473268" w:rsidP="00DC16E5">
            <w:pPr>
              <w:jc w:val="center"/>
              <w:rPr>
                <w:color w:val="000000"/>
                <w:lang w:eastAsia="en-GB"/>
              </w:rPr>
            </w:pPr>
            <w:r>
              <w:rPr>
                <w:color w:val="000000"/>
                <w:lang w:eastAsia="en-GB"/>
              </w:rPr>
              <w:t>20.7</w:t>
            </w:r>
          </w:p>
        </w:tc>
        <w:tc>
          <w:tcPr>
            <w:tcW w:w="1134" w:type="dxa"/>
            <w:tcBorders>
              <w:top w:val="single" w:sz="4" w:space="0" w:color="auto"/>
              <w:left w:val="nil"/>
              <w:bottom w:val="single" w:sz="4" w:space="0" w:color="auto"/>
              <w:right w:val="single" w:sz="8" w:space="0" w:color="auto"/>
            </w:tcBorders>
            <w:noWrap/>
            <w:vAlign w:val="bottom"/>
          </w:tcPr>
          <w:p w:rsidR="00473268" w:rsidRDefault="00473268" w:rsidP="00DC16E5">
            <w:pPr>
              <w:jc w:val="center"/>
              <w:rPr>
                <w:color w:val="000000"/>
                <w:lang w:eastAsia="en-GB"/>
              </w:rPr>
            </w:pPr>
            <w:r>
              <w:rPr>
                <w:color w:val="000000"/>
                <w:lang w:eastAsia="en-GB"/>
              </w:rPr>
              <w:t>5.9</w:t>
            </w:r>
          </w:p>
          <w:p w:rsidR="00473268" w:rsidRPr="00F66224" w:rsidRDefault="00473268" w:rsidP="00DC16E5">
            <w:pPr>
              <w:jc w:val="center"/>
              <w:rPr>
                <w:color w:val="000000"/>
                <w:lang w:eastAsia="en-GB"/>
              </w:rPr>
            </w:pPr>
            <w:r>
              <w:rPr>
                <w:color w:val="000000"/>
                <w:lang w:eastAsia="en-GB"/>
              </w:rPr>
              <w:t>12.2</w:t>
            </w:r>
          </w:p>
        </w:tc>
        <w:tc>
          <w:tcPr>
            <w:tcW w:w="1303" w:type="dxa"/>
            <w:tcBorders>
              <w:top w:val="single" w:sz="4" w:space="0" w:color="auto"/>
              <w:left w:val="nil"/>
              <w:bottom w:val="single" w:sz="4" w:space="0" w:color="auto"/>
              <w:right w:val="single" w:sz="8" w:space="0" w:color="auto"/>
            </w:tcBorders>
            <w:vAlign w:val="bottom"/>
          </w:tcPr>
          <w:p w:rsidR="00473268" w:rsidRDefault="00473268" w:rsidP="00473268">
            <w:pPr>
              <w:jc w:val="center"/>
              <w:rPr>
                <w:color w:val="000000"/>
                <w:lang w:eastAsia="en-GB"/>
              </w:rPr>
            </w:pPr>
            <w:r>
              <w:rPr>
                <w:color w:val="000000"/>
                <w:lang w:eastAsia="en-GB"/>
              </w:rPr>
              <w:t>38.5</w:t>
            </w:r>
            <w:r w:rsidR="002E23EC">
              <w:rPr>
                <w:color w:val="000000"/>
                <w:lang w:eastAsia="en-GB"/>
              </w:rPr>
              <w:t xml:space="preserve"> %</w:t>
            </w:r>
          </w:p>
          <w:p w:rsidR="00473268" w:rsidRDefault="00473268" w:rsidP="00473268">
            <w:pPr>
              <w:jc w:val="center"/>
              <w:rPr>
                <w:color w:val="000000"/>
                <w:lang w:eastAsia="en-GB"/>
              </w:rPr>
            </w:pPr>
            <w:r>
              <w:rPr>
                <w:color w:val="000000"/>
                <w:lang w:eastAsia="en-GB"/>
              </w:rPr>
              <w:t>41.1</w:t>
            </w:r>
            <w:r w:rsidR="002E23EC">
              <w:rPr>
                <w:color w:val="000000"/>
                <w:lang w:eastAsia="en-GB"/>
              </w:rPr>
              <w:t xml:space="preserve"> %</w:t>
            </w:r>
          </w:p>
        </w:tc>
      </w:tr>
    </w:tbl>
    <w:p w:rsidR="00535ED8" w:rsidRDefault="00535ED8" w:rsidP="00C22850"/>
    <w:p w:rsidR="00AC6E3E" w:rsidRDefault="00CD760C" w:rsidP="00AB62FC">
      <w:pPr>
        <w:pStyle w:val="Heading2"/>
      </w:pPr>
      <w:r>
        <w:t>Energy consumption t</w:t>
      </w:r>
      <w:r w:rsidR="00736149">
        <w:t>est</w:t>
      </w:r>
      <w:r w:rsidR="00AB62FC" w:rsidRPr="00AB62FC">
        <w:t xml:space="preserve"> </w:t>
      </w:r>
    </w:p>
    <w:p w:rsidR="002F48DA" w:rsidRDefault="002F48DA" w:rsidP="002F48DA">
      <w:r>
        <w:t>Table 4 presents the direct energy consumption measured for the standard cabinet and the VIP cabinet operating in both fridge and freezer modes.</w:t>
      </w:r>
    </w:p>
    <w:p w:rsidR="002F48DA" w:rsidRPr="002F48DA" w:rsidRDefault="002F48DA" w:rsidP="002F48DA"/>
    <w:p w:rsidR="00736149" w:rsidRDefault="00736149" w:rsidP="00C22850">
      <w:pPr>
        <w:pStyle w:val="Caption"/>
        <w:keepNext/>
      </w:pPr>
      <w:proofErr w:type="gramStart"/>
      <w:r>
        <w:t xml:space="preserve">Table </w:t>
      </w:r>
      <w:r w:rsidR="003C5365">
        <w:t>4</w:t>
      </w:r>
      <w:r>
        <w:t>.</w:t>
      </w:r>
      <w:proofErr w:type="gramEnd"/>
      <w:r w:rsidR="000F46BA">
        <w:t xml:space="preserve"> </w:t>
      </w:r>
      <w:proofErr w:type="gramStart"/>
      <w:r>
        <w:t>Results from measured data</w:t>
      </w:r>
      <w:r w:rsidR="00951DF8">
        <w:t xml:space="preserve"> (kWh/24h)</w:t>
      </w:r>
      <w:r>
        <w:t>.</w:t>
      </w:r>
      <w:proofErr w:type="gramEnd"/>
    </w:p>
    <w:p w:rsidR="00535ED8" w:rsidRPr="00535ED8" w:rsidRDefault="00535ED8" w:rsidP="00535ED8"/>
    <w:tbl>
      <w:tblPr>
        <w:tblW w:w="7388" w:type="dxa"/>
        <w:jc w:val="center"/>
        <w:tblInd w:w="-366" w:type="dxa"/>
        <w:tblLook w:val="00A0" w:firstRow="1" w:lastRow="0" w:firstColumn="1" w:lastColumn="0" w:noHBand="0" w:noVBand="0"/>
      </w:tblPr>
      <w:tblGrid>
        <w:gridCol w:w="3709"/>
        <w:gridCol w:w="1097"/>
        <w:gridCol w:w="1291"/>
        <w:gridCol w:w="1291"/>
      </w:tblGrid>
      <w:tr w:rsidR="00E37119" w:rsidRPr="00F66224" w:rsidTr="00E37119">
        <w:trPr>
          <w:trHeight w:val="300"/>
          <w:jc w:val="center"/>
        </w:trPr>
        <w:tc>
          <w:tcPr>
            <w:tcW w:w="3709" w:type="dxa"/>
            <w:tcBorders>
              <w:top w:val="nil"/>
              <w:bottom w:val="nil"/>
              <w:right w:val="nil"/>
            </w:tcBorders>
            <w:noWrap/>
            <w:vAlign w:val="bottom"/>
          </w:tcPr>
          <w:p w:rsidR="00E37119" w:rsidRPr="00F66224" w:rsidRDefault="00E37119" w:rsidP="00C86D39">
            <w:pPr>
              <w:rPr>
                <w:color w:val="000000"/>
                <w:lang w:eastAsia="en-GB"/>
              </w:rPr>
            </w:pPr>
            <w:r w:rsidRPr="00F66224">
              <w:rPr>
                <w:color w:val="000000"/>
                <w:lang w:eastAsia="en-GB"/>
              </w:rPr>
              <w:t> </w:t>
            </w:r>
          </w:p>
        </w:tc>
        <w:tc>
          <w:tcPr>
            <w:tcW w:w="1097" w:type="dxa"/>
            <w:tcBorders>
              <w:top w:val="single" w:sz="8" w:space="0" w:color="auto"/>
              <w:left w:val="single" w:sz="8" w:space="0" w:color="auto"/>
              <w:bottom w:val="nil"/>
              <w:right w:val="single" w:sz="4" w:space="0" w:color="auto"/>
            </w:tcBorders>
            <w:noWrap/>
            <w:vAlign w:val="bottom"/>
          </w:tcPr>
          <w:p w:rsidR="00E37119" w:rsidRPr="00F66224" w:rsidRDefault="00E37119" w:rsidP="00C86D39">
            <w:pPr>
              <w:jc w:val="center"/>
              <w:rPr>
                <w:b/>
                <w:bCs/>
                <w:color w:val="000000"/>
                <w:lang w:eastAsia="en-GB"/>
              </w:rPr>
            </w:pPr>
            <w:r w:rsidRPr="00F66224">
              <w:rPr>
                <w:b/>
                <w:bCs/>
                <w:color w:val="000000"/>
                <w:lang w:eastAsia="en-GB"/>
              </w:rPr>
              <w:t>Standard</w:t>
            </w:r>
          </w:p>
        </w:tc>
        <w:tc>
          <w:tcPr>
            <w:tcW w:w="1291" w:type="dxa"/>
            <w:tcBorders>
              <w:top w:val="single" w:sz="8" w:space="0" w:color="auto"/>
              <w:left w:val="nil"/>
              <w:bottom w:val="nil"/>
              <w:right w:val="single" w:sz="8" w:space="0" w:color="auto"/>
            </w:tcBorders>
            <w:noWrap/>
            <w:vAlign w:val="bottom"/>
          </w:tcPr>
          <w:p w:rsidR="00E37119" w:rsidRPr="00F66224" w:rsidRDefault="00E37119" w:rsidP="00C86D39">
            <w:pPr>
              <w:jc w:val="center"/>
              <w:rPr>
                <w:b/>
                <w:bCs/>
                <w:color w:val="000000"/>
                <w:lang w:eastAsia="en-GB"/>
              </w:rPr>
            </w:pPr>
            <w:r w:rsidRPr="00F66224">
              <w:rPr>
                <w:b/>
                <w:bCs/>
                <w:color w:val="000000"/>
                <w:lang w:eastAsia="en-GB"/>
              </w:rPr>
              <w:t>VIP</w:t>
            </w:r>
          </w:p>
        </w:tc>
        <w:tc>
          <w:tcPr>
            <w:tcW w:w="1291" w:type="dxa"/>
            <w:tcBorders>
              <w:top w:val="single" w:sz="8" w:space="0" w:color="auto"/>
              <w:left w:val="nil"/>
              <w:bottom w:val="nil"/>
              <w:right w:val="single" w:sz="8" w:space="0" w:color="auto"/>
            </w:tcBorders>
            <w:vAlign w:val="bottom"/>
          </w:tcPr>
          <w:p w:rsidR="00E37119" w:rsidRPr="00F66224" w:rsidRDefault="00E37119" w:rsidP="00E37119">
            <w:pPr>
              <w:jc w:val="center"/>
              <w:rPr>
                <w:b/>
                <w:bCs/>
                <w:color w:val="000000"/>
                <w:lang w:eastAsia="en-GB"/>
              </w:rPr>
            </w:pPr>
            <w:r>
              <w:rPr>
                <w:b/>
                <w:bCs/>
                <w:color w:val="000000"/>
                <w:lang w:eastAsia="en-GB"/>
              </w:rPr>
              <w:t>Saving</w:t>
            </w:r>
          </w:p>
        </w:tc>
      </w:tr>
      <w:tr w:rsidR="00E37119" w:rsidRPr="00F66224" w:rsidTr="00E37119">
        <w:trPr>
          <w:trHeight w:val="300"/>
          <w:jc w:val="center"/>
        </w:trPr>
        <w:tc>
          <w:tcPr>
            <w:tcW w:w="3709" w:type="dxa"/>
            <w:tcBorders>
              <w:top w:val="single" w:sz="4" w:space="0" w:color="auto"/>
              <w:left w:val="single" w:sz="8" w:space="0" w:color="auto"/>
              <w:bottom w:val="single" w:sz="4" w:space="0" w:color="auto"/>
              <w:right w:val="nil"/>
            </w:tcBorders>
            <w:noWrap/>
            <w:vAlign w:val="bottom"/>
          </w:tcPr>
          <w:p w:rsidR="00E37119" w:rsidRPr="00F66224" w:rsidRDefault="00E37119" w:rsidP="00C86D39">
            <w:pPr>
              <w:rPr>
                <w:b/>
                <w:bCs/>
                <w:color w:val="000000"/>
                <w:lang w:eastAsia="en-GB"/>
              </w:rPr>
            </w:pPr>
            <w:r>
              <w:rPr>
                <w:b/>
                <w:bCs/>
                <w:color w:val="000000"/>
                <w:lang w:eastAsia="en-GB"/>
              </w:rPr>
              <w:t>Energy consumption: Fridge</w:t>
            </w:r>
          </w:p>
        </w:tc>
        <w:tc>
          <w:tcPr>
            <w:tcW w:w="1097" w:type="dxa"/>
            <w:tcBorders>
              <w:top w:val="single" w:sz="4" w:space="0" w:color="auto"/>
              <w:left w:val="single" w:sz="8" w:space="0" w:color="auto"/>
              <w:bottom w:val="single" w:sz="4" w:space="0" w:color="auto"/>
              <w:right w:val="single" w:sz="4" w:space="0" w:color="auto"/>
            </w:tcBorders>
            <w:noWrap/>
            <w:vAlign w:val="bottom"/>
          </w:tcPr>
          <w:p w:rsidR="00E37119" w:rsidRPr="00F66224" w:rsidRDefault="00E37119" w:rsidP="001E1F5A">
            <w:pPr>
              <w:jc w:val="center"/>
              <w:rPr>
                <w:color w:val="000000"/>
                <w:lang w:eastAsia="en-GB"/>
              </w:rPr>
            </w:pPr>
            <w:r>
              <w:rPr>
                <w:color w:val="000000"/>
                <w:lang w:eastAsia="en-GB"/>
              </w:rPr>
              <w:t>1.068</w:t>
            </w:r>
          </w:p>
        </w:tc>
        <w:tc>
          <w:tcPr>
            <w:tcW w:w="1291" w:type="dxa"/>
            <w:tcBorders>
              <w:top w:val="single" w:sz="4" w:space="0" w:color="auto"/>
              <w:left w:val="nil"/>
              <w:bottom w:val="single" w:sz="4" w:space="0" w:color="auto"/>
              <w:right w:val="single" w:sz="8" w:space="0" w:color="auto"/>
            </w:tcBorders>
            <w:noWrap/>
            <w:vAlign w:val="bottom"/>
          </w:tcPr>
          <w:p w:rsidR="00E37119" w:rsidRPr="00F66224" w:rsidRDefault="00E37119" w:rsidP="001E1F5A">
            <w:pPr>
              <w:jc w:val="center"/>
              <w:rPr>
                <w:color w:val="000000"/>
                <w:lang w:eastAsia="en-GB"/>
              </w:rPr>
            </w:pPr>
            <w:r>
              <w:rPr>
                <w:color w:val="000000"/>
                <w:lang w:eastAsia="en-GB"/>
              </w:rPr>
              <w:t>0.935</w:t>
            </w:r>
          </w:p>
        </w:tc>
        <w:tc>
          <w:tcPr>
            <w:tcW w:w="1291" w:type="dxa"/>
            <w:tcBorders>
              <w:top w:val="single" w:sz="4" w:space="0" w:color="auto"/>
              <w:left w:val="nil"/>
              <w:bottom w:val="single" w:sz="4" w:space="0" w:color="auto"/>
              <w:right w:val="single" w:sz="8" w:space="0" w:color="auto"/>
            </w:tcBorders>
            <w:vAlign w:val="bottom"/>
          </w:tcPr>
          <w:p w:rsidR="00E37119" w:rsidRDefault="00E37119" w:rsidP="00E37119">
            <w:pPr>
              <w:jc w:val="center"/>
              <w:rPr>
                <w:color w:val="000000"/>
                <w:lang w:eastAsia="en-GB"/>
              </w:rPr>
            </w:pPr>
            <w:r>
              <w:rPr>
                <w:color w:val="000000"/>
                <w:lang w:eastAsia="en-GB"/>
              </w:rPr>
              <w:t>12.5%</w:t>
            </w:r>
          </w:p>
        </w:tc>
      </w:tr>
      <w:tr w:rsidR="00E37119" w:rsidRPr="00F66224" w:rsidTr="00E37119">
        <w:trPr>
          <w:trHeight w:val="300"/>
          <w:jc w:val="center"/>
        </w:trPr>
        <w:tc>
          <w:tcPr>
            <w:tcW w:w="3709" w:type="dxa"/>
            <w:tcBorders>
              <w:top w:val="single" w:sz="4" w:space="0" w:color="auto"/>
              <w:left w:val="single" w:sz="8" w:space="0" w:color="auto"/>
              <w:bottom w:val="single" w:sz="4" w:space="0" w:color="auto"/>
              <w:right w:val="nil"/>
            </w:tcBorders>
            <w:noWrap/>
            <w:vAlign w:val="bottom"/>
          </w:tcPr>
          <w:p w:rsidR="00E37119" w:rsidRPr="00F66224" w:rsidRDefault="00E37119" w:rsidP="00C86D39">
            <w:pPr>
              <w:rPr>
                <w:b/>
                <w:bCs/>
                <w:color w:val="000000"/>
                <w:lang w:eastAsia="en-GB"/>
              </w:rPr>
            </w:pPr>
            <w:r>
              <w:rPr>
                <w:b/>
                <w:bCs/>
                <w:color w:val="000000"/>
                <w:lang w:eastAsia="en-GB"/>
              </w:rPr>
              <w:t>Energy consumption: Freezer</w:t>
            </w:r>
          </w:p>
        </w:tc>
        <w:tc>
          <w:tcPr>
            <w:tcW w:w="1097" w:type="dxa"/>
            <w:tcBorders>
              <w:top w:val="single" w:sz="4" w:space="0" w:color="auto"/>
              <w:left w:val="single" w:sz="8" w:space="0" w:color="auto"/>
              <w:bottom w:val="single" w:sz="4" w:space="0" w:color="auto"/>
              <w:right w:val="single" w:sz="4" w:space="0" w:color="auto"/>
            </w:tcBorders>
            <w:noWrap/>
            <w:vAlign w:val="bottom"/>
          </w:tcPr>
          <w:p w:rsidR="00E37119" w:rsidRPr="00F66224" w:rsidRDefault="00E37119" w:rsidP="001E1F5A">
            <w:pPr>
              <w:jc w:val="center"/>
              <w:rPr>
                <w:color w:val="000000"/>
                <w:lang w:eastAsia="en-GB"/>
              </w:rPr>
            </w:pPr>
            <w:r>
              <w:rPr>
                <w:color w:val="000000"/>
                <w:lang w:eastAsia="en-GB"/>
              </w:rPr>
              <w:t>2.643</w:t>
            </w:r>
          </w:p>
        </w:tc>
        <w:tc>
          <w:tcPr>
            <w:tcW w:w="1291" w:type="dxa"/>
            <w:tcBorders>
              <w:top w:val="single" w:sz="4" w:space="0" w:color="auto"/>
              <w:left w:val="nil"/>
              <w:bottom w:val="single" w:sz="4" w:space="0" w:color="auto"/>
              <w:right w:val="single" w:sz="8" w:space="0" w:color="auto"/>
            </w:tcBorders>
            <w:noWrap/>
            <w:vAlign w:val="bottom"/>
          </w:tcPr>
          <w:p w:rsidR="00E37119" w:rsidRPr="00F66224" w:rsidRDefault="00E37119" w:rsidP="001E1F5A">
            <w:pPr>
              <w:jc w:val="center"/>
              <w:rPr>
                <w:color w:val="000000"/>
                <w:lang w:eastAsia="en-GB"/>
              </w:rPr>
            </w:pPr>
            <w:r>
              <w:rPr>
                <w:color w:val="000000"/>
                <w:lang w:eastAsia="en-GB"/>
              </w:rPr>
              <w:t>2.314</w:t>
            </w:r>
          </w:p>
        </w:tc>
        <w:tc>
          <w:tcPr>
            <w:tcW w:w="1291" w:type="dxa"/>
            <w:tcBorders>
              <w:top w:val="single" w:sz="4" w:space="0" w:color="auto"/>
              <w:left w:val="nil"/>
              <w:bottom w:val="single" w:sz="4" w:space="0" w:color="auto"/>
              <w:right w:val="single" w:sz="8" w:space="0" w:color="auto"/>
            </w:tcBorders>
            <w:vAlign w:val="bottom"/>
          </w:tcPr>
          <w:p w:rsidR="00E37119" w:rsidRDefault="00E37119" w:rsidP="00E37119">
            <w:pPr>
              <w:jc w:val="center"/>
              <w:rPr>
                <w:color w:val="000000"/>
                <w:lang w:eastAsia="en-GB"/>
              </w:rPr>
            </w:pPr>
            <w:r>
              <w:rPr>
                <w:color w:val="000000"/>
                <w:lang w:eastAsia="en-GB"/>
              </w:rPr>
              <w:t>12.4%</w:t>
            </w:r>
          </w:p>
        </w:tc>
      </w:tr>
    </w:tbl>
    <w:p w:rsidR="00736149" w:rsidRDefault="00736149" w:rsidP="00501000"/>
    <w:p w:rsidR="00951DF8" w:rsidRDefault="002F639F" w:rsidP="002F639F">
      <w:pPr>
        <w:pStyle w:val="Heading3"/>
      </w:pPr>
      <w:r>
        <w:t>Other heat loads</w:t>
      </w:r>
    </w:p>
    <w:p w:rsidR="00951DF8" w:rsidRDefault="00951DF8" w:rsidP="00951DF8">
      <w:r>
        <w:t xml:space="preserve">In order to compare the calculated reduction in heat gain through the insulation and the measured energy consumption, it was necessary to understand the other parasitic loads and heat gains on the system, such as defrost, evaporator fans, condenser fan and controller power.  These were identified through direct measurement of components and from the power trace recorded.  Table </w:t>
      </w:r>
      <w:r w:rsidR="003C5365">
        <w:t>5</w:t>
      </w:r>
      <w:r>
        <w:t xml:space="preserve"> below summarises the findings.</w:t>
      </w:r>
    </w:p>
    <w:p w:rsidR="00E37119" w:rsidRDefault="00E37119" w:rsidP="00E37119">
      <w:pPr>
        <w:pStyle w:val="Caption"/>
        <w:keepNext/>
      </w:pPr>
      <w:proofErr w:type="gramStart"/>
      <w:r>
        <w:t xml:space="preserve">Table </w:t>
      </w:r>
      <w:r w:rsidR="003C5365">
        <w:t>5</w:t>
      </w:r>
      <w:r>
        <w:t>.</w:t>
      </w:r>
      <w:proofErr w:type="gramEnd"/>
      <w:r>
        <w:t xml:space="preserve"> </w:t>
      </w:r>
      <w:r w:rsidRPr="00F73C9F">
        <w:rPr>
          <w:highlight w:val="yellow"/>
        </w:rPr>
        <w:t>Other heat and energy loads</w:t>
      </w:r>
      <w:r w:rsidR="006312F0" w:rsidRPr="00F73C9F">
        <w:rPr>
          <w:highlight w:val="yellow"/>
        </w:rPr>
        <w:t xml:space="preserve"> (W).</w:t>
      </w:r>
    </w:p>
    <w:p w:rsidR="00E37119" w:rsidRPr="00E37119" w:rsidRDefault="00E37119" w:rsidP="00E37119"/>
    <w:tbl>
      <w:tblPr>
        <w:tblW w:w="6097" w:type="dxa"/>
        <w:jc w:val="center"/>
        <w:tblInd w:w="-366" w:type="dxa"/>
        <w:tblLook w:val="00A0" w:firstRow="1" w:lastRow="0" w:firstColumn="1" w:lastColumn="0" w:noHBand="0" w:noVBand="0"/>
      </w:tblPr>
      <w:tblGrid>
        <w:gridCol w:w="3709"/>
        <w:gridCol w:w="1097"/>
        <w:gridCol w:w="1291"/>
      </w:tblGrid>
      <w:tr w:rsidR="00E37119" w:rsidRPr="00F66224" w:rsidTr="000B4870">
        <w:trPr>
          <w:trHeight w:val="300"/>
          <w:jc w:val="center"/>
        </w:trPr>
        <w:tc>
          <w:tcPr>
            <w:tcW w:w="3709" w:type="dxa"/>
            <w:tcBorders>
              <w:top w:val="nil"/>
              <w:bottom w:val="nil"/>
              <w:right w:val="nil"/>
            </w:tcBorders>
            <w:noWrap/>
            <w:vAlign w:val="bottom"/>
          </w:tcPr>
          <w:p w:rsidR="00E37119" w:rsidRPr="00F66224" w:rsidRDefault="00E37119" w:rsidP="000B4870">
            <w:pPr>
              <w:rPr>
                <w:color w:val="000000"/>
                <w:lang w:eastAsia="en-GB"/>
              </w:rPr>
            </w:pPr>
            <w:r w:rsidRPr="00F66224">
              <w:rPr>
                <w:color w:val="000000"/>
                <w:lang w:eastAsia="en-GB"/>
              </w:rPr>
              <w:t> </w:t>
            </w:r>
          </w:p>
        </w:tc>
        <w:tc>
          <w:tcPr>
            <w:tcW w:w="1097" w:type="dxa"/>
            <w:tcBorders>
              <w:top w:val="single" w:sz="8" w:space="0" w:color="auto"/>
              <w:left w:val="single" w:sz="8" w:space="0" w:color="auto"/>
              <w:bottom w:val="nil"/>
              <w:right w:val="single" w:sz="4" w:space="0" w:color="auto"/>
            </w:tcBorders>
            <w:noWrap/>
            <w:vAlign w:val="bottom"/>
          </w:tcPr>
          <w:p w:rsidR="00E37119" w:rsidRPr="00F66224" w:rsidRDefault="00E37119" w:rsidP="000B4870">
            <w:pPr>
              <w:jc w:val="center"/>
              <w:rPr>
                <w:b/>
                <w:bCs/>
                <w:color w:val="000000"/>
                <w:lang w:eastAsia="en-GB"/>
              </w:rPr>
            </w:pPr>
            <w:r>
              <w:rPr>
                <w:b/>
                <w:bCs/>
                <w:color w:val="000000"/>
                <w:lang w:eastAsia="en-GB"/>
              </w:rPr>
              <w:t>Fridge</w:t>
            </w:r>
          </w:p>
        </w:tc>
        <w:tc>
          <w:tcPr>
            <w:tcW w:w="1291" w:type="dxa"/>
            <w:tcBorders>
              <w:top w:val="single" w:sz="8" w:space="0" w:color="auto"/>
              <w:left w:val="nil"/>
              <w:bottom w:val="nil"/>
              <w:right w:val="single" w:sz="8" w:space="0" w:color="auto"/>
            </w:tcBorders>
            <w:noWrap/>
            <w:vAlign w:val="bottom"/>
          </w:tcPr>
          <w:p w:rsidR="00E37119" w:rsidRPr="00F66224" w:rsidRDefault="00E37119" w:rsidP="000B4870">
            <w:pPr>
              <w:jc w:val="center"/>
              <w:rPr>
                <w:b/>
                <w:bCs/>
                <w:color w:val="000000"/>
                <w:lang w:eastAsia="en-GB"/>
              </w:rPr>
            </w:pPr>
            <w:r>
              <w:rPr>
                <w:b/>
                <w:bCs/>
                <w:color w:val="000000"/>
                <w:lang w:eastAsia="en-GB"/>
              </w:rPr>
              <w:t>Freezer</w:t>
            </w:r>
          </w:p>
        </w:tc>
      </w:tr>
      <w:tr w:rsidR="00E37119" w:rsidRPr="00F66224" w:rsidTr="000B4870">
        <w:trPr>
          <w:trHeight w:val="300"/>
          <w:jc w:val="center"/>
        </w:trPr>
        <w:tc>
          <w:tcPr>
            <w:tcW w:w="3709" w:type="dxa"/>
            <w:tcBorders>
              <w:top w:val="single" w:sz="4" w:space="0" w:color="auto"/>
              <w:left w:val="single" w:sz="8" w:space="0" w:color="auto"/>
              <w:bottom w:val="single" w:sz="4" w:space="0" w:color="auto"/>
              <w:right w:val="nil"/>
            </w:tcBorders>
            <w:noWrap/>
            <w:vAlign w:val="bottom"/>
          </w:tcPr>
          <w:p w:rsidR="00E37119" w:rsidRPr="00E37119" w:rsidRDefault="00E37119" w:rsidP="000B4870">
            <w:pPr>
              <w:rPr>
                <w:b/>
                <w:bCs/>
                <w:color w:val="000000"/>
                <w:lang w:eastAsia="en-GB"/>
              </w:rPr>
            </w:pPr>
            <w:r>
              <w:rPr>
                <w:b/>
                <w:bCs/>
                <w:color w:val="000000"/>
                <w:lang w:eastAsia="en-GB"/>
              </w:rPr>
              <w:t>Defrost</w:t>
            </w:r>
            <w:r w:rsidR="006312F0">
              <w:rPr>
                <w:b/>
                <w:bCs/>
                <w:color w:val="000000"/>
                <w:lang w:eastAsia="en-GB"/>
              </w:rPr>
              <w:t xml:space="preserve">  (</w:t>
            </w:r>
            <w:proofErr w:type="spellStart"/>
            <w:r w:rsidR="006312F0">
              <w:rPr>
                <w:b/>
                <w:bCs/>
                <w:color w:val="000000"/>
                <w:lang w:eastAsia="en-GB"/>
              </w:rPr>
              <w:t>Wh</w:t>
            </w:r>
            <w:proofErr w:type="spellEnd"/>
            <w:r w:rsidR="006312F0">
              <w:rPr>
                <w:b/>
                <w:bCs/>
                <w:color w:val="000000"/>
                <w:lang w:eastAsia="en-GB"/>
              </w:rPr>
              <w:t xml:space="preserve">/h)  </w:t>
            </w:r>
            <w:r w:rsidR="006312F0" w:rsidRPr="006312F0">
              <w:rPr>
                <w:bCs/>
                <w:i/>
                <w:color w:val="000000"/>
                <w:lang w:eastAsia="en-GB"/>
              </w:rPr>
              <w:t>(Averaged over 24h)</w:t>
            </w:r>
          </w:p>
        </w:tc>
        <w:tc>
          <w:tcPr>
            <w:tcW w:w="1097" w:type="dxa"/>
            <w:tcBorders>
              <w:top w:val="single" w:sz="4" w:space="0" w:color="auto"/>
              <w:left w:val="single" w:sz="8" w:space="0" w:color="auto"/>
              <w:bottom w:val="single" w:sz="4" w:space="0" w:color="auto"/>
              <w:right w:val="single" w:sz="4" w:space="0" w:color="auto"/>
            </w:tcBorders>
            <w:noWrap/>
            <w:vAlign w:val="bottom"/>
          </w:tcPr>
          <w:p w:rsidR="00E37119" w:rsidRPr="00F66224" w:rsidRDefault="006312F0" w:rsidP="000B4870">
            <w:pPr>
              <w:jc w:val="center"/>
              <w:rPr>
                <w:color w:val="000000"/>
                <w:lang w:eastAsia="en-GB"/>
              </w:rPr>
            </w:pPr>
            <w:r>
              <w:rPr>
                <w:color w:val="000000"/>
                <w:lang w:eastAsia="en-GB"/>
              </w:rPr>
              <w:t>1.2</w:t>
            </w:r>
          </w:p>
        </w:tc>
        <w:tc>
          <w:tcPr>
            <w:tcW w:w="1291" w:type="dxa"/>
            <w:tcBorders>
              <w:top w:val="single" w:sz="4" w:space="0" w:color="auto"/>
              <w:left w:val="nil"/>
              <w:bottom w:val="single" w:sz="4" w:space="0" w:color="auto"/>
              <w:right w:val="single" w:sz="8" w:space="0" w:color="auto"/>
            </w:tcBorders>
            <w:noWrap/>
            <w:vAlign w:val="bottom"/>
          </w:tcPr>
          <w:p w:rsidR="00E37119" w:rsidRPr="00F66224" w:rsidRDefault="006312F0" w:rsidP="000B4870">
            <w:pPr>
              <w:jc w:val="center"/>
              <w:rPr>
                <w:color w:val="000000"/>
                <w:lang w:eastAsia="en-GB"/>
              </w:rPr>
            </w:pPr>
            <w:r>
              <w:rPr>
                <w:color w:val="000000"/>
                <w:lang w:eastAsia="en-GB"/>
              </w:rPr>
              <w:t>3.3</w:t>
            </w:r>
          </w:p>
        </w:tc>
      </w:tr>
      <w:tr w:rsidR="00E37119" w:rsidRPr="00F66224" w:rsidTr="000B4870">
        <w:trPr>
          <w:trHeight w:val="300"/>
          <w:jc w:val="center"/>
        </w:trPr>
        <w:tc>
          <w:tcPr>
            <w:tcW w:w="3709" w:type="dxa"/>
            <w:tcBorders>
              <w:top w:val="single" w:sz="4" w:space="0" w:color="auto"/>
              <w:left w:val="single" w:sz="8" w:space="0" w:color="auto"/>
              <w:bottom w:val="single" w:sz="4" w:space="0" w:color="auto"/>
              <w:right w:val="nil"/>
            </w:tcBorders>
            <w:noWrap/>
            <w:vAlign w:val="bottom"/>
          </w:tcPr>
          <w:p w:rsidR="00E37119" w:rsidRPr="000F46BA" w:rsidRDefault="00E37119" w:rsidP="000B4870">
            <w:pPr>
              <w:rPr>
                <w:bCs/>
                <w:color w:val="000000"/>
                <w:lang w:eastAsia="en-GB"/>
              </w:rPr>
            </w:pPr>
            <w:r>
              <w:rPr>
                <w:b/>
                <w:bCs/>
                <w:color w:val="000000"/>
                <w:lang w:eastAsia="en-GB"/>
              </w:rPr>
              <w:t>Seal</w:t>
            </w:r>
          </w:p>
        </w:tc>
        <w:tc>
          <w:tcPr>
            <w:tcW w:w="1097" w:type="dxa"/>
            <w:tcBorders>
              <w:top w:val="single" w:sz="4" w:space="0" w:color="auto"/>
              <w:left w:val="single" w:sz="8" w:space="0" w:color="auto"/>
              <w:bottom w:val="single" w:sz="4" w:space="0" w:color="auto"/>
              <w:right w:val="single" w:sz="4" w:space="0" w:color="auto"/>
            </w:tcBorders>
            <w:noWrap/>
            <w:vAlign w:val="bottom"/>
          </w:tcPr>
          <w:p w:rsidR="00E37119" w:rsidRPr="00F66224" w:rsidRDefault="006312F0" w:rsidP="000B4870">
            <w:pPr>
              <w:jc w:val="center"/>
              <w:rPr>
                <w:color w:val="000000"/>
                <w:lang w:eastAsia="en-GB"/>
              </w:rPr>
            </w:pPr>
            <w:r>
              <w:rPr>
                <w:color w:val="000000"/>
                <w:lang w:eastAsia="en-GB"/>
              </w:rPr>
              <w:t>5.6</w:t>
            </w:r>
          </w:p>
        </w:tc>
        <w:tc>
          <w:tcPr>
            <w:tcW w:w="1291" w:type="dxa"/>
            <w:tcBorders>
              <w:top w:val="single" w:sz="4" w:space="0" w:color="auto"/>
              <w:left w:val="nil"/>
              <w:bottom w:val="single" w:sz="4" w:space="0" w:color="auto"/>
              <w:right w:val="single" w:sz="8" w:space="0" w:color="auto"/>
            </w:tcBorders>
            <w:noWrap/>
            <w:vAlign w:val="bottom"/>
          </w:tcPr>
          <w:p w:rsidR="00E37119" w:rsidRPr="00F66224" w:rsidRDefault="006312F0" w:rsidP="000B4870">
            <w:pPr>
              <w:jc w:val="center"/>
              <w:rPr>
                <w:color w:val="000000"/>
                <w:lang w:eastAsia="en-GB"/>
              </w:rPr>
            </w:pPr>
            <w:r>
              <w:rPr>
                <w:color w:val="000000"/>
                <w:lang w:eastAsia="en-GB"/>
              </w:rPr>
              <w:t>8.5</w:t>
            </w:r>
          </w:p>
        </w:tc>
      </w:tr>
      <w:tr w:rsidR="006312F0" w:rsidRPr="00F66224" w:rsidTr="000B4870">
        <w:trPr>
          <w:trHeight w:val="300"/>
          <w:jc w:val="center"/>
        </w:trPr>
        <w:tc>
          <w:tcPr>
            <w:tcW w:w="3709" w:type="dxa"/>
            <w:tcBorders>
              <w:top w:val="single" w:sz="4" w:space="0" w:color="auto"/>
              <w:left w:val="single" w:sz="8" w:space="0" w:color="auto"/>
              <w:bottom w:val="single" w:sz="4" w:space="0" w:color="auto"/>
              <w:right w:val="nil"/>
            </w:tcBorders>
            <w:noWrap/>
            <w:vAlign w:val="bottom"/>
          </w:tcPr>
          <w:p w:rsidR="006312F0" w:rsidRDefault="002F639F" w:rsidP="000B4870">
            <w:pPr>
              <w:rPr>
                <w:b/>
                <w:bCs/>
                <w:color w:val="000000"/>
                <w:lang w:eastAsia="en-GB"/>
              </w:rPr>
            </w:pPr>
            <w:r>
              <w:rPr>
                <w:b/>
                <w:bCs/>
                <w:color w:val="000000"/>
                <w:lang w:eastAsia="en-GB"/>
              </w:rPr>
              <w:t>Seal heating</w:t>
            </w:r>
          </w:p>
        </w:tc>
        <w:tc>
          <w:tcPr>
            <w:tcW w:w="1097" w:type="dxa"/>
            <w:tcBorders>
              <w:top w:val="single" w:sz="4" w:space="0" w:color="auto"/>
              <w:left w:val="single" w:sz="8" w:space="0" w:color="auto"/>
              <w:bottom w:val="single" w:sz="4" w:space="0" w:color="auto"/>
              <w:right w:val="single" w:sz="4" w:space="0" w:color="auto"/>
            </w:tcBorders>
            <w:noWrap/>
            <w:vAlign w:val="bottom"/>
          </w:tcPr>
          <w:p w:rsidR="006312F0" w:rsidRPr="00F66224" w:rsidRDefault="006312F0" w:rsidP="000B4870">
            <w:pPr>
              <w:jc w:val="center"/>
              <w:rPr>
                <w:color w:val="000000"/>
                <w:lang w:eastAsia="en-GB"/>
              </w:rPr>
            </w:pPr>
            <w:r>
              <w:rPr>
                <w:color w:val="000000"/>
                <w:lang w:eastAsia="en-GB"/>
              </w:rPr>
              <w:t>9.6</w:t>
            </w:r>
          </w:p>
        </w:tc>
        <w:tc>
          <w:tcPr>
            <w:tcW w:w="1291" w:type="dxa"/>
            <w:tcBorders>
              <w:top w:val="single" w:sz="4" w:space="0" w:color="auto"/>
              <w:left w:val="nil"/>
              <w:bottom w:val="single" w:sz="4" w:space="0" w:color="auto"/>
              <w:right w:val="single" w:sz="8" w:space="0" w:color="auto"/>
            </w:tcBorders>
            <w:noWrap/>
            <w:vAlign w:val="bottom"/>
          </w:tcPr>
          <w:p w:rsidR="006312F0" w:rsidRDefault="006312F0" w:rsidP="000B4870">
            <w:pPr>
              <w:jc w:val="center"/>
              <w:rPr>
                <w:color w:val="000000"/>
                <w:lang w:eastAsia="en-GB"/>
              </w:rPr>
            </w:pPr>
            <w:r>
              <w:rPr>
                <w:color w:val="000000"/>
                <w:lang w:eastAsia="en-GB"/>
              </w:rPr>
              <w:t>9.6</w:t>
            </w:r>
          </w:p>
        </w:tc>
      </w:tr>
      <w:tr w:rsidR="00E37119" w:rsidRPr="00F66224" w:rsidTr="000B4870">
        <w:trPr>
          <w:trHeight w:val="300"/>
          <w:jc w:val="center"/>
        </w:trPr>
        <w:tc>
          <w:tcPr>
            <w:tcW w:w="3709" w:type="dxa"/>
            <w:tcBorders>
              <w:top w:val="single" w:sz="4" w:space="0" w:color="auto"/>
              <w:left w:val="single" w:sz="8" w:space="0" w:color="auto"/>
              <w:bottom w:val="single" w:sz="4" w:space="0" w:color="auto"/>
              <w:right w:val="nil"/>
            </w:tcBorders>
            <w:noWrap/>
            <w:vAlign w:val="bottom"/>
          </w:tcPr>
          <w:p w:rsidR="00E37119" w:rsidRDefault="00E37119" w:rsidP="000B4870">
            <w:pPr>
              <w:rPr>
                <w:b/>
                <w:bCs/>
                <w:color w:val="000000"/>
                <w:lang w:eastAsia="en-GB"/>
              </w:rPr>
            </w:pPr>
            <w:r>
              <w:rPr>
                <w:b/>
                <w:bCs/>
                <w:color w:val="000000"/>
                <w:lang w:eastAsia="en-GB"/>
              </w:rPr>
              <w:t>Evaporator fans</w:t>
            </w:r>
          </w:p>
        </w:tc>
        <w:tc>
          <w:tcPr>
            <w:tcW w:w="1097" w:type="dxa"/>
            <w:tcBorders>
              <w:top w:val="single" w:sz="4" w:space="0" w:color="auto"/>
              <w:left w:val="single" w:sz="8" w:space="0" w:color="auto"/>
              <w:bottom w:val="single" w:sz="4" w:space="0" w:color="auto"/>
              <w:right w:val="single" w:sz="4" w:space="0" w:color="auto"/>
            </w:tcBorders>
            <w:noWrap/>
            <w:vAlign w:val="bottom"/>
          </w:tcPr>
          <w:p w:rsidR="00E37119" w:rsidRDefault="006312F0" w:rsidP="000B4870">
            <w:pPr>
              <w:jc w:val="center"/>
              <w:rPr>
                <w:color w:val="000000"/>
                <w:lang w:eastAsia="en-GB"/>
              </w:rPr>
            </w:pPr>
            <w:r>
              <w:rPr>
                <w:color w:val="000000"/>
                <w:lang w:eastAsia="en-GB"/>
              </w:rPr>
              <w:t>2.7</w:t>
            </w:r>
          </w:p>
        </w:tc>
        <w:tc>
          <w:tcPr>
            <w:tcW w:w="1291" w:type="dxa"/>
            <w:tcBorders>
              <w:top w:val="single" w:sz="4" w:space="0" w:color="auto"/>
              <w:left w:val="nil"/>
              <w:bottom w:val="single" w:sz="4" w:space="0" w:color="auto"/>
              <w:right w:val="single" w:sz="8" w:space="0" w:color="auto"/>
            </w:tcBorders>
            <w:noWrap/>
            <w:vAlign w:val="bottom"/>
          </w:tcPr>
          <w:p w:rsidR="00E37119" w:rsidRDefault="006312F0" w:rsidP="000B4870">
            <w:pPr>
              <w:jc w:val="center"/>
              <w:rPr>
                <w:color w:val="000000"/>
                <w:lang w:eastAsia="en-GB"/>
              </w:rPr>
            </w:pPr>
            <w:r>
              <w:rPr>
                <w:color w:val="000000"/>
                <w:lang w:eastAsia="en-GB"/>
              </w:rPr>
              <w:t>2.7</w:t>
            </w:r>
          </w:p>
        </w:tc>
      </w:tr>
      <w:tr w:rsidR="00E37119" w:rsidRPr="00F66224" w:rsidTr="000B4870">
        <w:trPr>
          <w:trHeight w:val="300"/>
          <w:jc w:val="center"/>
        </w:trPr>
        <w:tc>
          <w:tcPr>
            <w:tcW w:w="3709" w:type="dxa"/>
            <w:tcBorders>
              <w:top w:val="single" w:sz="4" w:space="0" w:color="auto"/>
              <w:left w:val="single" w:sz="8" w:space="0" w:color="auto"/>
              <w:bottom w:val="single" w:sz="4" w:space="0" w:color="auto"/>
              <w:right w:val="nil"/>
            </w:tcBorders>
            <w:noWrap/>
            <w:vAlign w:val="bottom"/>
          </w:tcPr>
          <w:p w:rsidR="00E37119" w:rsidRDefault="00E37119" w:rsidP="000B4870">
            <w:pPr>
              <w:rPr>
                <w:b/>
                <w:bCs/>
                <w:color w:val="000000"/>
                <w:lang w:eastAsia="en-GB"/>
              </w:rPr>
            </w:pPr>
            <w:r>
              <w:rPr>
                <w:b/>
                <w:bCs/>
                <w:color w:val="000000"/>
                <w:lang w:eastAsia="en-GB"/>
              </w:rPr>
              <w:t>Condenser fan</w:t>
            </w:r>
          </w:p>
        </w:tc>
        <w:tc>
          <w:tcPr>
            <w:tcW w:w="1097" w:type="dxa"/>
            <w:tcBorders>
              <w:top w:val="single" w:sz="4" w:space="0" w:color="auto"/>
              <w:left w:val="single" w:sz="8" w:space="0" w:color="auto"/>
              <w:bottom w:val="single" w:sz="4" w:space="0" w:color="auto"/>
              <w:right w:val="single" w:sz="4" w:space="0" w:color="auto"/>
            </w:tcBorders>
            <w:noWrap/>
            <w:vAlign w:val="bottom"/>
          </w:tcPr>
          <w:p w:rsidR="00E37119" w:rsidRDefault="006312F0" w:rsidP="000B4870">
            <w:pPr>
              <w:jc w:val="center"/>
              <w:rPr>
                <w:color w:val="000000"/>
                <w:lang w:eastAsia="en-GB"/>
              </w:rPr>
            </w:pPr>
            <w:r>
              <w:rPr>
                <w:color w:val="000000"/>
                <w:lang w:eastAsia="en-GB"/>
              </w:rPr>
              <w:t>6</w:t>
            </w:r>
          </w:p>
        </w:tc>
        <w:tc>
          <w:tcPr>
            <w:tcW w:w="1291" w:type="dxa"/>
            <w:tcBorders>
              <w:top w:val="single" w:sz="4" w:space="0" w:color="auto"/>
              <w:left w:val="nil"/>
              <w:bottom w:val="single" w:sz="4" w:space="0" w:color="auto"/>
              <w:right w:val="single" w:sz="8" w:space="0" w:color="auto"/>
            </w:tcBorders>
            <w:noWrap/>
            <w:vAlign w:val="bottom"/>
          </w:tcPr>
          <w:p w:rsidR="00E37119" w:rsidRDefault="006312F0" w:rsidP="000B4870">
            <w:pPr>
              <w:jc w:val="center"/>
              <w:rPr>
                <w:color w:val="000000"/>
                <w:lang w:eastAsia="en-GB"/>
              </w:rPr>
            </w:pPr>
            <w:r>
              <w:rPr>
                <w:color w:val="000000"/>
                <w:lang w:eastAsia="en-GB"/>
              </w:rPr>
              <w:t>6</w:t>
            </w:r>
          </w:p>
        </w:tc>
      </w:tr>
      <w:tr w:rsidR="006312F0" w:rsidRPr="00F66224" w:rsidTr="000B4870">
        <w:trPr>
          <w:trHeight w:val="300"/>
          <w:jc w:val="center"/>
        </w:trPr>
        <w:tc>
          <w:tcPr>
            <w:tcW w:w="3709" w:type="dxa"/>
            <w:tcBorders>
              <w:top w:val="single" w:sz="4" w:space="0" w:color="auto"/>
              <w:left w:val="single" w:sz="8" w:space="0" w:color="auto"/>
              <w:bottom w:val="single" w:sz="4" w:space="0" w:color="auto"/>
              <w:right w:val="nil"/>
            </w:tcBorders>
            <w:noWrap/>
            <w:vAlign w:val="bottom"/>
          </w:tcPr>
          <w:p w:rsidR="006312F0" w:rsidRDefault="006312F0" w:rsidP="000B4870">
            <w:pPr>
              <w:rPr>
                <w:b/>
                <w:bCs/>
                <w:color w:val="000000"/>
                <w:lang w:eastAsia="en-GB"/>
              </w:rPr>
            </w:pPr>
            <w:r>
              <w:rPr>
                <w:b/>
                <w:bCs/>
                <w:color w:val="000000"/>
                <w:lang w:eastAsia="en-GB"/>
              </w:rPr>
              <w:t>Controller</w:t>
            </w:r>
          </w:p>
        </w:tc>
        <w:tc>
          <w:tcPr>
            <w:tcW w:w="1097" w:type="dxa"/>
            <w:tcBorders>
              <w:top w:val="single" w:sz="4" w:space="0" w:color="auto"/>
              <w:left w:val="single" w:sz="8" w:space="0" w:color="auto"/>
              <w:bottom w:val="single" w:sz="4" w:space="0" w:color="auto"/>
              <w:right w:val="single" w:sz="4" w:space="0" w:color="auto"/>
            </w:tcBorders>
            <w:noWrap/>
            <w:vAlign w:val="bottom"/>
          </w:tcPr>
          <w:p w:rsidR="006312F0" w:rsidRDefault="006312F0" w:rsidP="000B4870">
            <w:pPr>
              <w:jc w:val="center"/>
              <w:rPr>
                <w:color w:val="000000"/>
                <w:lang w:eastAsia="en-GB"/>
              </w:rPr>
            </w:pPr>
            <w:r>
              <w:rPr>
                <w:color w:val="000000"/>
                <w:lang w:eastAsia="en-GB"/>
              </w:rPr>
              <w:t>0.6</w:t>
            </w:r>
          </w:p>
        </w:tc>
        <w:tc>
          <w:tcPr>
            <w:tcW w:w="1291" w:type="dxa"/>
            <w:tcBorders>
              <w:top w:val="single" w:sz="4" w:space="0" w:color="auto"/>
              <w:left w:val="nil"/>
              <w:bottom w:val="single" w:sz="4" w:space="0" w:color="auto"/>
              <w:right w:val="single" w:sz="8" w:space="0" w:color="auto"/>
            </w:tcBorders>
            <w:noWrap/>
            <w:vAlign w:val="bottom"/>
          </w:tcPr>
          <w:p w:rsidR="006312F0" w:rsidRDefault="006312F0" w:rsidP="000B4870">
            <w:pPr>
              <w:jc w:val="center"/>
              <w:rPr>
                <w:color w:val="000000"/>
                <w:lang w:eastAsia="en-GB"/>
              </w:rPr>
            </w:pPr>
            <w:r>
              <w:rPr>
                <w:color w:val="000000"/>
                <w:lang w:eastAsia="en-GB"/>
              </w:rPr>
              <w:t>0.6</w:t>
            </w:r>
          </w:p>
        </w:tc>
      </w:tr>
    </w:tbl>
    <w:p w:rsidR="00951DF8" w:rsidRDefault="00951DF8" w:rsidP="00501000"/>
    <w:p w:rsidR="00E37119" w:rsidRDefault="00E37119" w:rsidP="00501000"/>
    <w:p w:rsidR="00736149" w:rsidRDefault="00736149" w:rsidP="007F65B6">
      <w:pPr>
        <w:pStyle w:val="Heading2"/>
      </w:pPr>
      <w:r>
        <w:t>Payback time</w:t>
      </w:r>
    </w:p>
    <w:p w:rsidR="00605AEE" w:rsidRDefault="00605AEE" w:rsidP="00EC3223">
      <w:r>
        <w:t>The energy savings measured were 0.133 and 0.329 kWh/24h for the fridge and freezer respectively.  The cost of the VIP panel</w:t>
      </w:r>
      <w:r w:rsidR="00DB7321">
        <w:t xml:space="preserve"> sets</w:t>
      </w:r>
      <w:r>
        <w:t xml:space="preserve"> installed was quoted as </w:t>
      </w:r>
      <w:r w:rsidR="00DB7321">
        <w:rPr>
          <w:rFonts w:cs="Times New Roman"/>
        </w:rPr>
        <w:t>£43.20</w:t>
      </w:r>
      <w:r>
        <w:t xml:space="preserve"> </w:t>
      </w:r>
      <w:r w:rsidR="00DB7321">
        <w:t xml:space="preserve">each </w:t>
      </w:r>
      <w:r>
        <w:t xml:space="preserve">in </w:t>
      </w:r>
      <w:r w:rsidR="00DB7321">
        <w:t>production quantities</w:t>
      </w:r>
      <w:r>
        <w:t>.</w:t>
      </w:r>
      <w:r w:rsidR="00DB7321">
        <w:t xml:space="preserve">  At a typical energy price of 11.64p/kWh</w:t>
      </w:r>
      <w:r w:rsidR="005C78F7">
        <w:t xml:space="preserve"> (Energy Saving Trust, 2014)</w:t>
      </w:r>
      <w:r w:rsidR="00DB7321">
        <w:t xml:space="preserve">, the payback time for the VIPs would be 7.6 and 3.1 years for the fridge and freezer respectively. </w:t>
      </w:r>
    </w:p>
    <w:p w:rsidR="00535ED8" w:rsidRDefault="00535ED8" w:rsidP="00EC3223"/>
    <w:p w:rsidR="00B47412" w:rsidRDefault="00B47412">
      <w:pPr>
        <w:rPr>
          <w:rFonts w:ascii="Times" w:eastAsia="Times New Roman" w:hAnsi="Times" w:cs="Cambria"/>
          <w:b/>
          <w:bCs/>
          <w:caps/>
          <w:sz w:val="24"/>
          <w:szCs w:val="28"/>
        </w:rPr>
      </w:pPr>
      <w:r>
        <w:br w:type="page"/>
      </w:r>
    </w:p>
    <w:p w:rsidR="00951DF8" w:rsidRDefault="00951DF8" w:rsidP="007F65B6">
      <w:pPr>
        <w:pStyle w:val="Heading1"/>
      </w:pPr>
      <w:r>
        <w:lastRenderedPageBreak/>
        <w:t>Discussion</w:t>
      </w:r>
    </w:p>
    <w:p w:rsidR="00951DF8" w:rsidRDefault="00951DF8" w:rsidP="00951DF8"/>
    <w:p w:rsidR="002F639F" w:rsidRDefault="002F639F" w:rsidP="002F639F">
      <w:r>
        <w:t xml:space="preserve">Table </w:t>
      </w:r>
      <w:r w:rsidR="003C5365">
        <w:t>6</w:t>
      </w:r>
      <w:r>
        <w:t xml:space="preserve"> presents the COPs calculated from the measured energy data and the calculated heat gains from the thermal modelling.  The COP values presented were calculated as total heat gain to the cold space divided by the power supplied to the compressor.  It was expected that the COP of the refrigeration system would not alter as a result of installing the VIPs.  Furthermore, </w:t>
      </w:r>
      <w:r w:rsidRPr="00F73C9F">
        <w:rPr>
          <w:highlight w:val="yellow"/>
        </w:rPr>
        <w:t>based on the manufacturer’s data sheet COPs of around 1.</w:t>
      </w:r>
      <w:r w:rsidR="001669F5" w:rsidRPr="00F73C9F">
        <w:rPr>
          <w:highlight w:val="yellow"/>
        </w:rPr>
        <w:t>8</w:t>
      </w:r>
      <w:r w:rsidRPr="00F73C9F">
        <w:rPr>
          <w:highlight w:val="yellow"/>
        </w:rPr>
        <w:t xml:space="preserve"> and 0.9 were expected for the fridge and freezer respectively.</w:t>
      </w:r>
    </w:p>
    <w:p w:rsidR="002F639F" w:rsidRDefault="002F639F" w:rsidP="00951DF8"/>
    <w:p w:rsidR="00E37119" w:rsidRDefault="00E37119" w:rsidP="00E37119">
      <w:pPr>
        <w:pStyle w:val="Caption"/>
        <w:keepNext/>
      </w:pPr>
      <w:proofErr w:type="gramStart"/>
      <w:r>
        <w:t xml:space="preserve">Table </w:t>
      </w:r>
      <w:r w:rsidR="003C5365">
        <w:t>6</w:t>
      </w:r>
      <w:r>
        <w:t>.</w:t>
      </w:r>
      <w:proofErr w:type="gramEnd"/>
      <w:r>
        <w:t xml:space="preserve"> </w:t>
      </w:r>
      <w:r w:rsidR="009C5EF0">
        <w:t>Compressor</w:t>
      </w:r>
      <w:r>
        <w:t xml:space="preserve"> COPs</w:t>
      </w:r>
      <w:r w:rsidR="009C5EF0">
        <w:t xml:space="preserve"> calculated from measured power and modelled heat gains</w:t>
      </w:r>
      <w:r>
        <w:t>.</w:t>
      </w:r>
    </w:p>
    <w:p w:rsidR="00E37119" w:rsidRPr="00E37119" w:rsidRDefault="00E37119" w:rsidP="00E37119"/>
    <w:tbl>
      <w:tblPr>
        <w:tblW w:w="7388" w:type="dxa"/>
        <w:jc w:val="center"/>
        <w:tblInd w:w="-366" w:type="dxa"/>
        <w:tblLook w:val="00A0" w:firstRow="1" w:lastRow="0" w:firstColumn="1" w:lastColumn="0" w:noHBand="0" w:noVBand="0"/>
      </w:tblPr>
      <w:tblGrid>
        <w:gridCol w:w="3709"/>
        <w:gridCol w:w="1097"/>
        <w:gridCol w:w="1291"/>
        <w:gridCol w:w="1291"/>
      </w:tblGrid>
      <w:tr w:rsidR="00814E7B" w:rsidRPr="00F66224" w:rsidTr="00814E7B">
        <w:trPr>
          <w:trHeight w:val="300"/>
          <w:jc w:val="center"/>
        </w:trPr>
        <w:tc>
          <w:tcPr>
            <w:tcW w:w="3709" w:type="dxa"/>
            <w:tcBorders>
              <w:top w:val="nil"/>
              <w:bottom w:val="nil"/>
              <w:right w:val="nil"/>
            </w:tcBorders>
            <w:noWrap/>
            <w:vAlign w:val="bottom"/>
          </w:tcPr>
          <w:p w:rsidR="00814E7B" w:rsidRPr="00F66224" w:rsidRDefault="00814E7B" w:rsidP="00837B19">
            <w:pPr>
              <w:rPr>
                <w:color w:val="000000"/>
                <w:lang w:eastAsia="en-GB"/>
              </w:rPr>
            </w:pPr>
            <w:r w:rsidRPr="00F66224">
              <w:rPr>
                <w:color w:val="000000"/>
                <w:lang w:eastAsia="en-GB"/>
              </w:rPr>
              <w:t> </w:t>
            </w:r>
          </w:p>
        </w:tc>
        <w:tc>
          <w:tcPr>
            <w:tcW w:w="1097" w:type="dxa"/>
            <w:tcBorders>
              <w:top w:val="single" w:sz="8" w:space="0" w:color="auto"/>
              <w:left w:val="single" w:sz="8" w:space="0" w:color="auto"/>
              <w:bottom w:val="nil"/>
              <w:right w:val="single" w:sz="4" w:space="0" w:color="auto"/>
            </w:tcBorders>
            <w:noWrap/>
            <w:vAlign w:val="bottom"/>
          </w:tcPr>
          <w:p w:rsidR="00814E7B" w:rsidRPr="00F66224" w:rsidRDefault="00814E7B" w:rsidP="00837B19">
            <w:pPr>
              <w:jc w:val="center"/>
              <w:rPr>
                <w:b/>
                <w:bCs/>
                <w:color w:val="000000"/>
                <w:lang w:eastAsia="en-GB"/>
              </w:rPr>
            </w:pPr>
            <w:r w:rsidRPr="00F66224">
              <w:rPr>
                <w:b/>
                <w:bCs/>
                <w:color w:val="000000"/>
                <w:lang w:eastAsia="en-GB"/>
              </w:rPr>
              <w:t>Standard</w:t>
            </w:r>
          </w:p>
        </w:tc>
        <w:tc>
          <w:tcPr>
            <w:tcW w:w="1291" w:type="dxa"/>
            <w:tcBorders>
              <w:top w:val="single" w:sz="8" w:space="0" w:color="auto"/>
              <w:left w:val="nil"/>
              <w:bottom w:val="nil"/>
              <w:right w:val="single" w:sz="8" w:space="0" w:color="auto"/>
            </w:tcBorders>
            <w:noWrap/>
            <w:vAlign w:val="bottom"/>
          </w:tcPr>
          <w:p w:rsidR="00814E7B" w:rsidRPr="00F66224" w:rsidRDefault="00814E7B" w:rsidP="00837B19">
            <w:pPr>
              <w:jc w:val="center"/>
              <w:rPr>
                <w:b/>
                <w:bCs/>
                <w:color w:val="000000"/>
                <w:lang w:eastAsia="en-GB"/>
              </w:rPr>
            </w:pPr>
            <w:r w:rsidRPr="00F66224">
              <w:rPr>
                <w:b/>
                <w:bCs/>
                <w:color w:val="000000"/>
                <w:lang w:eastAsia="en-GB"/>
              </w:rPr>
              <w:t>VIP</w:t>
            </w:r>
          </w:p>
        </w:tc>
        <w:tc>
          <w:tcPr>
            <w:tcW w:w="1291" w:type="dxa"/>
            <w:tcBorders>
              <w:top w:val="single" w:sz="8" w:space="0" w:color="auto"/>
              <w:left w:val="nil"/>
              <w:bottom w:val="nil"/>
              <w:right w:val="single" w:sz="8" w:space="0" w:color="auto"/>
            </w:tcBorders>
            <w:vAlign w:val="bottom"/>
          </w:tcPr>
          <w:p w:rsidR="00814E7B" w:rsidRPr="00F66224" w:rsidRDefault="00814E7B" w:rsidP="00814E7B">
            <w:pPr>
              <w:jc w:val="center"/>
              <w:rPr>
                <w:b/>
                <w:bCs/>
                <w:color w:val="000000"/>
                <w:lang w:eastAsia="en-GB"/>
              </w:rPr>
            </w:pPr>
            <w:r>
              <w:rPr>
                <w:b/>
                <w:bCs/>
                <w:color w:val="000000"/>
                <w:lang w:eastAsia="en-GB"/>
              </w:rPr>
              <w:t>Expected</w:t>
            </w:r>
          </w:p>
        </w:tc>
      </w:tr>
      <w:tr w:rsidR="00814E7B" w:rsidRPr="00F66224" w:rsidTr="00814E7B">
        <w:trPr>
          <w:trHeight w:val="300"/>
          <w:jc w:val="center"/>
        </w:trPr>
        <w:tc>
          <w:tcPr>
            <w:tcW w:w="3709" w:type="dxa"/>
            <w:tcBorders>
              <w:top w:val="single" w:sz="4" w:space="0" w:color="auto"/>
              <w:left w:val="single" w:sz="8" w:space="0" w:color="auto"/>
              <w:bottom w:val="single" w:sz="4" w:space="0" w:color="auto"/>
              <w:right w:val="nil"/>
            </w:tcBorders>
            <w:noWrap/>
            <w:vAlign w:val="bottom"/>
          </w:tcPr>
          <w:p w:rsidR="00814E7B" w:rsidRPr="00E37119" w:rsidRDefault="00814E7B" w:rsidP="00837B19">
            <w:pPr>
              <w:rPr>
                <w:b/>
                <w:bCs/>
                <w:color w:val="000000"/>
                <w:lang w:eastAsia="en-GB"/>
              </w:rPr>
            </w:pPr>
            <w:r>
              <w:rPr>
                <w:b/>
                <w:bCs/>
                <w:color w:val="000000"/>
                <w:lang w:eastAsia="en-GB"/>
              </w:rPr>
              <w:t>Fridge</w:t>
            </w:r>
          </w:p>
        </w:tc>
        <w:tc>
          <w:tcPr>
            <w:tcW w:w="1097" w:type="dxa"/>
            <w:tcBorders>
              <w:top w:val="single" w:sz="4" w:space="0" w:color="auto"/>
              <w:left w:val="single" w:sz="8" w:space="0" w:color="auto"/>
              <w:bottom w:val="single" w:sz="4" w:space="0" w:color="auto"/>
              <w:right w:val="single" w:sz="4" w:space="0" w:color="auto"/>
            </w:tcBorders>
            <w:noWrap/>
            <w:vAlign w:val="bottom"/>
          </w:tcPr>
          <w:p w:rsidR="00814E7B" w:rsidRPr="00F66224" w:rsidRDefault="00814E7B" w:rsidP="00837B19">
            <w:pPr>
              <w:jc w:val="center"/>
              <w:rPr>
                <w:color w:val="000000"/>
                <w:lang w:eastAsia="en-GB"/>
              </w:rPr>
            </w:pPr>
            <w:r>
              <w:rPr>
                <w:color w:val="000000"/>
                <w:lang w:eastAsia="en-GB"/>
              </w:rPr>
              <w:t>1.57</w:t>
            </w:r>
          </w:p>
        </w:tc>
        <w:tc>
          <w:tcPr>
            <w:tcW w:w="1291" w:type="dxa"/>
            <w:tcBorders>
              <w:top w:val="single" w:sz="4" w:space="0" w:color="auto"/>
              <w:left w:val="nil"/>
              <w:bottom w:val="single" w:sz="4" w:space="0" w:color="auto"/>
              <w:right w:val="single" w:sz="8" w:space="0" w:color="auto"/>
            </w:tcBorders>
            <w:noWrap/>
            <w:vAlign w:val="bottom"/>
          </w:tcPr>
          <w:p w:rsidR="00814E7B" w:rsidRPr="00F66224" w:rsidRDefault="00814E7B" w:rsidP="00837B19">
            <w:pPr>
              <w:jc w:val="center"/>
              <w:rPr>
                <w:color w:val="000000"/>
                <w:lang w:eastAsia="en-GB"/>
              </w:rPr>
            </w:pPr>
            <w:r>
              <w:rPr>
                <w:color w:val="000000"/>
                <w:lang w:eastAsia="en-GB"/>
              </w:rPr>
              <w:t>1.71</w:t>
            </w:r>
          </w:p>
        </w:tc>
        <w:tc>
          <w:tcPr>
            <w:tcW w:w="1291" w:type="dxa"/>
            <w:tcBorders>
              <w:top w:val="single" w:sz="4" w:space="0" w:color="auto"/>
              <w:left w:val="nil"/>
              <w:bottom w:val="single" w:sz="4" w:space="0" w:color="auto"/>
              <w:right w:val="single" w:sz="8" w:space="0" w:color="auto"/>
            </w:tcBorders>
            <w:vAlign w:val="bottom"/>
          </w:tcPr>
          <w:p w:rsidR="00814E7B" w:rsidRDefault="00814E7B" w:rsidP="00814E7B">
            <w:pPr>
              <w:jc w:val="center"/>
              <w:rPr>
                <w:color w:val="000000"/>
                <w:lang w:eastAsia="en-GB"/>
              </w:rPr>
            </w:pPr>
            <w:r>
              <w:rPr>
                <w:color w:val="000000"/>
                <w:lang w:eastAsia="en-GB"/>
              </w:rPr>
              <w:t>1.8</w:t>
            </w:r>
          </w:p>
        </w:tc>
      </w:tr>
      <w:tr w:rsidR="00814E7B" w:rsidRPr="00F66224" w:rsidTr="00814E7B">
        <w:trPr>
          <w:trHeight w:val="300"/>
          <w:jc w:val="center"/>
        </w:trPr>
        <w:tc>
          <w:tcPr>
            <w:tcW w:w="3709" w:type="dxa"/>
            <w:tcBorders>
              <w:top w:val="single" w:sz="4" w:space="0" w:color="auto"/>
              <w:left w:val="single" w:sz="8" w:space="0" w:color="auto"/>
              <w:bottom w:val="single" w:sz="4" w:space="0" w:color="auto"/>
              <w:right w:val="nil"/>
            </w:tcBorders>
            <w:noWrap/>
            <w:vAlign w:val="bottom"/>
          </w:tcPr>
          <w:p w:rsidR="00814E7B" w:rsidRPr="000F46BA" w:rsidRDefault="00814E7B" w:rsidP="00837B19">
            <w:pPr>
              <w:rPr>
                <w:bCs/>
                <w:color w:val="000000"/>
                <w:lang w:eastAsia="en-GB"/>
              </w:rPr>
            </w:pPr>
            <w:r>
              <w:rPr>
                <w:b/>
                <w:bCs/>
                <w:color w:val="000000"/>
                <w:lang w:eastAsia="en-GB"/>
              </w:rPr>
              <w:t>Freezer</w:t>
            </w:r>
          </w:p>
        </w:tc>
        <w:tc>
          <w:tcPr>
            <w:tcW w:w="1097" w:type="dxa"/>
            <w:tcBorders>
              <w:top w:val="single" w:sz="4" w:space="0" w:color="auto"/>
              <w:left w:val="single" w:sz="8" w:space="0" w:color="auto"/>
              <w:bottom w:val="single" w:sz="4" w:space="0" w:color="auto"/>
              <w:right w:val="single" w:sz="4" w:space="0" w:color="auto"/>
            </w:tcBorders>
            <w:noWrap/>
            <w:vAlign w:val="bottom"/>
          </w:tcPr>
          <w:p w:rsidR="00814E7B" w:rsidRPr="00F66224" w:rsidRDefault="00814E7B" w:rsidP="002F639F">
            <w:pPr>
              <w:jc w:val="center"/>
              <w:rPr>
                <w:color w:val="000000"/>
                <w:lang w:eastAsia="en-GB"/>
              </w:rPr>
            </w:pPr>
            <w:r>
              <w:rPr>
                <w:color w:val="000000"/>
                <w:lang w:eastAsia="en-GB"/>
              </w:rPr>
              <w:t>0.64</w:t>
            </w:r>
          </w:p>
        </w:tc>
        <w:tc>
          <w:tcPr>
            <w:tcW w:w="1291" w:type="dxa"/>
            <w:tcBorders>
              <w:top w:val="single" w:sz="4" w:space="0" w:color="auto"/>
              <w:left w:val="nil"/>
              <w:bottom w:val="single" w:sz="4" w:space="0" w:color="auto"/>
              <w:right w:val="single" w:sz="8" w:space="0" w:color="auto"/>
            </w:tcBorders>
            <w:noWrap/>
            <w:vAlign w:val="bottom"/>
          </w:tcPr>
          <w:p w:rsidR="00814E7B" w:rsidRPr="00F66224" w:rsidRDefault="00814E7B" w:rsidP="00837B19">
            <w:pPr>
              <w:jc w:val="center"/>
              <w:rPr>
                <w:color w:val="000000"/>
                <w:lang w:eastAsia="en-GB"/>
              </w:rPr>
            </w:pPr>
            <w:r>
              <w:rPr>
                <w:color w:val="000000"/>
                <w:lang w:eastAsia="en-GB"/>
              </w:rPr>
              <w:t>0.59</w:t>
            </w:r>
          </w:p>
        </w:tc>
        <w:tc>
          <w:tcPr>
            <w:tcW w:w="1291" w:type="dxa"/>
            <w:tcBorders>
              <w:top w:val="single" w:sz="4" w:space="0" w:color="auto"/>
              <w:left w:val="nil"/>
              <w:bottom w:val="single" w:sz="4" w:space="0" w:color="auto"/>
              <w:right w:val="single" w:sz="8" w:space="0" w:color="auto"/>
            </w:tcBorders>
            <w:vAlign w:val="bottom"/>
          </w:tcPr>
          <w:p w:rsidR="00814E7B" w:rsidRDefault="00814E7B" w:rsidP="00814E7B">
            <w:pPr>
              <w:jc w:val="center"/>
              <w:rPr>
                <w:color w:val="000000"/>
                <w:lang w:eastAsia="en-GB"/>
              </w:rPr>
            </w:pPr>
            <w:r>
              <w:rPr>
                <w:color w:val="000000"/>
                <w:lang w:eastAsia="en-GB"/>
              </w:rPr>
              <w:t>0.9</w:t>
            </w:r>
          </w:p>
        </w:tc>
      </w:tr>
    </w:tbl>
    <w:p w:rsidR="000F46BA" w:rsidRDefault="000F46BA" w:rsidP="00951DF8"/>
    <w:p w:rsidR="00605AEE" w:rsidRDefault="00605AEE" w:rsidP="00951DF8">
      <w:r w:rsidRPr="001F67D9">
        <w:rPr>
          <w:highlight w:val="yellow"/>
        </w:rPr>
        <w:t xml:space="preserve">Discrepancies in the COP values </w:t>
      </w:r>
      <w:r w:rsidR="002E23EC" w:rsidRPr="001F67D9">
        <w:rPr>
          <w:highlight w:val="yellow"/>
        </w:rPr>
        <w:t>could have arisen from inaccuracies in the thermal model or other un-accounted for heat gains to the system such as off-cycle losses; further investigation is required</w:t>
      </w:r>
      <w:bookmarkStart w:id="8" w:name="_GoBack"/>
      <w:bookmarkEnd w:id="8"/>
      <w:r w:rsidR="002E23EC">
        <w:t>.</w:t>
      </w:r>
    </w:p>
    <w:p w:rsidR="00892920" w:rsidRDefault="000A05BC" w:rsidP="00951DF8">
      <w:r>
        <w:t>Despite the notable errors in the COPs from the measured data, the resulting saving was close to that expected; b</w:t>
      </w:r>
      <w:r w:rsidR="00892920">
        <w:t>ased on the expected COPs of 1.</w:t>
      </w:r>
      <w:r w:rsidR="001669F5">
        <w:t>8</w:t>
      </w:r>
      <w:r w:rsidR="00892920">
        <w:t xml:space="preserve"> and 0.9 and the reduction in heat gain </w:t>
      </w:r>
      <w:r>
        <w:t>from the FEA model</w:t>
      </w:r>
      <w:r w:rsidR="00892920">
        <w:t xml:space="preserve"> </w:t>
      </w:r>
      <w:r>
        <w:t xml:space="preserve">of </w:t>
      </w:r>
      <w:r w:rsidR="001669F5">
        <w:t>6.3 and 12.2</w:t>
      </w:r>
      <w:r w:rsidR="00531A8E">
        <w:t xml:space="preserve"> </w:t>
      </w:r>
      <w:r w:rsidR="001669F5">
        <w:t xml:space="preserve">W for the fridge and freezer respectively, the energy savings expected </w:t>
      </w:r>
      <w:r w:rsidR="001669F5" w:rsidRPr="001669F5">
        <w:t>were 0.084</w:t>
      </w:r>
      <w:r w:rsidR="001669F5">
        <w:t xml:space="preserve"> and 0.325 kWh/24h</w:t>
      </w:r>
      <w:r w:rsidR="00814E7B">
        <w:t>.  Comparing</w:t>
      </w:r>
      <w:r w:rsidR="001669F5">
        <w:t xml:space="preserve"> to</w:t>
      </w:r>
      <w:r w:rsidR="00814E7B">
        <w:t xml:space="preserve"> the measured energy saving, it can be seen that the savings achieved in freezer mode were very close (0.2</w:t>
      </w:r>
      <w:r w:rsidR="00531A8E">
        <w:t xml:space="preserve"> </w:t>
      </w:r>
      <w:r w:rsidR="00814E7B">
        <w:t xml:space="preserve">W </w:t>
      </w:r>
      <w:proofErr w:type="gramStart"/>
      <w:r w:rsidR="00814E7B">
        <w:t>difference</w:t>
      </w:r>
      <w:proofErr w:type="gramEnd"/>
      <w:r w:rsidR="00814E7B">
        <w:t xml:space="preserve">) and were slightly </w:t>
      </w:r>
      <w:r>
        <w:t xml:space="preserve">better </w:t>
      </w:r>
      <w:r w:rsidR="00814E7B">
        <w:t>(2</w:t>
      </w:r>
      <w:r w:rsidR="00531A8E">
        <w:t xml:space="preserve"> </w:t>
      </w:r>
      <w:r w:rsidR="00814E7B">
        <w:t>W</w:t>
      </w:r>
      <w:r>
        <w:t xml:space="preserve"> difference</w:t>
      </w:r>
      <w:r w:rsidR="00814E7B">
        <w:t xml:space="preserve">) than predicted in fridge mode (see Table </w:t>
      </w:r>
      <w:r w:rsidR="003C5365">
        <w:t>7</w:t>
      </w:r>
      <w:r w:rsidR="00814E7B">
        <w:t>).</w:t>
      </w:r>
    </w:p>
    <w:p w:rsidR="00814E7B" w:rsidRDefault="00814E7B" w:rsidP="00814E7B">
      <w:pPr>
        <w:pStyle w:val="Caption"/>
        <w:keepNext/>
      </w:pPr>
    </w:p>
    <w:p w:rsidR="00814E7B" w:rsidRDefault="00814E7B" w:rsidP="00814E7B">
      <w:pPr>
        <w:pStyle w:val="Caption"/>
        <w:keepNext/>
      </w:pPr>
      <w:proofErr w:type="gramStart"/>
      <w:r>
        <w:t xml:space="preserve">Table </w:t>
      </w:r>
      <w:r w:rsidR="003C5365">
        <w:t>7</w:t>
      </w:r>
      <w:r>
        <w:t>.</w:t>
      </w:r>
      <w:proofErr w:type="gramEnd"/>
      <w:r>
        <w:t xml:space="preserve"> Comparison of measured savings with those</w:t>
      </w:r>
      <w:r w:rsidRPr="00814E7B">
        <w:t xml:space="preserve"> </w:t>
      </w:r>
      <w:r>
        <w:t>predicted from the thermal modelling work (kWh/24h).</w:t>
      </w:r>
    </w:p>
    <w:p w:rsidR="00814E7B" w:rsidRPr="00E37119" w:rsidRDefault="00814E7B" w:rsidP="00814E7B"/>
    <w:tbl>
      <w:tblPr>
        <w:tblW w:w="5747" w:type="dxa"/>
        <w:jc w:val="center"/>
        <w:tblInd w:w="-366" w:type="dxa"/>
        <w:tblLook w:val="00A0" w:firstRow="1" w:lastRow="0" w:firstColumn="1" w:lastColumn="0" w:noHBand="0" w:noVBand="0"/>
      </w:tblPr>
      <w:tblGrid>
        <w:gridCol w:w="2128"/>
        <w:gridCol w:w="1157"/>
        <w:gridCol w:w="1231"/>
        <w:gridCol w:w="1231"/>
      </w:tblGrid>
      <w:tr w:rsidR="00814E7B" w:rsidRPr="00F66224" w:rsidTr="00814E7B">
        <w:trPr>
          <w:trHeight w:val="300"/>
          <w:jc w:val="center"/>
        </w:trPr>
        <w:tc>
          <w:tcPr>
            <w:tcW w:w="2128" w:type="dxa"/>
            <w:tcBorders>
              <w:top w:val="nil"/>
              <w:bottom w:val="nil"/>
              <w:right w:val="nil"/>
            </w:tcBorders>
            <w:noWrap/>
            <w:vAlign w:val="bottom"/>
          </w:tcPr>
          <w:p w:rsidR="00814E7B" w:rsidRPr="00F66224" w:rsidRDefault="00814E7B" w:rsidP="000B4870">
            <w:pPr>
              <w:rPr>
                <w:color w:val="000000"/>
                <w:lang w:eastAsia="en-GB"/>
              </w:rPr>
            </w:pPr>
            <w:r w:rsidRPr="00F66224">
              <w:rPr>
                <w:color w:val="000000"/>
                <w:lang w:eastAsia="en-GB"/>
              </w:rPr>
              <w:t> </w:t>
            </w:r>
          </w:p>
        </w:tc>
        <w:tc>
          <w:tcPr>
            <w:tcW w:w="1157" w:type="dxa"/>
            <w:tcBorders>
              <w:top w:val="single" w:sz="8" w:space="0" w:color="auto"/>
              <w:left w:val="single" w:sz="8" w:space="0" w:color="auto"/>
              <w:bottom w:val="nil"/>
              <w:right w:val="single" w:sz="4" w:space="0" w:color="auto"/>
            </w:tcBorders>
            <w:noWrap/>
            <w:vAlign w:val="bottom"/>
          </w:tcPr>
          <w:p w:rsidR="00814E7B" w:rsidRPr="00F66224" w:rsidRDefault="00814E7B" w:rsidP="000B4870">
            <w:pPr>
              <w:jc w:val="center"/>
              <w:rPr>
                <w:b/>
                <w:bCs/>
                <w:color w:val="000000"/>
                <w:lang w:eastAsia="en-GB"/>
              </w:rPr>
            </w:pPr>
            <w:r>
              <w:rPr>
                <w:b/>
                <w:bCs/>
                <w:color w:val="000000"/>
                <w:lang w:eastAsia="en-GB"/>
              </w:rPr>
              <w:t>Measured</w:t>
            </w:r>
          </w:p>
        </w:tc>
        <w:tc>
          <w:tcPr>
            <w:tcW w:w="1231" w:type="dxa"/>
            <w:tcBorders>
              <w:top w:val="single" w:sz="8" w:space="0" w:color="auto"/>
              <w:left w:val="nil"/>
              <w:bottom w:val="nil"/>
              <w:right w:val="single" w:sz="8" w:space="0" w:color="auto"/>
            </w:tcBorders>
            <w:vAlign w:val="bottom"/>
          </w:tcPr>
          <w:p w:rsidR="00814E7B" w:rsidRPr="00F66224" w:rsidRDefault="00814E7B" w:rsidP="000B4870">
            <w:pPr>
              <w:jc w:val="center"/>
              <w:rPr>
                <w:b/>
                <w:bCs/>
                <w:color w:val="000000"/>
                <w:lang w:eastAsia="en-GB"/>
              </w:rPr>
            </w:pPr>
            <w:r>
              <w:rPr>
                <w:b/>
                <w:bCs/>
                <w:color w:val="000000"/>
                <w:lang w:eastAsia="en-GB"/>
              </w:rPr>
              <w:t>Predicted</w:t>
            </w:r>
          </w:p>
        </w:tc>
        <w:tc>
          <w:tcPr>
            <w:tcW w:w="1231" w:type="dxa"/>
            <w:tcBorders>
              <w:top w:val="single" w:sz="8" w:space="0" w:color="auto"/>
              <w:left w:val="nil"/>
              <w:bottom w:val="nil"/>
              <w:right w:val="single" w:sz="8" w:space="0" w:color="auto"/>
            </w:tcBorders>
            <w:vAlign w:val="bottom"/>
          </w:tcPr>
          <w:p w:rsidR="00814E7B" w:rsidRDefault="00814E7B" w:rsidP="00814E7B">
            <w:pPr>
              <w:jc w:val="center"/>
              <w:rPr>
                <w:b/>
                <w:bCs/>
                <w:color w:val="000000"/>
                <w:lang w:eastAsia="en-GB"/>
              </w:rPr>
            </w:pPr>
            <w:r>
              <w:rPr>
                <w:b/>
                <w:bCs/>
                <w:color w:val="000000"/>
                <w:lang w:eastAsia="en-GB"/>
              </w:rPr>
              <w:t>Difference</w:t>
            </w:r>
          </w:p>
        </w:tc>
      </w:tr>
      <w:tr w:rsidR="00814E7B" w:rsidRPr="00F66224" w:rsidTr="00814E7B">
        <w:trPr>
          <w:trHeight w:val="300"/>
          <w:jc w:val="center"/>
        </w:trPr>
        <w:tc>
          <w:tcPr>
            <w:tcW w:w="2128" w:type="dxa"/>
            <w:tcBorders>
              <w:top w:val="single" w:sz="4" w:space="0" w:color="auto"/>
              <w:left w:val="single" w:sz="8" w:space="0" w:color="auto"/>
              <w:bottom w:val="single" w:sz="4" w:space="0" w:color="auto"/>
              <w:right w:val="nil"/>
            </w:tcBorders>
            <w:noWrap/>
            <w:vAlign w:val="bottom"/>
          </w:tcPr>
          <w:p w:rsidR="00814E7B" w:rsidRPr="00E37119" w:rsidRDefault="00814E7B" w:rsidP="000B4870">
            <w:pPr>
              <w:rPr>
                <w:b/>
                <w:bCs/>
                <w:color w:val="000000"/>
                <w:lang w:eastAsia="en-GB"/>
              </w:rPr>
            </w:pPr>
            <w:r>
              <w:rPr>
                <w:b/>
                <w:bCs/>
                <w:color w:val="000000"/>
                <w:lang w:eastAsia="en-GB"/>
              </w:rPr>
              <w:t>Fridge</w:t>
            </w:r>
          </w:p>
        </w:tc>
        <w:tc>
          <w:tcPr>
            <w:tcW w:w="1157" w:type="dxa"/>
            <w:tcBorders>
              <w:top w:val="single" w:sz="4" w:space="0" w:color="auto"/>
              <w:left w:val="single" w:sz="8" w:space="0" w:color="auto"/>
              <w:bottom w:val="single" w:sz="4" w:space="0" w:color="auto"/>
              <w:right w:val="single" w:sz="4" w:space="0" w:color="auto"/>
            </w:tcBorders>
            <w:noWrap/>
            <w:vAlign w:val="bottom"/>
          </w:tcPr>
          <w:p w:rsidR="00814E7B" w:rsidRPr="00F66224" w:rsidRDefault="00814E7B" w:rsidP="000B4870">
            <w:pPr>
              <w:jc w:val="center"/>
              <w:rPr>
                <w:color w:val="000000"/>
                <w:lang w:eastAsia="en-GB"/>
              </w:rPr>
            </w:pPr>
            <w:r>
              <w:rPr>
                <w:color w:val="000000"/>
                <w:lang w:eastAsia="en-GB"/>
              </w:rPr>
              <w:t>0.133</w:t>
            </w:r>
          </w:p>
        </w:tc>
        <w:tc>
          <w:tcPr>
            <w:tcW w:w="1231" w:type="dxa"/>
            <w:tcBorders>
              <w:top w:val="single" w:sz="4" w:space="0" w:color="auto"/>
              <w:left w:val="nil"/>
              <w:bottom w:val="single" w:sz="4" w:space="0" w:color="auto"/>
              <w:right w:val="single" w:sz="8" w:space="0" w:color="auto"/>
            </w:tcBorders>
            <w:vAlign w:val="bottom"/>
          </w:tcPr>
          <w:p w:rsidR="00814E7B" w:rsidRDefault="00814E7B" w:rsidP="000B4870">
            <w:pPr>
              <w:jc w:val="center"/>
              <w:rPr>
                <w:color w:val="000000"/>
                <w:lang w:eastAsia="en-GB"/>
              </w:rPr>
            </w:pPr>
            <w:r>
              <w:rPr>
                <w:color w:val="000000"/>
                <w:lang w:eastAsia="en-GB"/>
              </w:rPr>
              <w:t>0.084</w:t>
            </w:r>
          </w:p>
        </w:tc>
        <w:tc>
          <w:tcPr>
            <w:tcW w:w="1231" w:type="dxa"/>
            <w:tcBorders>
              <w:top w:val="single" w:sz="4" w:space="0" w:color="auto"/>
              <w:left w:val="nil"/>
              <w:bottom w:val="single" w:sz="4" w:space="0" w:color="auto"/>
              <w:right w:val="single" w:sz="8" w:space="0" w:color="auto"/>
            </w:tcBorders>
            <w:vAlign w:val="bottom"/>
          </w:tcPr>
          <w:p w:rsidR="00814E7B" w:rsidRDefault="00814E7B" w:rsidP="00814E7B">
            <w:pPr>
              <w:jc w:val="center"/>
              <w:rPr>
                <w:color w:val="000000"/>
                <w:lang w:eastAsia="en-GB"/>
              </w:rPr>
            </w:pPr>
            <w:r>
              <w:rPr>
                <w:color w:val="000000"/>
                <w:lang w:eastAsia="en-GB"/>
              </w:rPr>
              <w:t>0.049</w:t>
            </w:r>
          </w:p>
        </w:tc>
      </w:tr>
      <w:tr w:rsidR="00814E7B" w:rsidRPr="00F66224" w:rsidTr="00814E7B">
        <w:trPr>
          <w:trHeight w:val="300"/>
          <w:jc w:val="center"/>
        </w:trPr>
        <w:tc>
          <w:tcPr>
            <w:tcW w:w="2128" w:type="dxa"/>
            <w:tcBorders>
              <w:top w:val="single" w:sz="4" w:space="0" w:color="auto"/>
              <w:left w:val="single" w:sz="8" w:space="0" w:color="auto"/>
              <w:bottom w:val="single" w:sz="4" w:space="0" w:color="auto"/>
              <w:right w:val="nil"/>
            </w:tcBorders>
            <w:noWrap/>
            <w:vAlign w:val="bottom"/>
          </w:tcPr>
          <w:p w:rsidR="00814E7B" w:rsidRPr="000F46BA" w:rsidRDefault="00814E7B" w:rsidP="000B4870">
            <w:pPr>
              <w:rPr>
                <w:bCs/>
                <w:color w:val="000000"/>
                <w:lang w:eastAsia="en-GB"/>
              </w:rPr>
            </w:pPr>
            <w:r>
              <w:rPr>
                <w:b/>
                <w:bCs/>
                <w:color w:val="000000"/>
                <w:lang w:eastAsia="en-GB"/>
              </w:rPr>
              <w:t>Freezer</w:t>
            </w:r>
          </w:p>
        </w:tc>
        <w:tc>
          <w:tcPr>
            <w:tcW w:w="1157" w:type="dxa"/>
            <w:tcBorders>
              <w:top w:val="single" w:sz="4" w:space="0" w:color="auto"/>
              <w:left w:val="single" w:sz="8" w:space="0" w:color="auto"/>
              <w:bottom w:val="single" w:sz="4" w:space="0" w:color="auto"/>
              <w:right w:val="single" w:sz="4" w:space="0" w:color="auto"/>
            </w:tcBorders>
            <w:noWrap/>
            <w:vAlign w:val="bottom"/>
          </w:tcPr>
          <w:p w:rsidR="00814E7B" w:rsidRPr="00F66224" w:rsidRDefault="00814E7B" w:rsidP="000B4870">
            <w:pPr>
              <w:jc w:val="center"/>
              <w:rPr>
                <w:color w:val="000000"/>
                <w:lang w:eastAsia="en-GB"/>
              </w:rPr>
            </w:pPr>
            <w:r>
              <w:rPr>
                <w:color w:val="000000"/>
                <w:lang w:eastAsia="en-GB"/>
              </w:rPr>
              <w:t>0.329</w:t>
            </w:r>
          </w:p>
        </w:tc>
        <w:tc>
          <w:tcPr>
            <w:tcW w:w="1231" w:type="dxa"/>
            <w:tcBorders>
              <w:top w:val="single" w:sz="4" w:space="0" w:color="auto"/>
              <w:left w:val="nil"/>
              <w:bottom w:val="single" w:sz="4" w:space="0" w:color="auto"/>
              <w:right w:val="single" w:sz="8" w:space="0" w:color="auto"/>
            </w:tcBorders>
            <w:vAlign w:val="bottom"/>
          </w:tcPr>
          <w:p w:rsidR="00814E7B" w:rsidRDefault="00814E7B" w:rsidP="000B4870">
            <w:pPr>
              <w:jc w:val="center"/>
              <w:rPr>
                <w:color w:val="000000"/>
                <w:lang w:eastAsia="en-GB"/>
              </w:rPr>
            </w:pPr>
            <w:r>
              <w:rPr>
                <w:color w:val="000000"/>
                <w:lang w:eastAsia="en-GB"/>
              </w:rPr>
              <w:t>0.325</w:t>
            </w:r>
          </w:p>
        </w:tc>
        <w:tc>
          <w:tcPr>
            <w:tcW w:w="1231" w:type="dxa"/>
            <w:tcBorders>
              <w:top w:val="single" w:sz="4" w:space="0" w:color="auto"/>
              <w:left w:val="nil"/>
              <w:bottom w:val="single" w:sz="4" w:space="0" w:color="auto"/>
              <w:right w:val="single" w:sz="8" w:space="0" w:color="auto"/>
            </w:tcBorders>
            <w:vAlign w:val="bottom"/>
          </w:tcPr>
          <w:p w:rsidR="00814E7B" w:rsidRDefault="00814E7B" w:rsidP="00814E7B">
            <w:pPr>
              <w:jc w:val="center"/>
              <w:rPr>
                <w:color w:val="000000"/>
                <w:lang w:eastAsia="en-GB"/>
              </w:rPr>
            </w:pPr>
            <w:r>
              <w:rPr>
                <w:color w:val="000000"/>
                <w:lang w:eastAsia="en-GB"/>
              </w:rPr>
              <w:t>0.004</w:t>
            </w:r>
          </w:p>
        </w:tc>
      </w:tr>
    </w:tbl>
    <w:p w:rsidR="001669F5" w:rsidRDefault="001669F5" w:rsidP="00951DF8"/>
    <w:p w:rsidR="00605AEE" w:rsidRDefault="00605AEE" w:rsidP="00951DF8"/>
    <w:p w:rsidR="00736149" w:rsidRDefault="000F46BA" w:rsidP="007F65B6">
      <w:pPr>
        <w:pStyle w:val="Heading1"/>
      </w:pPr>
      <w:r>
        <w:t>Co</w:t>
      </w:r>
      <w:r w:rsidR="00736149">
        <w:t>nclusion</w:t>
      </w:r>
    </w:p>
    <w:p w:rsidR="00535ED8" w:rsidRPr="00535ED8" w:rsidRDefault="00535ED8" w:rsidP="00535ED8"/>
    <w:p w:rsidR="002E23EC" w:rsidRDefault="002B72B4" w:rsidP="00C22850">
      <w:r>
        <w:t>E</w:t>
      </w:r>
      <w:r w:rsidR="00736149">
        <w:t xml:space="preserve">mbedding VIPs into the insulated foam wall of cold appliances is a practical method of </w:t>
      </w:r>
      <w:r>
        <w:t>applying VIP technology in the cold chain</w:t>
      </w:r>
      <w:r w:rsidR="002E23EC">
        <w:t xml:space="preserve">.  </w:t>
      </w:r>
    </w:p>
    <w:p w:rsidR="00883D89" w:rsidRDefault="00883D89" w:rsidP="00C22850">
      <w:r>
        <w:t>FEA modelling of the insulation of refrigerators and freezers is a valid means to predict energy savings through the use of VIPs and, furthermore, the expected energy savings may be realised when with this method of application.</w:t>
      </w:r>
    </w:p>
    <w:p w:rsidR="00736149" w:rsidRDefault="00DC2D9F" w:rsidP="00C22850">
      <w:r>
        <w:t>VIPs may be viable in freezer applications but</w:t>
      </w:r>
      <w:r w:rsidR="000A05BC">
        <w:t xml:space="preserve"> p</w:t>
      </w:r>
      <w:r w:rsidR="00473268">
        <w:t>ayback periods</w:t>
      </w:r>
      <w:r w:rsidR="000A05BC">
        <w:t xml:space="preserve"> </w:t>
      </w:r>
      <w:r w:rsidR="00473268">
        <w:t xml:space="preserve">are likely to be too </w:t>
      </w:r>
      <w:r>
        <w:t xml:space="preserve">long </w:t>
      </w:r>
      <w:r w:rsidR="00473268">
        <w:t xml:space="preserve">to entice most end users to pay the premium required for VIPs to be incorporated into </w:t>
      </w:r>
      <w:r>
        <w:t xml:space="preserve">refrigerated </w:t>
      </w:r>
      <w:r w:rsidR="00473268">
        <w:t>commercial service equipment.</w:t>
      </w:r>
    </w:p>
    <w:p w:rsidR="00EA5597" w:rsidRDefault="00EA5597" w:rsidP="00EA5597"/>
    <w:p w:rsidR="00F25A8C" w:rsidRDefault="00F25A8C" w:rsidP="007F65B6">
      <w:pPr>
        <w:pStyle w:val="Heading1"/>
      </w:pPr>
      <w:r>
        <w:t>Acknowledgements</w:t>
      </w:r>
    </w:p>
    <w:p w:rsidR="00F25A8C" w:rsidRDefault="00F25A8C" w:rsidP="00F25A8C"/>
    <w:p w:rsidR="00F25A8C" w:rsidRDefault="00F25A8C" w:rsidP="00F25A8C">
      <w:r>
        <w:t>Thanks to Adande Refrigeration Ltd</w:t>
      </w:r>
      <w:r w:rsidR="00143900">
        <w:t>, Lowestoft, England</w:t>
      </w:r>
      <w:r>
        <w:t xml:space="preserve"> for providing the donor cabinet for conversion and also to ECH Engineering Ltd</w:t>
      </w:r>
      <w:r w:rsidR="00143900">
        <w:t>., Bristol, England</w:t>
      </w:r>
      <w:r>
        <w:t xml:space="preserve"> for the use of thermal analysis software used in this research.</w:t>
      </w:r>
    </w:p>
    <w:p w:rsidR="00F25A8C" w:rsidRPr="00F25A8C" w:rsidRDefault="00F25A8C" w:rsidP="00F25A8C"/>
    <w:p w:rsidR="00F25A8C" w:rsidRDefault="00F25A8C">
      <w:pPr>
        <w:rPr>
          <w:rFonts w:ascii="Times" w:eastAsia="Times New Roman" w:hAnsi="Times" w:cs="Cambria"/>
          <w:b/>
          <w:bCs/>
          <w:caps/>
          <w:sz w:val="24"/>
          <w:szCs w:val="28"/>
        </w:rPr>
      </w:pPr>
      <w:r>
        <w:br w:type="page"/>
      </w:r>
    </w:p>
    <w:p w:rsidR="00736149" w:rsidRDefault="00736149" w:rsidP="007F65B6">
      <w:pPr>
        <w:pStyle w:val="Heading1"/>
      </w:pPr>
      <w:r>
        <w:lastRenderedPageBreak/>
        <w:t>References</w:t>
      </w:r>
    </w:p>
    <w:p w:rsidR="00535ED8" w:rsidRPr="00535ED8" w:rsidRDefault="00535ED8" w:rsidP="00535ED8"/>
    <w:p w:rsidR="006C67CE" w:rsidRPr="009327B4" w:rsidRDefault="006C67CE" w:rsidP="006C67CE">
      <w:pPr>
        <w:pStyle w:val="ListParagraph"/>
        <w:numPr>
          <w:ilvl w:val="0"/>
          <w:numId w:val="7"/>
        </w:numPr>
        <w:spacing w:after="120"/>
        <w:ind w:left="426" w:hanging="426"/>
      </w:pPr>
      <w:r w:rsidRPr="009327B4">
        <w:t>ASHRAE Fundamentals, 2001.</w:t>
      </w:r>
    </w:p>
    <w:p w:rsidR="006C67CE" w:rsidRPr="009327B4" w:rsidRDefault="006C67CE" w:rsidP="006C67CE">
      <w:pPr>
        <w:pStyle w:val="ListParagraph"/>
        <w:numPr>
          <w:ilvl w:val="0"/>
          <w:numId w:val="7"/>
        </w:numPr>
        <w:spacing w:after="120"/>
        <w:ind w:left="426" w:hanging="426"/>
      </w:pPr>
      <w:r w:rsidRPr="00DA2C81">
        <w:rPr>
          <w:lang w:val="de-DE"/>
        </w:rPr>
        <w:t xml:space="preserve">Bing, Av. E. Van Nieuwenhuyse 6, 1160 Brussels, Belgium. </w:t>
      </w:r>
      <w:r w:rsidRPr="009327B4">
        <w:t>2006. Thermal insulation materials made from rigid polyurethane foam.</w:t>
      </w:r>
    </w:p>
    <w:p w:rsidR="006C67CE" w:rsidRDefault="006C67CE" w:rsidP="006C67CE">
      <w:pPr>
        <w:pStyle w:val="ListParagraph"/>
        <w:numPr>
          <w:ilvl w:val="0"/>
          <w:numId w:val="7"/>
        </w:numPr>
        <w:spacing w:after="120"/>
        <w:ind w:left="426" w:hanging="426"/>
      </w:pPr>
      <w:r w:rsidRPr="009327B4">
        <w:t xml:space="preserve">Brown, T. Evans J.A., Swain, M.V.L., 2007. Use of vacuum insulated panels to improve performance of refrigerators and insulated shipping containers. International Congress of Refrigeration, Beijing. </w:t>
      </w:r>
    </w:p>
    <w:p w:rsidR="006C67CE" w:rsidRPr="009327B4" w:rsidRDefault="006C67CE" w:rsidP="006C67CE">
      <w:pPr>
        <w:pStyle w:val="ListParagraph"/>
        <w:numPr>
          <w:ilvl w:val="0"/>
          <w:numId w:val="7"/>
        </w:numPr>
        <w:spacing w:after="120"/>
        <w:ind w:left="426" w:hanging="426"/>
      </w:pPr>
      <w:r w:rsidRPr="00DA2C81">
        <w:rPr>
          <w:lang w:val="es-ES"/>
        </w:rPr>
        <w:t>Domínguez-Muñoz,</w:t>
      </w:r>
      <w:r>
        <w:rPr>
          <w:lang w:val="es-ES"/>
        </w:rPr>
        <w:t xml:space="preserve"> F., </w:t>
      </w:r>
      <w:r w:rsidRPr="00DA2C81">
        <w:rPr>
          <w:lang w:val="es-ES"/>
        </w:rPr>
        <w:t>Anderson</w:t>
      </w:r>
      <w:r>
        <w:rPr>
          <w:lang w:val="es-ES"/>
        </w:rPr>
        <w:t>,</w:t>
      </w:r>
      <w:r w:rsidRPr="006C67CE">
        <w:rPr>
          <w:lang w:val="es-ES"/>
        </w:rPr>
        <w:t xml:space="preserve"> </w:t>
      </w:r>
      <w:r w:rsidRPr="00DA2C81">
        <w:rPr>
          <w:lang w:val="es-ES"/>
        </w:rPr>
        <w:t>B</w:t>
      </w:r>
      <w:r>
        <w:rPr>
          <w:lang w:val="es-ES"/>
        </w:rPr>
        <w:t>.</w:t>
      </w:r>
      <w:r w:rsidRPr="00DA2C81">
        <w:rPr>
          <w:lang w:val="es-ES"/>
        </w:rPr>
        <w:t>, Cejudo-López,</w:t>
      </w:r>
      <w:r>
        <w:rPr>
          <w:lang w:val="es-ES"/>
        </w:rPr>
        <w:t xml:space="preserve"> </w:t>
      </w:r>
      <w:r w:rsidRPr="00DA2C81">
        <w:rPr>
          <w:lang w:val="es-ES"/>
        </w:rPr>
        <w:t>J.M.</w:t>
      </w:r>
      <w:r>
        <w:rPr>
          <w:lang w:val="es-ES"/>
        </w:rPr>
        <w:t>,</w:t>
      </w:r>
      <w:r w:rsidRPr="00DA2C81">
        <w:rPr>
          <w:lang w:val="es-ES"/>
        </w:rPr>
        <w:t xml:space="preserve"> Carrillo-Andrés,</w:t>
      </w:r>
      <w:r>
        <w:rPr>
          <w:lang w:val="es-ES"/>
        </w:rPr>
        <w:t xml:space="preserve"> A., </w:t>
      </w:r>
      <w:r w:rsidRPr="00DA2C81">
        <w:rPr>
          <w:lang w:val="es-ES"/>
        </w:rPr>
        <w:t xml:space="preserve">2009. </w:t>
      </w:r>
      <w:r w:rsidRPr="009327B4">
        <w:t>Uncertainty in thermal conductivity of insulation materials. Eleventh International IBPSA Conference, Glasgow, Scotland. July 27-30, 2009.</w:t>
      </w:r>
    </w:p>
    <w:p w:rsidR="006C67CE" w:rsidRDefault="006C67CE" w:rsidP="006C67CE">
      <w:pPr>
        <w:pStyle w:val="ListParagraph"/>
        <w:numPr>
          <w:ilvl w:val="0"/>
          <w:numId w:val="7"/>
        </w:numPr>
        <w:spacing w:after="120"/>
        <w:ind w:left="426" w:hanging="426"/>
      </w:pPr>
      <w:r>
        <w:t xml:space="preserve">Energy Savings Trust.  </w:t>
      </w:r>
      <w:hyperlink r:id="rId16" w:history="1">
        <w:r w:rsidRPr="00295DB1">
          <w:rPr>
            <w:rStyle w:val="Hyperlink"/>
          </w:rPr>
          <w:t>http://www.energysavingtrust.org.uk/Energy-Saving-Trust/Our-calculations</w:t>
        </w:r>
      </w:hyperlink>
      <w:r>
        <w:t>. (</w:t>
      </w:r>
      <w:proofErr w:type="gramStart"/>
      <w:r>
        <w:t>last</w:t>
      </w:r>
      <w:proofErr w:type="gramEnd"/>
      <w:r>
        <w:t xml:space="preserve"> accessed February 2014).</w:t>
      </w:r>
    </w:p>
    <w:p w:rsidR="006C67CE" w:rsidRDefault="006C67CE" w:rsidP="006C67CE">
      <w:pPr>
        <w:pStyle w:val="ListParagraph"/>
        <w:numPr>
          <w:ilvl w:val="0"/>
          <w:numId w:val="7"/>
        </w:numPr>
        <w:spacing w:after="120"/>
        <w:ind w:left="426" w:hanging="426"/>
      </w:pPr>
      <w:r>
        <w:t>Hammond, E. and Micic, G., 2013.  Simulation versus experimental results of VIPs embedded within PU insulation.  International Cold Chain Conference, Paris, April 2013.</w:t>
      </w:r>
    </w:p>
    <w:p w:rsidR="006C67CE" w:rsidRPr="009327B4" w:rsidRDefault="006C67CE" w:rsidP="006C67CE">
      <w:pPr>
        <w:pStyle w:val="ListParagraph"/>
        <w:numPr>
          <w:ilvl w:val="0"/>
          <w:numId w:val="7"/>
        </w:numPr>
        <w:spacing w:after="120"/>
        <w:ind w:left="426" w:hanging="426"/>
      </w:pPr>
      <w:r w:rsidRPr="009327B4">
        <w:t>Hans-</w:t>
      </w:r>
      <w:proofErr w:type="spellStart"/>
      <w:r w:rsidRPr="009327B4">
        <w:t>FriederEberhardt</w:t>
      </w:r>
      <w:proofErr w:type="spellEnd"/>
      <w:r w:rsidRPr="009327B4">
        <w:t xml:space="preserve">, 2010.  Comparison of Vacuum Insulation Panels based on fumed silica core against other core materials.  </w:t>
      </w:r>
      <w:proofErr w:type="spellStart"/>
      <w:r w:rsidRPr="009327B4">
        <w:t>PorexthermDämmstoffe</w:t>
      </w:r>
      <w:proofErr w:type="spellEnd"/>
      <w:r w:rsidRPr="009327B4">
        <w:t xml:space="preserve"> GmbH, </w:t>
      </w:r>
      <w:proofErr w:type="spellStart"/>
      <w:r w:rsidRPr="009327B4">
        <w:t>HeisingerStraße</w:t>
      </w:r>
      <w:proofErr w:type="spellEnd"/>
      <w:r w:rsidRPr="009327B4">
        <w:t> 8/10, 87437 Kempten.</w:t>
      </w:r>
    </w:p>
    <w:p w:rsidR="00736149" w:rsidRPr="009327B4" w:rsidRDefault="00736149" w:rsidP="00DA2C81">
      <w:pPr>
        <w:pStyle w:val="ListParagraph"/>
        <w:numPr>
          <w:ilvl w:val="0"/>
          <w:numId w:val="7"/>
        </w:numPr>
        <w:spacing w:after="120"/>
        <w:ind w:left="426" w:hanging="426"/>
      </w:pPr>
      <w:proofErr w:type="spellStart"/>
      <w:r w:rsidRPr="00DA2C81">
        <w:rPr>
          <w:lang w:val="es-ES"/>
        </w:rPr>
        <w:t>Kacimi</w:t>
      </w:r>
      <w:proofErr w:type="spellEnd"/>
      <w:r w:rsidRPr="00DA2C81">
        <w:rPr>
          <w:lang w:val="es-ES"/>
        </w:rPr>
        <w:t xml:space="preserve">, A. and </w:t>
      </w:r>
      <w:proofErr w:type="spellStart"/>
      <w:r w:rsidRPr="00DA2C81">
        <w:rPr>
          <w:lang w:val="es-ES"/>
        </w:rPr>
        <w:t>Labranque</w:t>
      </w:r>
      <w:proofErr w:type="spellEnd"/>
      <w:r w:rsidRPr="00DA2C81">
        <w:rPr>
          <w:lang w:val="es-ES"/>
        </w:rPr>
        <w:t xml:space="preserve">, G., 2011. </w:t>
      </w:r>
      <w:r w:rsidRPr="009327B4">
        <w:t>Vacuum insulated panels (VIP) in insulated packaging. International Congress of Refrigeration, Prague. August 21-26.</w:t>
      </w:r>
    </w:p>
    <w:p w:rsidR="006C67CE" w:rsidRPr="009327B4" w:rsidRDefault="006C67CE" w:rsidP="006C67CE">
      <w:pPr>
        <w:pStyle w:val="ListParagraph"/>
        <w:numPr>
          <w:ilvl w:val="0"/>
          <w:numId w:val="7"/>
        </w:numPr>
        <w:spacing w:after="120"/>
        <w:ind w:left="426" w:hanging="426"/>
      </w:pPr>
      <w:proofErr w:type="spellStart"/>
      <w:r w:rsidRPr="00DA2C81">
        <w:rPr>
          <w:lang w:val="es-ES"/>
        </w:rPr>
        <w:t>Nanoporeinc</w:t>
      </w:r>
      <w:proofErr w:type="spellEnd"/>
      <w:r w:rsidRPr="00DA2C81">
        <w:rPr>
          <w:lang w:val="es-ES"/>
        </w:rPr>
        <w:t xml:space="preserve">., 2525 </w:t>
      </w:r>
      <w:proofErr w:type="spellStart"/>
      <w:r w:rsidRPr="00DA2C81">
        <w:rPr>
          <w:lang w:val="es-ES"/>
        </w:rPr>
        <w:t>Alamo</w:t>
      </w:r>
      <w:proofErr w:type="spellEnd"/>
      <w:r w:rsidRPr="00DA2C81">
        <w:rPr>
          <w:lang w:val="es-ES"/>
        </w:rPr>
        <w:t xml:space="preserve"> Ave. SE, Albuquerque, NM 87106. </w:t>
      </w:r>
      <w:r w:rsidRPr="009327B4">
        <w:t>2008</w:t>
      </w:r>
      <w:r>
        <w:t>a</w:t>
      </w:r>
      <w:r w:rsidRPr="009327B4">
        <w:t>. “</w:t>
      </w:r>
      <w:proofErr w:type="spellStart"/>
      <w:r w:rsidRPr="009327B4">
        <w:t>Nanopore</w:t>
      </w:r>
      <w:proofErr w:type="spellEnd"/>
      <w:r w:rsidRPr="009327B4">
        <w:t xml:space="preserve"> thermal insulation”. </w:t>
      </w:r>
      <w:hyperlink r:id="rId17" w:history="1">
        <w:r w:rsidRPr="009327B4">
          <w:rPr>
            <w:rStyle w:val="Hyperlink"/>
          </w:rPr>
          <w:t>www.nanopore.com</w:t>
        </w:r>
      </w:hyperlink>
      <w:r w:rsidRPr="009327B4">
        <w:t>. (</w:t>
      </w:r>
      <w:proofErr w:type="gramStart"/>
      <w:r w:rsidRPr="009327B4">
        <w:t>last</w:t>
      </w:r>
      <w:proofErr w:type="gramEnd"/>
      <w:r w:rsidRPr="009327B4">
        <w:t xml:space="preserve"> accessed April 2012).</w:t>
      </w:r>
    </w:p>
    <w:p w:rsidR="006C67CE" w:rsidRPr="009327B4" w:rsidRDefault="006C67CE" w:rsidP="006C67CE">
      <w:pPr>
        <w:pStyle w:val="ListParagraph"/>
        <w:numPr>
          <w:ilvl w:val="0"/>
          <w:numId w:val="7"/>
        </w:numPr>
        <w:spacing w:after="120"/>
        <w:ind w:left="426" w:hanging="426"/>
      </w:pPr>
      <w:proofErr w:type="spellStart"/>
      <w:r w:rsidRPr="00DA2C81">
        <w:rPr>
          <w:lang w:val="es-ES"/>
        </w:rPr>
        <w:t>Nanoporeinc</w:t>
      </w:r>
      <w:proofErr w:type="spellEnd"/>
      <w:r w:rsidRPr="00DA2C81">
        <w:rPr>
          <w:lang w:val="es-ES"/>
        </w:rPr>
        <w:t xml:space="preserve">., 2525 </w:t>
      </w:r>
      <w:proofErr w:type="spellStart"/>
      <w:r w:rsidRPr="00DA2C81">
        <w:rPr>
          <w:lang w:val="es-ES"/>
        </w:rPr>
        <w:t>Alamo</w:t>
      </w:r>
      <w:proofErr w:type="spellEnd"/>
      <w:r w:rsidRPr="00DA2C81">
        <w:rPr>
          <w:lang w:val="es-ES"/>
        </w:rPr>
        <w:t xml:space="preserve"> Ave. SE, Albuquerque, NM 87106. </w:t>
      </w:r>
      <w:r w:rsidRPr="009327B4">
        <w:t>2008</w:t>
      </w:r>
      <w:r>
        <w:t>b</w:t>
      </w:r>
      <w:r w:rsidRPr="009327B4">
        <w:t xml:space="preserve">. “Vacuum insulated panels”. </w:t>
      </w:r>
      <w:hyperlink r:id="rId18" w:history="1">
        <w:r w:rsidRPr="009327B4">
          <w:rPr>
            <w:rStyle w:val="Hyperlink"/>
          </w:rPr>
          <w:t>www.nanopore.com</w:t>
        </w:r>
      </w:hyperlink>
      <w:r w:rsidRPr="009327B4">
        <w:t>. (</w:t>
      </w:r>
      <w:proofErr w:type="gramStart"/>
      <w:r w:rsidRPr="009327B4">
        <w:t>last</w:t>
      </w:r>
      <w:proofErr w:type="gramEnd"/>
      <w:r w:rsidRPr="009327B4">
        <w:t xml:space="preserve"> accessed April 2012).</w:t>
      </w:r>
    </w:p>
    <w:p w:rsidR="006C67CE" w:rsidRPr="009327B4" w:rsidRDefault="006C67CE" w:rsidP="006C67CE">
      <w:pPr>
        <w:pStyle w:val="ListParagraph"/>
        <w:numPr>
          <w:ilvl w:val="0"/>
          <w:numId w:val="7"/>
        </w:numPr>
        <w:spacing w:after="120"/>
        <w:ind w:left="426" w:hanging="426"/>
      </w:pPr>
      <w:r w:rsidRPr="00DA2C81">
        <w:rPr>
          <w:lang w:val="es-ES"/>
        </w:rPr>
        <w:t xml:space="preserve">Paolo </w:t>
      </w:r>
      <w:proofErr w:type="spellStart"/>
      <w:r w:rsidRPr="00DA2C81">
        <w:rPr>
          <w:lang w:val="es-ES"/>
        </w:rPr>
        <w:t>Manini</w:t>
      </w:r>
      <w:proofErr w:type="spellEnd"/>
      <w:r w:rsidRPr="00DA2C81">
        <w:rPr>
          <w:lang w:val="es-ES"/>
        </w:rPr>
        <w:t xml:space="preserve">, </w:t>
      </w:r>
      <w:proofErr w:type="spellStart"/>
      <w:r w:rsidRPr="00DA2C81">
        <w:rPr>
          <w:lang w:val="es-ES"/>
        </w:rPr>
        <w:t>EneaRizzi</w:t>
      </w:r>
      <w:proofErr w:type="spellEnd"/>
      <w:r w:rsidRPr="00DA2C81">
        <w:rPr>
          <w:lang w:val="es-ES"/>
        </w:rPr>
        <w:t xml:space="preserve">, Guido Pastore, and </w:t>
      </w:r>
      <w:proofErr w:type="spellStart"/>
      <w:r w:rsidRPr="00DA2C81">
        <w:rPr>
          <w:lang w:val="es-ES"/>
        </w:rPr>
        <w:t>Pierattilio</w:t>
      </w:r>
      <w:proofErr w:type="spellEnd"/>
      <w:r w:rsidRPr="00DA2C81">
        <w:rPr>
          <w:lang w:val="es-ES"/>
        </w:rPr>
        <w:t xml:space="preserve"> Gregorio, 2003. </w:t>
      </w:r>
      <w:r w:rsidRPr="009327B4">
        <w:t>Advances in VIP Design for Super Insulation of Domestic Appliances. APPLIANCE Magazine June 2003.</w:t>
      </w:r>
    </w:p>
    <w:p w:rsidR="006C67CE" w:rsidRPr="009327B4" w:rsidRDefault="006C67CE" w:rsidP="006C67CE">
      <w:pPr>
        <w:pStyle w:val="ListParagraph"/>
        <w:numPr>
          <w:ilvl w:val="0"/>
          <w:numId w:val="7"/>
        </w:numPr>
        <w:spacing w:after="120"/>
        <w:ind w:left="426" w:hanging="426"/>
      </w:pPr>
      <w:proofErr w:type="spellStart"/>
      <w:r w:rsidRPr="009327B4">
        <w:t>Porextherm</w:t>
      </w:r>
      <w:proofErr w:type="spellEnd"/>
      <w:r w:rsidRPr="009327B4">
        <w:t xml:space="preserve"> GmbH, </w:t>
      </w:r>
      <w:proofErr w:type="spellStart"/>
      <w:r w:rsidRPr="009327B4">
        <w:t>Heisingerstrasse</w:t>
      </w:r>
      <w:proofErr w:type="spellEnd"/>
      <w:r w:rsidRPr="009327B4">
        <w:t xml:space="preserve"> 8/10, D-87437 Kempten, Germany. </w:t>
      </w:r>
      <w:proofErr w:type="spellStart"/>
      <w:r w:rsidRPr="009327B4">
        <w:t>Vacupor</w:t>
      </w:r>
      <w:proofErr w:type="spellEnd"/>
      <w:r w:rsidRPr="009327B4">
        <w:t xml:space="preserve"> NT product data sheet version 1.06/09-12-22/GE. </w:t>
      </w:r>
    </w:p>
    <w:p w:rsidR="00DA2C81" w:rsidRDefault="00DA2C81" w:rsidP="00DA2C81">
      <w:pPr>
        <w:pStyle w:val="ListParagraph"/>
        <w:numPr>
          <w:ilvl w:val="0"/>
          <w:numId w:val="7"/>
        </w:numPr>
        <w:spacing w:after="120"/>
        <w:ind w:left="426" w:hanging="426"/>
      </w:pPr>
      <w:r>
        <w:t>Swain, V. and Brown T.  2004.  Feasibility study on potential applications of vacuum insulated panels.  Food Refrigeration and Process Engineering Research Centre, Bristol, UK.</w:t>
      </w:r>
    </w:p>
    <w:p w:rsidR="006C67CE" w:rsidRPr="009327B4" w:rsidRDefault="006C67CE" w:rsidP="006C67CE">
      <w:pPr>
        <w:pStyle w:val="ListParagraph"/>
        <w:numPr>
          <w:ilvl w:val="0"/>
          <w:numId w:val="7"/>
        </w:numPr>
        <w:spacing w:after="120"/>
        <w:ind w:left="426" w:hanging="426"/>
      </w:pPr>
      <w:r w:rsidRPr="009327B4">
        <w:t xml:space="preserve">TAASI Corporation, 548 West Central Avenue, Delaware, Ohio 43015, USA. “Insulation properties of aerogels”. </w:t>
      </w:r>
      <w:hyperlink r:id="rId19" w:history="1">
        <w:r w:rsidRPr="009327B4">
          <w:rPr>
            <w:rStyle w:val="Hyperlink"/>
          </w:rPr>
          <w:t>http://www.taasi.com/pdf/insul.pdf</w:t>
        </w:r>
      </w:hyperlink>
      <w:r w:rsidRPr="009327B4">
        <w:t xml:space="preserve"> (downloaded April 2012).</w:t>
      </w:r>
    </w:p>
    <w:p w:rsidR="006C67CE" w:rsidRPr="009327B4" w:rsidRDefault="006C67CE" w:rsidP="006C67CE">
      <w:pPr>
        <w:pStyle w:val="ListParagraph"/>
        <w:numPr>
          <w:ilvl w:val="0"/>
          <w:numId w:val="7"/>
        </w:numPr>
        <w:spacing w:after="120"/>
        <w:ind w:left="426" w:hanging="426"/>
      </w:pPr>
      <w:r w:rsidRPr="009327B4">
        <w:t xml:space="preserve">The Engineering </w:t>
      </w:r>
      <w:proofErr w:type="spellStart"/>
      <w:r w:rsidRPr="009327B4">
        <w:t>ToolBox</w:t>
      </w:r>
      <w:proofErr w:type="spellEnd"/>
      <w:r w:rsidRPr="009327B4">
        <w:t xml:space="preserve">. 2012, Thermal conductivity of some common materials and gases. </w:t>
      </w:r>
      <w:hyperlink r:id="rId20" w:history="1">
        <w:r w:rsidRPr="009327B4">
          <w:rPr>
            <w:rStyle w:val="Hyperlink"/>
          </w:rPr>
          <w:t>www.engineeringtoolbox.com</w:t>
        </w:r>
      </w:hyperlink>
      <w:r w:rsidRPr="009327B4">
        <w:t xml:space="preserve"> (last accessed, April 2012).</w:t>
      </w:r>
    </w:p>
    <w:p w:rsidR="006C67CE" w:rsidRDefault="00736149" w:rsidP="006C67CE">
      <w:pPr>
        <w:pStyle w:val="ListParagraph"/>
        <w:numPr>
          <w:ilvl w:val="0"/>
          <w:numId w:val="7"/>
        </w:numPr>
        <w:spacing w:after="120"/>
        <w:ind w:left="426" w:hanging="426"/>
      </w:pPr>
      <w:proofErr w:type="spellStart"/>
      <w:r w:rsidRPr="009327B4">
        <w:t>VensilResil</w:t>
      </w:r>
      <w:proofErr w:type="spellEnd"/>
      <w:r w:rsidRPr="009327B4">
        <w:t xml:space="preserve"> Ltd., 2003. </w:t>
      </w:r>
      <w:proofErr w:type="spellStart"/>
      <w:r w:rsidRPr="009327B4">
        <w:t>Jablite</w:t>
      </w:r>
      <w:proofErr w:type="spellEnd"/>
      <w:r w:rsidRPr="009327B4">
        <w:t xml:space="preserve"> EPS Technical Information. </w:t>
      </w:r>
      <w:hyperlink r:id="rId21" w:history="1">
        <w:r w:rsidRPr="009327B4">
          <w:rPr>
            <w:rStyle w:val="Hyperlink"/>
          </w:rPr>
          <w:t>www.Jablite.co.uk</w:t>
        </w:r>
      </w:hyperlink>
      <w:r w:rsidRPr="009327B4">
        <w:t xml:space="preserve">, </w:t>
      </w:r>
      <w:hyperlink r:id="rId22" w:history="1">
        <w:r w:rsidRPr="009327B4">
          <w:rPr>
            <w:rStyle w:val="Hyperlink"/>
          </w:rPr>
          <w:t>technical@vencel.co.uk</w:t>
        </w:r>
      </w:hyperlink>
      <w:r w:rsidRPr="009327B4">
        <w:t xml:space="preserve"> (last accessed, April 2012).</w:t>
      </w:r>
    </w:p>
    <w:p w:rsidR="006C67CE" w:rsidRDefault="006C67CE" w:rsidP="006C67CE">
      <w:pPr>
        <w:spacing w:after="120"/>
      </w:pPr>
    </w:p>
    <w:sectPr w:rsidR="006C67CE" w:rsidSect="003726A0">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6BD" w:rsidRDefault="00C006BD" w:rsidP="006E3100">
      <w:r>
        <w:separator/>
      </w:r>
    </w:p>
  </w:endnote>
  <w:endnote w:type="continuationSeparator" w:id="0">
    <w:p w:rsidR="00C006BD" w:rsidRDefault="00C006BD" w:rsidP="006E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224" w:rsidRDefault="00421487">
    <w:pPr>
      <w:pStyle w:val="Footer"/>
    </w:pPr>
    <w:r>
      <w:t xml:space="preserve"> 3</w:t>
    </w:r>
    <w:r w:rsidRPr="00421487">
      <w:rPr>
        <w:vertAlign w:val="superscript"/>
      </w:rPr>
      <w:t>rd</w:t>
    </w:r>
    <w:r>
      <w:t xml:space="preserve"> IIR International Conference on Sustainability and the Cold Chain</w:t>
    </w:r>
    <w:r w:rsidR="00F66224">
      <w:t xml:space="preserve">, </w:t>
    </w:r>
    <w:r>
      <w:t>London</w:t>
    </w:r>
    <w:r w:rsidR="00F66224">
      <w:t xml:space="preserve">, </w:t>
    </w:r>
    <w: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6BD" w:rsidRDefault="00C006BD" w:rsidP="006E3100">
      <w:r>
        <w:separator/>
      </w:r>
    </w:p>
  </w:footnote>
  <w:footnote w:type="continuationSeparator" w:id="0">
    <w:p w:rsidR="00C006BD" w:rsidRDefault="00C006BD" w:rsidP="006E3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00" w:rsidRPr="006E3100" w:rsidRDefault="006E3100" w:rsidP="006E3100">
    <w:pPr>
      <w:pStyle w:val="Header"/>
      <w:pBdr>
        <w:bottom w:val="single" w:sz="4" w:space="1" w:color="auto"/>
      </w:pBdr>
      <w:tabs>
        <w:tab w:val="clear" w:pos="4513"/>
        <w:tab w:val="right" w:pos="9923"/>
      </w:tabs>
      <w:spacing w:after="240"/>
      <w:rPr>
        <w:sz w:val="18"/>
        <w:lang w:val="en-US"/>
      </w:rPr>
    </w:pPr>
    <w:r>
      <w:rPr>
        <w:sz w:val="18"/>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E7A0B"/>
    <w:multiLevelType w:val="hybridMultilevel"/>
    <w:tmpl w:val="A34891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8BF614E"/>
    <w:multiLevelType w:val="hybridMultilevel"/>
    <w:tmpl w:val="A34891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F451BC6"/>
    <w:multiLevelType w:val="hybridMultilevel"/>
    <w:tmpl w:val="78C6A8FC"/>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nsid w:val="344C73BE"/>
    <w:multiLevelType w:val="multilevel"/>
    <w:tmpl w:val="F9D613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CA1255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48400944"/>
    <w:multiLevelType w:val="multilevel"/>
    <w:tmpl w:val="F2F084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BD03E55"/>
    <w:multiLevelType w:val="hybridMultilevel"/>
    <w:tmpl w:val="0F6E60F8"/>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1"/>
  </w:num>
  <w:num w:numId="2">
    <w:abstractNumId w:val="5"/>
  </w:num>
  <w:num w:numId="3">
    <w:abstractNumId w:val="3"/>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4E"/>
    <w:rsid w:val="000108C5"/>
    <w:rsid w:val="000232D5"/>
    <w:rsid w:val="000240DB"/>
    <w:rsid w:val="00032997"/>
    <w:rsid w:val="000533CD"/>
    <w:rsid w:val="000A05BC"/>
    <w:rsid w:val="000B332C"/>
    <w:rsid w:val="000C63D0"/>
    <w:rsid w:val="000E132F"/>
    <w:rsid w:val="000F29CE"/>
    <w:rsid w:val="000F46BA"/>
    <w:rsid w:val="00101C17"/>
    <w:rsid w:val="00104218"/>
    <w:rsid w:val="00125201"/>
    <w:rsid w:val="00132399"/>
    <w:rsid w:val="001338F1"/>
    <w:rsid w:val="00143900"/>
    <w:rsid w:val="001669F5"/>
    <w:rsid w:val="00176CD1"/>
    <w:rsid w:val="00192724"/>
    <w:rsid w:val="00192BA0"/>
    <w:rsid w:val="001D5BA1"/>
    <w:rsid w:val="001E1F5A"/>
    <w:rsid w:val="001E5E97"/>
    <w:rsid w:val="001F67D9"/>
    <w:rsid w:val="00223D21"/>
    <w:rsid w:val="0026755D"/>
    <w:rsid w:val="002A0C98"/>
    <w:rsid w:val="002B72B4"/>
    <w:rsid w:val="002C00F4"/>
    <w:rsid w:val="002E23EC"/>
    <w:rsid w:val="002F48DA"/>
    <w:rsid w:val="002F639F"/>
    <w:rsid w:val="00302887"/>
    <w:rsid w:val="003327C2"/>
    <w:rsid w:val="003726A0"/>
    <w:rsid w:val="003C5365"/>
    <w:rsid w:val="003E4A53"/>
    <w:rsid w:val="004034CD"/>
    <w:rsid w:val="00421487"/>
    <w:rsid w:val="0042293E"/>
    <w:rsid w:val="00440FCA"/>
    <w:rsid w:val="00441D68"/>
    <w:rsid w:val="00451D6E"/>
    <w:rsid w:val="00473268"/>
    <w:rsid w:val="004C0AF8"/>
    <w:rsid w:val="004E65C7"/>
    <w:rsid w:val="00501000"/>
    <w:rsid w:val="00513A49"/>
    <w:rsid w:val="00522C21"/>
    <w:rsid w:val="00531A8E"/>
    <w:rsid w:val="00533929"/>
    <w:rsid w:val="00535ED8"/>
    <w:rsid w:val="00562C25"/>
    <w:rsid w:val="0057328B"/>
    <w:rsid w:val="00593DA4"/>
    <w:rsid w:val="005A7EE0"/>
    <w:rsid w:val="005C5CEF"/>
    <w:rsid w:val="005C78F7"/>
    <w:rsid w:val="005D2EA2"/>
    <w:rsid w:val="005F567E"/>
    <w:rsid w:val="00605AEE"/>
    <w:rsid w:val="006312F0"/>
    <w:rsid w:val="006909AC"/>
    <w:rsid w:val="00696450"/>
    <w:rsid w:val="006C67CE"/>
    <w:rsid w:val="006D246D"/>
    <w:rsid w:val="006D7373"/>
    <w:rsid w:val="006E09BD"/>
    <w:rsid w:val="006E3100"/>
    <w:rsid w:val="006F5005"/>
    <w:rsid w:val="00711486"/>
    <w:rsid w:val="00736149"/>
    <w:rsid w:val="00745489"/>
    <w:rsid w:val="00774616"/>
    <w:rsid w:val="00780CB9"/>
    <w:rsid w:val="007A1392"/>
    <w:rsid w:val="007A358E"/>
    <w:rsid w:val="007A3E0C"/>
    <w:rsid w:val="007E526F"/>
    <w:rsid w:val="007F2266"/>
    <w:rsid w:val="007F295E"/>
    <w:rsid w:val="007F65B6"/>
    <w:rsid w:val="008017C0"/>
    <w:rsid w:val="00814E7B"/>
    <w:rsid w:val="00820E1F"/>
    <w:rsid w:val="00844CDB"/>
    <w:rsid w:val="00857470"/>
    <w:rsid w:val="0085765B"/>
    <w:rsid w:val="00883311"/>
    <w:rsid w:val="00883D89"/>
    <w:rsid w:val="00892920"/>
    <w:rsid w:val="008C02A3"/>
    <w:rsid w:val="008C26DE"/>
    <w:rsid w:val="008D595C"/>
    <w:rsid w:val="008E0A55"/>
    <w:rsid w:val="008F5DBB"/>
    <w:rsid w:val="00905015"/>
    <w:rsid w:val="009202E6"/>
    <w:rsid w:val="00923416"/>
    <w:rsid w:val="0093053F"/>
    <w:rsid w:val="009327B4"/>
    <w:rsid w:val="009330A6"/>
    <w:rsid w:val="00951CF0"/>
    <w:rsid w:val="00951DF8"/>
    <w:rsid w:val="00972710"/>
    <w:rsid w:val="00972FBE"/>
    <w:rsid w:val="009764B7"/>
    <w:rsid w:val="009B02E2"/>
    <w:rsid w:val="009C5EF0"/>
    <w:rsid w:val="009E162F"/>
    <w:rsid w:val="009E474B"/>
    <w:rsid w:val="009F1B94"/>
    <w:rsid w:val="00A26937"/>
    <w:rsid w:val="00A30266"/>
    <w:rsid w:val="00A455AF"/>
    <w:rsid w:val="00A6289D"/>
    <w:rsid w:val="00A66DF5"/>
    <w:rsid w:val="00A93CB9"/>
    <w:rsid w:val="00A94BBB"/>
    <w:rsid w:val="00AB62FC"/>
    <w:rsid w:val="00AC6E3E"/>
    <w:rsid w:val="00AE1937"/>
    <w:rsid w:val="00AE3744"/>
    <w:rsid w:val="00AE4727"/>
    <w:rsid w:val="00B3236A"/>
    <w:rsid w:val="00B47412"/>
    <w:rsid w:val="00B519BF"/>
    <w:rsid w:val="00B5777A"/>
    <w:rsid w:val="00B849BE"/>
    <w:rsid w:val="00B913D2"/>
    <w:rsid w:val="00BB4A1E"/>
    <w:rsid w:val="00BB7370"/>
    <w:rsid w:val="00BC451D"/>
    <w:rsid w:val="00BC4E44"/>
    <w:rsid w:val="00BD1464"/>
    <w:rsid w:val="00C006BD"/>
    <w:rsid w:val="00C00FE1"/>
    <w:rsid w:val="00C22850"/>
    <w:rsid w:val="00C23349"/>
    <w:rsid w:val="00C262A2"/>
    <w:rsid w:val="00C65A75"/>
    <w:rsid w:val="00C86D39"/>
    <w:rsid w:val="00C94C87"/>
    <w:rsid w:val="00CC5C22"/>
    <w:rsid w:val="00CD760C"/>
    <w:rsid w:val="00D363D8"/>
    <w:rsid w:val="00D41AF6"/>
    <w:rsid w:val="00D5634E"/>
    <w:rsid w:val="00DA2C81"/>
    <w:rsid w:val="00DB59A2"/>
    <w:rsid w:val="00DB7321"/>
    <w:rsid w:val="00DC12AB"/>
    <w:rsid w:val="00DC16E5"/>
    <w:rsid w:val="00DC2D9F"/>
    <w:rsid w:val="00DD06D6"/>
    <w:rsid w:val="00DE7DA3"/>
    <w:rsid w:val="00E03449"/>
    <w:rsid w:val="00E26DAC"/>
    <w:rsid w:val="00E37119"/>
    <w:rsid w:val="00E7327A"/>
    <w:rsid w:val="00EA5597"/>
    <w:rsid w:val="00EB6BF6"/>
    <w:rsid w:val="00EC3223"/>
    <w:rsid w:val="00EC45F4"/>
    <w:rsid w:val="00ED11C2"/>
    <w:rsid w:val="00ED4E62"/>
    <w:rsid w:val="00EF7A6D"/>
    <w:rsid w:val="00F24AE7"/>
    <w:rsid w:val="00F25A8C"/>
    <w:rsid w:val="00F47831"/>
    <w:rsid w:val="00F50BEA"/>
    <w:rsid w:val="00F66224"/>
    <w:rsid w:val="00F73C9F"/>
    <w:rsid w:val="00F76538"/>
    <w:rsid w:val="00F81C73"/>
    <w:rsid w:val="00F84986"/>
    <w:rsid w:val="00F85B2A"/>
    <w:rsid w:val="00F91232"/>
    <w:rsid w:val="00FC5767"/>
    <w:rsid w:val="00FE6F01"/>
    <w:rsid w:val="00FF4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5B6"/>
    <w:rPr>
      <w:rFonts w:ascii="Times New Roman" w:hAnsi="Times New Roman" w:cs="Calibri"/>
      <w:sz w:val="22"/>
      <w:szCs w:val="22"/>
      <w:lang w:eastAsia="en-US"/>
    </w:rPr>
  </w:style>
  <w:style w:type="paragraph" w:styleId="Heading1">
    <w:name w:val="heading 1"/>
    <w:basedOn w:val="Normal"/>
    <w:next w:val="Normal"/>
    <w:link w:val="Heading1Char"/>
    <w:uiPriority w:val="99"/>
    <w:qFormat/>
    <w:rsid w:val="007F65B6"/>
    <w:pPr>
      <w:keepNext/>
      <w:keepLines/>
      <w:numPr>
        <w:numId w:val="4"/>
      </w:numPr>
      <w:jc w:val="center"/>
      <w:outlineLvl w:val="0"/>
    </w:pPr>
    <w:rPr>
      <w:rFonts w:ascii="Times" w:eastAsia="Times New Roman" w:hAnsi="Times" w:cs="Cambria"/>
      <w:b/>
      <w:bCs/>
      <w:caps/>
      <w:sz w:val="24"/>
      <w:szCs w:val="28"/>
    </w:rPr>
  </w:style>
  <w:style w:type="paragraph" w:styleId="Heading2">
    <w:name w:val="heading 2"/>
    <w:basedOn w:val="Normal"/>
    <w:next w:val="Normal"/>
    <w:link w:val="Heading2Char"/>
    <w:uiPriority w:val="99"/>
    <w:qFormat/>
    <w:rsid w:val="007F65B6"/>
    <w:pPr>
      <w:keepNext/>
      <w:keepLines/>
      <w:numPr>
        <w:ilvl w:val="1"/>
        <w:numId w:val="4"/>
      </w:numPr>
      <w:outlineLvl w:val="1"/>
    </w:pPr>
    <w:rPr>
      <w:rFonts w:eastAsia="Times New Roman" w:cs="Cambria"/>
      <w:b/>
      <w:bCs/>
      <w:szCs w:val="26"/>
    </w:rPr>
  </w:style>
  <w:style w:type="paragraph" w:styleId="Heading3">
    <w:name w:val="heading 3"/>
    <w:basedOn w:val="Normal"/>
    <w:next w:val="Normal"/>
    <w:link w:val="Heading3Char"/>
    <w:uiPriority w:val="99"/>
    <w:qFormat/>
    <w:rsid w:val="007F65B6"/>
    <w:pPr>
      <w:keepNext/>
      <w:keepLines/>
      <w:numPr>
        <w:ilvl w:val="2"/>
        <w:numId w:val="4"/>
      </w:numPr>
      <w:outlineLvl w:val="2"/>
    </w:pPr>
    <w:rPr>
      <w:rFonts w:eastAsia="Times New Roman" w:cs="Cambria"/>
      <w:bCs/>
    </w:rPr>
  </w:style>
  <w:style w:type="paragraph" w:styleId="Heading4">
    <w:name w:val="heading 4"/>
    <w:basedOn w:val="Normal"/>
    <w:next w:val="Normal"/>
    <w:link w:val="Heading4Char"/>
    <w:semiHidden/>
    <w:unhideWhenUsed/>
    <w:qFormat/>
    <w:locked/>
    <w:rsid w:val="00535ED8"/>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35ED8"/>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35ED8"/>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535ED8"/>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535ED8"/>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535ED8"/>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F65B6"/>
    <w:rPr>
      <w:rFonts w:ascii="Times" w:eastAsia="Times New Roman" w:hAnsi="Times" w:cs="Cambria"/>
      <w:b/>
      <w:bCs/>
      <w:caps/>
      <w:sz w:val="24"/>
      <w:szCs w:val="28"/>
      <w:lang w:eastAsia="en-US"/>
    </w:rPr>
  </w:style>
  <w:style w:type="character" w:customStyle="1" w:styleId="Heading2Char">
    <w:name w:val="Heading 2 Char"/>
    <w:link w:val="Heading2"/>
    <w:uiPriority w:val="99"/>
    <w:locked/>
    <w:rsid w:val="007F65B6"/>
    <w:rPr>
      <w:rFonts w:ascii="Times New Roman" w:eastAsia="Times New Roman" w:hAnsi="Times New Roman" w:cs="Cambria"/>
      <w:b/>
      <w:bCs/>
      <w:sz w:val="22"/>
      <w:szCs w:val="26"/>
      <w:lang w:eastAsia="en-US"/>
    </w:rPr>
  </w:style>
  <w:style w:type="character" w:customStyle="1" w:styleId="Heading3Char">
    <w:name w:val="Heading 3 Char"/>
    <w:link w:val="Heading3"/>
    <w:uiPriority w:val="99"/>
    <w:locked/>
    <w:rsid w:val="007F65B6"/>
    <w:rPr>
      <w:rFonts w:ascii="Times New Roman" w:eastAsia="Times New Roman" w:hAnsi="Times New Roman" w:cs="Cambria"/>
      <w:bCs/>
      <w:sz w:val="22"/>
      <w:szCs w:val="22"/>
      <w:lang w:eastAsia="en-US"/>
    </w:rPr>
  </w:style>
  <w:style w:type="paragraph" w:styleId="BalloonText">
    <w:name w:val="Balloon Text"/>
    <w:basedOn w:val="Normal"/>
    <w:link w:val="BalloonTextChar"/>
    <w:uiPriority w:val="99"/>
    <w:semiHidden/>
    <w:rsid w:val="00820E1F"/>
    <w:rPr>
      <w:rFonts w:ascii="Tahoma" w:hAnsi="Tahoma" w:cs="Tahoma"/>
      <w:sz w:val="16"/>
      <w:szCs w:val="16"/>
    </w:rPr>
  </w:style>
  <w:style w:type="character" w:customStyle="1" w:styleId="BalloonTextChar">
    <w:name w:val="Balloon Text Char"/>
    <w:link w:val="BalloonText"/>
    <w:uiPriority w:val="99"/>
    <w:semiHidden/>
    <w:locked/>
    <w:rsid w:val="00820E1F"/>
    <w:rPr>
      <w:rFonts w:ascii="Tahoma" w:hAnsi="Tahoma" w:cs="Tahoma"/>
      <w:sz w:val="16"/>
      <w:szCs w:val="16"/>
    </w:rPr>
  </w:style>
  <w:style w:type="paragraph" w:styleId="Title">
    <w:name w:val="Title"/>
    <w:basedOn w:val="Normal"/>
    <w:next w:val="Normal"/>
    <w:link w:val="TitleChar"/>
    <w:uiPriority w:val="99"/>
    <w:qFormat/>
    <w:rsid w:val="00D5634E"/>
    <w:pPr>
      <w:pBdr>
        <w:bottom w:val="single" w:sz="8" w:space="4" w:color="4F81BD"/>
      </w:pBdr>
      <w:spacing w:after="300"/>
    </w:pPr>
    <w:rPr>
      <w:rFonts w:ascii="Cambria" w:eastAsia="Times New Roman" w:hAnsi="Cambria" w:cs="Cambria"/>
      <w:color w:val="17365D"/>
      <w:spacing w:val="5"/>
      <w:kern w:val="28"/>
      <w:sz w:val="52"/>
      <w:szCs w:val="52"/>
    </w:rPr>
  </w:style>
  <w:style w:type="character" w:customStyle="1" w:styleId="TitleChar">
    <w:name w:val="Title Char"/>
    <w:link w:val="Title"/>
    <w:uiPriority w:val="99"/>
    <w:locked/>
    <w:rsid w:val="00D5634E"/>
    <w:rPr>
      <w:rFonts w:ascii="Cambria" w:hAnsi="Cambria" w:cs="Cambria"/>
      <w:color w:val="17365D"/>
      <w:spacing w:val="5"/>
      <w:kern w:val="28"/>
      <w:sz w:val="52"/>
      <w:szCs w:val="52"/>
    </w:rPr>
  </w:style>
  <w:style w:type="paragraph" w:styleId="Caption">
    <w:name w:val="caption"/>
    <w:basedOn w:val="Normal"/>
    <w:next w:val="Normal"/>
    <w:qFormat/>
    <w:rsid w:val="00535ED8"/>
    <w:pPr>
      <w:jc w:val="center"/>
    </w:pPr>
    <w:rPr>
      <w:bCs/>
      <w:szCs w:val="18"/>
    </w:rPr>
  </w:style>
  <w:style w:type="character" w:styleId="CommentReference">
    <w:name w:val="annotation reference"/>
    <w:uiPriority w:val="99"/>
    <w:semiHidden/>
    <w:rsid w:val="00923416"/>
    <w:rPr>
      <w:sz w:val="16"/>
      <w:szCs w:val="16"/>
    </w:rPr>
  </w:style>
  <w:style w:type="paragraph" w:styleId="CommentText">
    <w:name w:val="annotation text"/>
    <w:basedOn w:val="Normal"/>
    <w:link w:val="CommentTextChar"/>
    <w:uiPriority w:val="99"/>
    <w:semiHidden/>
    <w:rsid w:val="00923416"/>
    <w:rPr>
      <w:sz w:val="20"/>
      <w:szCs w:val="20"/>
    </w:rPr>
  </w:style>
  <w:style w:type="character" w:customStyle="1" w:styleId="CommentTextChar">
    <w:name w:val="Comment Text Char"/>
    <w:link w:val="CommentText"/>
    <w:uiPriority w:val="99"/>
    <w:semiHidden/>
    <w:locked/>
    <w:rsid w:val="00923416"/>
    <w:rPr>
      <w:sz w:val="20"/>
      <w:szCs w:val="20"/>
    </w:rPr>
  </w:style>
  <w:style w:type="paragraph" w:styleId="CommentSubject">
    <w:name w:val="annotation subject"/>
    <w:basedOn w:val="CommentText"/>
    <w:next w:val="CommentText"/>
    <w:link w:val="CommentSubjectChar"/>
    <w:uiPriority w:val="99"/>
    <w:semiHidden/>
    <w:rsid w:val="00923416"/>
    <w:rPr>
      <w:b/>
      <w:bCs/>
    </w:rPr>
  </w:style>
  <w:style w:type="character" w:customStyle="1" w:styleId="CommentSubjectChar">
    <w:name w:val="Comment Subject Char"/>
    <w:link w:val="CommentSubject"/>
    <w:uiPriority w:val="99"/>
    <w:semiHidden/>
    <w:locked/>
    <w:rsid w:val="00923416"/>
    <w:rPr>
      <w:b/>
      <w:bCs/>
      <w:sz w:val="20"/>
      <w:szCs w:val="20"/>
    </w:rPr>
  </w:style>
  <w:style w:type="table" w:styleId="TableGrid">
    <w:name w:val="Table Grid"/>
    <w:basedOn w:val="TableNormal"/>
    <w:rsid w:val="00C65A7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F4D4F"/>
    <w:pPr>
      <w:spacing w:before="120"/>
      <w:ind w:left="720"/>
    </w:pPr>
    <w:rPr>
      <w:lang w:val="en-US"/>
    </w:rPr>
  </w:style>
  <w:style w:type="character" w:styleId="Hyperlink">
    <w:name w:val="Hyperlink"/>
    <w:uiPriority w:val="99"/>
    <w:rsid w:val="00FF4D4F"/>
    <w:rPr>
      <w:color w:val="0000FF"/>
      <w:u w:val="single"/>
    </w:rPr>
  </w:style>
  <w:style w:type="paragraph" w:styleId="Revision">
    <w:name w:val="Revision"/>
    <w:hidden/>
    <w:uiPriority w:val="99"/>
    <w:semiHidden/>
    <w:rsid w:val="00593DA4"/>
    <w:rPr>
      <w:rFonts w:cs="Calibri"/>
      <w:sz w:val="22"/>
      <w:szCs w:val="22"/>
      <w:lang w:eastAsia="en-US"/>
    </w:rPr>
  </w:style>
  <w:style w:type="paragraph" w:styleId="Header">
    <w:name w:val="header"/>
    <w:basedOn w:val="Normal"/>
    <w:link w:val="HeaderChar"/>
    <w:unhideWhenUsed/>
    <w:rsid w:val="006E3100"/>
    <w:pPr>
      <w:tabs>
        <w:tab w:val="center" w:pos="4513"/>
        <w:tab w:val="right" w:pos="9026"/>
      </w:tabs>
    </w:pPr>
  </w:style>
  <w:style w:type="character" w:customStyle="1" w:styleId="HeaderChar">
    <w:name w:val="Header Char"/>
    <w:basedOn w:val="DefaultParagraphFont"/>
    <w:link w:val="Header"/>
    <w:uiPriority w:val="99"/>
    <w:rsid w:val="006E3100"/>
    <w:rPr>
      <w:rFonts w:cs="Calibri"/>
      <w:sz w:val="22"/>
      <w:szCs w:val="22"/>
      <w:lang w:eastAsia="en-US"/>
    </w:rPr>
  </w:style>
  <w:style w:type="paragraph" w:styleId="Footer">
    <w:name w:val="footer"/>
    <w:basedOn w:val="Normal"/>
    <w:link w:val="FooterChar"/>
    <w:uiPriority w:val="99"/>
    <w:unhideWhenUsed/>
    <w:rsid w:val="006E3100"/>
    <w:pPr>
      <w:tabs>
        <w:tab w:val="center" w:pos="4513"/>
        <w:tab w:val="right" w:pos="9026"/>
      </w:tabs>
    </w:pPr>
  </w:style>
  <w:style w:type="character" w:customStyle="1" w:styleId="FooterChar">
    <w:name w:val="Footer Char"/>
    <w:basedOn w:val="DefaultParagraphFont"/>
    <w:link w:val="Footer"/>
    <w:uiPriority w:val="99"/>
    <w:rsid w:val="006E3100"/>
    <w:rPr>
      <w:rFonts w:cs="Calibri"/>
      <w:sz w:val="22"/>
      <w:szCs w:val="22"/>
      <w:lang w:eastAsia="en-US"/>
    </w:rPr>
  </w:style>
  <w:style w:type="character" w:customStyle="1" w:styleId="Heading4Char">
    <w:name w:val="Heading 4 Char"/>
    <w:basedOn w:val="DefaultParagraphFont"/>
    <w:link w:val="Heading4"/>
    <w:semiHidden/>
    <w:rsid w:val="00535ED8"/>
    <w:rPr>
      <w:rFonts w:asciiTheme="majorHAnsi" w:eastAsiaTheme="majorEastAsia" w:hAnsiTheme="majorHAnsi" w:cstheme="majorBidi"/>
      <w:b/>
      <w:bCs/>
      <w:i/>
      <w:iCs/>
      <w:color w:val="4F81BD" w:themeColor="accent1"/>
      <w:sz w:val="22"/>
      <w:szCs w:val="22"/>
      <w:lang w:eastAsia="en-US"/>
    </w:rPr>
  </w:style>
  <w:style w:type="character" w:customStyle="1" w:styleId="Heading5Char">
    <w:name w:val="Heading 5 Char"/>
    <w:basedOn w:val="DefaultParagraphFont"/>
    <w:link w:val="Heading5"/>
    <w:semiHidden/>
    <w:rsid w:val="00535ED8"/>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semiHidden/>
    <w:rsid w:val="00535ED8"/>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semiHidden/>
    <w:rsid w:val="00535ED8"/>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semiHidden/>
    <w:rsid w:val="00535ED8"/>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535ED8"/>
    <w:rPr>
      <w:rFonts w:asciiTheme="majorHAnsi" w:eastAsiaTheme="majorEastAsia" w:hAnsiTheme="majorHAnsi" w:cstheme="majorBidi"/>
      <w:i/>
      <w:iCs/>
      <w:color w:val="404040" w:themeColor="text1" w:themeTint="BF"/>
      <w:lang w:eastAsia="en-US"/>
    </w:rPr>
  </w:style>
  <w:style w:type="character" w:styleId="PlaceholderText">
    <w:name w:val="Placeholder Text"/>
    <w:basedOn w:val="DefaultParagraphFont"/>
    <w:uiPriority w:val="99"/>
    <w:semiHidden/>
    <w:rsid w:val="00A94BBB"/>
    <w:rPr>
      <w:color w:val="808080"/>
    </w:rPr>
  </w:style>
  <w:style w:type="character" w:styleId="FollowedHyperlink">
    <w:name w:val="FollowedHyperlink"/>
    <w:basedOn w:val="DefaultParagraphFont"/>
    <w:uiPriority w:val="99"/>
    <w:semiHidden/>
    <w:unhideWhenUsed/>
    <w:rsid w:val="00DB73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5B6"/>
    <w:rPr>
      <w:rFonts w:ascii="Times New Roman" w:hAnsi="Times New Roman" w:cs="Calibri"/>
      <w:sz w:val="22"/>
      <w:szCs w:val="22"/>
      <w:lang w:eastAsia="en-US"/>
    </w:rPr>
  </w:style>
  <w:style w:type="paragraph" w:styleId="Heading1">
    <w:name w:val="heading 1"/>
    <w:basedOn w:val="Normal"/>
    <w:next w:val="Normal"/>
    <w:link w:val="Heading1Char"/>
    <w:uiPriority w:val="99"/>
    <w:qFormat/>
    <w:rsid w:val="007F65B6"/>
    <w:pPr>
      <w:keepNext/>
      <w:keepLines/>
      <w:numPr>
        <w:numId w:val="4"/>
      </w:numPr>
      <w:jc w:val="center"/>
      <w:outlineLvl w:val="0"/>
    </w:pPr>
    <w:rPr>
      <w:rFonts w:ascii="Times" w:eastAsia="Times New Roman" w:hAnsi="Times" w:cs="Cambria"/>
      <w:b/>
      <w:bCs/>
      <w:caps/>
      <w:sz w:val="24"/>
      <w:szCs w:val="28"/>
    </w:rPr>
  </w:style>
  <w:style w:type="paragraph" w:styleId="Heading2">
    <w:name w:val="heading 2"/>
    <w:basedOn w:val="Normal"/>
    <w:next w:val="Normal"/>
    <w:link w:val="Heading2Char"/>
    <w:uiPriority w:val="99"/>
    <w:qFormat/>
    <w:rsid w:val="007F65B6"/>
    <w:pPr>
      <w:keepNext/>
      <w:keepLines/>
      <w:numPr>
        <w:ilvl w:val="1"/>
        <w:numId w:val="4"/>
      </w:numPr>
      <w:outlineLvl w:val="1"/>
    </w:pPr>
    <w:rPr>
      <w:rFonts w:eastAsia="Times New Roman" w:cs="Cambria"/>
      <w:b/>
      <w:bCs/>
      <w:szCs w:val="26"/>
    </w:rPr>
  </w:style>
  <w:style w:type="paragraph" w:styleId="Heading3">
    <w:name w:val="heading 3"/>
    <w:basedOn w:val="Normal"/>
    <w:next w:val="Normal"/>
    <w:link w:val="Heading3Char"/>
    <w:uiPriority w:val="99"/>
    <w:qFormat/>
    <w:rsid w:val="007F65B6"/>
    <w:pPr>
      <w:keepNext/>
      <w:keepLines/>
      <w:numPr>
        <w:ilvl w:val="2"/>
        <w:numId w:val="4"/>
      </w:numPr>
      <w:outlineLvl w:val="2"/>
    </w:pPr>
    <w:rPr>
      <w:rFonts w:eastAsia="Times New Roman" w:cs="Cambria"/>
      <w:bCs/>
    </w:rPr>
  </w:style>
  <w:style w:type="paragraph" w:styleId="Heading4">
    <w:name w:val="heading 4"/>
    <w:basedOn w:val="Normal"/>
    <w:next w:val="Normal"/>
    <w:link w:val="Heading4Char"/>
    <w:semiHidden/>
    <w:unhideWhenUsed/>
    <w:qFormat/>
    <w:locked/>
    <w:rsid w:val="00535ED8"/>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35ED8"/>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35ED8"/>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535ED8"/>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535ED8"/>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535ED8"/>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F65B6"/>
    <w:rPr>
      <w:rFonts w:ascii="Times" w:eastAsia="Times New Roman" w:hAnsi="Times" w:cs="Cambria"/>
      <w:b/>
      <w:bCs/>
      <w:caps/>
      <w:sz w:val="24"/>
      <w:szCs w:val="28"/>
      <w:lang w:eastAsia="en-US"/>
    </w:rPr>
  </w:style>
  <w:style w:type="character" w:customStyle="1" w:styleId="Heading2Char">
    <w:name w:val="Heading 2 Char"/>
    <w:link w:val="Heading2"/>
    <w:uiPriority w:val="99"/>
    <w:locked/>
    <w:rsid w:val="007F65B6"/>
    <w:rPr>
      <w:rFonts w:ascii="Times New Roman" w:eastAsia="Times New Roman" w:hAnsi="Times New Roman" w:cs="Cambria"/>
      <w:b/>
      <w:bCs/>
      <w:sz w:val="22"/>
      <w:szCs w:val="26"/>
      <w:lang w:eastAsia="en-US"/>
    </w:rPr>
  </w:style>
  <w:style w:type="character" w:customStyle="1" w:styleId="Heading3Char">
    <w:name w:val="Heading 3 Char"/>
    <w:link w:val="Heading3"/>
    <w:uiPriority w:val="99"/>
    <w:locked/>
    <w:rsid w:val="007F65B6"/>
    <w:rPr>
      <w:rFonts w:ascii="Times New Roman" w:eastAsia="Times New Roman" w:hAnsi="Times New Roman" w:cs="Cambria"/>
      <w:bCs/>
      <w:sz w:val="22"/>
      <w:szCs w:val="22"/>
      <w:lang w:eastAsia="en-US"/>
    </w:rPr>
  </w:style>
  <w:style w:type="paragraph" w:styleId="BalloonText">
    <w:name w:val="Balloon Text"/>
    <w:basedOn w:val="Normal"/>
    <w:link w:val="BalloonTextChar"/>
    <w:uiPriority w:val="99"/>
    <w:semiHidden/>
    <w:rsid w:val="00820E1F"/>
    <w:rPr>
      <w:rFonts w:ascii="Tahoma" w:hAnsi="Tahoma" w:cs="Tahoma"/>
      <w:sz w:val="16"/>
      <w:szCs w:val="16"/>
    </w:rPr>
  </w:style>
  <w:style w:type="character" w:customStyle="1" w:styleId="BalloonTextChar">
    <w:name w:val="Balloon Text Char"/>
    <w:link w:val="BalloonText"/>
    <w:uiPriority w:val="99"/>
    <w:semiHidden/>
    <w:locked/>
    <w:rsid w:val="00820E1F"/>
    <w:rPr>
      <w:rFonts w:ascii="Tahoma" w:hAnsi="Tahoma" w:cs="Tahoma"/>
      <w:sz w:val="16"/>
      <w:szCs w:val="16"/>
    </w:rPr>
  </w:style>
  <w:style w:type="paragraph" w:styleId="Title">
    <w:name w:val="Title"/>
    <w:basedOn w:val="Normal"/>
    <w:next w:val="Normal"/>
    <w:link w:val="TitleChar"/>
    <w:uiPriority w:val="99"/>
    <w:qFormat/>
    <w:rsid w:val="00D5634E"/>
    <w:pPr>
      <w:pBdr>
        <w:bottom w:val="single" w:sz="8" w:space="4" w:color="4F81BD"/>
      </w:pBdr>
      <w:spacing w:after="300"/>
    </w:pPr>
    <w:rPr>
      <w:rFonts w:ascii="Cambria" w:eastAsia="Times New Roman" w:hAnsi="Cambria" w:cs="Cambria"/>
      <w:color w:val="17365D"/>
      <w:spacing w:val="5"/>
      <w:kern w:val="28"/>
      <w:sz w:val="52"/>
      <w:szCs w:val="52"/>
    </w:rPr>
  </w:style>
  <w:style w:type="character" w:customStyle="1" w:styleId="TitleChar">
    <w:name w:val="Title Char"/>
    <w:link w:val="Title"/>
    <w:uiPriority w:val="99"/>
    <w:locked/>
    <w:rsid w:val="00D5634E"/>
    <w:rPr>
      <w:rFonts w:ascii="Cambria" w:hAnsi="Cambria" w:cs="Cambria"/>
      <w:color w:val="17365D"/>
      <w:spacing w:val="5"/>
      <w:kern w:val="28"/>
      <w:sz w:val="52"/>
      <w:szCs w:val="52"/>
    </w:rPr>
  </w:style>
  <w:style w:type="paragraph" w:styleId="Caption">
    <w:name w:val="caption"/>
    <w:basedOn w:val="Normal"/>
    <w:next w:val="Normal"/>
    <w:qFormat/>
    <w:rsid w:val="00535ED8"/>
    <w:pPr>
      <w:jc w:val="center"/>
    </w:pPr>
    <w:rPr>
      <w:bCs/>
      <w:szCs w:val="18"/>
    </w:rPr>
  </w:style>
  <w:style w:type="character" w:styleId="CommentReference">
    <w:name w:val="annotation reference"/>
    <w:uiPriority w:val="99"/>
    <w:semiHidden/>
    <w:rsid w:val="00923416"/>
    <w:rPr>
      <w:sz w:val="16"/>
      <w:szCs w:val="16"/>
    </w:rPr>
  </w:style>
  <w:style w:type="paragraph" w:styleId="CommentText">
    <w:name w:val="annotation text"/>
    <w:basedOn w:val="Normal"/>
    <w:link w:val="CommentTextChar"/>
    <w:uiPriority w:val="99"/>
    <w:semiHidden/>
    <w:rsid w:val="00923416"/>
    <w:rPr>
      <w:sz w:val="20"/>
      <w:szCs w:val="20"/>
    </w:rPr>
  </w:style>
  <w:style w:type="character" w:customStyle="1" w:styleId="CommentTextChar">
    <w:name w:val="Comment Text Char"/>
    <w:link w:val="CommentText"/>
    <w:uiPriority w:val="99"/>
    <w:semiHidden/>
    <w:locked/>
    <w:rsid w:val="00923416"/>
    <w:rPr>
      <w:sz w:val="20"/>
      <w:szCs w:val="20"/>
    </w:rPr>
  </w:style>
  <w:style w:type="paragraph" w:styleId="CommentSubject">
    <w:name w:val="annotation subject"/>
    <w:basedOn w:val="CommentText"/>
    <w:next w:val="CommentText"/>
    <w:link w:val="CommentSubjectChar"/>
    <w:uiPriority w:val="99"/>
    <w:semiHidden/>
    <w:rsid w:val="00923416"/>
    <w:rPr>
      <w:b/>
      <w:bCs/>
    </w:rPr>
  </w:style>
  <w:style w:type="character" w:customStyle="1" w:styleId="CommentSubjectChar">
    <w:name w:val="Comment Subject Char"/>
    <w:link w:val="CommentSubject"/>
    <w:uiPriority w:val="99"/>
    <w:semiHidden/>
    <w:locked/>
    <w:rsid w:val="00923416"/>
    <w:rPr>
      <w:b/>
      <w:bCs/>
      <w:sz w:val="20"/>
      <w:szCs w:val="20"/>
    </w:rPr>
  </w:style>
  <w:style w:type="table" w:styleId="TableGrid">
    <w:name w:val="Table Grid"/>
    <w:basedOn w:val="TableNormal"/>
    <w:rsid w:val="00C65A7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F4D4F"/>
    <w:pPr>
      <w:spacing w:before="120"/>
      <w:ind w:left="720"/>
    </w:pPr>
    <w:rPr>
      <w:lang w:val="en-US"/>
    </w:rPr>
  </w:style>
  <w:style w:type="character" w:styleId="Hyperlink">
    <w:name w:val="Hyperlink"/>
    <w:uiPriority w:val="99"/>
    <w:rsid w:val="00FF4D4F"/>
    <w:rPr>
      <w:color w:val="0000FF"/>
      <w:u w:val="single"/>
    </w:rPr>
  </w:style>
  <w:style w:type="paragraph" w:styleId="Revision">
    <w:name w:val="Revision"/>
    <w:hidden/>
    <w:uiPriority w:val="99"/>
    <w:semiHidden/>
    <w:rsid w:val="00593DA4"/>
    <w:rPr>
      <w:rFonts w:cs="Calibri"/>
      <w:sz w:val="22"/>
      <w:szCs w:val="22"/>
      <w:lang w:eastAsia="en-US"/>
    </w:rPr>
  </w:style>
  <w:style w:type="paragraph" w:styleId="Header">
    <w:name w:val="header"/>
    <w:basedOn w:val="Normal"/>
    <w:link w:val="HeaderChar"/>
    <w:unhideWhenUsed/>
    <w:rsid w:val="006E3100"/>
    <w:pPr>
      <w:tabs>
        <w:tab w:val="center" w:pos="4513"/>
        <w:tab w:val="right" w:pos="9026"/>
      </w:tabs>
    </w:pPr>
  </w:style>
  <w:style w:type="character" w:customStyle="1" w:styleId="HeaderChar">
    <w:name w:val="Header Char"/>
    <w:basedOn w:val="DefaultParagraphFont"/>
    <w:link w:val="Header"/>
    <w:uiPriority w:val="99"/>
    <w:rsid w:val="006E3100"/>
    <w:rPr>
      <w:rFonts w:cs="Calibri"/>
      <w:sz w:val="22"/>
      <w:szCs w:val="22"/>
      <w:lang w:eastAsia="en-US"/>
    </w:rPr>
  </w:style>
  <w:style w:type="paragraph" w:styleId="Footer">
    <w:name w:val="footer"/>
    <w:basedOn w:val="Normal"/>
    <w:link w:val="FooterChar"/>
    <w:uiPriority w:val="99"/>
    <w:unhideWhenUsed/>
    <w:rsid w:val="006E3100"/>
    <w:pPr>
      <w:tabs>
        <w:tab w:val="center" w:pos="4513"/>
        <w:tab w:val="right" w:pos="9026"/>
      </w:tabs>
    </w:pPr>
  </w:style>
  <w:style w:type="character" w:customStyle="1" w:styleId="FooterChar">
    <w:name w:val="Footer Char"/>
    <w:basedOn w:val="DefaultParagraphFont"/>
    <w:link w:val="Footer"/>
    <w:uiPriority w:val="99"/>
    <w:rsid w:val="006E3100"/>
    <w:rPr>
      <w:rFonts w:cs="Calibri"/>
      <w:sz w:val="22"/>
      <w:szCs w:val="22"/>
      <w:lang w:eastAsia="en-US"/>
    </w:rPr>
  </w:style>
  <w:style w:type="character" w:customStyle="1" w:styleId="Heading4Char">
    <w:name w:val="Heading 4 Char"/>
    <w:basedOn w:val="DefaultParagraphFont"/>
    <w:link w:val="Heading4"/>
    <w:semiHidden/>
    <w:rsid w:val="00535ED8"/>
    <w:rPr>
      <w:rFonts w:asciiTheme="majorHAnsi" w:eastAsiaTheme="majorEastAsia" w:hAnsiTheme="majorHAnsi" w:cstheme="majorBidi"/>
      <w:b/>
      <w:bCs/>
      <w:i/>
      <w:iCs/>
      <w:color w:val="4F81BD" w:themeColor="accent1"/>
      <w:sz w:val="22"/>
      <w:szCs w:val="22"/>
      <w:lang w:eastAsia="en-US"/>
    </w:rPr>
  </w:style>
  <w:style w:type="character" w:customStyle="1" w:styleId="Heading5Char">
    <w:name w:val="Heading 5 Char"/>
    <w:basedOn w:val="DefaultParagraphFont"/>
    <w:link w:val="Heading5"/>
    <w:semiHidden/>
    <w:rsid w:val="00535ED8"/>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semiHidden/>
    <w:rsid w:val="00535ED8"/>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semiHidden/>
    <w:rsid w:val="00535ED8"/>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semiHidden/>
    <w:rsid w:val="00535ED8"/>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535ED8"/>
    <w:rPr>
      <w:rFonts w:asciiTheme="majorHAnsi" w:eastAsiaTheme="majorEastAsia" w:hAnsiTheme="majorHAnsi" w:cstheme="majorBidi"/>
      <w:i/>
      <w:iCs/>
      <w:color w:val="404040" w:themeColor="text1" w:themeTint="BF"/>
      <w:lang w:eastAsia="en-US"/>
    </w:rPr>
  </w:style>
  <w:style w:type="character" w:styleId="PlaceholderText">
    <w:name w:val="Placeholder Text"/>
    <w:basedOn w:val="DefaultParagraphFont"/>
    <w:uiPriority w:val="99"/>
    <w:semiHidden/>
    <w:rsid w:val="00A94BBB"/>
    <w:rPr>
      <w:color w:val="808080"/>
    </w:rPr>
  </w:style>
  <w:style w:type="character" w:styleId="FollowedHyperlink">
    <w:name w:val="FollowedHyperlink"/>
    <w:basedOn w:val="DefaultParagraphFont"/>
    <w:uiPriority w:val="99"/>
    <w:semiHidden/>
    <w:unhideWhenUsed/>
    <w:rsid w:val="00DB73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816422">
      <w:bodyDiv w:val="1"/>
      <w:marLeft w:val="0"/>
      <w:marRight w:val="0"/>
      <w:marTop w:val="0"/>
      <w:marBottom w:val="0"/>
      <w:divBdr>
        <w:top w:val="none" w:sz="0" w:space="0" w:color="auto"/>
        <w:left w:val="none" w:sz="0" w:space="0" w:color="auto"/>
        <w:bottom w:val="none" w:sz="0" w:space="0" w:color="auto"/>
        <w:right w:val="none" w:sz="0" w:space="0" w:color="auto"/>
      </w:divBdr>
    </w:div>
    <w:div w:id="1853831961">
      <w:bodyDiv w:val="1"/>
      <w:marLeft w:val="0"/>
      <w:marRight w:val="0"/>
      <w:marTop w:val="0"/>
      <w:marBottom w:val="0"/>
      <w:divBdr>
        <w:top w:val="none" w:sz="0" w:space="0" w:color="auto"/>
        <w:left w:val="none" w:sz="0" w:space="0" w:color="auto"/>
        <w:bottom w:val="none" w:sz="0" w:space="0" w:color="auto"/>
        <w:right w:val="none" w:sz="0" w:space="0" w:color="auto"/>
      </w:divBdr>
    </w:div>
    <w:div w:id="1968272026">
      <w:marLeft w:val="0"/>
      <w:marRight w:val="0"/>
      <w:marTop w:val="0"/>
      <w:marBottom w:val="0"/>
      <w:divBdr>
        <w:top w:val="none" w:sz="0" w:space="0" w:color="auto"/>
        <w:left w:val="none" w:sz="0" w:space="0" w:color="auto"/>
        <w:bottom w:val="none" w:sz="0" w:space="0" w:color="auto"/>
        <w:right w:val="none" w:sz="0" w:space="0" w:color="auto"/>
      </w:divBdr>
    </w:div>
    <w:div w:id="1968272027">
      <w:marLeft w:val="0"/>
      <w:marRight w:val="0"/>
      <w:marTop w:val="0"/>
      <w:marBottom w:val="0"/>
      <w:divBdr>
        <w:top w:val="none" w:sz="0" w:space="0" w:color="auto"/>
        <w:left w:val="none" w:sz="0" w:space="0" w:color="auto"/>
        <w:bottom w:val="none" w:sz="0" w:space="0" w:color="auto"/>
        <w:right w:val="none" w:sz="0" w:space="0" w:color="auto"/>
      </w:divBdr>
    </w:div>
    <w:div w:id="1968272028">
      <w:marLeft w:val="0"/>
      <w:marRight w:val="0"/>
      <w:marTop w:val="0"/>
      <w:marBottom w:val="0"/>
      <w:divBdr>
        <w:top w:val="none" w:sz="0" w:space="0" w:color="auto"/>
        <w:left w:val="none" w:sz="0" w:space="0" w:color="auto"/>
        <w:bottom w:val="none" w:sz="0" w:space="0" w:color="auto"/>
        <w:right w:val="none" w:sz="0" w:space="0" w:color="auto"/>
      </w:divBdr>
    </w:div>
    <w:div w:id="19682720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www.nanopore.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Jablite.co.uk"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nanopore.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nergysavingtrust.org.uk/Energy-Saving-Trust/Our-calculations" TargetMode="External"/><Relationship Id="rId20" Type="http://schemas.openxmlformats.org/officeDocument/2006/relationships/hyperlink" Target="http://www.engineeringtoolbox.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hyperlink" Target="http://www.taasi.com/pdf/insul.pdf" TargetMode="External"/><Relationship Id="rId4" Type="http://schemas.microsoft.com/office/2007/relationships/stylesWithEffects" Target="stylesWithEffects.xml"/><Relationship Id="rId9" Type="http://schemas.openxmlformats.org/officeDocument/2006/relationships/hyperlink" Target="mailto:e.hammond@lsbu.ac.uk" TargetMode="External"/><Relationship Id="rId14" Type="http://schemas.openxmlformats.org/officeDocument/2006/relationships/image" Target="media/image5.jpeg"/><Relationship Id="rId22" Type="http://schemas.openxmlformats.org/officeDocument/2006/relationships/hyperlink" Target="mailto:technical@vence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4FE1E-9959-4925-83C1-F219090D6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2821</Words>
  <Characters>16084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Simulation vs</vt:lpstr>
    </vt:vector>
  </TitlesOfParts>
  <Company>Grizli777</Company>
  <LinksUpToDate>false</LinksUpToDate>
  <CharactersWithSpaces>18868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Simulation vs</dc:title>
  <dc:creator>ECH Engineering</dc:creator>
  <cp:lastModifiedBy>CAT</cp:lastModifiedBy>
  <cp:revision>9</cp:revision>
  <cp:lastPrinted>2014-02-24T21:43:00Z</cp:lastPrinted>
  <dcterms:created xsi:type="dcterms:W3CDTF">2014-02-24T21:56:00Z</dcterms:created>
  <dcterms:modified xsi:type="dcterms:W3CDTF">2014-09-11T15:26:00Z</dcterms:modified>
</cp:coreProperties>
</file>